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adjustRightInd/>
        <w:spacing w:line="360" w:lineRule="auto"/>
        <w:jc w:val="center"/>
        <w:rPr>
          <w:rFonts w:ascii="宋体" w:hAnsi="宋体" w:cs="宋体"/>
          <w:b/>
          <w:color w:val="auto"/>
          <w:sz w:val="48"/>
          <w:szCs w:val="48"/>
        </w:rPr>
      </w:pPr>
    </w:p>
    <w:p>
      <w:pPr>
        <w:adjustRightInd/>
        <w:spacing w:line="360" w:lineRule="auto"/>
        <w:jc w:val="center"/>
        <w:rPr>
          <w:rFonts w:hint="eastAsia" w:ascii="宋体" w:hAnsi="宋体" w:cs="宋体"/>
          <w:color w:val="auto"/>
          <w:sz w:val="48"/>
          <w:szCs w:val="48"/>
        </w:rPr>
      </w:pPr>
      <w:r>
        <w:rPr>
          <w:rFonts w:hint="eastAsia" w:ascii="宋体" w:hAnsi="宋体" w:cs="宋体"/>
          <w:color w:val="auto"/>
          <w:sz w:val="48"/>
          <w:szCs w:val="48"/>
          <w:lang w:val="en-US" w:eastAsia="zh-CN"/>
        </w:rPr>
        <w:t>2023年</w:t>
      </w:r>
      <w:r>
        <w:rPr>
          <w:rFonts w:hint="eastAsia" w:ascii="宋体" w:hAnsi="宋体" w:cs="宋体"/>
          <w:color w:val="auto"/>
          <w:sz w:val="48"/>
          <w:szCs w:val="48"/>
        </w:rPr>
        <w:t>桐庐县公安局交通警察大队</w:t>
      </w:r>
    </w:p>
    <w:p>
      <w:pPr>
        <w:adjustRightInd/>
        <w:spacing w:line="360" w:lineRule="auto"/>
        <w:jc w:val="center"/>
        <w:rPr>
          <w:rFonts w:hint="eastAsia" w:ascii="宋体" w:hAnsi="宋体" w:cs="宋体"/>
          <w:color w:val="auto"/>
          <w:sz w:val="48"/>
          <w:szCs w:val="48"/>
        </w:rPr>
      </w:pPr>
      <w:r>
        <w:rPr>
          <w:rFonts w:hint="eastAsia" w:ascii="宋体" w:hAnsi="宋体" w:cs="宋体"/>
          <w:color w:val="auto"/>
          <w:sz w:val="48"/>
          <w:szCs w:val="48"/>
        </w:rPr>
        <w:t>链路及视频监控</w:t>
      </w:r>
      <w:r>
        <w:rPr>
          <w:rFonts w:hint="eastAsia" w:ascii="宋体" w:hAnsi="宋体" w:cs="宋体"/>
          <w:color w:val="auto"/>
          <w:sz w:val="48"/>
          <w:szCs w:val="48"/>
          <w:lang w:val="en-US" w:eastAsia="zh-CN"/>
        </w:rPr>
        <w:t>服务</w:t>
      </w:r>
      <w:r>
        <w:rPr>
          <w:rFonts w:hint="eastAsia" w:ascii="宋体" w:hAnsi="宋体" w:cs="宋体"/>
          <w:color w:val="auto"/>
          <w:sz w:val="48"/>
          <w:szCs w:val="48"/>
        </w:rPr>
        <w:t>项目</w:t>
      </w: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jc w:val="center"/>
        <w:rPr>
          <w:rFonts w:hint="default" w:ascii="宋体" w:hAnsi="宋体" w:eastAsia="宋体" w:cs="宋体"/>
          <w:color w:val="auto"/>
          <w:sz w:val="30"/>
          <w:szCs w:val="30"/>
          <w:lang w:val="en-US" w:eastAsia="zh-CN"/>
        </w:rPr>
      </w:pPr>
      <w:r>
        <w:rPr>
          <w:rFonts w:hint="eastAsia" w:ascii="宋体" w:hAnsi="宋体" w:cs="宋体"/>
          <w:color w:val="auto"/>
          <w:sz w:val="30"/>
          <w:szCs w:val="30"/>
        </w:rPr>
        <w:t>编号:TLZFCG2023-GK-0</w:t>
      </w:r>
      <w:r>
        <w:rPr>
          <w:rFonts w:hint="eastAsia" w:ascii="宋体" w:hAnsi="宋体" w:cs="宋体"/>
          <w:color w:val="auto"/>
          <w:sz w:val="30"/>
          <w:szCs w:val="30"/>
          <w:lang w:val="en-US" w:eastAsia="zh-CN"/>
        </w:rPr>
        <w:t>17</w:t>
      </w:r>
    </w:p>
    <w:p>
      <w:pPr>
        <w:adjustRightInd/>
        <w:spacing w:line="360" w:lineRule="auto"/>
        <w:rPr>
          <w:rFonts w:ascii="宋体" w:hAnsi="宋体" w:cs="宋体"/>
          <w:color w:val="auto"/>
          <w:sz w:val="28"/>
          <w:szCs w:val="20"/>
        </w:rPr>
      </w:pPr>
    </w:p>
    <w:p>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pPr>
        <w:spacing w:line="360" w:lineRule="auto"/>
        <w:jc w:val="center"/>
        <w:rPr>
          <w:rFonts w:ascii="宋体" w:hAnsi="宋体" w:cs="宋体"/>
          <w:b/>
          <w:color w:val="auto"/>
          <w:sz w:val="44"/>
          <w:szCs w:val="44"/>
        </w:rPr>
      </w:pPr>
    </w:p>
    <w:p>
      <w:pPr>
        <w:spacing w:line="360" w:lineRule="auto"/>
        <w:jc w:val="center"/>
        <w:rPr>
          <w:rFonts w:ascii="宋体" w:hAnsi="宋体" w:cs="宋体"/>
          <w:color w:val="auto"/>
          <w:sz w:val="24"/>
        </w:rPr>
      </w:pPr>
      <w:bookmarkStart w:id="564" w:name="_GoBack"/>
      <w:bookmarkEnd w:id="564"/>
    </w:p>
    <w:p>
      <w:pPr>
        <w:spacing w:line="360" w:lineRule="auto"/>
        <w:jc w:val="center"/>
        <w:rPr>
          <w:rFonts w:ascii="宋体" w:hAnsi="宋体" w:cs="宋体"/>
          <w:color w:val="auto"/>
          <w:sz w:val="24"/>
        </w:rPr>
      </w:pPr>
    </w:p>
    <w:p>
      <w:pPr>
        <w:spacing w:line="360" w:lineRule="auto"/>
        <w:rPr>
          <w:rFonts w:ascii="宋体" w:hAnsi="宋体" w:cs="宋体"/>
          <w:color w:val="auto"/>
          <w:sz w:val="32"/>
          <w:szCs w:val="32"/>
        </w:rPr>
      </w:pPr>
    </w:p>
    <w:p>
      <w:pPr>
        <w:spacing w:line="360" w:lineRule="auto"/>
        <w:jc w:val="center"/>
        <w:rPr>
          <w:rFonts w:hint="eastAsia" w:ascii="宋体" w:hAnsi="宋体" w:cs="宋体"/>
          <w:bCs/>
          <w:color w:val="auto"/>
          <w:sz w:val="32"/>
          <w:szCs w:val="32"/>
        </w:rPr>
      </w:pPr>
      <w:r>
        <w:rPr>
          <w:rFonts w:hint="eastAsia" w:ascii="宋体" w:hAnsi="宋体" w:cs="宋体"/>
          <w:bCs/>
          <w:color w:val="auto"/>
          <w:sz w:val="32"/>
          <w:szCs w:val="32"/>
        </w:rPr>
        <w:t>桐庐县公安局交通警察大队</w:t>
      </w:r>
    </w:p>
    <w:p>
      <w:pPr>
        <w:spacing w:line="360" w:lineRule="auto"/>
        <w:jc w:val="center"/>
        <w:rPr>
          <w:rFonts w:ascii="宋体" w:hAnsi="宋体" w:cs="宋体"/>
          <w:bCs/>
          <w:color w:val="auto"/>
          <w:sz w:val="32"/>
          <w:szCs w:val="32"/>
        </w:rPr>
      </w:pPr>
      <w:r>
        <w:rPr>
          <w:rFonts w:hint="eastAsia" w:ascii="宋体" w:hAnsi="宋体" w:cs="宋体"/>
          <w:bCs/>
          <w:color w:val="auto"/>
          <w:sz w:val="32"/>
          <w:szCs w:val="32"/>
        </w:rPr>
        <w:t>杭州市公共资源交易中心</w:t>
      </w:r>
      <w:r>
        <w:rPr>
          <w:rFonts w:hint="eastAsia" w:ascii="宋体" w:hAnsi="宋体" w:cs="宋体"/>
          <w:bCs/>
          <w:color w:val="auto"/>
          <w:sz w:val="32"/>
          <w:szCs w:val="32"/>
          <w:lang w:val="en-US" w:eastAsia="zh-CN"/>
        </w:rPr>
        <w:t>桐庐分中心</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二〇二三年</w:t>
      </w:r>
      <w:r>
        <w:rPr>
          <w:rFonts w:hint="eastAsia" w:ascii="宋体" w:hAnsi="宋体" w:cs="宋体"/>
          <w:bCs/>
          <w:color w:val="auto"/>
          <w:sz w:val="32"/>
          <w:szCs w:val="32"/>
          <w:lang w:val="en-US" w:eastAsia="zh-CN"/>
        </w:rPr>
        <w:t>九</w:t>
      </w:r>
      <w:r>
        <w:rPr>
          <w:rFonts w:hint="eastAsia" w:ascii="宋体" w:hAnsi="宋体" w:cs="宋体"/>
          <w:bCs/>
          <w:color w:val="auto"/>
          <w:sz w:val="32"/>
          <w:szCs w:val="32"/>
        </w:rPr>
        <w:t>月</w:t>
      </w:r>
    </w:p>
    <w:p>
      <w:pPr>
        <w:spacing w:line="360" w:lineRule="auto"/>
        <w:jc w:val="center"/>
        <w:rPr>
          <w:rFonts w:ascii="宋体" w:hAnsi="宋体" w:cs="宋体"/>
          <w:color w:val="auto"/>
          <w:sz w:val="24"/>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pPr>
        <w:pStyle w:val="2"/>
        <w:rPr>
          <w:color w:val="auto"/>
        </w:rPr>
      </w:pPr>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549" w:firstLineChars="229"/>
        <w:rPr>
          <w:rFonts w:ascii="宋体" w:hAnsi="宋体" w:cs="宋体"/>
          <w:color w:val="auto"/>
          <w:sz w:val="24"/>
        </w:rPr>
      </w:pPr>
      <w:bookmarkStart w:id="0" w:name="_Hlt91233176"/>
      <w:bookmarkEnd w:id="0"/>
      <w:bookmarkStart w:id="1" w:name="_Toc91899869"/>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bookmarkEnd w:id="1"/>
    <w:p>
      <w:pPr>
        <w:adjustRightInd/>
        <w:spacing w:line="360" w:lineRule="auto"/>
        <w:jc w:val="center"/>
        <w:outlineLvl w:val="0"/>
        <w:rPr>
          <w:rFonts w:hint="eastAsia" w:ascii="宋体" w:hAnsi="宋体" w:cs="宋体"/>
          <w:b/>
          <w:color w:val="auto"/>
          <w:sz w:val="36"/>
          <w:szCs w:val="20"/>
        </w:rPr>
        <w:sectPr>
          <w:footerReference r:id="rId7" w:type="first"/>
          <w:footerReference r:id="rId6" w:type="default"/>
          <w:pgSz w:w="11906" w:h="16838"/>
          <w:pgMar w:top="680" w:right="1418" w:bottom="468" w:left="1418" w:header="851" w:footer="992" w:gutter="0"/>
          <w:pgNumType w:start="1"/>
          <w:cols w:space="720" w:num="1"/>
          <w:docGrid w:linePitch="312" w:charSpace="0"/>
        </w:sectPr>
      </w:pPr>
      <w:bookmarkStart w:id="2" w:name="_Hlt74729822"/>
      <w:bookmarkEnd w:id="2"/>
      <w:bookmarkStart w:id="3" w:name="_Hlt74649545"/>
      <w:bookmarkEnd w:id="3"/>
      <w:bookmarkStart w:id="4" w:name="_Hlt74728647"/>
      <w:bookmarkEnd w:id="4"/>
      <w:bookmarkStart w:id="5" w:name="_Hlt74707423"/>
      <w:bookmarkEnd w:id="5"/>
      <w:bookmarkStart w:id="6" w:name="第二部分"/>
      <w:bookmarkStart w:id="7" w:name="_Toc91899870"/>
      <w:bookmarkStart w:id="8" w:name="_Toc91899871"/>
    </w:p>
    <w:p>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宋体" w:hAnsi="宋体" w:cs="宋体"/>
          <w:b w:val="0"/>
          <w:bCs/>
          <w:color w:val="auto"/>
          <w:sz w:val="24"/>
          <w:u w:val="single"/>
        </w:rPr>
        <w:t>2023年桐庐县公安局交通警察大队链路及视频监控</w:t>
      </w:r>
      <w:r>
        <w:rPr>
          <w:rFonts w:hint="eastAsia" w:ascii="宋体" w:hAnsi="宋体" w:cs="宋体"/>
          <w:b w:val="0"/>
          <w:bCs/>
          <w:color w:val="auto"/>
          <w:sz w:val="24"/>
          <w:u w:val="single"/>
          <w:lang w:val="en-US" w:eastAsia="zh-CN"/>
        </w:rPr>
        <w:t>服务</w:t>
      </w:r>
      <w:r>
        <w:rPr>
          <w:rFonts w:hint="eastAsia" w:ascii="宋体" w:hAnsi="宋体" w:cs="宋体"/>
          <w:b w:val="0"/>
          <w:bCs/>
          <w:color w:val="auto"/>
          <w:sz w:val="24"/>
          <w:u w:val="single"/>
        </w:rPr>
        <w:t>项目</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"https://www.zcygov.cn/）获取（下载）招标文件，并于2023年%20月%20日%20点%20分00秒" </w:instrText>
      </w:r>
      <w:r>
        <w:rPr>
          <w:color w:val="auto"/>
        </w:rP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u w:val="single"/>
        </w:rPr>
        <w:t>2023</w:t>
      </w:r>
      <w:r>
        <w:rPr>
          <w:rStyle w:val="76"/>
          <w:rFonts w:cs="Times New Roman" w:asciiTheme="minorEastAsia" w:hAnsiTheme="minorEastAsia" w:eastAsiaTheme="minorEastAsia"/>
          <w:snapToGrid/>
          <w:color w:val="auto"/>
          <w:kern w:val="2"/>
          <w:sz w:val="24"/>
          <w:szCs w:val="24"/>
          <w:u w:val="single"/>
        </w:rPr>
        <w:t>年</w:t>
      </w:r>
      <w:r>
        <w:rPr>
          <w:rStyle w:val="76"/>
          <w:rFonts w:hint="eastAsia" w:cs="Times New Roman" w:asciiTheme="minorEastAsia" w:hAnsiTheme="minorEastAsia" w:eastAsiaTheme="minorEastAsia"/>
          <w:snapToGrid/>
          <w:color w:val="auto"/>
          <w:kern w:val="2"/>
          <w:sz w:val="24"/>
          <w:szCs w:val="24"/>
          <w:u w:val="single"/>
          <w:lang w:val="en-US" w:eastAsia="zh-CN"/>
        </w:rPr>
        <w:t>9</w:t>
      </w:r>
      <w:r>
        <w:rPr>
          <w:rStyle w:val="76"/>
          <w:rFonts w:hint="eastAsia" w:cs="Times New Roman" w:asciiTheme="minorEastAsia" w:hAnsiTheme="minorEastAsia" w:eastAsiaTheme="minorEastAsia"/>
          <w:snapToGrid/>
          <w:color w:val="auto"/>
          <w:kern w:val="2"/>
          <w:sz w:val="24"/>
          <w:szCs w:val="24"/>
          <w:u w:val="single"/>
        </w:rPr>
        <w:t>月</w:t>
      </w:r>
      <w:r>
        <w:rPr>
          <w:rStyle w:val="76"/>
          <w:rFonts w:hint="eastAsia" w:cs="Times New Roman" w:asciiTheme="minorEastAsia" w:hAnsiTheme="minorEastAsia" w:eastAsiaTheme="minorEastAsia"/>
          <w:snapToGrid/>
          <w:color w:val="auto"/>
          <w:kern w:val="2"/>
          <w:sz w:val="24"/>
          <w:szCs w:val="24"/>
          <w:u w:val="single"/>
          <w:lang w:val="en-US" w:eastAsia="zh-CN"/>
        </w:rPr>
        <w:t>25</w:t>
      </w:r>
      <w:r>
        <w:rPr>
          <w:rStyle w:val="76"/>
          <w:rFonts w:hint="eastAsia" w:cs="Times New Roman" w:asciiTheme="minorEastAsia" w:hAnsiTheme="minorEastAsia" w:eastAsiaTheme="minorEastAsia"/>
          <w:snapToGrid/>
          <w:color w:val="auto"/>
          <w:kern w:val="2"/>
          <w:sz w:val="24"/>
          <w:szCs w:val="24"/>
          <w:u w:val="single"/>
        </w:rPr>
        <w:t>日</w:t>
      </w:r>
      <w:r>
        <w:rPr>
          <w:rStyle w:val="76"/>
          <w:rFonts w:hint="eastAsia" w:cs="Times New Roman" w:asciiTheme="minorEastAsia" w:hAnsiTheme="minorEastAsia" w:eastAsiaTheme="minorEastAsia"/>
          <w:snapToGrid/>
          <w:color w:val="auto"/>
          <w:kern w:val="2"/>
          <w:sz w:val="24"/>
          <w:szCs w:val="24"/>
          <w:u w:val="single"/>
          <w:lang w:val="en-US" w:eastAsia="zh-CN"/>
        </w:rPr>
        <w:t>10</w:t>
      </w:r>
      <w:r>
        <w:rPr>
          <w:rStyle w:val="76"/>
          <w:rFonts w:hint="eastAsia" w:cs="Times New Roman" w:asciiTheme="minorEastAsia" w:hAnsiTheme="minorEastAsia" w:eastAsiaTheme="minorEastAsia"/>
          <w:snapToGrid/>
          <w:color w:val="auto"/>
          <w:kern w:val="2"/>
          <w:sz w:val="24"/>
          <w:szCs w:val="24"/>
          <w:u w:val="single"/>
        </w:rPr>
        <w:t>点</w:t>
      </w:r>
      <w:r>
        <w:rPr>
          <w:rStyle w:val="76"/>
          <w:rFonts w:hint="eastAsia" w:cs="Times New Roman" w:asciiTheme="minorEastAsia" w:hAnsiTheme="minorEastAsia" w:eastAsiaTheme="minorEastAsia"/>
          <w:snapToGrid/>
          <w:color w:val="auto"/>
          <w:kern w:val="2"/>
          <w:sz w:val="24"/>
          <w:szCs w:val="24"/>
          <w:u w:val="single"/>
          <w:lang w:val="en-US" w:eastAsia="zh-CN"/>
        </w:rPr>
        <w:t>00</w:t>
      </w:r>
      <w:r>
        <w:rPr>
          <w:rStyle w:val="76"/>
          <w:rFonts w:hint="eastAsia" w:cs="Times New Roman" w:asciiTheme="minorEastAsia" w:hAnsiTheme="minorEastAsia" w:eastAsiaTheme="minorEastAsia"/>
          <w:snapToGrid/>
          <w:color w:val="auto"/>
          <w:kern w:val="2"/>
          <w:sz w:val="24"/>
          <w:szCs w:val="24"/>
          <w:u w:val="single"/>
        </w:rPr>
        <w:t>分</w:t>
      </w:r>
      <w:r>
        <w:rPr>
          <w:rStyle w:val="76"/>
          <w:rFonts w:hint="eastAsia" w:cs="Times New Roman" w:asciiTheme="minorEastAsia" w:hAnsiTheme="minorEastAsia" w:eastAsiaTheme="minorEastAsia"/>
          <w:bCs/>
          <w:snapToGrid/>
          <w:color w:val="auto"/>
          <w:kern w:val="2"/>
          <w:sz w:val="24"/>
          <w:szCs w:val="24"/>
          <w:u w:val="single"/>
        </w:rPr>
        <w:t>00秒</w:t>
      </w:r>
      <w:r>
        <w:rPr>
          <w:rStyle w:val="76"/>
          <w:rFonts w:hint="eastAsia" w:cs="Times New Roman" w:asciiTheme="minorEastAsia" w:hAnsiTheme="minorEastAsia" w:eastAsiaTheme="minorEastAsia"/>
          <w:bCs/>
          <w:snapToGrid/>
          <w:color w:val="auto"/>
          <w:kern w:val="2"/>
          <w:sz w:val="24"/>
          <w:szCs w:val="24"/>
          <w:u w:val="single"/>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b w:val="0"/>
          <w:bCs/>
          <w:color w:val="auto"/>
          <w:sz w:val="24"/>
        </w:rPr>
        <w:t>TLZFCG2023-GK-017</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b w:val="0"/>
          <w:bCs/>
          <w:color w:val="auto"/>
          <w:sz w:val="24"/>
        </w:rPr>
        <w:t>2023年桐庐县公安局交通警察大队链路及视频监控</w:t>
      </w:r>
      <w:r>
        <w:rPr>
          <w:rFonts w:hint="eastAsia" w:ascii="宋体" w:hAnsi="宋体" w:cs="宋体"/>
          <w:b w:val="0"/>
          <w:bCs/>
          <w:color w:val="auto"/>
          <w:sz w:val="24"/>
          <w:lang w:val="en-US" w:eastAsia="zh-CN"/>
        </w:rPr>
        <w:t>服务</w:t>
      </w:r>
      <w:r>
        <w:rPr>
          <w:rFonts w:hint="eastAsia" w:ascii="宋体" w:hAnsi="宋体" w:cs="宋体"/>
          <w:b w:val="0"/>
          <w:bCs/>
          <w:color w:val="auto"/>
          <w:sz w:val="24"/>
        </w:rPr>
        <w:t>项目</w:t>
      </w:r>
    </w:p>
    <w:p>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color w:val="auto"/>
          <w:sz w:val="24"/>
        </w:rPr>
        <w:t xml:space="preserve"> </w:t>
      </w:r>
      <w:r>
        <w:rPr>
          <w:rFonts w:hint="eastAsia" w:ascii="宋体" w:hAnsi="宋体" w:cs="宋体"/>
          <w:color w:val="auto"/>
          <w:sz w:val="24"/>
          <w:lang w:val="en-US" w:eastAsia="zh-CN"/>
        </w:rPr>
        <w:t>330,0000</w:t>
      </w:r>
    </w:p>
    <w:p>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color w:val="auto"/>
          <w:sz w:val="24"/>
        </w:rPr>
        <w:t xml:space="preserve"> </w:t>
      </w:r>
      <w:r>
        <w:rPr>
          <w:rFonts w:hint="eastAsia" w:ascii="宋体" w:hAnsi="宋体" w:cs="宋体"/>
          <w:color w:val="auto"/>
          <w:sz w:val="24"/>
          <w:lang w:val="en-US" w:eastAsia="zh-CN"/>
        </w:rPr>
        <w:t>330,0000</w:t>
      </w:r>
    </w:p>
    <w:p>
      <w:pPr>
        <w:pStyle w:val="5"/>
        <w:spacing w:line="360" w:lineRule="auto"/>
        <w:ind w:firstLine="480"/>
        <w:rPr>
          <w:rFonts w:hint="eastAsia" w:ascii="宋体" w:hAnsi="宋体" w:cs="宋体"/>
          <w:b w:val="0"/>
          <w:bCs/>
          <w:color w:val="auto"/>
          <w:sz w:val="24"/>
        </w:rPr>
      </w:pPr>
      <w:r>
        <w:rPr>
          <w:rFonts w:hint="eastAsia" w:hAnsi="宋体" w:cs="宋体"/>
          <w:b/>
          <w:color w:val="auto"/>
          <w:sz w:val="24"/>
        </w:rPr>
        <w:t>采购需求：</w:t>
      </w:r>
      <w:r>
        <w:rPr>
          <w:rFonts w:hint="eastAsia" w:ascii="宋体" w:hAnsi="宋体" w:cs="宋体"/>
          <w:b w:val="0"/>
          <w:bCs/>
          <w:color w:val="auto"/>
          <w:sz w:val="24"/>
        </w:rPr>
        <w:t>2023年桐庐县公安局交通警察大队链路及视频监控</w:t>
      </w:r>
      <w:r>
        <w:rPr>
          <w:rFonts w:hint="eastAsia" w:ascii="宋体" w:hAnsi="宋体" w:cs="宋体"/>
          <w:b w:val="0"/>
          <w:bCs/>
          <w:color w:val="auto"/>
          <w:sz w:val="24"/>
          <w:lang w:val="en-US" w:eastAsia="zh-CN"/>
        </w:rPr>
        <w:t>服务</w:t>
      </w:r>
      <w:r>
        <w:rPr>
          <w:rFonts w:hint="eastAsia" w:ascii="宋体" w:hAnsi="宋体" w:cs="宋体"/>
          <w:b w:val="0"/>
          <w:bCs/>
          <w:color w:val="auto"/>
          <w:sz w:val="24"/>
        </w:rPr>
        <w:t>项目</w:t>
      </w:r>
    </w:p>
    <w:p>
      <w:pPr>
        <w:pStyle w:val="5"/>
        <w:spacing w:line="360" w:lineRule="auto"/>
        <w:ind w:firstLine="480"/>
        <w:rPr>
          <w:rFonts w:hAnsi="宋体" w:cs="宋体"/>
          <w:bCs/>
          <w:snapToGrid/>
          <w:color w:val="auto"/>
          <w:kern w:val="2"/>
          <w:sz w:val="24"/>
          <w:szCs w:val="24"/>
        </w:rPr>
      </w:pPr>
      <w:r>
        <w:rPr>
          <w:rFonts w:hint="eastAsia" w:hAnsi="宋体" w:cs="宋体"/>
          <w:bCs/>
          <w:snapToGrid/>
          <w:color w:val="auto"/>
          <w:kern w:val="2"/>
          <w:sz w:val="24"/>
          <w:szCs w:val="24"/>
        </w:rPr>
        <w:t>主要内容：共购买服务商VPN专线442条、111路视频监控服务、裸光纤7条、党政网1条、英特网3条、公安网1条。（详见采购需求清单）实现各交警大队车管所与交警道路路口点位网络、视频实现联网统一管理控制以及业务办公。</w:t>
      </w:r>
      <w:r>
        <w:rPr>
          <w:rFonts w:hint="eastAsia" w:asciiTheme="minorEastAsia" w:hAnsiTheme="minorEastAsia" w:eastAsiaTheme="minorEastAsia"/>
          <w:snapToGrid/>
          <w:color w:val="auto"/>
          <w:kern w:val="2"/>
          <w:sz w:val="24"/>
          <w:szCs w:val="24"/>
        </w:rPr>
        <w:t>具体以招标文件第三部分采购需求为准。</w:t>
      </w:r>
    </w:p>
    <w:p>
      <w:pPr>
        <w:pStyle w:val="128"/>
        <w:ind w:firstLine="482"/>
        <w:outlineLvl w:val="2"/>
        <w:rPr>
          <w:rFonts w:ascii="宋体" w:hAnsi="宋体" w:cs="宋体"/>
          <w:color w:val="auto"/>
        </w:rPr>
      </w:pPr>
      <w:r>
        <w:rPr>
          <w:rFonts w:hint="eastAsia" w:ascii="宋体" w:hAnsi="宋体" w:cs="宋体"/>
          <w:b/>
          <w:color w:val="auto"/>
        </w:rPr>
        <w:t>合同履约期限：</w:t>
      </w:r>
      <w:r>
        <w:rPr>
          <w:rFonts w:hint="eastAsia" w:ascii="宋体" w:hAnsi="宋体"/>
          <w:color w:val="auto"/>
        </w:rPr>
        <w:t>本项目服务期三年</w:t>
      </w:r>
      <w:r>
        <w:rPr>
          <w:rFonts w:hint="eastAsia" w:hAnsi="宋体" w:cs="宋体"/>
          <w:bCs/>
          <w:color w:val="auto"/>
          <w:szCs w:val="24"/>
        </w:rPr>
        <w:t>。</w:t>
      </w:r>
    </w:p>
    <w:p>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color w:val="auto"/>
          <w:sz w:val="24"/>
        </w:rPr>
      </w:pPr>
      <w:r>
        <w:rPr>
          <w:rFonts w:hint="eastAsia" w:ascii="宋体" w:hAnsi="宋体" w:cs="宋体"/>
          <w:b/>
          <w:color w:val="auto"/>
          <w:sz w:val="24"/>
        </w:rPr>
        <w:t>二、</w:t>
      </w:r>
      <w:bookmarkStart w:id="9" w:name="_Hlk101132948"/>
      <w:r>
        <w:rPr>
          <w:rFonts w:hint="eastAsia" w:ascii="宋体" w:hAnsi="宋体" w:cs="宋体"/>
          <w:b/>
          <w:color w:val="auto"/>
          <w:sz w:val="24"/>
        </w:rPr>
        <w:t>申请人的资格要求</w:t>
      </w:r>
      <w:bookmarkEnd w:id="9"/>
      <w:r>
        <w:rPr>
          <w:rFonts w:hint="eastAsia" w:ascii="宋体" w:hAnsi="宋体" w:cs="宋体"/>
          <w:b/>
          <w:color w:val="auto"/>
          <w:sz w:val="24"/>
        </w:rPr>
        <w:t>：</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napToGrid w:val="0"/>
        <w:spacing w:line="360" w:lineRule="auto"/>
        <w:ind w:firstLine="480" w:firstLineChars="200"/>
        <w:rPr>
          <w:rFonts w:hint="eastAsia" w:ascii="宋体" w:hAnsi="宋体" w:cs="宋体"/>
          <w:color w:val="0000FF"/>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0000FF"/>
          <w:sz w:val="24"/>
          <w:highlight w:val="none"/>
          <w:lang w:val="en-US" w:eastAsia="zh-CN"/>
        </w:rPr>
        <w:t>服务</w:t>
      </w:r>
      <w:r>
        <w:rPr>
          <w:rFonts w:hint="eastAsia" w:ascii="宋体" w:hAnsi="宋体" w:cs="宋体"/>
          <w:color w:val="0000FF"/>
          <w:sz w:val="24"/>
          <w:highlight w:val="none"/>
        </w:rPr>
        <w:t>全部由符合政策要求的中小微企业</w:t>
      </w:r>
      <w:r>
        <w:rPr>
          <w:rFonts w:hint="eastAsia" w:ascii="宋体" w:hAnsi="宋体" w:cs="宋体"/>
          <w:color w:val="0000FF"/>
          <w:sz w:val="24"/>
          <w:highlight w:val="none"/>
          <w:lang w:val="en-US" w:eastAsia="zh-CN"/>
        </w:rPr>
        <w:t>提供</w:t>
      </w:r>
      <w:r>
        <w:rPr>
          <w:rFonts w:hint="eastAsia" w:ascii="宋体" w:hAnsi="宋体" w:cs="宋体"/>
          <w:color w:val="0000FF"/>
          <w:sz w:val="24"/>
          <w:highlight w:val="none"/>
        </w:rPr>
        <w:t>，提供中小企业声明函；</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2023年</w:t>
      </w:r>
      <w:r>
        <w:rPr>
          <w:rFonts w:hint="eastAsia" w:ascii="宋体" w:hAnsi="宋体" w:cs="宋体"/>
          <w:color w:val="auto"/>
          <w:sz w:val="24"/>
          <w:u w:val="single"/>
          <w:lang w:val="en-US" w:eastAsia="zh-CN"/>
        </w:rPr>
        <w:t>9</w:t>
      </w:r>
      <w:r>
        <w:rPr>
          <w:rFonts w:hint="eastAsia" w:ascii="宋体" w:hAnsi="宋体" w:cs="宋体"/>
          <w:color w:val="auto"/>
          <w:sz w:val="24"/>
          <w:u w:val="single"/>
        </w:rPr>
        <w:t>月</w:t>
      </w:r>
      <w:r>
        <w:rPr>
          <w:rFonts w:hint="eastAsia" w:ascii="宋体" w:hAnsi="宋体" w:cs="宋体"/>
          <w:color w:val="auto"/>
          <w:sz w:val="24"/>
          <w:u w:val="single"/>
          <w:lang w:val="en-US" w:eastAsia="zh-CN"/>
        </w:rPr>
        <w:t>25</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2023年</w:t>
      </w:r>
      <w:r>
        <w:rPr>
          <w:rFonts w:hint="eastAsia" w:ascii="宋体" w:hAnsi="宋体" w:cs="宋体"/>
          <w:color w:val="auto"/>
          <w:sz w:val="24"/>
          <w:u w:val="single"/>
          <w:lang w:val="en-US" w:eastAsia="zh-CN"/>
        </w:rPr>
        <w:t>9</w:t>
      </w:r>
      <w:r>
        <w:rPr>
          <w:rFonts w:hint="eastAsia" w:ascii="宋体" w:hAnsi="宋体" w:cs="宋体"/>
          <w:color w:val="auto"/>
          <w:sz w:val="24"/>
          <w:u w:val="single"/>
        </w:rPr>
        <w:t>月</w:t>
      </w:r>
      <w:r>
        <w:rPr>
          <w:rFonts w:hint="eastAsia" w:ascii="宋体" w:hAnsi="宋体" w:cs="宋体"/>
          <w:color w:val="auto"/>
          <w:sz w:val="24"/>
          <w:u w:val="single"/>
          <w:lang w:val="en-US" w:eastAsia="zh-CN"/>
        </w:rPr>
        <w:t>25</w:t>
      </w:r>
      <w:r>
        <w:rPr>
          <w:rFonts w:hint="eastAsia" w:ascii="宋体" w:hAnsi="宋体" w:cs="宋体"/>
          <w:color w:val="auto"/>
          <w:sz w:val="24"/>
          <w:u w:val="single"/>
        </w:rPr>
        <w:t>日</w:t>
      </w:r>
      <w:r>
        <w:rPr>
          <w:rFonts w:hint="eastAsia" w:ascii="宋体" w:hAnsi="宋体" w:cs="宋体"/>
          <w:color w:val="auto"/>
          <w:sz w:val="24"/>
          <w:u w:val="single"/>
          <w:lang w:val="en-US" w:eastAsia="zh-CN"/>
        </w:rPr>
        <w:t>10</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2023年</w:t>
      </w:r>
      <w:r>
        <w:rPr>
          <w:rFonts w:hint="eastAsia" w:ascii="宋体" w:hAnsi="宋体" w:cs="宋体"/>
          <w:color w:val="auto"/>
          <w:sz w:val="24"/>
          <w:u w:val="single"/>
          <w:lang w:val="en-US" w:eastAsia="zh-CN"/>
        </w:rPr>
        <w:t>9</w:t>
      </w:r>
      <w:r>
        <w:rPr>
          <w:rFonts w:hint="eastAsia" w:ascii="宋体" w:hAnsi="宋体" w:cs="宋体"/>
          <w:color w:val="auto"/>
          <w:sz w:val="24"/>
          <w:u w:val="single"/>
        </w:rPr>
        <w:t>月</w:t>
      </w:r>
      <w:r>
        <w:rPr>
          <w:rFonts w:hint="eastAsia" w:ascii="宋体" w:hAnsi="宋体" w:cs="宋体"/>
          <w:color w:val="auto"/>
          <w:sz w:val="24"/>
          <w:u w:val="single"/>
          <w:lang w:val="en-US" w:eastAsia="zh-CN"/>
        </w:rPr>
        <w:t>25</w:t>
      </w:r>
      <w:r>
        <w:rPr>
          <w:rFonts w:hint="eastAsia" w:ascii="宋体" w:hAnsi="宋体" w:cs="宋体"/>
          <w:color w:val="auto"/>
          <w:sz w:val="24"/>
          <w:u w:val="single"/>
        </w:rPr>
        <w:t>日</w:t>
      </w:r>
      <w:r>
        <w:rPr>
          <w:rFonts w:hint="eastAsia" w:ascii="宋体" w:hAnsi="宋体" w:cs="宋体"/>
          <w:color w:val="auto"/>
          <w:sz w:val="24"/>
          <w:u w:val="single"/>
          <w:lang w:val="en-US" w:eastAsia="zh-CN"/>
        </w:rPr>
        <w:t>10</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rPr>
          <w:rFonts w:ascii="宋体" w:hAnsi="宋体" w:cs="宋体"/>
          <w:b/>
          <w:color w:val="auto"/>
          <w:sz w:val="24"/>
        </w:rPr>
      </w:pPr>
      <w:r>
        <w:rPr>
          <w:rFonts w:hint="eastAsia" w:ascii="宋体" w:hAnsi="宋体" w:cs="宋体"/>
          <w:b/>
          <w:color w:val="auto"/>
          <w:sz w:val="24"/>
        </w:rPr>
        <w:t>六、其他补充事宜</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rPr>
        <w:t>七</w:t>
      </w:r>
      <w:r>
        <w:rPr>
          <w:rFonts w:hint="eastAsia" w:ascii="宋体" w:hAnsi="宋体" w:cs="宋体"/>
          <w:b/>
          <w:color w:val="auto"/>
          <w:sz w:val="24"/>
          <w:highlight w:val="none"/>
        </w:rPr>
        <w:t>、对本次采购提出询问、质疑、投诉，请按以下方式联系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称：桐庐县公安局交通警察大队</w:t>
      </w:r>
    </w:p>
    <w:p>
      <w:pPr>
        <w:spacing w:line="360" w:lineRule="auto"/>
        <w:ind w:left="479" w:leftChars="228" w:firstLine="0" w:firstLineChars="0"/>
        <w:rPr>
          <w:rFonts w:hint="eastAsia" w:ascii="宋体" w:hAnsi="宋体" w:cs="宋体"/>
          <w:color w:val="auto"/>
          <w:sz w:val="24"/>
        </w:rPr>
      </w:pPr>
      <w:r>
        <w:rPr>
          <w:rFonts w:hint="eastAsia" w:ascii="宋体" w:hAnsi="宋体" w:cs="宋体"/>
          <w:color w:val="auto"/>
          <w:sz w:val="24"/>
        </w:rPr>
        <w:t>地 址： 桐庐县城南街道金东路399号</w:t>
      </w:r>
      <w:r>
        <w:rPr>
          <w:rFonts w:hint="eastAsia" w:ascii="宋体" w:hAnsi="宋体" w:cs="宋体"/>
          <w:color w:val="auto"/>
          <w:sz w:val="24"/>
        </w:rPr>
        <w:br w:type="textWrapping"/>
      </w:r>
      <w:r>
        <w:rPr>
          <w:rFonts w:hint="eastAsia" w:ascii="宋体" w:hAnsi="宋体" w:cs="宋体"/>
          <w:color w:val="auto"/>
          <w:sz w:val="24"/>
        </w:rPr>
        <w:t>传 真： /</w:t>
      </w:r>
      <w:r>
        <w:rPr>
          <w:rFonts w:hint="eastAsia" w:ascii="宋体" w:hAnsi="宋体" w:cs="宋体"/>
          <w:color w:val="auto"/>
          <w:sz w:val="24"/>
        </w:rPr>
        <w:br w:type="textWrapping"/>
      </w:r>
      <w:r>
        <w:rPr>
          <w:rFonts w:hint="eastAsia" w:ascii="宋体" w:hAnsi="宋体" w:cs="宋体"/>
          <w:color w:val="auto"/>
          <w:sz w:val="24"/>
        </w:rPr>
        <w:t>项目联系人（询问）： 鲍樟平</w:t>
      </w:r>
      <w:r>
        <w:rPr>
          <w:rFonts w:hint="eastAsia" w:ascii="宋体" w:hAnsi="宋体" w:cs="宋体"/>
          <w:color w:val="auto"/>
          <w:sz w:val="24"/>
        </w:rPr>
        <w:br w:type="textWrapping"/>
      </w:r>
      <w:r>
        <w:rPr>
          <w:rFonts w:hint="eastAsia" w:ascii="宋体" w:hAnsi="宋体" w:cs="宋体"/>
          <w:color w:val="auto"/>
          <w:sz w:val="24"/>
        </w:rPr>
        <w:t xml:space="preserve">项目联系方式（询问）：13567162378 </w:t>
      </w:r>
      <w:r>
        <w:rPr>
          <w:rFonts w:hint="eastAsia" w:ascii="宋体" w:hAnsi="宋体" w:cs="宋体"/>
          <w:color w:val="auto"/>
          <w:sz w:val="24"/>
        </w:rPr>
        <w:br w:type="textWrapping"/>
      </w:r>
      <w:r>
        <w:rPr>
          <w:rFonts w:hint="eastAsia" w:ascii="宋体" w:hAnsi="宋体" w:cs="宋体"/>
          <w:color w:val="auto"/>
          <w:sz w:val="24"/>
        </w:rPr>
        <w:t>质疑联系人： 聂虎</w:t>
      </w:r>
      <w:r>
        <w:rPr>
          <w:rFonts w:hint="eastAsia" w:ascii="宋体" w:hAnsi="宋体" w:cs="宋体"/>
          <w:color w:val="auto"/>
          <w:sz w:val="24"/>
        </w:rPr>
        <w:br w:type="textWrapping"/>
      </w:r>
      <w:r>
        <w:rPr>
          <w:rFonts w:hint="eastAsia" w:ascii="宋体" w:hAnsi="宋体" w:cs="宋体"/>
          <w:color w:val="auto"/>
          <w:sz w:val="24"/>
        </w:rPr>
        <w:t xml:space="preserve">质疑联系方式：13968058219  </w:t>
      </w:r>
    </w:p>
    <w:p>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pPr>
        <w:spacing w:line="360" w:lineRule="auto"/>
        <w:ind w:firstLine="480"/>
        <w:rPr>
          <w:rFonts w:ascii="宋体" w:hAnsi="宋体" w:cs="宋体"/>
          <w:color w:val="auto"/>
          <w:sz w:val="24"/>
        </w:rPr>
      </w:pPr>
      <w:r>
        <w:rPr>
          <w:rFonts w:hint="eastAsia" w:ascii="宋体" w:hAnsi="宋体" w:cs="宋体"/>
          <w:color w:val="auto"/>
          <w:sz w:val="24"/>
        </w:rPr>
        <w:t>名    称：杭州市公共资源交易中心桐庐分中心</w:t>
      </w:r>
    </w:p>
    <w:p>
      <w:pPr>
        <w:spacing w:line="360" w:lineRule="auto"/>
        <w:ind w:firstLine="480"/>
        <w:rPr>
          <w:rFonts w:ascii="宋体" w:hAnsi="宋体" w:cs="宋体"/>
          <w:color w:val="auto"/>
          <w:sz w:val="24"/>
        </w:rPr>
      </w:pPr>
      <w:r>
        <w:rPr>
          <w:rFonts w:hint="eastAsia" w:ascii="宋体" w:hAnsi="宋体" w:cs="宋体"/>
          <w:color w:val="auto"/>
          <w:sz w:val="24"/>
        </w:rPr>
        <w:t>地    址：杭州市桐庐县迎春南路258号国资大厦5楼</w:t>
      </w:r>
    </w:p>
    <w:p>
      <w:pPr>
        <w:spacing w:line="360" w:lineRule="auto"/>
        <w:rPr>
          <w:rFonts w:hint="eastAsia" w:ascii="宋体" w:hAnsi="宋体" w:eastAsia="宋体" w:cs="宋体"/>
          <w:color w:val="auto"/>
          <w:sz w:val="24"/>
          <w:lang w:val="en-US" w:eastAsia="zh-CN"/>
        </w:rPr>
      </w:pPr>
      <w:r>
        <w:rPr>
          <w:rFonts w:hint="eastAsia" w:ascii="宋体" w:hAnsi="宋体" w:cs="宋体"/>
          <w:color w:val="auto"/>
          <w:sz w:val="24"/>
        </w:rPr>
        <w:t xml:space="preserve">     项目联系人（询问）： </w:t>
      </w:r>
      <w:r>
        <w:rPr>
          <w:rFonts w:hint="eastAsia" w:ascii="宋体" w:hAnsi="宋体" w:cs="宋体"/>
          <w:color w:val="auto"/>
          <w:sz w:val="24"/>
          <w:lang w:val="en-US" w:eastAsia="zh-CN"/>
        </w:rPr>
        <w:t>范瑶</w:t>
      </w:r>
    </w:p>
    <w:p>
      <w:pPr>
        <w:spacing w:line="360" w:lineRule="auto"/>
        <w:rPr>
          <w:rFonts w:ascii="宋体" w:hAnsi="宋体" w:cs="宋体"/>
          <w:color w:val="auto"/>
          <w:sz w:val="24"/>
        </w:rPr>
      </w:pPr>
      <w:r>
        <w:rPr>
          <w:rFonts w:hint="eastAsia" w:ascii="宋体" w:hAnsi="宋体" w:cs="宋体"/>
          <w:color w:val="auto"/>
          <w:sz w:val="24"/>
        </w:rPr>
        <w:t xml:space="preserve">    项目联系方式（询问）：0571-</w:t>
      </w:r>
      <w:r>
        <w:rPr>
          <w:rFonts w:hint="eastAsia" w:ascii="宋体" w:hAnsi="宋体" w:cs="宋体"/>
          <w:color w:val="auto"/>
          <w:sz w:val="24"/>
          <w:lang w:val="en-US" w:eastAsia="zh-CN"/>
        </w:rPr>
        <w:t>64267692</w:t>
      </w:r>
    </w:p>
    <w:p>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val="en-US" w:eastAsia="zh-CN"/>
        </w:rPr>
        <w:t>王赛栎</w:t>
      </w:r>
      <w:r>
        <w:rPr>
          <w:rFonts w:hint="eastAsia" w:ascii="宋体" w:hAnsi="宋体" w:cs="宋体"/>
          <w:color w:val="auto"/>
          <w:sz w:val="24"/>
        </w:rPr>
        <w:t xml:space="preserve">  </w:t>
      </w:r>
    </w:p>
    <w:p>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质疑联系方式：0571-</w:t>
      </w:r>
      <w:r>
        <w:rPr>
          <w:rFonts w:hint="eastAsia" w:ascii="宋体" w:hAnsi="宋体" w:cs="宋体"/>
          <w:color w:val="auto"/>
          <w:sz w:val="24"/>
          <w:lang w:val="en-US" w:eastAsia="zh-CN"/>
        </w:rPr>
        <w:t>89545845</w:t>
      </w:r>
    </w:p>
    <w:p>
      <w:pPr>
        <w:spacing w:line="360" w:lineRule="auto"/>
        <w:rPr>
          <w:rFonts w:ascii="宋体" w:hAnsi="宋体" w:cs="宋体"/>
          <w:color w:val="auto"/>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 xml:space="preserve">同级政府采购监督管理部门            </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  名    称：桐庐县财政局</w:t>
      </w:r>
    </w:p>
    <w:p>
      <w:pPr>
        <w:spacing w:line="360" w:lineRule="auto"/>
        <w:rPr>
          <w:rFonts w:ascii="宋体" w:hAnsi="宋体" w:cs="宋体"/>
          <w:color w:val="auto"/>
          <w:sz w:val="24"/>
        </w:rPr>
      </w:pPr>
      <w:r>
        <w:rPr>
          <w:rFonts w:hint="eastAsia" w:ascii="宋体" w:hAnsi="宋体" w:cs="宋体"/>
          <w:color w:val="auto"/>
          <w:sz w:val="24"/>
        </w:rPr>
        <w:t xml:space="preserve">    地    址：桐庐县春江路688号</w:t>
      </w:r>
    </w:p>
    <w:p>
      <w:pPr>
        <w:spacing w:line="360" w:lineRule="auto"/>
        <w:rPr>
          <w:rFonts w:hint="eastAsia" w:ascii="宋体" w:hAnsi="宋体" w:eastAsia="宋体" w:cs="宋体"/>
          <w:color w:val="auto"/>
          <w:sz w:val="24"/>
          <w:lang w:val="en-US" w:eastAsia="zh-CN"/>
        </w:rPr>
      </w:pPr>
      <w:r>
        <w:rPr>
          <w:rFonts w:hint="eastAsia" w:ascii="宋体" w:hAnsi="宋体" w:cs="宋体"/>
          <w:color w:val="auto"/>
          <w:sz w:val="24"/>
        </w:rPr>
        <w:t xml:space="preserve">    联系人 ：</w:t>
      </w:r>
      <w:r>
        <w:rPr>
          <w:rFonts w:hint="eastAsia" w:ascii="宋体" w:hAnsi="宋体" w:cs="宋体"/>
          <w:color w:val="auto"/>
          <w:sz w:val="24"/>
          <w:lang w:val="en-US" w:eastAsia="zh-CN"/>
        </w:rPr>
        <w:t>张正元</w:t>
      </w:r>
    </w:p>
    <w:p>
      <w:pPr>
        <w:spacing w:line="360" w:lineRule="auto"/>
        <w:rPr>
          <w:rFonts w:ascii="宋体" w:hAnsi="宋体" w:cs="宋体"/>
          <w:color w:val="auto"/>
          <w:sz w:val="24"/>
        </w:rPr>
      </w:pPr>
      <w:r>
        <w:rPr>
          <w:rFonts w:hint="eastAsia" w:ascii="宋体" w:hAnsi="宋体" w:cs="宋体"/>
          <w:color w:val="auto"/>
          <w:sz w:val="24"/>
        </w:rPr>
        <w:t xml:space="preserve">监督投诉电话：0571-58507058   </w:t>
      </w:r>
    </w:p>
    <w:p>
      <w:pPr>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shd w:val="clear" w:color="auto" w:fill="FFFFFF"/>
        </w:rPr>
        <w:t>95763</w:t>
      </w:r>
      <w:r>
        <w:rPr>
          <w:rFonts w:hint="eastAsia" w:ascii="宋体" w:hAnsi="宋体" w:cs="宋体"/>
          <w:color w:val="auto"/>
          <w:sz w:val="24"/>
        </w:rPr>
        <w:t>获取热线服务帮助。</w:t>
      </w:r>
    </w:p>
    <w:p>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pPr>
        <w:pStyle w:val="34"/>
        <w:spacing w:line="360" w:lineRule="auto"/>
        <w:rPr>
          <w:rFonts w:hAnsi="宋体" w:cs="宋体"/>
          <w:b/>
          <w:color w:val="auto"/>
          <w:sz w:val="36"/>
          <w:szCs w:val="20"/>
        </w:rPr>
      </w:pPr>
      <w:r>
        <w:rPr>
          <w:rFonts w:hint="eastAsia" w:hAnsi="宋体" w:cs="宋体"/>
          <w:color w:val="auto"/>
          <w:sz w:val="24"/>
        </w:rPr>
        <w:t xml:space="preserve">                        </w:t>
      </w:r>
      <w:r>
        <w:rPr>
          <w:rFonts w:hAnsi="宋体" w:cs="宋体"/>
          <w:b/>
          <w:color w:val="auto"/>
          <w:sz w:val="36"/>
          <w:szCs w:val="20"/>
        </w:rPr>
        <w:t xml:space="preserve"> </w:t>
      </w:r>
    </w:p>
    <w:p>
      <w:pPr>
        <w:pStyle w:val="2"/>
        <w:rPr>
          <w:rFonts w:ascii="宋体"/>
          <w:snapToGrid w:val="0"/>
          <w:color w:val="auto"/>
        </w:rPr>
      </w:pPr>
      <w:r>
        <w:rPr>
          <w:color w:val="auto"/>
        </w:rPr>
        <w:br w:type="page"/>
      </w:r>
    </w:p>
    <w:p>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6"/>
      <w:r>
        <w:rPr>
          <w:rFonts w:hint="eastAsia" w:ascii="宋体" w:hAnsi="宋体" w:cs="宋体"/>
          <w:b/>
          <w:color w:val="auto"/>
          <w:sz w:val="36"/>
          <w:szCs w:val="20"/>
        </w:rPr>
        <w:t xml:space="preserve"> 投标人须知</w:t>
      </w:r>
      <w:bookmarkEnd w:id="7"/>
    </w:p>
    <w:p>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lang w:val="en-US" w:eastAsia="zh-CN"/>
              </w:rPr>
              <w:t>服务</w:t>
            </w:r>
            <w:r>
              <w:rPr>
                <w:rFonts w:hint="eastAsia" w:ascii="宋体" w:hAnsi="宋体" w:cs="宋体"/>
                <w:color w:val="auto"/>
                <w:sz w:val="24"/>
              </w:rPr>
              <w:t>类，</w:t>
            </w:r>
          </w:p>
          <w:p>
            <w:pPr>
              <w:spacing w:line="360" w:lineRule="auto"/>
              <w:rPr>
                <w:rFonts w:ascii="宋体" w:hAnsi="宋体" w:cs="宋体"/>
                <w:color w:val="auto"/>
                <w:sz w:val="24"/>
              </w:rPr>
            </w:pPr>
            <w:r>
              <w:rPr>
                <w:rFonts w:hint="eastAsia" w:ascii="宋体" w:hAnsi="宋体" w:cs="宋体"/>
                <w:color w:val="auto"/>
                <w:sz w:val="24"/>
              </w:rPr>
              <w:t>单一产品或</w:t>
            </w:r>
            <w:r>
              <w:rPr>
                <w:rFonts w:hint="eastAsia" w:ascii="宋体" w:hAnsi="宋体" w:cs="宋体"/>
                <w:color w:val="auto"/>
                <w:kern w:val="0"/>
                <w:sz w:val="24"/>
              </w:rPr>
              <w:t>核心产品为：</w:t>
            </w:r>
            <w:r>
              <w:rPr>
                <w:rFonts w:hint="eastAsia" w:ascii="宋体" w:hAnsi="宋体" w:cs="宋体"/>
                <w:color w:val="auto"/>
                <w:sz w:val="24"/>
                <w:highlight w:val="yellow"/>
                <w:u w:val="single"/>
              </w:rPr>
              <w:t xml:space="preserve"> </w:t>
            </w:r>
            <w:r>
              <w:rPr>
                <w:rFonts w:hint="eastAsia" w:ascii="宋体" w:hAnsi="宋体" w:cs="宋体"/>
                <w:color w:val="auto"/>
                <w:kern w:val="0"/>
                <w:sz w:val="24"/>
                <w:highlight w:val="yellow"/>
                <w:u w:val="single"/>
              </w:rPr>
              <w:t>VPN专线442条、111路视频监控服务、裸光纤7条、党政网1条、英特网3条、公安网1条</w:t>
            </w:r>
            <w:r>
              <w:rPr>
                <w:rFonts w:hint="eastAsia" w:ascii="宋体" w:hAnsi="宋体" w:cs="宋体"/>
                <w:color w:val="auto"/>
                <w:sz w:val="24"/>
                <w:highlight w:val="yellow"/>
                <w:u w:val="single"/>
              </w:rPr>
              <w:t xml:space="preserve"> </w:t>
            </w:r>
            <w:r>
              <w:rPr>
                <w:rFonts w:hint="eastAsia" w:ascii="宋体" w:hAnsi="宋体" w:cs="宋体"/>
                <w:color w:val="auto"/>
                <w:sz w:val="24"/>
                <w:highlight w:val="yellow"/>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rPr>
            </w:pPr>
            <w:r>
              <w:rPr>
                <w:rFonts w:hint="eastAsia" w:ascii="宋体" w:hAnsi="宋体" w:cs="宋体"/>
                <w:color w:val="auto"/>
                <w:kern w:val="0"/>
                <w:sz w:val="24"/>
              </w:rPr>
              <w:t>（1）标的：见采购需求中“技术参数要求” 中清单，属于</w:t>
            </w:r>
            <w:r>
              <w:rPr>
                <w:rFonts w:hint="eastAsia" w:ascii="宋体" w:hAnsi="宋体" w:cs="宋体"/>
                <w:color w:val="auto"/>
                <w:kern w:val="0"/>
                <w:sz w:val="24"/>
                <w:u w:val="single"/>
              </w:rPr>
              <w:t>信息传输业</w:t>
            </w:r>
            <w:r>
              <w:rPr>
                <w:rFonts w:hint="eastAsia" w:ascii="宋体" w:hAnsi="宋体" w:cs="宋体"/>
                <w:color w:val="auto"/>
                <w:kern w:val="0"/>
                <w:sz w:val="24"/>
              </w:rPr>
              <w:t>行业</w:t>
            </w:r>
          </w:p>
          <w:p>
            <w:pPr>
              <w:pStyle w:val="2"/>
              <w:rPr>
                <w:rFonts w:ascii="宋体" w:hAnsi="宋体" w:eastAsia="宋体" w:cs="宋体"/>
                <w:color w:val="auto"/>
                <w:lang w:val="en-US"/>
              </w:rPr>
            </w:pPr>
            <w:r>
              <w:rPr>
                <w:rFonts w:hint="eastAsia" w:ascii="宋体" w:hAnsi="宋体" w:eastAsia="宋体" w:cs="宋体"/>
                <w:color w:val="auto"/>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r>
              <w:rPr>
                <w:rFonts w:hint="eastAsia" w:ascii="宋体" w:hAnsi="宋体" w:cs="宋体"/>
                <w:color w:val="auto"/>
                <w:kern w:val="0"/>
                <w:sz w:val="24"/>
                <w:highlight w:val="cyan"/>
              </w:rPr>
              <w:t>优先采购向我国企业转让技术、与我国企业签订消化吸收再创新方案的供应商的进口产品，详见</w:t>
            </w:r>
            <w:r>
              <w:rPr>
                <w:rFonts w:hint="eastAsia" w:ascii="宋体" w:hAnsi="宋体" w:cs="宋体"/>
                <w:color w:val="auto"/>
                <w:kern w:val="0"/>
                <w:sz w:val="24"/>
                <w:highlight w:val="cyan"/>
                <w:u w:val="single"/>
              </w:rPr>
              <w:t>评分标准</w:t>
            </w:r>
            <w:r>
              <w:rPr>
                <w:rFonts w:hint="eastAsia" w:ascii="宋体" w:hAnsi="宋体" w:cs="宋体"/>
                <w:color w:val="auto"/>
                <w:kern w:val="0"/>
                <w:sz w:val="24"/>
                <w:highlight w:val="cy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运输  </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r>
              <w:rPr>
                <w:rFonts w:hint="eastAsia" w:ascii="宋体" w:hAnsi="宋体" w:cs="宋体"/>
                <w:color w:val="auto"/>
                <w:kern w:val="0"/>
                <w:sz w:val="24"/>
                <w:highlight w:val="cyan"/>
              </w:rPr>
              <w:t>（未提供样品或提供样品不满足采购需求实质性条件的供应商，投标无效）：</w:t>
            </w:r>
          </w:p>
          <w:p>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r>
              <w:rPr>
                <w:rFonts w:ascii="宋体" w:hAnsi="宋体" w:cs="宋体"/>
                <w:color w:val="auto"/>
                <w:kern w:val="0"/>
                <w:sz w:val="24"/>
              </w:rPr>
              <w:t xml:space="preserve"> </w:t>
            </w:r>
          </w:p>
          <w:p>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p>
          <w:p>
            <w:pPr>
              <w:spacing w:line="360" w:lineRule="auto"/>
              <w:ind w:firstLine="240" w:firstLineChars="100"/>
              <w:rPr>
                <w:rFonts w:ascii="宋体" w:hAnsi="宋体" w:cs="宋体"/>
                <w:color w:val="auto"/>
                <w:sz w:val="24"/>
              </w:rPr>
            </w:pPr>
            <w:sdt>
              <w:sdtPr>
                <w:rPr>
                  <w:rFonts w:hint="eastAsia" w:ascii="宋体" w:hAnsi="宋体" w:cs="宋体"/>
                  <w:color w:val="auto"/>
                  <w:kern w:val="0"/>
                  <w:sz w:val="24"/>
                </w:rPr>
                <w:id w:val="-1350092240"/>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样品分未超过价格分的50%；</w:t>
            </w:r>
          </w:p>
          <w:p>
            <w:pPr>
              <w:spacing w:line="360" w:lineRule="auto"/>
              <w:ind w:firstLine="240" w:firstLineChars="100"/>
              <w:rPr>
                <w:rFonts w:ascii="宋体" w:hAnsi="宋体" w:cs="宋体"/>
                <w:color w:val="auto"/>
                <w:kern w:val="0"/>
                <w:sz w:val="24"/>
              </w:rPr>
            </w:pPr>
            <w:sdt>
              <w:sdtPr>
                <w:rPr>
                  <w:rFonts w:hint="eastAsia" w:ascii="宋体" w:hAnsi="宋体" w:cs="宋体"/>
                  <w:color w:val="auto"/>
                  <w:kern w:val="0"/>
                  <w:sz w:val="24"/>
                </w:rPr>
                <w:id w:val="-148554041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样品分超过价格分的50%，理由</w:t>
            </w:r>
            <w:r>
              <w:rPr>
                <w:rFonts w:hint="eastAsia" w:ascii="宋体" w:hAnsi="宋体" w:cs="宋体"/>
                <w:color w:val="auto"/>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spacing w:line="360" w:lineRule="auto"/>
              <w:ind w:firstLine="240" w:firstLineChars="100"/>
              <w:rPr>
                <w:rFonts w:ascii="宋体" w:hAnsi="宋体" w:cs="宋体"/>
                <w:color w:val="auto"/>
                <w:kern w:val="0"/>
                <w:sz w:val="24"/>
              </w:rPr>
            </w:pPr>
            <w:r>
              <w:rPr>
                <w:rFonts w:hint="eastAsia" w:ascii="宋体" w:hAnsi="宋体" w:cs="宋体"/>
                <w:snapToGrid w:val="0"/>
                <w:color w:val="auto"/>
                <w:kern w:val="28"/>
                <w:sz w:val="24"/>
              </w:rPr>
              <w:t>详见招标文件第四部分</w:t>
            </w:r>
            <w:r>
              <w:rPr>
                <w:rFonts w:hint="eastAsia" w:ascii="宋体" w:hAnsi="宋体" w:cs="宋体"/>
                <w:color w:val="auto"/>
                <w:sz w:val="24"/>
                <w:u w:val="single"/>
              </w:rPr>
              <w:t>评标办分法</w:t>
            </w:r>
            <w:r>
              <w:rPr>
                <w:rFonts w:hint="eastAsia" w:ascii="宋体" w:hAnsi="宋体" w:cs="宋体"/>
                <w:color w:val="auto"/>
                <w:kern w:val="0"/>
                <w:sz w:val="24"/>
              </w:rPr>
              <w:t xml:space="preserve">。 </w:t>
            </w:r>
          </w:p>
          <w:p>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开标当天投标截止时间之前   </w:t>
            </w:r>
            <w:r>
              <w:rPr>
                <w:rFonts w:hint="eastAsia" w:ascii="宋体" w:hAnsi="宋体" w:cs="宋体"/>
                <w:color w:val="auto"/>
                <w:kern w:val="0"/>
                <w:sz w:val="24"/>
              </w:rPr>
              <w:t>；地点：</w:t>
            </w:r>
            <w:r>
              <w:rPr>
                <w:rFonts w:hint="eastAsia" w:ascii="宋体" w:hAnsi="宋体" w:cs="宋体"/>
                <w:color w:val="auto"/>
                <w:sz w:val="24"/>
                <w:u w:val="single"/>
              </w:rPr>
              <w:t xml:space="preserve">  桐庐县迎春南路258号国资大厦5楼杭州市公共资源交易中心桐庐分中心评标区样品室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王赛栎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kern w:val="28"/>
                <w:sz w:val="24"/>
                <w:u w:val="single"/>
                <w:lang w:val="en-US" w:eastAsia="zh-CN"/>
              </w:rPr>
              <w:t>0571-64267692</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(6)采购活动结束后，对于未中标人提供的样品，采购人、采购机构将通知未中标人在</w:t>
            </w:r>
            <w:r>
              <w:rPr>
                <w:rFonts w:hint="eastAsia" w:ascii="宋体" w:hAnsi="宋体" w:cs="宋体"/>
                <w:b/>
                <w:bCs/>
                <w:color w:val="auto"/>
                <w:sz w:val="24"/>
                <w:lang w:val="en-US" w:eastAsia="zh-CN"/>
              </w:rPr>
              <w:t>开标结束当天</w:t>
            </w:r>
            <w:r>
              <w:rPr>
                <w:rFonts w:hint="eastAsia" w:ascii="宋体" w:hAnsi="宋体" w:cs="宋体"/>
                <w:color w:val="auto"/>
                <w:sz w:val="24"/>
              </w:rPr>
              <w:t>取回，逾期未取回的，采购人、采购机构不负保管义务；对于中标人提供的样品，采购人将进行保管、封存，并作为履约验收的参考。</w:t>
            </w:r>
          </w:p>
          <w:p>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演示方式：录制视频</w:t>
            </w:r>
            <w:r>
              <w:rPr>
                <w:rFonts w:hint="eastAsia" w:ascii="宋体" w:hAnsi="宋体" w:cs="宋体"/>
                <w:color w:val="auto"/>
                <w:kern w:val="0"/>
                <w:sz w:val="24"/>
              </w:rPr>
              <w:t>讲解演示</w:t>
            </w:r>
            <w:r>
              <w:rPr>
                <w:rFonts w:hint="eastAsia" w:ascii="宋体" w:hAnsi="宋体" w:cs="宋体"/>
                <w:color w:val="auto"/>
                <w:kern w:val="0"/>
                <w:sz w:val="24"/>
                <w:lang w:eastAsia="zh-CN"/>
              </w:rPr>
              <w:t>。</w:t>
            </w:r>
            <w:r>
              <w:rPr>
                <w:rFonts w:hint="eastAsia" w:ascii="宋体" w:hAnsi="宋体" w:cs="宋体"/>
                <w:color w:val="auto"/>
                <w:kern w:val="0"/>
                <w:sz w:val="24"/>
              </w:rPr>
              <w:t>要求演示所用设备必须与投标产品一致。投标人提供现场演示视频并刻入U盘，在U盘外标注供应商演示视频，演示时间不得超过15分钟，超过时间的演示部分不得分；在投标截止时间前寄到指定机构（以签收时间为准），送达地点：桐庐县迎春南路258号国资大厦5楼窗口；签收人员</w:t>
            </w:r>
            <w:r>
              <w:rPr>
                <w:rFonts w:hint="eastAsia" w:ascii="宋体" w:hAnsi="宋体" w:cs="宋体"/>
                <w:color w:val="auto"/>
                <w:kern w:val="0"/>
                <w:sz w:val="24"/>
                <w:lang w:eastAsia="zh-CN"/>
              </w:rPr>
              <w:t>：</w:t>
            </w:r>
            <w:r>
              <w:rPr>
                <w:rFonts w:hint="eastAsia" w:ascii="宋体" w:hAnsi="宋体" w:cs="宋体"/>
                <w:color w:val="auto"/>
                <w:kern w:val="0"/>
                <w:sz w:val="24"/>
                <w:u w:val="single"/>
                <w:lang w:val="en-US" w:eastAsia="zh-CN"/>
              </w:rPr>
              <w:t>范瑶</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 xml:space="preserve">联系电话：  </w:t>
            </w:r>
            <w:r>
              <w:rPr>
                <w:rFonts w:hint="eastAsia" w:ascii="宋体" w:hAnsi="宋体" w:cs="宋体"/>
                <w:color w:val="auto"/>
                <w:kern w:val="0"/>
                <w:sz w:val="24"/>
                <w:u w:val="single"/>
                <w:lang w:val="en-US" w:eastAsia="zh-CN"/>
              </w:rPr>
              <w:t>0571-64267692</w:t>
            </w:r>
            <w:r>
              <w:rPr>
                <w:rFonts w:hint="eastAsia" w:ascii="宋体" w:hAnsi="宋体" w:cs="宋体"/>
                <w:color w:val="auto"/>
                <w:kern w:val="0"/>
                <w:sz w:val="24"/>
              </w:rPr>
              <w:t>。超过投标截止时间的拒收，不提供者不得分；演示视频无法打开的视作未提供，演示分不得分。</w:t>
            </w:r>
          </w:p>
          <w:p>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（2）具体演示内容根据招标文件第四部分评标标准提供。注：因投标人自身原因导致无法演示或者演示效果不理想的，责任自负。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7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lang w:val="zh-CN"/>
              </w:rPr>
            </w:pPr>
            <w:sdt>
              <w:sdtPr>
                <w:rPr>
                  <w:rFonts w:hint="eastAsia" w:ascii="宋体" w:hAnsi="宋体" w:cs="宋体"/>
                  <w:color w:val="auto"/>
                  <w:kern w:val="0"/>
                  <w:sz w:val="24"/>
                </w:rPr>
                <w:id w:val="386232013"/>
                <w14:checkbox>
                  <w14:checked w14:val="0"/>
                  <w14:checkedState w14:val="00FE" w14:font="Wingdings"/>
                  <w14:uncheckedState w14:val="2610" w14:font="MS Gothic"/>
                </w14:checkbox>
              </w:sdtPr>
              <w:sdtEndPr>
                <w:rPr>
                  <w:rFonts w:hint="eastAsia" w:ascii="宋体" w:hAnsi="宋体" w:cs="宋体"/>
                  <w:color w:val="auto"/>
                  <w:kern w:val="0"/>
                  <w:sz w:val="24"/>
                  <w:lang w:val="zh-CN"/>
                </w:rPr>
              </w:sdtEndPr>
              <w:sdtContent>
                <w:r>
                  <w:rPr>
                    <w:rFonts w:hint="eastAsia" w:ascii="宋体" w:hAnsi="宋体" w:cs="宋体"/>
                    <w:color w:val="auto"/>
                    <w:kern w:val="0"/>
                    <w:sz w:val="24"/>
                    <w:lang w:val="zh-CN"/>
                  </w:rPr>
                  <w:t>☐</w:t>
                </w:r>
              </w:sdtContent>
            </w:sdt>
            <w:r>
              <w:rPr>
                <w:rFonts w:hint="eastAsia" w:ascii="宋体" w:hAnsi="宋体" w:cs="宋体"/>
                <w:color w:val="auto"/>
                <w:kern w:val="0"/>
                <w:sz w:val="24"/>
                <w:lang w:val="zh-CN"/>
              </w:rPr>
              <w:t>依据国家确定的认证机构出具的、处于有效期之内的节能产品认证证书，对获得证书的产品实施政府优先采购或强制采购；其中，对</w:t>
            </w:r>
            <w:r>
              <w:rPr>
                <w:rFonts w:hint="eastAsia" w:ascii="宋体" w:hAnsi="宋体" w:cs="宋体"/>
                <w:color w:val="auto"/>
                <w:kern w:val="0"/>
                <w:sz w:val="24"/>
                <w:u w:val="single"/>
                <w:lang w:val="zh-CN"/>
              </w:rPr>
              <w:t>产品名称XXX</w:t>
            </w:r>
            <w:r>
              <w:rPr>
                <w:rFonts w:hint="eastAsia" w:ascii="宋体" w:hAnsi="宋体" w:cs="宋体"/>
                <w:color w:val="auto"/>
                <w:kern w:val="0"/>
                <w:sz w:val="24"/>
                <w:lang w:val="zh-CN"/>
              </w:rPr>
              <w:t>实施政府优先采购，</w:t>
            </w:r>
            <w:r>
              <w:rPr>
                <w:rFonts w:hint="eastAsia" w:ascii="宋体" w:hAnsi="宋体" w:cs="宋体"/>
                <w:color w:val="auto"/>
                <w:kern w:val="0"/>
                <w:sz w:val="24"/>
              </w:rPr>
              <w:t>详</w:t>
            </w:r>
            <w:r>
              <w:rPr>
                <w:rFonts w:hint="eastAsia" w:ascii="宋体" w:hAnsi="宋体" w:cs="宋体"/>
                <w:color w:val="auto"/>
                <w:kern w:val="0"/>
                <w:sz w:val="24"/>
                <w:lang w:val="zh-CN"/>
              </w:rPr>
              <w:t>见</w:t>
            </w:r>
            <w:r>
              <w:rPr>
                <w:rFonts w:hint="eastAsia" w:ascii="宋体" w:hAnsi="宋体" w:cs="宋体"/>
                <w:color w:val="auto"/>
                <w:kern w:val="0"/>
                <w:sz w:val="24"/>
                <w:u w:val="single"/>
                <w:lang w:val="zh-CN"/>
              </w:rPr>
              <w:t>评分标准</w:t>
            </w:r>
            <w:r>
              <w:rPr>
                <w:rFonts w:hint="eastAsia" w:ascii="宋体" w:hAnsi="宋体" w:cs="宋体"/>
                <w:color w:val="auto"/>
                <w:kern w:val="0"/>
                <w:sz w:val="24"/>
                <w:lang w:val="zh-CN"/>
              </w:rPr>
              <w:t>；</w:t>
            </w:r>
            <w:r>
              <w:rPr>
                <w:rFonts w:hint="eastAsia" w:ascii="宋体" w:hAnsi="宋体" w:cs="宋体"/>
                <w:color w:val="auto"/>
                <w:sz w:val="24"/>
              </w:rPr>
              <w:t>▲</w:t>
            </w:r>
            <w:r>
              <w:rPr>
                <w:rFonts w:hint="eastAsia" w:ascii="宋体" w:hAnsi="宋体" w:cs="宋体"/>
                <w:color w:val="auto"/>
                <w:kern w:val="0"/>
                <w:sz w:val="24"/>
                <w:lang w:val="zh-CN"/>
              </w:rPr>
              <w:t>对</w:t>
            </w:r>
            <w:r>
              <w:rPr>
                <w:rFonts w:hint="eastAsia" w:ascii="宋体" w:hAnsi="宋体" w:cs="宋体"/>
                <w:color w:val="auto"/>
                <w:kern w:val="0"/>
                <w:sz w:val="24"/>
                <w:u w:val="single"/>
                <w:lang w:val="zh-CN"/>
              </w:rPr>
              <w:t>产品名称XXX</w:t>
            </w:r>
            <w:r>
              <w:rPr>
                <w:rFonts w:hint="eastAsia" w:ascii="宋体" w:hAnsi="宋体" w:cs="宋体"/>
                <w:color w:val="auto"/>
                <w:kern w:val="0"/>
                <w:sz w:val="24"/>
                <w:lang w:val="zh-CN"/>
              </w:rPr>
              <w:t>实施政府强制采购，</w:t>
            </w:r>
            <w:r>
              <w:rPr>
                <w:rFonts w:hint="eastAsia" w:ascii="宋体" w:hAnsi="宋体" w:cs="宋体"/>
                <w:b/>
                <w:bCs/>
                <w:color w:val="auto"/>
                <w:kern w:val="0"/>
                <w:sz w:val="24"/>
                <w:lang w:val="zh-CN"/>
              </w:rPr>
              <w:t>投标人</w:t>
            </w:r>
            <w:r>
              <w:rPr>
                <w:rFonts w:hint="eastAsia" w:ascii="宋体" w:hAnsi="宋体" w:cs="宋体"/>
                <w:b/>
                <w:bCs/>
                <w:color w:val="auto"/>
                <w:kern w:val="0"/>
                <w:sz w:val="24"/>
              </w:rPr>
              <w:t>就</w:t>
            </w:r>
            <w:r>
              <w:rPr>
                <w:rFonts w:hint="eastAsia" w:ascii="宋体" w:hAnsi="宋体" w:cs="宋体"/>
                <w:b/>
                <w:bCs/>
                <w:color w:val="auto"/>
                <w:kern w:val="0"/>
                <w:sz w:val="24"/>
                <w:lang w:val="zh-CN"/>
              </w:rPr>
              <w:t>相应的投标产品未</w:t>
            </w:r>
            <w:r>
              <w:rPr>
                <w:rFonts w:hint="eastAsia" w:ascii="宋体" w:hAnsi="宋体" w:cs="宋体"/>
                <w:b/>
                <w:bCs/>
                <w:color w:val="auto"/>
                <w:kern w:val="0"/>
                <w:sz w:val="24"/>
              </w:rPr>
              <w:t>提供</w:t>
            </w:r>
            <w:r>
              <w:rPr>
                <w:rFonts w:hint="eastAsia" w:ascii="宋体" w:hAnsi="宋体" w:cs="宋体"/>
                <w:b/>
                <w:bCs/>
                <w:color w:val="auto"/>
                <w:kern w:val="0"/>
                <w:sz w:val="24"/>
                <w:lang w:val="zh-CN"/>
              </w:rPr>
              <w:t>国家确定的认证机构出具的、处于有效期之内的节能产品认证证书的，投标无效</w:t>
            </w:r>
            <w:r>
              <w:rPr>
                <w:rFonts w:hint="eastAsia" w:ascii="宋体" w:hAnsi="宋体" w:cs="宋体"/>
                <w:color w:val="auto"/>
                <w:kern w:val="0"/>
                <w:sz w:val="24"/>
                <w:lang w:val="zh-CN"/>
              </w:rPr>
              <w:t>。</w:t>
            </w:r>
          </w:p>
          <w:p>
            <w:pPr>
              <w:spacing w:line="360" w:lineRule="auto"/>
              <w:rPr>
                <w:rFonts w:ascii="宋体" w:hAnsi="宋体" w:cs="宋体"/>
                <w:color w:val="auto"/>
                <w:kern w:val="0"/>
                <w:sz w:val="24"/>
                <w:lang w:val="zh-CN"/>
              </w:rPr>
            </w:pPr>
            <w:sdt>
              <w:sdtPr>
                <w:rPr>
                  <w:rFonts w:hint="eastAsia" w:ascii="宋体" w:hAnsi="宋体" w:cs="宋体"/>
                  <w:color w:val="auto"/>
                  <w:kern w:val="0"/>
                  <w:sz w:val="24"/>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lang w:val="zh-CN"/>
                </w:rPr>
              </w:sdtEndPr>
              <w:sdtContent>
                <w:r>
                  <w:rPr>
                    <w:rFonts w:hint="eastAsia" w:ascii="宋体" w:hAnsi="宋体" w:cs="宋体"/>
                    <w:color w:val="auto"/>
                    <w:kern w:val="0"/>
                    <w:sz w:val="24"/>
                    <w:lang w:val="zh-CN"/>
                  </w:rPr>
                  <w:t>☐</w:t>
                </w:r>
              </w:sdtContent>
            </w:sdt>
            <w:r>
              <w:rPr>
                <w:rFonts w:hint="eastAsia" w:ascii="宋体" w:hAnsi="宋体" w:cs="宋体"/>
                <w:color w:val="auto"/>
                <w:kern w:val="0"/>
                <w:sz w:val="24"/>
                <w:lang w:val="zh-CN"/>
              </w:rPr>
              <w:t>依据国家确定的认证机构出具的、处于有效期之内的环境标志产品认证证书，对获得证书的产品名称XXX实施政府优先采购，</w:t>
            </w:r>
            <w:r>
              <w:rPr>
                <w:rFonts w:hint="eastAsia" w:ascii="宋体" w:hAnsi="宋体" w:cs="宋体"/>
                <w:color w:val="auto"/>
                <w:kern w:val="0"/>
                <w:sz w:val="24"/>
              </w:rPr>
              <w:t>详</w:t>
            </w:r>
            <w:r>
              <w:rPr>
                <w:rFonts w:hint="eastAsia" w:ascii="宋体" w:hAnsi="宋体" w:cs="宋体"/>
                <w:color w:val="auto"/>
                <w:kern w:val="0"/>
                <w:sz w:val="24"/>
                <w:lang w:val="zh-CN"/>
              </w:rPr>
              <w:t>见</w:t>
            </w:r>
            <w:r>
              <w:rPr>
                <w:rFonts w:hint="eastAsia" w:ascii="宋体" w:hAnsi="宋体" w:cs="宋体"/>
                <w:color w:val="auto"/>
                <w:kern w:val="0"/>
                <w:sz w:val="24"/>
                <w:u w:val="single"/>
                <w:lang w:val="zh-CN"/>
              </w:rPr>
              <w:t>评分标准</w:t>
            </w:r>
            <w:r>
              <w:rPr>
                <w:rFonts w:hint="eastAsia" w:ascii="宋体" w:hAnsi="宋体" w:cs="宋体"/>
                <w:color w:val="auto"/>
                <w:kern w:val="0"/>
                <w:sz w:val="24"/>
                <w:lang w:val="zh-CN"/>
              </w:rPr>
              <w:t>。</w:t>
            </w:r>
          </w:p>
          <w:p>
            <w:pPr>
              <w:rPr>
                <w:color w:val="auto"/>
              </w:rPr>
            </w:pPr>
            <w:sdt>
              <w:sdtPr>
                <w:rPr>
                  <w:rFonts w:hint="eastAsia" w:ascii="宋体" w:hAnsi="宋体" w:cs="宋体"/>
                  <w:color w:val="auto"/>
                  <w:kern w:val="0"/>
                  <w:sz w:val="24"/>
                </w:rPr>
                <w:id w:val="-37800363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85"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kern w:val="28"/>
                <w:sz w:val="24"/>
                <w:szCs w:val="24"/>
                <w:u w:val="single"/>
              </w:rPr>
              <w:t>桐庐县迎春南路258号国资大厦5楼窗口</w:t>
            </w:r>
            <w:r>
              <w:rPr>
                <w:rFonts w:hint="eastAsia" w:hAnsi="宋体" w:cs="宋体"/>
                <w:color w:val="auto"/>
                <w:kern w:val="28"/>
                <w:sz w:val="24"/>
                <w:szCs w:val="24"/>
              </w:rPr>
              <w:t>；备份投标文件签收人员</w:t>
            </w:r>
            <w:r>
              <w:rPr>
                <w:rFonts w:hint="eastAsia" w:hAnsi="宋体" w:cs="宋体"/>
                <w:color w:val="auto"/>
                <w:kern w:val="28"/>
                <w:sz w:val="24"/>
                <w:szCs w:val="24"/>
                <w:lang w:eastAsia="zh-CN"/>
              </w:rPr>
              <w:t>：</w:t>
            </w:r>
            <w:r>
              <w:rPr>
                <w:rFonts w:hint="eastAsia" w:hAnsi="宋体" w:cs="宋体"/>
                <w:color w:val="auto"/>
                <w:kern w:val="28"/>
                <w:sz w:val="24"/>
                <w:szCs w:val="24"/>
                <w:u w:val="single"/>
                <w:lang w:val="en-US" w:eastAsia="zh-CN"/>
              </w:rPr>
              <w:t>范瑶</w:t>
            </w:r>
            <w:r>
              <w:rPr>
                <w:rFonts w:hint="eastAsia" w:hAnsi="宋体" w:cs="宋体"/>
                <w:color w:val="auto"/>
                <w:kern w:val="28"/>
                <w:sz w:val="24"/>
                <w:szCs w:val="24"/>
                <w:lang w:val="en-US" w:eastAsia="zh-CN"/>
              </w:rPr>
              <w:t xml:space="preserve"> </w:t>
            </w:r>
            <w:r>
              <w:rPr>
                <w:rFonts w:hint="eastAsia" w:hAnsi="宋体" w:cs="宋体"/>
                <w:color w:val="auto"/>
                <w:kern w:val="28"/>
                <w:sz w:val="24"/>
                <w:szCs w:val="24"/>
              </w:rPr>
              <w:t>联系电话：</w:t>
            </w:r>
            <w:r>
              <w:rPr>
                <w:rFonts w:hint="eastAsia" w:hAnsi="宋体" w:cs="宋体"/>
                <w:color w:val="auto"/>
                <w:sz w:val="24"/>
                <w:u w:val="single"/>
              </w:rPr>
              <w:t xml:space="preserve"> 0571-642</w:t>
            </w:r>
            <w:r>
              <w:rPr>
                <w:rFonts w:hint="eastAsia" w:hAnsi="宋体" w:cs="宋体"/>
                <w:color w:val="auto"/>
                <w:sz w:val="24"/>
                <w:u w:val="single"/>
                <w:lang w:val="en-US" w:eastAsia="zh-CN"/>
              </w:rPr>
              <w:t>67692</w:t>
            </w:r>
            <w:r>
              <w:rPr>
                <w:rFonts w:hint="eastAsia" w:hAnsi="宋体" w:cs="宋体"/>
                <w:color w:val="auto"/>
                <w:sz w:val="24"/>
                <w:szCs w:val="24"/>
              </w:rPr>
              <w:t>。</w:t>
            </w:r>
            <w:r>
              <w:rPr>
                <w:rFonts w:hint="eastAsia" w:hAnsi="宋体" w:cs="宋体"/>
                <w:b/>
                <w:color w:val="auto"/>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联合体投标的，联合体各方均需按招标文件第四部分评标标准要求提供资信证明文件，否则视为不符合相关要求。招标文件第四部分评分标准有其他规定的，从其规定。</w:t>
            </w:r>
          </w:p>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highlight w:val="none"/>
              </w:rPr>
              <w:t>评审因素对应的要求视为采购需求的一部分。</w:t>
            </w:r>
          </w:p>
        </w:tc>
      </w:tr>
    </w:tbl>
    <w:p>
      <w:pPr>
        <w:snapToGrid w:val="0"/>
        <w:spacing w:line="360" w:lineRule="auto"/>
        <w:jc w:val="center"/>
        <w:rPr>
          <w:rFonts w:ascii="宋体" w:hAnsi="宋体" w:cs="宋体"/>
          <w:b/>
          <w:color w:val="auto"/>
          <w:sz w:val="32"/>
          <w:szCs w:val="20"/>
        </w:rPr>
      </w:pPr>
    </w:p>
    <w:bookmarkEnd w:id="8"/>
    <w:p>
      <w:pPr>
        <w:adjustRightInd/>
        <w:spacing w:line="360" w:lineRule="auto"/>
        <w:ind w:firstLine="3845" w:firstLineChars="1197"/>
        <w:outlineLvl w:val="0"/>
        <w:rPr>
          <w:rFonts w:ascii="宋体" w:hAnsi="宋体" w:cs="宋体"/>
          <w:b/>
          <w:color w:val="auto"/>
          <w:sz w:val="32"/>
          <w:szCs w:val="20"/>
        </w:rPr>
      </w:pPr>
      <w:bookmarkStart w:id="10" w:name="第三部分"/>
      <w:bookmarkStart w:id="11" w:name="_Toc164416483"/>
      <w:r>
        <w:rPr>
          <w:rFonts w:hint="eastAsia" w:ascii="宋体" w:hAnsi="宋体" w:cs="宋体"/>
          <w:b/>
          <w:color w:val="auto"/>
          <w:sz w:val="32"/>
          <w:szCs w:val="20"/>
        </w:rPr>
        <w:t>一、总则</w:t>
      </w:r>
    </w:p>
    <w:p>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pPr>
        <w:spacing w:line="360" w:lineRule="auto"/>
        <w:ind w:firstLine="480" w:firstLineChars="200"/>
        <w:rPr>
          <w:rFonts w:ascii="宋体" w:hAnsi="宋体" w:cs="宋体"/>
          <w:color w:val="auto"/>
          <w:sz w:val="24"/>
        </w:rPr>
      </w:pPr>
      <w:r>
        <w:rPr>
          <w:rFonts w:hint="eastAsia" w:ascii="宋体" w:hAnsi="宋体" w:cs="宋体"/>
          <w:color w:val="auto"/>
          <w:sz w:val="24"/>
        </w:rPr>
        <w:t>2.2 “采购机构”系指招标公告中载明的本项目的采购机构。</w:t>
      </w:r>
    </w:p>
    <w:p>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2.6“电子交易平台”是指本项目政府采购活动所依托的政府采购云平台（https://www.zcygov.cn/）。</w:t>
      </w:r>
    </w:p>
    <w:p>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2" w:name="_Hlk107568539"/>
      <w:r>
        <w:rPr>
          <w:rFonts w:hint="eastAsia" w:ascii="宋体" w:hAnsi="宋体" w:cs="宋体"/>
          <w:color w:val="auto"/>
          <w:sz w:val="24"/>
        </w:rPr>
        <w:t>优先采购绿色包装产品、绿色物流配送服务以及循环利用产品</w:t>
      </w:r>
      <w:bookmarkEnd w:id="12"/>
      <w:r>
        <w:rPr>
          <w:rFonts w:hint="eastAsia" w:ascii="宋体" w:hAnsi="宋体" w:cs="宋体"/>
          <w:color w:val="auto"/>
          <w:sz w:val="24"/>
        </w:rPr>
        <w:t>。</w:t>
      </w:r>
    </w:p>
    <w:p>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3" w:name="_Hlk101132181"/>
      <w:r>
        <w:rPr>
          <w:rFonts w:hint="eastAsia" w:ascii="宋体" w:hAnsi="宋体" w:cs="宋体"/>
          <w:color w:val="auto"/>
          <w:sz w:val="24"/>
          <w:highlight w:val="none"/>
        </w:rPr>
        <w:t>联合协议或者分包意向协议约定小微企业的合同份额占到合同总金额30%以上的</w:t>
      </w:r>
      <w:bookmarkEnd w:id="13"/>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给予6%的扣除）的扣</w:t>
      </w:r>
      <w:r>
        <w:rPr>
          <w:rFonts w:hint="eastAsia" w:ascii="宋体" w:hAnsi="宋体" w:cs="宋体"/>
          <w:color w:val="auto"/>
          <w:sz w:val="24"/>
        </w:rPr>
        <w:t>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color w:val="auto"/>
          <w:sz w:val="24"/>
        </w:rPr>
      </w:pPr>
      <w:r>
        <w:rPr>
          <w:rFonts w:hint="eastAsia" w:ascii="宋体" w:hAnsi="宋体" w:cs="宋体"/>
          <w:color w:val="auto"/>
          <w:sz w:val="24"/>
        </w:rPr>
        <w:t>3.5平等对待内外资企业和符合条件的破产重整企业</w:t>
      </w:r>
    </w:p>
    <w:p>
      <w:pPr>
        <w:spacing w:line="360" w:lineRule="auto"/>
        <w:ind w:firstLine="480" w:firstLineChars="200"/>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b/>
          <w:color w:val="auto"/>
        </w:rPr>
        <w:t>4. 询问、质疑、投诉</w:t>
      </w:r>
    </w:p>
    <w:p>
      <w:pPr>
        <w:pStyle w:val="886"/>
        <w:shd w:val="clear" w:color="auto" w:fill="FFFFFF"/>
        <w:snapToGrid w:val="0"/>
        <w:spacing w:after="240" w:afterAutospacing="0" w:line="360" w:lineRule="auto"/>
        <w:ind w:firstLine="400"/>
        <w:contextualSpacing/>
        <w:rPr>
          <w:color w:val="auto"/>
          <w:lang w:val="zh-CN"/>
        </w:rPr>
      </w:pPr>
      <w:r>
        <w:rPr>
          <w:rFonts w:hint="eastAsia"/>
          <w:color w:val="auto"/>
          <w:lang w:val="zh-CN"/>
        </w:rPr>
        <w:t>4.1在线询问、质疑、投诉</w:t>
      </w:r>
    </w:p>
    <w:p>
      <w:pPr>
        <w:pStyle w:val="886"/>
        <w:shd w:val="clear" w:color="auto" w:fill="FFFFFF"/>
        <w:snapToGrid w:val="0"/>
        <w:spacing w:after="240" w:afterAutospacing="0" w:line="360" w:lineRule="auto"/>
        <w:ind w:firstLine="400"/>
        <w:contextualSpacing/>
        <w:rPr>
          <w:color w:val="auto"/>
          <w:lang w:val="zh-CN"/>
        </w:rPr>
      </w:pPr>
      <w:r>
        <w:rPr>
          <w:rFonts w:hint="eastAsia"/>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pPr>
        <w:pStyle w:val="3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pPr>
        <w:pStyle w:val="34"/>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pPr>
        <w:pStyle w:val="886"/>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pPr>
        <w:pStyle w:val="886"/>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pPr>
        <w:pStyle w:val="886"/>
        <w:shd w:val="clear" w:color="auto" w:fill="FFFFFF"/>
        <w:snapToGrid w:val="0"/>
        <w:spacing w:after="240" w:afterAutospacing="0" w:line="360" w:lineRule="auto"/>
        <w:ind w:firstLine="400"/>
        <w:contextualSpacing/>
        <w:rPr>
          <w:color w:val="auto"/>
        </w:rPr>
      </w:pPr>
      <w:r>
        <w:rPr>
          <w:rFonts w:hint="eastAsia"/>
          <w:color w:val="auto"/>
        </w:rPr>
        <w:t>4.4.1质疑供应商对采购人、采购机构的答复不满意或者采购人、采购机构未在规定的时间内作出答复的，可以在答复期满后十五个工作日内向同级政府采购监督管理部门提出投诉。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pPr>
        <w:pStyle w:val="886"/>
        <w:shd w:val="clear" w:color="auto" w:fill="FFFFFF"/>
        <w:snapToGrid w:val="0"/>
        <w:spacing w:after="240" w:afterAutospacing="0" w:line="360" w:lineRule="auto"/>
        <w:ind w:firstLine="400"/>
        <w:contextualSpacing/>
        <w:rPr>
          <w:color w:val="auto"/>
        </w:rPr>
      </w:pPr>
      <w:r>
        <w:rPr>
          <w:rFonts w:hint="eastAsia"/>
          <w:color w:val="auto"/>
        </w:rPr>
        <w:t>4.4.4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color w:val="auto"/>
        </w:rPr>
      </w:pPr>
      <w:r>
        <w:rPr>
          <w:rFonts w:hint="eastAsia"/>
          <w:color w:val="auto"/>
        </w:rPr>
        <w:t>4.4.5浙江省本级、杭州市本级、拱墅区、富阳区政府采购项目投诉材料可寄送浙江省政府采购行政裁决服务中心（杭州），地址：杭州市上城区四季青街道新业路市民之家G03办公室，收件人：朱女士，电话：15121014815。</w:t>
      </w:r>
    </w:p>
    <w:p>
      <w:pPr>
        <w:pStyle w:val="886"/>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pPr>
        <w:pStyle w:val="128"/>
        <w:snapToGrid w:val="0"/>
        <w:spacing w:before="0"/>
        <w:ind w:firstLine="360"/>
        <w:rPr>
          <w:rFonts w:ascii="宋体" w:hAnsi="宋体" w:cs="宋体"/>
          <w:color w:val="auto"/>
          <w:sz w:val="18"/>
          <w:szCs w:val="18"/>
        </w:rPr>
      </w:pPr>
    </w:p>
    <w:p>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pPr>
        <w:pStyle w:val="34"/>
        <w:spacing w:line="360" w:lineRule="auto"/>
        <w:rPr>
          <w:rFonts w:hAnsi="宋体" w:cs="宋体"/>
          <w:b/>
          <w:color w:val="auto"/>
          <w:sz w:val="24"/>
          <w:szCs w:val="24"/>
        </w:rPr>
      </w:pPr>
      <w:r>
        <w:rPr>
          <w:rFonts w:hint="eastAsia" w:hAnsi="宋体" w:cs="宋体"/>
          <w:b/>
          <w:color w:val="auto"/>
          <w:sz w:val="24"/>
          <w:szCs w:val="24"/>
        </w:rPr>
        <w:t>5．招标文件的构成</w:t>
      </w:r>
    </w:p>
    <w:p>
      <w:pPr>
        <w:pStyle w:val="34"/>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pPr>
        <w:pStyle w:val="34"/>
        <w:spacing w:line="360" w:lineRule="auto"/>
        <w:rPr>
          <w:rFonts w:hAnsi="宋体" w:cs="宋体"/>
          <w:b/>
          <w:color w:val="auto"/>
          <w:sz w:val="24"/>
          <w:szCs w:val="24"/>
        </w:rPr>
      </w:pPr>
      <w:r>
        <w:rPr>
          <w:rFonts w:hint="eastAsia" w:hAnsi="宋体" w:cs="宋体"/>
          <w:b/>
          <w:color w:val="auto"/>
          <w:sz w:val="24"/>
          <w:szCs w:val="24"/>
        </w:rPr>
        <w:t>6. 招标文件的澄清、修改</w:t>
      </w:r>
    </w:p>
    <w:p>
      <w:pPr>
        <w:pStyle w:val="128"/>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6.1已获取招标文件的潜在投标人，若有问题需要澄清，应于投标截止时间前，以书面形式向采购机构提出。</w:t>
      </w:r>
    </w:p>
    <w:p>
      <w:pPr>
        <w:pStyle w:val="128"/>
        <w:snapToGrid w:val="0"/>
        <w:spacing w:before="0"/>
        <w:ind w:firstLine="480"/>
        <w:rPr>
          <w:rFonts w:ascii="宋体" w:hAnsi="宋体" w:cs="宋体"/>
          <w:color w:val="auto"/>
        </w:rPr>
      </w:pPr>
      <w:r>
        <w:rPr>
          <w:rFonts w:hint="eastAsia" w:ascii="宋体" w:hAnsi="宋体" w:cs="宋体"/>
          <w:color w:val="auto"/>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lang w:val="en-US"/>
        </w:rPr>
      </w:pPr>
      <w:r>
        <w:rPr>
          <w:rFonts w:hint="eastAsia" w:hAnsi="宋体" w:cs="宋体"/>
          <w:color w:val="auto"/>
          <w:szCs w:val="24"/>
          <w:lang w:val="en-US"/>
        </w:rPr>
        <w:t xml:space="preserve">    </w:t>
      </w:r>
    </w:p>
    <w:p>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pPr>
        <w:pStyle w:val="34"/>
        <w:spacing w:line="360" w:lineRule="auto"/>
        <w:rPr>
          <w:rFonts w:hAnsi="宋体" w:cs="宋体"/>
          <w:b/>
          <w:color w:val="auto"/>
          <w:sz w:val="24"/>
          <w:szCs w:val="24"/>
        </w:rPr>
      </w:pPr>
      <w:r>
        <w:rPr>
          <w:rFonts w:hint="eastAsia" w:hAnsi="宋体" w:cs="宋体"/>
          <w:b/>
          <w:color w:val="auto"/>
          <w:sz w:val="24"/>
          <w:szCs w:val="24"/>
        </w:rPr>
        <w:t>7. 招标文件的获取</w:t>
      </w:r>
    </w:p>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pPr>
        <w:pStyle w:val="34"/>
        <w:spacing w:line="360" w:lineRule="auto"/>
        <w:rPr>
          <w:rFonts w:hAnsi="宋体" w:cs="宋体"/>
          <w:b/>
          <w:color w:val="auto"/>
          <w:sz w:val="24"/>
          <w:szCs w:val="24"/>
        </w:rPr>
      </w:pPr>
      <w:r>
        <w:rPr>
          <w:rFonts w:hint="eastAsia" w:hAnsi="宋体" w:cs="宋体"/>
          <w:b/>
          <w:color w:val="auto"/>
          <w:sz w:val="24"/>
          <w:szCs w:val="24"/>
        </w:rPr>
        <w:t>8.开标前答疑会或现场考察</w:t>
      </w:r>
    </w:p>
    <w:p>
      <w:pPr>
        <w:pStyle w:val="34"/>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color w:val="auto"/>
          <w:szCs w:val="24"/>
        </w:rPr>
      </w:pPr>
      <w:r>
        <w:rPr>
          <w:rFonts w:hint="eastAsia" w:hAnsi="宋体" w:cs="宋体"/>
          <w:b/>
          <w:color w:val="auto"/>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color w:val="auto"/>
          <w:sz w:val="24"/>
          <w:szCs w:val="24"/>
        </w:rPr>
      </w:pPr>
      <w:r>
        <w:rPr>
          <w:rFonts w:hint="eastAsia" w:hAnsi="宋体" w:cs="宋体"/>
          <w:b/>
          <w:color w:val="auto"/>
          <w:sz w:val="24"/>
          <w:szCs w:val="24"/>
        </w:rPr>
        <w:t>10. 投标文件的语言</w:t>
      </w:r>
    </w:p>
    <w:p>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pPr>
        <w:pStyle w:val="34"/>
        <w:spacing w:line="360" w:lineRule="auto"/>
        <w:rPr>
          <w:rFonts w:hAnsi="宋体" w:cs="宋体"/>
          <w:b/>
          <w:color w:val="auto"/>
          <w:sz w:val="24"/>
          <w:szCs w:val="24"/>
        </w:rPr>
      </w:pPr>
      <w:r>
        <w:rPr>
          <w:rFonts w:hint="eastAsia" w:hAnsi="宋体" w:cs="宋体"/>
          <w:b/>
          <w:color w:val="auto"/>
          <w:sz w:val="24"/>
          <w:szCs w:val="24"/>
        </w:rPr>
        <w:t>11. 投标文件的组成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4" w:name="_Hlk101259339"/>
      <w:r>
        <w:rPr>
          <w:rFonts w:hint="eastAsia" w:ascii="宋体" w:hAnsi="宋体" w:cs="宋体"/>
          <w:snapToGrid w:val="0"/>
          <w:color w:val="auto"/>
          <w:kern w:val="28"/>
          <w:sz w:val="24"/>
          <w:szCs w:val="20"/>
        </w:rPr>
        <w:t>联合协议</w:t>
      </w:r>
      <w:bookmarkEnd w:id="14"/>
      <w:r>
        <w:rPr>
          <w:rFonts w:hint="eastAsia" w:ascii="宋体" w:hAnsi="宋体" w:cs="宋体"/>
          <w:snapToGrid w:val="0"/>
          <w:color w:val="auto"/>
          <w:kern w:val="28"/>
          <w:sz w:val="24"/>
          <w:szCs w:val="20"/>
        </w:rPr>
        <w:t>（如果有)；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pPr>
        <w:pStyle w:val="128"/>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pPr>
        <w:pStyle w:val="128"/>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pPr>
        <w:pStyle w:val="128"/>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pPr>
        <w:pStyle w:val="128"/>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w:t>
      </w:r>
      <w:r>
        <w:rPr>
          <w:rFonts w:hint="eastAsia" w:ascii="宋体" w:hAnsi="宋体" w:cs="宋体"/>
          <w:color w:val="auto"/>
          <w:szCs w:val="24"/>
          <w:highlight w:val="none"/>
        </w:rPr>
        <w:t>标文件。补充或者修改投标文件的，应当先行撤回原文件，补充、修改后重新传输递交。供应商撤回投标不得损害国家利益、社会公共利益、采购人利益、代理机构利益、其他供应商利益，否则，供应商撤销（撤回）投标无效。投标</w:t>
      </w:r>
      <w:r>
        <w:rPr>
          <w:rFonts w:hint="eastAsia" w:ascii="宋体" w:hAnsi="宋体" w:cs="宋体"/>
          <w:color w:val="auto"/>
          <w:szCs w:val="24"/>
        </w:rPr>
        <w:t>截止时间前未完成传输的，视为撤回投标文件。投标截止时间后递交的投标文件，电子交易平台将拒收。</w:t>
      </w:r>
    </w:p>
    <w:p>
      <w:pPr>
        <w:pStyle w:val="128"/>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r>
        <w:rPr>
          <w:rFonts w:hint="eastAsia" w:ascii="宋体" w:hAnsi="宋体" w:cs="宋体"/>
          <w:color w:val="auto"/>
          <w:szCs w:val="24"/>
        </w:rPr>
        <w:tab/>
      </w:r>
    </w:p>
    <w:p>
      <w:pPr>
        <w:pStyle w:val="128"/>
        <w:spacing w:before="0"/>
        <w:ind w:firstLine="480"/>
        <w:rPr>
          <w:rFonts w:ascii="宋体" w:hAnsi="宋体" w:cs="宋体"/>
          <w:color w:val="auto"/>
          <w:szCs w:val="24"/>
        </w:rPr>
      </w:pPr>
      <w:r>
        <w:rPr>
          <w:rFonts w:hint="eastAsia" w:ascii="宋体" w:hAnsi="宋体" w:cs="宋体"/>
          <w:color w:val="auto"/>
          <w:szCs w:val="24"/>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Ansi="宋体" w:cs="宋体"/>
          <w:b/>
          <w:color w:val="auto"/>
          <w:sz w:val="24"/>
          <w:szCs w:val="24"/>
        </w:rPr>
      </w:pPr>
      <w:r>
        <w:rPr>
          <w:rFonts w:hint="eastAsia" w:hAnsi="宋体" w:cs="宋体"/>
          <w:b/>
          <w:color w:val="auto"/>
          <w:sz w:val="24"/>
          <w:szCs w:val="24"/>
        </w:rPr>
        <w:t>15.备份投标文件</w:t>
      </w:r>
    </w:p>
    <w:p>
      <w:pPr>
        <w:pStyle w:val="34"/>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但采购人、采购机构不强制或变相强制投标人提交备份投标文件。</w:t>
      </w:r>
    </w:p>
    <w:p>
      <w:pPr>
        <w:pStyle w:val="34"/>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pPr>
        <w:pStyle w:val="34"/>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pPr>
        <w:pStyle w:val="26"/>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17.投标有效期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pPr>
        <w:pStyle w:val="128"/>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pPr>
        <w:pStyle w:val="128"/>
        <w:spacing w:before="0"/>
        <w:ind w:firstLine="480"/>
        <w:rPr>
          <w:rFonts w:ascii="宋体" w:hAnsi="宋体" w:cs="宋体"/>
          <w:color w:val="auto"/>
          <w:highlight w:val="none"/>
        </w:rPr>
      </w:pPr>
      <w:r>
        <w:rPr>
          <w:rFonts w:hint="eastAsia" w:ascii="宋体" w:hAnsi="宋体" w:cs="宋体"/>
          <w:color w:val="auto"/>
        </w:rPr>
        <w:t>17.3在原定投标有效期满之前，如果出现特殊情况，采购机构可以以书面形式通知投标人延长投标有效期。投标人同意延长的，不得要求或被允许修改其投标文件，投标人拒</w:t>
      </w:r>
      <w:r>
        <w:rPr>
          <w:rFonts w:hint="eastAsia" w:ascii="宋体" w:hAnsi="宋体" w:cs="宋体"/>
          <w:color w:val="auto"/>
          <w:highlight w:val="none"/>
        </w:rPr>
        <w:t>绝延长的，其投标无效。</w:t>
      </w:r>
    </w:p>
    <w:p>
      <w:pPr>
        <w:pStyle w:val="128"/>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pPr>
        <w:pStyle w:val="128"/>
        <w:spacing w:before="0"/>
        <w:ind w:firstLine="643"/>
        <w:rPr>
          <w:rFonts w:ascii="宋体" w:hAnsi="宋体" w:cs="宋体"/>
          <w:b/>
          <w:color w:val="auto"/>
          <w:sz w:val="32"/>
        </w:rPr>
      </w:pPr>
    </w:p>
    <w:p>
      <w:pPr>
        <w:pStyle w:val="128"/>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pPr>
        <w:pStyle w:val="554"/>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pPr>
        <w:pStyle w:val="554"/>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128"/>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20.1信用信息查询渠道及截止时间：采购机构将在资格审查时通过“信用中国”网站(www.creditchina.gov.cn)、中国政府采购网(www.ccgp.gov.cn)渠道查询投标人接受资格审查时的信用记录。</w:t>
      </w:r>
    </w:p>
    <w:p>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pPr>
        <w:pStyle w:val="128"/>
        <w:spacing w:before="0"/>
        <w:ind w:firstLine="0" w:firstLineChars="0"/>
        <w:rPr>
          <w:rFonts w:ascii="宋体" w:hAnsi="宋体" w:cs="宋体"/>
          <w:color w:val="auto"/>
          <w:kern w:val="0"/>
          <w:szCs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pPr>
        <w:spacing w:line="360" w:lineRule="auto"/>
        <w:rPr>
          <w:rFonts w:ascii="宋体" w:hAnsi="宋体" w:cs="宋体"/>
          <w:b/>
          <w:color w:val="auto"/>
          <w:sz w:val="24"/>
        </w:rPr>
      </w:pPr>
      <w:bookmarkStart w:id="15"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pPr>
        <w:spacing w:line="360" w:lineRule="auto"/>
        <w:rPr>
          <w:rFonts w:ascii="宋体" w:hAnsi="宋体" w:cs="宋体"/>
          <w:b/>
          <w:color w:val="auto"/>
          <w:sz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pPr>
        <w:pStyle w:val="26"/>
        <w:spacing w:line="360" w:lineRule="auto"/>
        <w:ind w:left="479" w:hanging="479" w:hangingChars="199"/>
        <w:rPr>
          <w:rFonts w:cs="宋体"/>
          <w:b/>
          <w:color w:val="auto"/>
        </w:rPr>
      </w:pPr>
      <w:r>
        <w:rPr>
          <w:rFonts w:hint="eastAsia" w:cs="宋体"/>
          <w:b/>
          <w:color w:val="auto"/>
        </w:rPr>
        <w:t>22. 确定中标供应商</w:t>
      </w:r>
    </w:p>
    <w:p>
      <w:pPr>
        <w:pStyle w:val="128"/>
        <w:snapToGrid w:val="0"/>
        <w:spacing w:before="0"/>
        <w:ind w:firstLine="480"/>
        <w:rPr>
          <w:rFonts w:ascii="宋体" w:hAnsi="宋体" w:cs="宋体"/>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w:t>
      </w:r>
      <w:r>
        <w:rPr>
          <w:rFonts w:hint="eastAsia" w:ascii="宋体" w:hAnsi="宋体" w:cs="宋体"/>
          <w:color w:val="auto"/>
          <w:szCs w:val="24"/>
          <w:highlight w:val="none"/>
        </w:rPr>
        <w:t>人。采购单位应当自收到评审报告之日起2个工作日内在线确定中标或者成交供应商。在采购结果确认环节，中标候选人撤销投标文件不能成为采购人不确认采购结果的正当理由。中</w:t>
      </w:r>
      <w:r>
        <w:rPr>
          <w:rFonts w:hint="eastAsia" w:ascii="宋体" w:hAnsi="宋体" w:cs="宋体"/>
          <w:color w:val="auto"/>
          <w:szCs w:val="24"/>
        </w:rPr>
        <w:t>标通知书和中标结果公告应当在规定时间内同时发出。</w:t>
      </w:r>
    </w:p>
    <w:p>
      <w:pPr>
        <w:pStyle w:val="128"/>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pPr>
        <w:snapToGrid w:val="0"/>
        <w:spacing w:line="360" w:lineRule="auto"/>
        <w:ind w:left="120" w:leftChars="57" w:firstLine="482" w:firstLineChars="150"/>
        <w:jc w:val="center"/>
        <w:rPr>
          <w:rFonts w:ascii="宋体" w:hAnsi="宋体" w:cs="宋体"/>
          <w:b/>
          <w:color w:val="auto"/>
          <w:sz w:val="32"/>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pPr>
        <w:pStyle w:val="26"/>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pPr>
        <w:pStyle w:val="26"/>
        <w:spacing w:line="360" w:lineRule="auto"/>
        <w:ind w:left="479" w:hanging="479" w:hangingChars="199"/>
        <w:rPr>
          <w:rFonts w:cs="宋体"/>
          <w:b/>
          <w:color w:val="auto"/>
        </w:rPr>
      </w:pPr>
      <w:r>
        <w:rPr>
          <w:rFonts w:hint="eastAsia" w:cs="宋体"/>
          <w:b/>
          <w:color w:val="auto"/>
        </w:rPr>
        <w:t>25. 合同的签订</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color w:val="auto"/>
        </w:rPr>
      </w:pPr>
      <w:r>
        <w:rPr>
          <w:rFonts w:hint="eastAsia" w:cs="宋体"/>
          <w:b/>
          <w:color w:val="auto"/>
        </w:rPr>
        <w:t>26. 履约保证金</w:t>
      </w:r>
    </w:p>
    <w:p>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pPr>
        <w:pStyle w:val="2"/>
        <w:ind w:left="0" w:firstLine="480" w:firstLineChars="200"/>
        <w:rPr>
          <w:rFonts w:ascii="宋体" w:hAnsi="宋体" w:eastAsia="宋体" w:cs="宋体"/>
          <w:color w:val="auto"/>
          <w:lang w:val="en-US"/>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color w:val="auto"/>
          <w:sz w:val="32"/>
        </w:rPr>
      </w:pPr>
    </w:p>
    <w:p>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pPr>
        <w:pStyle w:val="128"/>
        <w:snapToGrid w:val="0"/>
        <w:spacing w:before="0"/>
        <w:ind w:firstLine="0" w:firstLineChars="0"/>
        <w:rPr>
          <w:rFonts w:ascii="宋体" w:hAnsi="宋体" w:cs="宋体"/>
          <w:color w:val="auto"/>
        </w:rPr>
      </w:pPr>
      <w:r>
        <w:rPr>
          <w:rFonts w:hint="eastAsia" w:ascii="宋体" w:hAnsi="宋体" w:cs="宋体"/>
          <w:color w:val="auto"/>
        </w:rPr>
        <w:t>2</w:t>
      </w:r>
      <w:r>
        <w:rPr>
          <w:rFonts w:hint="eastAsia" w:ascii="宋体" w:hAnsi="宋体" w:cs="宋体"/>
          <w:b/>
          <w:color w:val="auto"/>
          <w:szCs w:val="24"/>
        </w:rPr>
        <w:t>7. 电子交易活动的中止。</w:t>
      </w:r>
      <w:r>
        <w:rPr>
          <w:rFonts w:hint="eastAsia" w:ascii="宋体" w:hAnsi="宋体" w:cs="宋体"/>
          <w:color w:val="auto"/>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宋体" w:hAnsi="宋体" w:cs="宋体"/>
          <w:color w:val="auto"/>
        </w:rPr>
      </w:pPr>
      <w:r>
        <w:rPr>
          <w:rFonts w:hint="eastAsia" w:ascii="宋体" w:hAnsi="宋体" w:cs="宋体"/>
          <w:color w:val="auto"/>
        </w:rPr>
        <w:t xml:space="preserve">27.1电子交易平台发生故障而无法登录访问的； </w:t>
      </w:r>
    </w:p>
    <w:p>
      <w:pPr>
        <w:pStyle w:val="128"/>
        <w:snapToGrid w:val="0"/>
        <w:spacing w:before="0"/>
        <w:ind w:firstLine="480"/>
        <w:rPr>
          <w:rFonts w:ascii="宋体" w:hAnsi="宋体" w:cs="宋体"/>
          <w:color w:val="auto"/>
        </w:rPr>
      </w:pPr>
      <w:r>
        <w:rPr>
          <w:rFonts w:hint="eastAsia" w:ascii="宋体" w:hAnsi="宋体" w:cs="宋体"/>
          <w:color w:val="auto"/>
        </w:rPr>
        <w:t>27.2电子交易平台应用或数据库出现错误，不能进行正常操作的；</w:t>
      </w:r>
    </w:p>
    <w:p>
      <w:pPr>
        <w:pStyle w:val="128"/>
        <w:snapToGrid w:val="0"/>
        <w:spacing w:before="0"/>
        <w:ind w:firstLine="480"/>
        <w:rPr>
          <w:rFonts w:ascii="宋体" w:hAnsi="宋体" w:cs="宋体"/>
          <w:color w:val="auto"/>
        </w:rPr>
      </w:pPr>
      <w:r>
        <w:rPr>
          <w:rFonts w:hint="eastAsia" w:ascii="宋体" w:hAnsi="宋体" w:cs="宋体"/>
          <w:color w:val="auto"/>
        </w:rPr>
        <w:t>27.3电子交易平台发现严重安全漏洞，有潜在泄密危险的；</w:t>
      </w:r>
    </w:p>
    <w:p>
      <w:pPr>
        <w:pStyle w:val="128"/>
        <w:snapToGrid w:val="0"/>
        <w:spacing w:before="0"/>
        <w:ind w:firstLine="480"/>
        <w:rPr>
          <w:rFonts w:ascii="宋体" w:hAnsi="宋体" w:cs="宋体"/>
          <w:color w:val="auto"/>
        </w:rPr>
      </w:pPr>
      <w:r>
        <w:rPr>
          <w:rFonts w:hint="eastAsia" w:ascii="宋体" w:hAnsi="宋体" w:cs="宋体"/>
          <w:color w:val="auto"/>
        </w:rPr>
        <w:t xml:space="preserve">27.4病毒发作导致不能进行正常操作的； </w:t>
      </w:r>
    </w:p>
    <w:p>
      <w:pPr>
        <w:pStyle w:val="128"/>
        <w:snapToGrid w:val="0"/>
        <w:spacing w:before="0"/>
        <w:ind w:firstLine="480"/>
        <w:rPr>
          <w:rFonts w:ascii="宋体" w:hAnsi="宋体" w:cs="宋体"/>
          <w:color w:val="auto"/>
        </w:rPr>
      </w:pPr>
      <w:r>
        <w:rPr>
          <w:rFonts w:hint="eastAsia" w:ascii="宋体" w:hAnsi="宋体" w:cs="宋体"/>
          <w:color w:val="auto"/>
        </w:rPr>
        <w:t>27.5其他无法保证电子交易的公平、公正和安全的情况。</w:t>
      </w:r>
    </w:p>
    <w:p>
      <w:pPr>
        <w:pStyle w:val="128"/>
        <w:snapToGrid w:val="0"/>
        <w:spacing w:before="0"/>
        <w:ind w:firstLine="0" w:firstLineChars="0"/>
        <w:rPr>
          <w:rFonts w:ascii="宋体" w:hAnsi="宋体" w:cs="宋体"/>
          <w:color w:val="auto"/>
        </w:rPr>
      </w:pPr>
      <w:r>
        <w:rPr>
          <w:rFonts w:hint="eastAsia" w:ascii="宋体" w:hAnsi="宋体" w:cs="宋体"/>
          <w:color w:val="auto"/>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pPr>
        <w:pStyle w:val="26"/>
        <w:spacing w:line="360" w:lineRule="auto"/>
        <w:ind w:firstLine="0" w:firstLineChars="0"/>
        <w:rPr>
          <w:rFonts w:cs="宋体"/>
          <w:b/>
          <w:color w:val="auto"/>
        </w:rPr>
      </w:pPr>
      <w:r>
        <w:rPr>
          <w:rFonts w:hint="eastAsia" w:cs="宋体"/>
          <w:b/>
          <w:color w:val="auto"/>
        </w:rPr>
        <w:t>29.验收</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pPr>
        <w:tabs>
          <w:tab w:val="left" w:pos="0"/>
        </w:tabs>
        <w:spacing w:line="360" w:lineRule="auto"/>
        <w:ind w:firstLine="480"/>
        <w:rPr>
          <w:rFonts w:ascii="宋体" w:hAnsi="宋体" w:cs="宋体"/>
          <w:color w:val="auto"/>
          <w:kern w:val="0"/>
          <w:sz w:val="24"/>
        </w:rPr>
        <w:sectPr>
          <w:footerReference r:id="rId8" w:type="default"/>
          <w:pgSz w:w="11906" w:h="16838"/>
          <w:pgMar w:top="680" w:right="1418" w:bottom="468" w:left="1418" w:header="851" w:footer="992" w:gutter="0"/>
          <w:pgNumType w:start="1"/>
          <w:cols w:space="720" w:num="1"/>
          <w:docGrid w:linePitch="312" w:charSpace="0"/>
        </w:sectPr>
      </w:pPr>
      <w:bookmarkStart w:id="16" w:name="_Hlt74714665"/>
      <w:bookmarkEnd w:id="16"/>
      <w:bookmarkStart w:id="17" w:name="_Hlt68073093"/>
      <w:bookmarkEnd w:id="17"/>
      <w:bookmarkStart w:id="18" w:name="_Hlt74729768"/>
      <w:bookmarkEnd w:id="18"/>
      <w:bookmarkStart w:id="19" w:name="_Hlt68072998"/>
      <w:bookmarkEnd w:id="19"/>
      <w:bookmarkStart w:id="20" w:name="_Hlt75236011"/>
      <w:bookmarkEnd w:id="20"/>
      <w:bookmarkStart w:id="21" w:name="_Hlt75236101"/>
      <w:bookmarkEnd w:id="21"/>
      <w:bookmarkStart w:id="22" w:name="_Hlt75236290"/>
      <w:bookmarkEnd w:id="22"/>
      <w:bookmarkStart w:id="23" w:name="_Hlt68057669"/>
      <w:bookmarkEnd w:id="23"/>
      <w:bookmarkStart w:id="24" w:name="_Hlt68403820"/>
      <w:bookmarkEnd w:id="24"/>
      <w:bookmarkStart w:id="25" w:name="_Hlt74730295"/>
      <w:bookmarkEnd w:id="25"/>
      <w:bookmarkStart w:id="26" w:name="_Hlt68072990"/>
      <w:bookmarkEnd w:id="26"/>
      <w:bookmarkStart w:id="27" w:name="_Hlt74707468"/>
      <w:bookmarkEnd w:id="27"/>
    </w:p>
    <w:bookmarkEnd w:id="10"/>
    <w:bookmarkEnd w:id="11"/>
    <w:p>
      <w:pPr>
        <w:spacing w:line="360" w:lineRule="auto"/>
        <w:jc w:val="center"/>
        <w:outlineLvl w:val="0"/>
        <w:rPr>
          <w:rFonts w:ascii="宋体" w:hAnsi="宋体" w:cs="宋体"/>
          <w:b/>
          <w:color w:val="auto"/>
          <w:sz w:val="36"/>
          <w:szCs w:val="36"/>
        </w:rPr>
      </w:pPr>
      <w:bookmarkStart w:id="28" w:name="第四部分"/>
      <w:r>
        <w:rPr>
          <w:rFonts w:hint="eastAsia" w:ascii="宋体" w:hAnsi="宋体" w:cs="宋体"/>
          <w:b/>
          <w:color w:val="auto"/>
          <w:sz w:val="36"/>
          <w:szCs w:val="36"/>
        </w:rPr>
        <w:t>第三部分   采购需求</w:t>
      </w:r>
    </w:p>
    <w:p>
      <w:pPr>
        <w:pStyle w:val="26"/>
        <w:spacing w:line="360" w:lineRule="auto"/>
        <w:ind w:firstLine="0" w:firstLineChars="0"/>
        <w:rPr>
          <w:rFonts w:cs="宋体"/>
          <w:b/>
          <w:color w:val="auto"/>
        </w:rPr>
      </w:pPr>
      <w:r>
        <w:rPr>
          <w:rFonts w:hint="eastAsia" w:cs="宋体"/>
          <w:b/>
          <w:color w:val="auto"/>
        </w:rPr>
        <w:t>一、项目概述：</w:t>
      </w:r>
    </w:p>
    <w:p>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本次招标共购买服务商VPN专线442条、111路视频监控服务、裸光纤7条、党政网1条、英特网3条、公安网1条。（详见采购需求清单）实现各交警大队车管所与交警道路路口点位网络、视频实现联网统一管理控制以及业务办公。</w:t>
      </w:r>
    </w:p>
    <w:p>
      <w:pPr>
        <w:pStyle w:val="26"/>
        <w:spacing w:line="360" w:lineRule="auto"/>
        <w:ind w:firstLine="0" w:firstLineChars="0"/>
        <w:rPr>
          <w:rFonts w:cs="宋体"/>
          <w:b/>
          <w:color w:val="auto"/>
        </w:rPr>
      </w:pPr>
      <w:r>
        <w:rPr>
          <w:rFonts w:hint="eastAsia" w:cs="宋体"/>
          <w:b/>
          <w:color w:val="auto"/>
        </w:rPr>
        <w:t>一、项目</w:t>
      </w:r>
      <w:r>
        <w:rPr>
          <w:rFonts w:hint="eastAsia" w:cs="宋体"/>
          <w:b/>
          <w:color w:val="auto"/>
          <w:lang w:val="en-US" w:eastAsia="zh-CN"/>
        </w:rPr>
        <w:t>背景</w:t>
      </w:r>
      <w:r>
        <w:rPr>
          <w:rFonts w:hint="eastAsia" w:cs="宋体"/>
          <w:b/>
          <w:color w:val="auto"/>
        </w:rPr>
        <w:t>：</w:t>
      </w:r>
    </w:p>
    <w:p>
      <w:pPr>
        <w:pStyle w:val="26"/>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桐庐县交警大队在全县各个交通主要路口都安装了交通管理设备、视频监控设备及其他应用设备，所有的设备都需要通过联网由交警大队指挥中心统一控制管理，必须通过租用服务商的链路才能达到联网需求。</w:t>
      </w:r>
    </w:p>
    <w:p>
      <w:pPr>
        <w:pStyle w:val="26"/>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通过继续购买对现有服务商提供的VPN专线、视频监控服务、裸光纤、党政网等，实现对各交通要道所有设备的联网，实现远程统一集中管控，为桐庐县的交通次序管理、交通事故的预防、处理、治安防控、侦查破案、服务民生等发挥重要作用。</w:t>
      </w:r>
    </w:p>
    <w:p>
      <w:pPr>
        <w:rPr>
          <w:rFonts w:hint="eastAsia"/>
          <w:color w:val="auto"/>
          <w:lang w:val="en-US" w:eastAsia="zh-CN"/>
        </w:rPr>
      </w:pPr>
    </w:p>
    <w:p>
      <w:pPr>
        <w:pStyle w:val="26"/>
        <w:spacing w:line="360" w:lineRule="auto"/>
        <w:ind w:firstLine="0" w:firstLineChars="0"/>
        <w:rPr>
          <w:rFonts w:hint="eastAsia" w:eastAsia="宋体" w:cs="宋体"/>
          <w:b/>
          <w:color w:val="auto"/>
          <w:lang w:eastAsia="zh-CN"/>
        </w:rPr>
      </w:pPr>
      <w:r>
        <w:rPr>
          <w:rFonts w:hint="eastAsia" w:cs="宋体"/>
          <w:b/>
          <w:color w:val="auto"/>
          <w:lang w:val="en-US" w:eastAsia="zh-CN"/>
        </w:rPr>
        <w:t>三</w:t>
      </w:r>
      <w:r>
        <w:rPr>
          <w:rFonts w:hint="eastAsia" w:cs="宋体"/>
          <w:b/>
          <w:color w:val="auto"/>
        </w:rPr>
        <w:t>、服务</w:t>
      </w:r>
      <w:r>
        <w:rPr>
          <w:rFonts w:hint="eastAsia" w:cs="宋体"/>
          <w:b/>
          <w:color w:val="auto"/>
          <w:lang w:val="en-US" w:eastAsia="zh-CN"/>
        </w:rPr>
        <w:t>参数</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309"/>
        <w:gridCol w:w="2479"/>
        <w:gridCol w:w="1059"/>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vAlign w:val="center"/>
          </w:tcPr>
          <w:p>
            <w:pPr>
              <w:ind w:firstLine="0" w:firstLineChars="0"/>
              <w:jc w:val="center"/>
              <w:rPr>
                <w:rFonts w:ascii="宋体" w:hAnsi="宋体"/>
                <w:b/>
                <w:bCs/>
                <w:color w:val="auto"/>
                <w:sz w:val="24"/>
              </w:rPr>
            </w:pPr>
            <w:r>
              <w:rPr>
                <w:rFonts w:hint="eastAsia" w:ascii="宋体" w:hAnsi="宋体"/>
                <w:b/>
                <w:bCs/>
                <w:color w:val="auto"/>
                <w:sz w:val="24"/>
              </w:rPr>
              <w:t>序号</w:t>
            </w:r>
          </w:p>
        </w:tc>
        <w:tc>
          <w:tcPr>
            <w:tcW w:w="770" w:type="pct"/>
            <w:vAlign w:val="center"/>
          </w:tcPr>
          <w:p>
            <w:pPr>
              <w:ind w:firstLine="0" w:firstLineChars="0"/>
              <w:jc w:val="center"/>
              <w:rPr>
                <w:rFonts w:ascii="宋体" w:hAnsi="宋体"/>
                <w:b/>
                <w:bCs/>
                <w:color w:val="auto"/>
                <w:sz w:val="24"/>
              </w:rPr>
            </w:pPr>
            <w:r>
              <w:rPr>
                <w:rFonts w:hint="eastAsia" w:ascii="宋体" w:hAnsi="宋体"/>
                <w:b/>
                <w:bCs/>
                <w:color w:val="auto"/>
                <w:sz w:val="24"/>
              </w:rPr>
              <w:t>服务名称</w:t>
            </w:r>
          </w:p>
        </w:tc>
        <w:tc>
          <w:tcPr>
            <w:tcW w:w="1459" w:type="pct"/>
            <w:vAlign w:val="center"/>
          </w:tcPr>
          <w:p>
            <w:pPr>
              <w:ind w:firstLine="0" w:firstLineChars="0"/>
              <w:jc w:val="center"/>
              <w:rPr>
                <w:rFonts w:ascii="宋体" w:hAnsi="宋体"/>
                <w:b/>
                <w:bCs/>
                <w:color w:val="auto"/>
                <w:sz w:val="24"/>
              </w:rPr>
            </w:pPr>
            <w:r>
              <w:rPr>
                <w:rFonts w:hint="eastAsia" w:ascii="宋体" w:hAnsi="宋体"/>
                <w:b/>
                <w:bCs/>
                <w:color w:val="auto"/>
                <w:sz w:val="24"/>
              </w:rPr>
              <w:t>服务内容</w:t>
            </w:r>
          </w:p>
        </w:tc>
        <w:tc>
          <w:tcPr>
            <w:tcW w:w="623" w:type="pct"/>
            <w:vAlign w:val="center"/>
          </w:tcPr>
          <w:p>
            <w:pPr>
              <w:ind w:firstLine="0" w:firstLineChars="0"/>
              <w:jc w:val="center"/>
              <w:rPr>
                <w:rFonts w:ascii="宋体" w:hAnsi="宋体"/>
                <w:b/>
                <w:bCs/>
                <w:color w:val="auto"/>
                <w:sz w:val="24"/>
              </w:rPr>
            </w:pPr>
            <w:r>
              <w:rPr>
                <w:rFonts w:hint="eastAsia" w:ascii="宋体" w:hAnsi="宋体"/>
                <w:b/>
                <w:bCs/>
                <w:color w:val="auto"/>
                <w:sz w:val="24"/>
              </w:rPr>
              <w:t>数量</w:t>
            </w:r>
          </w:p>
        </w:tc>
        <w:tc>
          <w:tcPr>
            <w:tcW w:w="1687" w:type="pct"/>
            <w:vAlign w:val="center"/>
          </w:tcPr>
          <w:p>
            <w:pPr>
              <w:ind w:firstLine="0" w:firstLineChars="0"/>
              <w:jc w:val="center"/>
              <w:rPr>
                <w:rFonts w:ascii="宋体" w:hAnsi="宋体"/>
                <w:b/>
                <w:bCs/>
                <w:color w:val="auto"/>
                <w:sz w:val="24"/>
              </w:rPr>
            </w:pPr>
            <w:r>
              <w:rPr>
                <w:rFonts w:hint="eastAsia" w:ascii="宋体" w:hAnsi="宋体"/>
                <w:b/>
                <w:bCs/>
                <w:color w:val="auto"/>
                <w:sz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58" w:type="pct"/>
            <w:vAlign w:val="center"/>
          </w:tcPr>
          <w:p>
            <w:pPr>
              <w:pStyle w:val="803"/>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w:t>
            </w:r>
          </w:p>
        </w:tc>
        <w:tc>
          <w:tcPr>
            <w:tcW w:w="770" w:type="pct"/>
            <w:vAlign w:val="center"/>
          </w:tcPr>
          <w:p>
            <w:pPr>
              <w:pStyle w:val="803"/>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VPN网</w:t>
            </w:r>
          </w:p>
        </w:tc>
        <w:tc>
          <w:tcPr>
            <w:tcW w:w="1459" w:type="pct"/>
            <w:vMerge w:val="restart"/>
            <w:vAlign w:val="center"/>
          </w:tcPr>
          <w:p>
            <w:pPr>
              <w:ind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VPN专线主要用于桐庐交警红绿灯、电子警察、卡口、违停抓拍、逆向抓拍设备等，通过VPN专线达到联网需求。</w:t>
            </w:r>
          </w:p>
        </w:tc>
        <w:tc>
          <w:tcPr>
            <w:tcW w:w="623" w:type="pct"/>
            <w:vAlign w:val="center"/>
          </w:tcPr>
          <w:p>
            <w:pPr>
              <w:pStyle w:val="803"/>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352条</w:t>
            </w:r>
          </w:p>
        </w:tc>
        <w:tc>
          <w:tcPr>
            <w:tcW w:w="1687" w:type="pct"/>
            <w:vAlign w:val="center"/>
          </w:tcPr>
          <w:p>
            <w:pPr>
              <w:widowControl/>
              <w:ind w:firstLine="0" w:firstLineChars="0"/>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2023.7.1—2026.6.30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vAlign w:val="center"/>
          </w:tcPr>
          <w:p>
            <w:pPr>
              <w:pStyle w:val="803"/>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w:t>
            </w:r>
          </w:p>
        </w:tc>
        <w:tc>
          <w:tcPr>
            <w:tcW w:w="770" w:type="pct"/>
            <w:vAlign w:val="center"/>
          </w:tcPr>
          <w:p>
            <w:pPr>
              <w:pStyle w:val="803"/>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VPN网</w:t>
            </w:r>
          </w:p>
        </w:tc>
        <w:tc>
          <w:tcPr>
            <w:tcW w:w="1459" w:type="pct"/>
            <w:vMerge w:val="continue"/>
            <w:vAlign w:val="center"/>
          </w:tcPr>
          <w:p>
            <w:pPr>
              <w:ind w:firstLine="480"/>
              <w:rPr>
                <w:rFonts w:hint="eastAsia" w:ascii="宋体" w:hAnsi="宋体" w:eastAsia="宋体" w:cs="宋体"/>
                <w:color w:val="auto"/>
                <w:kern w:val="0"/>
                <w:sz w:val="24"/>
                <w:szCs w:val="24"/>
                <w:lang w:val="en-US" w:eastAsia="zh-CN" w:bidi="ar-SA"/>
              </w:rPr>
            </w:pPr>
          </w:p>
        </w:tc>
        <w:tc>
          <w:tcPr>
            <w:tcW w:w="623" w:type="pct"/>
            <w:vAlign w:val="center"/>
          </w:tcPr>
          <w:p>
            <w:pPr>
              <w:pStyle w:val="803"/>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90条</w:t>
            </w:r>
          </w:p>
        </w:tc>
        <w:tc>
          <w:tcPr>
            <w:tcW w:w="1687" w:type="pct"/>
            <w:vAlign w:val="center"/>
          </w:tcPr>
          <w:p>
            <w:pPr>
              <w:widowControl/>
              <w:ind w:firstLine="0" w:firstLineChars="0"/>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2024.1.1—2026.6.30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vAlign w:val="center"/>
          </w:tcPr>
          <w:p>
            <w:pPr>
              <w:pStyle w:val="803"/>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w:t>
            </w:r>
          </w:p>
        </w:tc>
        <w:tc>
          <w:tcPr>
            <w:tcW w:w="770" w:type="pct"/>
            <w:vAlign w:val="center"/>
          </w:tcPr>
          <w:p>
            <w:pPr>
              <w:pStyle w:val="803"/>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视频监控</w:t>
            </w:r>
          </w:p>
        </w:tc>
        <w:tc>
          <w:tcPr>
            <w:tcW w:w="1459" w:type="pct"/>
            <w:vAlign w:val="center"/>
          </w:tcPr>
          <w:p>
            <w:pPr>
              <w:ind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桐庐交警违停监控、礼让行人监控、省道监控、大桥监控等</w:t>
            </w:r>
          </w:p>
        </w:tc>
        <w:tc>
          <w:tcPr>
            <w:tcW w:w="623" w:type="pct"/>
            <w:vAlign w:val="center"/>
          </w:tcPr>
          <w:p>
            <w:pPr>
              <w:pStyle w:val="803"/>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99路</w:t>
            </w:r>
          </w:p>
        </w:tc>
        <w:tc>
          <w:tcPr>
            <w:tcW w:w="1687" w:type="pct"/>
            <w:vAlign w:val="center"/>
          </w:tcPr>
          <w:p>
            <w:pPr>
              <w:widowControl/>
              <w:ind w:firstLine="0" w:firstLineChars="0"/>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2023.12.11—2026.6.30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vAlign w:val="center"/>
          </w:tcPr>
          <w:p>
            <w:pPr>
              <w:pStyle w:val="803"/>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w:t>
            </w:r>
          </w:p>
        </w:tc>
        <w:tc>
          <w:tcPr>
            <w:tcW w:w="770" w:type="pct"/>
            <w:vAlign w:val="center"/>
          </w:tcPr>
          <w:p>
            <w:pPr>
              <w:pStyle w:val="803"/>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视频监控</w:t>
            </w:r>
          </w:p>
        </w:tc>
        <w:tc>
          <w:tcPr>
            <w:tcW w:w="1459" w:type="pct"/>
            <w:vAlign w:val="center"/>
          </w:tcPr>
          <w:p>
            <w:pPr>
              <w:ind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桐庐交警隧道监控、高空监控、红绿灯监控等。</w:t>
            </w:r>
          </w:p>
        </w:tc>
        <w:tc>
          <w:tcPr>
            <w:tcW w:w="623" w:type="pct"/>
            <w:vAlign w:val="center"/>
          </w:tcPr>
          <w:p>
            <w:pPr>
              <w:pStyle w:val="803"/>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12路</w:t>
            </w:r>
          </w:p>
        </w:tc>
        <w:tc>
          <w:tcPr>
            <w:tcW w:w="1687" w:type="pct"/>
            <w:vAlign w:val="center"/>
          </w:tcPr>
          <w:p>
            <w:pPr>
              <w:widowControl/>
              <w:ind w:firstLine="0" w:firstLineChars="0"/>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2024.1.1—2026.6.30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vAlign w:val="center"/>
          </w:tcPr>
          <w:p>
            <w:pPr>
              <w:pStyle w:val="803"/>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w:t>
            </w:r>
          </w:p>
        </w:tc>
        <w:tc>
          <w:tcPr>
            <w:tcW w:w="770" w:type="pct"/>
            <w:vAlign w:val="center"/>
          </w:tcPr>
          <w:p>
            <w:pPr>
              <w:pStyle w:val="803"/>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裸光纤</w:t>
            </w:r>
          </w:p>
        </w:tc>
        <w:tc>
          <w:tcPr>
            <w:tcW w:w="1459" w:type="pct"/>
            <w:vAlign w:val="center"/>
          </w:tcPr>
          <w:p>
            <w:pPr>
              <w:pStyle w:val="803"/>
              <w:ind w:firstLine="0" w:firstLineChars="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用于6个交警中队和1个车管所办公业务</w:t>
            </w:r>
          </w:p>
        </w:tc>
        <w:tc>
          <w:tcPr>
            <w:tcW w:w="623" w:type="pct"/>
            <w:vAlign w:val="center"/>
          </w:tcPr>
          <w:p>
            <w:pPr>
              <w:pStyle w:val="803"/>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7条</w:t>
            </w:r>
          </w:p>
        </w:tc>
        <w:tc>
          <w:tcPr>
            <w:tcW w:w="1687" w:type="pct"/>
            <w:vAlign w:val="center"/>
          </w:tcPr>
          <w:p>
            <w:pPr>
              <w:widowControl/>
              <w:ind w:firstLine="0" w:firstLineChars="0"/>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2024.1.1—2026.6.30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vAlign w:val="center"/>
          </w:tcPr>
          <w:p>
            <w:pPr>
              <w:pStyle w:val="803"/>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w:t>
            </w:r>
          </w:p>
        </w:tc>
        <w:tc>
          <w:tcPr>
            <w:tcW w:w="770" w:type="pct"/>
            <w:vAlign w:val="center"/>
          </w:tcPr>
          <w:p>
            <w:pPr>
              <w:pStyle w:val="803"/>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党政网</w:t>
            </w:r>
          </w:p>
        </w:tc>
        <w:tc>
          <w:tcPr>
            <w:tcW w:w="1459" w:type="pct"/>
          </w:tcPr>
          <w:p>
            <w:pPr>
              <w:pStyle w:val="803"/>
              <w:ind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用于交警大队新大楼办公业务</w:t>
            </w:r>
          </w:p>
        </w:tc>
        <w:tc>
          <w:tcPr>
            <w:tcW w:w="623" w:type="pct"/>
            <w:vAlign w:val="center"/>
          </w:tcPr>
          <w:p>
            <w:pPr>
              <w:pStyle w:val="803"/>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1条</w:t>
            </w:r>
          </w:p>
        </w:tc>
        <w:tc>
          <w:tcPr>
            <w:tcW w:w="1687" w:type="pct"/>
            <w:vAlign w:val="center"/>
          </w:tcPr>
          <w:p>
            <w:pPr>
              <w:widowControl/>
              <w:ind w:firstLine="0" w:firstLineChars="0"/>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2024.1.1—2026.6.30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vAlign w:val="center"/>
          </w:tcPr>
          <w:p>
            <w:pPr>
              <w:pStyle w:val="803"/>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7</w:t>
            </w:r>
          </w:p>
        </w:tc>
        <w:tc>
          <w:tcPr>
            <w:tcW w:w="770" w:type="pct"/>
            <w:vAlign w:val="center"/>
          </w:tcPr>
          <w:p>
            <w:pPr>
              <w:pStyle w:val="803"/>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因特网</w:t>
            </w:r>
          </w:p>
        </w:tc>
        <w:tc>
          <w:tcPr>
            <w:tcW w:w="1459" w:type="pct"/>
          </w:tcPr>
          <w:p>
            <w:pPr>
              <w:pStyle w:val="803"/>
              <w:ind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互联网专线100M用于交警大队新大楼、交警大队老大楼、江南中队办公业务</w:t>
            </w:r>
          </w:p>
        </w:tc>
        <w:tc>
          <w:tcPr>
            <w:tcW w:w="623" w:type="pct"/>
            <w:vAlign w:val="center"/>
          </w:tcPr>
          <w:p>
            <w:pPr>
              <w:pStyle w:val="803"/>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3条</w:t>
            </w:r>
          </w:p>
        </w:tc>
        <w:tc>
          <w:tcPr>
            <w:tcW w:w="1687" w:type="pct"/>
            <w:vAlign w:val="center"/>
          </w:tcPr>
          <w:p>
            <w:pPr>
              <w:widowControl/>
              <w:ind w:firstLine="0" w:firstLineChars="0"/>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2024.1.1—2026.6.30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vAlign w:val="center"/>
          </w:tcPr>
          <w:p>
            <w:pPr>
              <w:pStyle w:val="803"/>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8</w:t>
            </w:r>
          </w:p>
        </w:tc>
        <w:tc>
          <w:tcPr>
            <w:tcW w:w="770" w:type="pct"/>
            <w:vAlign w:val="center"/>
          </w:tcPr>
          <w:p>
            <w:pPr>
              <w:pStyle w:val="803"/>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公安网</w:t>
            </w:r>
          </w:p>
        </w:tc>
        <w:tc>
          <w:tcPr>
            <w:tcW w:w="1459" w:type="pct"/>
            <w:vAlign w:val="center"/>
          </w:tcPr>
          <w:p>
            <w:pPr>
              <w:pStyle w:val="803"/>
              <w:ind w:firstLine="0" w:firstLineChars="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VPN专线100M用于老交警大队办公业务</w:t>
            </w:r>
          </w:p>
        </w:tc>
        <w:tc>
          <w:tcPr>
            <w:tcW w:w="623" w:type="pct"/>
            <w:vAlign w:val="center"/>
          </w:tcPr>
          <w:p>
            <w:pPr>
              <w:pStyle w:val="803"/>
              <w:ind w:firstLine="0" w:firstLine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1条</w:t>
            </w:r>
          </w:p>
        </w:tc>
        <w:tc>
          <w:tcPr>
            <w:tcW w:w="1687" w:type="pct"/>
            <w:vAlign w:val="center"/>
          </w:tcPr>
          <w:p>
            <w:pPr>
              <w:widowControl/>
              <w:ind w:firstLine="0" w:firstLineChars="0"/>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2024.1.1—2026.6.30</w:t>
            </w:r>
          </w:p>
        </w:tc>
      </w:tr>
    </w:tbl>
    <w:p>
      <w:pPr>
        <w:pStyle w:val="23"/>
        <w:ind w:firstLine="0" w:firstLineChars="0"/>
        <w:rPr>
          <w:color w:val="auto"/>
          <w:highlight w:val="yellow"/>
          <w:lang w:val="en-US"/>
        </w:rPr>
      </w:pPr>
    </w:p>
    <w:p>
      <w:pPr>
        <w:pStyle w:val="26"/>
        <w:spacing w:line="360" w:lineRule="auto"/>
        <w:ind w:firstLine="0" w:firstLineChars="0"/>
        <w:rPr>
          <w:rFonts w:hint="eastAsia" w:cs="宋体"/>
          <w:b/>
          <w:color w:val="auto"/>
          <w:lang w:val="en-US" w:eastAsia="zh-CN"/>
        </w:rPr>
      </w:pPr>
      <w:r>
        <w:rPr>
          <w:rFonts w:hint="eastAsia" w:cs="宋体"/>
          <w:b/>
          <w:color w:val="auto"/>
          <w:lang w:val="en-US" w:eastAsia="zh-CN"/>
        </w:rPr>
        <w:t>四、其他技术及商务条款</w:t>
      </w:r>
    </w:p>
    <w:p>
      <w:pPr>
        <w:pStyle w:val="26"/>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（一）项目执行：</w:t>
      </w:r>
    </w:p>
    <w:p>
      <w:pPr>
        <w:pStyle w:val="26"/>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1、供货时间（项目工期）：项目中标后15天内提供项目所有的服务，保证本项目所有业务正常运行。</w:t>
      </w:r>
    </w:p>
    <w:p>
      <w:pPr>
        <w:pStyle w:val="26"/>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2、供货地点（项目地点）：桐庐</w:t>
      </w:r>
    </w:p>
    <w:p>
      <w:pPr>
        <w:pStyle w:val="26"/>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3、付款条件</w:t>
      </w:r>
    </w:p>
    <w:p>
      <w:pPr>
        <w:pStyle w:val="26"/>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合同签订及付款方式：服务商项目合同签订后通过后按服务期每年支付相应服务费用，具体以合同为准。</w:t>
      </w:r>
    </w:p>
    <w:p>
      <w:pPr>
        <w:pStyle w:val="26"/>
        <w:numPr>
          <w:ilvl w:val="0"/>
          <w:numId w:val="1"/>
        </w:numP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履约保证金：签订合同时，中标人缴纳合同价的0.1%作为履约保证金，验收合格后无息退还。履约保证金可以以保函形式提交。</w:t>
      </w:r>
    </w:p>
    <w:p>
      <w:pPr>
        <w:numPr>
          <w:ilvl w:val="0"/>
          <w:numId w:val="0"/>
        </w:numP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5、服务期内如采购人要求增加VPN网、视频监控、裸光纤、党政网、因特网、公安网服务的项目按照此中标单价执行。增加的金额不超过合同总价的10%。</w:t>
      </w:r>
    </w:p>
    <w:p>
      <w:pPr>
        <w:pStyle w:val="26"/>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（二）服务商要求</w:t>
      </w:r>
    </w:p>
    <w:p>
      <w:pPr>
        <w:pStyle w:val="26"/>
        <w:rPr>
          <w:rFonts w:hint="eastAsia" w:ascii="Times New Roman" w:hAnsi="Times New Roman" w:cs="Times New Roman"/>
          <w:highlight w:val="none"/>
          <w:lang w:val="en-US" w:eastAsia="zh-CN"/>
        </w:rPr>
      </w:pPr>
      <w:r>
        <w:rPr>
          <w:rFonts w:hint="eastAsia" w:ascii="宋体" w:hAnsi="宋体" w:eastAsia="宋体" w:cs="宋体"/>
          <w:color w:val="auto"/>
          <w:kern w:val="0"/>
          <w:sz w:val="24"/>
          <w:szCs w:val="24"/>
          <w:lang w:val="en-US" w:eastAsia="zh-CN" w:bidi="ar-SA"/>
        </w:rPr>
        <w:t>服务商要有运维的专业队伍，能够提供及时优质的运维服务，保障系统正</w:t>
      </w:r>
      <w:r>
        <w:rPr>
          <w:rFonts w:hint="eastAsia" w:ascii="宋体" w:hAnsi="宋体" w:eastAsia="宋体" w:cs="宋体"/>
          <w:color w:val="auto"/>
          <w:kern w:val="0"/>
          <w:sz w:val="24"/>
          <w:szCs w:val="24"/>
          <w:highlight w:val="none"/>
          <w:lang w:val="en-US" w:eastAsia="zh-CN" w:bidi="ar-SA"/>
        </w:rPr>
        <w:t>常运营。</w:t>
      </w:r>
      <w:r>
        <w:rPr>
          <w:rFonts w:hint="eastAsia" w:cs="宋体"/>
          <w:color w:val="auto"/>
          <w:kern w:val="0"/>
          <w:sz w:val="24"/>
          <w:szCs w:val="24"/>
          <w:highlight w:val="none"/>
          <w:lang w:val="en-US" w:eastAsia="zh-CN" w:bidi="ar-SA"/>
        </w:rPr>
        <w:t>需要提供本项目</w:t>
      </w:r>
      <w:r>
        <w:rPr>
          <w:rFonts w:hint="eastAsia" w:ascii="Times New Roman" w:hAnsi="Times New Roman" w:eastAsia="宋体" w:cs="Times New Roman"/>
          <w:highlight w:val="none"/>
        </w:rPr>
        <w:t>服务人员配置</w:t>
      </w:r>
      <w:r>
        <w:rPr>
          <w:rFonts w:hint="eastAsia" w:ascii="Times New Roman" w:hAnsi="Times New Roman" w:cs="Times New Roman"/>
          <w:highlight w:val="none"/>
          <w:lang w:val="en-US" w:eastAsia="zh-CN"/>
        </w:rPr>
        <w:t>名单。</w:t>
      </w:r>
    </w:p>
    <w:p>
      <w:pPr>
        <w:pStyle w:val="26"/>
        <w:rPr>
          <w:rFonts w:hint="eastAsia" w:ascii="宋体" w:hAnsi="宋体" w:eastAsia="宋体" w:cs="宋体"/>
          <w:color w:val="auto"/>
          <w:kern w:val="0"/>
          <w:sz w:val="24"/>
          <w:szCs w:val="24"/>
          <w:highlight w:val="none"/>
          <w:lang w:val="en-US" w:eastAsia="zh-CN" w:bidi="ar-SA"/>
        </w:rPr>
      </w:pPr>
      <w:r>
        <w:rPr>
          <w:rFonts w:hint="eastAsia" w:ascii="Times New Roman" w:hAnsi="Times New Roman" w:eastAsia="宋体" w:cs="Times New Roman"/>
          <w:highlight w:val="none"/>
        </w:rPr>
        <w:t>投标人</w:t>
      </w:r>
      <w:r>
        <w:rPr>
          <w:rFonts w:hint="eastAsia" w:ascii="Times New Roman" w:hAnsi="Times New Roman" w:cs="Times New Roman"/>
          <w:highlight w:val="none"/>
          <w:lang w:val="en-US" w:eastAsia="zh-CN"/>
        </w:rPr>
        <w:t>需</w:t>
      </w:r>
      <w:r>
        <w:rPr>
          <w:rFonts w:hint="eastAsia" w:ascii="Times New Roman" w:hAnsi="Times New Roman" w:eastAsia="宋体" w:cs="Times New Roman"/>
          <w:highlight w:val="none"/>
        </w:rPr>
        <w:t>配置自有的售后服务车辆（须为运维专用车辆，能够随车带梯子、备件等维修工具的工程车或面包车，不能用商务车或轿车）</w:t>
      </w:r>
      <w:r>
        <w:rPr>
          <w:rFonts w:hint="eastAsia" w:ascii="Times New Roman" w:hAnsi="Times New Roman" w:cs="Times New Roman"/>
          <w:highlight w:val="none"/>
          <w:lang w:eastAsia="zh-CN"/>
        </w:rPr>
        <w:t>。</w:t>
      </w:r>
    </w:p>
    <w:p>
      <w:pPr>
        <w:pStyle w:val="26"/>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（三）售后服务：</w:t>
      </w:r>
    </w:p>
    <w:p>
      <w:pPr>
        <w:pStyle w:val="26"/>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1、服务期：本项目服务期三年。</w:t>
      </w:r>
    </w:p>
    <w:p>
      <w:pPr>
        <w:pStyle w:val="26"/>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售后服务响应时间：服务商须设立售后服务中心并配备专人值班，提供7*12小时响应服务，紧急情况提供7*24小时响应服务；如遇特别活动、重大节日、突发性事件或台风等自然灾害天气的，供应商配合业主工作；</w:t>
      </w:r>
    </w:p>
    <w:p>
      <w:pPr>
        <w:pStyle w:val="26"/>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项目维护计划：</w:t>
      </w:r>
    </w:p>
    <w:p>
      <w:pPr>
        <w:pStyle w:val="26"/>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1）对用户安排的系统操作人员将进行免费的技术培训和提供技术咨询电话。</w:t>
      </w:r>
    </w:p>
    <w:p>
      <w:pPr>
        <w:pStyle w:val="26"/>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2）故障响应：在发现故障后，服务商必须指定技术人员在4小时内到达故障现场。</w:t>
      </w:r>
    </w:p>
    <w:p>
      <w:pPr>
        <w:pStyle w:val="26"/>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3）故障修复：到达事故现场后，4小时内修复 。</w:t>
      </w:r>
    </w:p>
    <w:p>
      <w:pPr>
        <w:pStyle w:val="26"/>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服务商需全面负责vpn链路、视频监控系统平台的运行维护，承担服务期内的所有设备的维护和更换等，确保vpn链路、及各监控设备运行正常。所有与本项目视频监控系统相关的视频监控平台、供电系统、综合布线系统及系统硬件设备等故障维修、配件或设备更换、每月视频监控系统及通讯服务链路巡检等均由服务商负责。对服务商要求包括（包含但不限于）：</w:t>
      </w:r>
    </w:p>
    <w:p>
      <w:pPr>
        <w:pStyle w:val="26"/>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a、供应商应有完善的售后服务体系。</w:t>
      </w:r>
    </w:p>
    <w:p>
      <w:pPr>
        <w:pStyle w:val="26"/>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b、制定运行管理规章制度和操作规程。</w:t>
      </w:r>
    </w:p>
    <w:p>
      <w:pPr>
        <w:pStyle w:val="26"/>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c、日常维护。保持系统的工作环境，使系统始终处于正常状态。</w:t>
      </w:r>
    </w:p>
    <w:p>
      <w:pPr>
        <w:pStyle w:val="26"/>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d、服务商需具备项目维护经验，并有相关人员及车辆配置。</w:t>
      </w:r>
    </w:p>
    <w:p>
      <w:pPr>
        <w:pStyle w:val="26"/>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e、服务商根据公安考核要对</w:t>
      </w:r>
      <w:r>
        <w:rPr>
          <w:rFonts w:hint="eastAsia" w:ascii="宋体" w:hAnsi="宋体" w:eastAsia="宋体" w:cs="宋体"/>
          <w:color w:val="auto"/>
          <w:kern w:val="0"/>
          <w:sz w:val="24"/>
          <w:szCs w:val="24"/>
          <w:lang w:val="zh-CN" w:eastAsia="zh-CN" w:bidi="ar-SA"/>
        </w:rPr>
        <w:t>视频监控平台及链路、监控现场数字高清摄像机和数字高清解码器设备</w:t>
      </w:r>
      <w:r>
        <w:rPr>
          <w:rFonts w:hint="eastAsia" w:ascii="宋体" w:hAnsi="宋体" w:eastAsia="宋体" w:cs="宋体"/>
          <w:color w:val="auto"/>
          <w:kern w:val="0"/>
          <w:sz w:val="24"/>
          <w:szCs w:val="24"/>
          <w:lang w:val="en-US" w:eastAsia="zh-CN" w:bidi="ar-SA"/>
        </w:rPr>
        <w:t>进行定期检修、设备维护，消除系统隐患。</w:t>
      </w:r>
    </w:p>
    <w:p>
      <w:pPr>
        <w:pStyle w:val="26"/>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f、服务商及时排除系统运行过程中链路、前端设备、综合布线系统故障。</w:t>
      </w:r>
    </w:p>
    <w:p>
      <w:pPr>
        <w:pStyle w:val="26"/>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g、配合业主进行</w:t>
      </w:r>
      <w:r>
        <w:rPr>
          <w:rFonts w:hint="eastAsia" w:ascii="宋体" w:hAnsi="宋体" w:eastAsia="宋体" w:cs="宋体"/>
          <w:color w:val="auto"/>
          <w:kern w:val="0"/>
          <w:sz w:val="24"/>
          <w:szCs w:val="24"/>
          <w:lang w:val="zh-CN" w:eastAsia="zh-CN" w:bidi="ar-SA"/>
        </w:rPr>
        <w:t>视频监控系统运行</w:t>
      </w:r>
      <w:r>
        <w:rPr>
          <w:rFonts w:hint="eastAsia" w:ascii="宋体" w:hAnsi="宋体" w:eastAsia="宋体" w:cs="宋体"/>
          <w:color w:val="auto"/>
          <w:kern w:val="0"/>
          <w:sz w:val="24"/>
          <w:szCs w:val="24"/>
          <w:lang w:val="en-US" w:eastAsia="zh-CN" w:bidi="ar-SA"/>
        </w:rPr>
        <w:t>质量保证工作。</w:t>
      </w:r>
    </w:p>
    <w:p>
      <w:pPr>
        <w:rPr>
          <w:rFonts w:hint="eastAsia"/>
          <w:color w:val="auto"/>
          <w:lang w:val="en-US" w:eastAsia="zh-CN"/>
        </w:rPr>
      </w:pPr>
    </w:p>
    <w:p>
      <w:pPr>
        <w:rPr>
          <w:rFonts w:hint="eastAsia"/>
          <w:color w:val="auto"/>
        </w:rPr>
      </w:pPr>
    </w:p>
    <w:p>
      <w:pPr>
        <w:rPr>
          <w:rFonts w:hint="eastAsia"/>
          <w:color w:val="auto"/>
        </w:rPr>
      </w:pPr>
    </w:p>
    <w:p>
      <w:pPr>
        <w:rPr>
          <w:color w:val="auto"/>
        </w:rPr>
      </w:pPr>
    </w:p>
    <w:p>
      <w:pPr>
        <w:widowControl/>
        <w:ind w:firstLine="720" w:firstLineChars="300"/>
        <w:jc w:val="left"/>
        <w:rPr>
          <w:rFonts w:ascii="宋体" w:hAnsi="宋体" w:cs="宋体"/>
          <w:bCs/>
          <w:color w:val="auto"/>
          <w:sz w:val="24"/>
        </w:rPr>
      </w:pPr>
    </w:p>
    <w:p>
      <w:pPr>
        <w:rPr>
          <w:rFonts w:ascii="宋体" w:hAnsi="宋体" w:cs="宋体"/>
          <w:snapToGrid w:val="0"/>
          <w:color w:val="auto"/>
          <w:kern w:val="0"/>
          <w:sz w:val="24"/>
        </w:rPr>
      </w:pPr>
      <w:r>
        <w:rPr>
          <w:rFonts w:hint="eastAsia" w:ascii="宋体" w:hAnsi="宋体" w:cs="宋体"/>
          <w:snapToGrid w:val="0"/>
          <w:color w:val="auto"/>
          <w:kern w:val="0"/>
          <w:sz w:val="24"/>
        </w:rPr>
        <w:tab/>
      </w:r>
    </w:p>
    <w:p>
      <w:pPr>
        <w:spacing w:line="360" w:lineRule="auto"/>
        <w:jc w:val="center"/>
        <w:outlineLvl w:val="0"/>
        <w:rPr>
          <w:rFonts w:ascii="宋体" w:hAnsi="宋体" w:cs="宋体"/>
          <w:b/>
          <w:color w:val="auto"/>
          <w:sz w:val="36"/>
          <w:szCs w:val="36"/>
        </w:rPr>
      </w:pPr>
      <w:r>
        <w:rPr>
          <w:rFonts w:hint="eastAsia" w:ascii="宋体" w:hAnsi="宋体" w:cs="宋体"/>
          <w:b/>
          <w:color w:val="auto"/>
          <w:sz w:val="24"/>
        </w:rPr>
        <w:br w:type="page"/>
      </w:r>
      <w:r>
        <w:rPr>
          <w:rFonts w:hint="eastAsia" w:ascii="宋体" w:hAnsi="宋体" w:cs="宋体"/>
          <w:b/>
          <w:color w:val="auto"/>
          <w:sz w:val="36"/>
          <w:szCs w:val="36"/>
        </w:rPr>
        <w:t xml:space="preserve">第四部分   </w:t>
      </w:r>
      <w:bookmarkStart w:id="29" w:name="_Toc184312077"/>
      <w:bookmarkEnd w:id="29"/>
      <w:bookmarkStart w:id="30" w:name="_Toc184313248"/>
      <w:bookmarkEnd w:id="30"/>
      <w:bookmarkStart w:id="31" w:name="_Toc184310279"/>
      <w:bookmarkEnd w:id="31"/>
      <w:bookmarkStart w:id="32" w:name="_Toc184314429"/>
      <w:bookmarkEnd w:id="32"/>
      <w:bookmarkStart w:id="33" w:name="_Toc184314478"/>
      <w:bookmarkEnd w:id="33"/>
      <w:bookmarkStart w:id="34" w:name="_Toc184312083"/>
      <w:bookmarkEnd w:id="34"/>
      <w:bookmarkStart w:id="35" w:name="_Toc184313277"/>
      <w:bookmarkEnd w:id="35"/>
      <w:bookmarkStart w:id="36" w:name="_Toc184312129"/>
      <w:bookmarkEnd w:id="36"/>
      <w:bookmarkStart w:id="37" w:name="_Toc184313292"/>
      <w:bookmarkEnd w:id="37"/>
      <w:bookmarkStart w:id="38" w:name="_Toc184312125"/>
      <w:bookmarkEnd w:id="38"/>
      <w:bookmarkStart w:id="39" w:name="_Toc184312105"/>
      <w:bookmarkEnd w:id="39"/>
      <w:bookmarkStart w:id="40" w:name="_Toc184312116"/>
      <w:bookmarkEnd w:id="40"/>
      <w:bookmarkStart w:id="41" w:name="_Toc184313270"/>
      <w:bookmarkEnd w:id="41"/>
      <w:bookmarkStart w:id="42" w:name="_Toc184313283"/>
      <w:bookmarkEnd w:id="42"/>
      <w:bookmarkStart w:id="43" w:name="_Toc184310272"/>
      <w:bookmarkEnd w:id="43"/>
      <w:bookmarkStart w:id="44" w:name="_Toc184313244"/>
      <w:bookmarkEnd w:id="44"/>
      <w:bookmarkStart w:id="45" w:name="_Toc184313293"/>
      <w:bookmarkEnd w:id="45"/>
      <w:bookmarkStart w:id="46" w:name="_Toc184313240"/>
      <w:bookmarkEnd w:id="46"/>
      <w:bookmarkStart w:id="47" w:name="_Toc184308101"/>
      <w:bookmarkEnd w:id="47"/>
      <w:bookmarkStart w:id="48" w:name="_Toc184310291"/>
      <w:bookmarkEnd w:id="48"/>
      <w:bookmarkStart w:id="49" w:name="_Toc184312094"/>
      <w:bookmarkEnd w:id="49"/>
      <w:bookmarkStart w:id="50" w:name="_Toc184314423"/>
      <w:bookmarkEnd w:id="50"/>
      <w:bookmarkStart w:id="51" w:name="_Toc184308097"/>
      <w:bookmarkEnd w:id="51"/>
      <w:bookmarkStart w:id="52" w:name="_Toc184313263"/>
      <w:bookmarkEnd w:id="52"/>
      <w:bookmarkStart w:id="53" w:name="_Toc184308079"/>
      <w:bookmarkEnd w:id="53"/>
      <w:bookmarkStart w:id="54" w:name="_Toc184314428"/>
      <w:bookmarkEnd w:id="54"/>
      <w:bookmarkStart w:id="55" w:name="_Toc184312117"/>
      <w:bookmarkEnd w:id="55"/>
      <w:bookmarkStart w:id="56" w:name="_Toc184313238"/>
      <w:bookmarkEnd w:id="56"/>
      <w:bookmarkStart w:id="57" w:name="_Toc184310323"/>
      <w:bookmarkEnd w:id="57"/>
      <w:bookmarkStart w:id="58" w:name="_Toc184310285"/>
      <w:bookmarkEnd w:id="58"/>
      <w:bookmarkStart w:id="59" w:name="_Toc184310332"/>
      <w:bookmarkEnd w:id="59"/>
      <w:bookmarkStart w:id="60" w:name="_Toc184308052"/>
      <w:bookmarkEnd w:id="60"/>
      <w:bookmarkStart w:id="61" w:name="_Toc184310334"/>
      <w:bookmarkEnd w:id="61"/>
      <w:bookmarkStart w:id="62" w:name="_Toc184314464"/>
      <w:bookmarkEnd w:id="62"/>
      <w:bookmarkStart w:id="63" w:name="_Toc184313251"/>
      <w:bookmarkEnd w:id="63"/>
      <w:bookmarkStart w:id="64" w:name="_Toc184312071"/>
      <w:bookmarkEnd w:id="64"/>
      <w:bookmarkStart w:id="65" w:name="_Toc184313261"/>
      <w:bookmarkEnd w:id="65"/>
      <w:bookmarkStart w:id="66" w:name="_Toc184312085"/>
      <w:bookmarkEnd w:id="66"/>
      <w:bookmarkStart w:id="67" w:name="_Toc184314430"/>
      <w:bookmarkEnd w:id="67"/>
      <w:bookmarkStart w:id="68" w:name="_Toc184314432"/>
      <w:bookmarkEnd w:id="68"/>
      <w:bookmarkStart w:id="69" w:name="_Toc184313246"/>
      <w:bookmarkEnd w:id="69"/>
      <w:bookmarkStart w:id="70" w:name="_Toc184314443"/>
      <w:bookmarkEnd w:id="70"/>
      <w:bookmarkStart w:id="71" w:name="_Toc184308062"/>
      <w:bookmarkEnd w:id="71"/>
      <w:bookmarkStart w:id="72" w:name="_Toc184312123"/>
      <w:bookmarkEnd w:id="72"/>
      <w:bookmarkStart w:id="73" w:name="_Toc184308100"/>
      <w:bookmarkEnd w:id="73"/>
      <w:bookmarkStart w:id="74" w:name="_Toc184314415"/>
      <w:bookmarkEnd w:id="74"/>
      <w:bookmarkStart w:id="75" w:name="_Toc184313249"/>
      <w:bookmarkEnd w:id="75"/>
      <w:bookmarkStart w:id="76" w:name="_Toc184313294"/>
      <w:bookmarkEnd w:id="76"/>
      <w:bookmarkStart w:id="77" w:name="_Toc184312079"/>
      <w:bookmarkEnd w:id="77"/>
      <w:bookmarkStart w:id="78" w:name="_Toc184312097"/>
      <w:bookmarkEnd w:id="78"/>
      <w:bookmarkStart w:id="79" w:name="_Toc184312093"/>
      <w:bookmarkEnd w:id="79"/>
      <w:bookmarkStart w:id="80" w:name="_Toc184310333"/>
      <w:bookmarkEnd w:id="80"/>
      <w:bookmarkStart w:id="81" w:name="_Toc184313271"/>
      <w:bookmarkEnd w:id="81"/>
      <w:bookmarkStart w:id="82" w:name="_Toc184308086"/>
      <w:bookmarkEnd w:id="82"/>
      <w:bookmarkStart w:id="83" w:name="_Toc184314431"/>
      <w:bookmarkEnd w:id="83"/>
      <w:bookmarkStart w:id="84" w:name="_Toc184314442"/>
      <w:bookmarkEnd w:id="84"/>
      <w:bookmarkStart w:id="85" w:name="_Toc184312099"/>
      <w:bookmarkEnd w:id="85"/>
      <w:bookmarkStart w:id="86" w:name="_Toc184312107"/>
      <w:bookmarkEnd w:id="86"/>
      <w:bookmarkStart w:id="87" w:name="_Toc184313282"/>
      <w:bookmarkEnd w:id="87"/>
      <w:bookmarkStart w:id="88" w:name="_Toc184308108"/>
      <w:bookmarkEnd w:id="88"/>
      <w:bookmarkStart w:id="89" w:name="_Toc184310287"/>
      <w:bookmarkEnd w:id="89"/>
      <w:bookmarkStart w:id="90" w:name="_Toc184308050"/>
      <w:bookmarkEnd w:id="90"/>
      <w:bookmarkStart w:id="91" w:name="_Toc184312139"/>
      <w:bookmarkEnd w:id="91"/>
      <w:bookmarkStart w:id="92" w:name="_Toc184312074"/>
      <w:bookmarkEnd w:id="92"/>
      <w:bookmarkStart w:id="93" w:name="_Toc184314457"/>
      <w:bookmarkEnd w:id="93"/>
      <w:bookmarkStart w:id="94" w:name="_Toc184312081"/>
      <w:bookmarkEnd w:id="94"/>
      <w:bookmarkStart w:id="95" w:name="_Toc184314455"/>
      <w:bookmarkEnd w:id="95"/>
      <w:bookmarkStart w:id="96" w:name="_Toc184314424"/>
      <w:bookmarkEnd w:id="96"/>
      <w:bookmarkStart w:id="97" w:name="_Toc184314414"/>
      <w:bookmarkEnd w:id="97"/>
      <w:bookmarkStart w:id="98" w:name="_Toc184313254"/>
      <w:bookmarkEnd w:id="98"/>
      <w:bookmarkStart w:id="99" w:name="_Toc184308096"/>
      <w:bookmarkEnd w:id="99"/>
      <w:bookmarkStart w:id="100" w:name="_Toc184310282"/>
      <w:bookmarkEnd w:id="100"/>
      <w:bookmarkStart w:id="101" w:name="_Toc184313260"/>
      <w:bookmarkEnd w:id="101"/>
      <w:bookmarkStart w:id="102" w:name="_Toc184308064"/>
      <w:bookmarkEnd w:id="102"/>
      <w:bookmarkStart w:id="103" w:name="_Toc184313241"/>
      <w:bookmarkEnd w:id="103"/>
      <w:bookmarkStart w:id="104" w:name="_Toc184313259"/>
      <w:bookmarkEnd w:id="104"/>
      <w:bookmarkStart w:id="105" w:name="_Toc184312108"/>
      <w:bookmarkEnd w:id="105"/>
      <w:bookmarkStart w:id="106" w:name="_Toc184312104"/>
      <w:bookmarkEnd w:id="106"/>
      <w:bookmarkStart w:id="107" w:name="_Toc184314417"/>
      <w:bookmarkEnd w:id="107"/>
      <w:bookmarkStart w:id="108" w:name="_Toc184310324"/>
      <w:bookmarkEnd w:id="108"/>
      <w:bookmarkStart w:id="109" w:name="_Toc184314447"/>
      <w:bookmarkEnd w:id="109"/>
      <w:bookmarkStart w:id="110" w:name="_Toc184314449"/>
      <w:bookmarkEnd w:id="110"/>
      <w:bookmarkStart w:id="111" w:name="_Toc184310297"/>
      <w:bookmarkEnd w:id="111"/>
      <w:bookmarkStart w:id="112" w:name="_Toc184312078"/>
      <w:bookmarkEnd w:id="112"/>
      <w:bookmarkStart w:id="113" w:name="_Toc184314425"/>
      <w:bookmarkEnd w:id="113"/>
      <w:bookmarkStart w:id="114" w:name="_Toc184310273"/>
      <w:bookmarkEnd w:id="114"/>
      <w:bookmarkStart w:id="115" w:name="_Toc184308068"/>
      <w:bookmarkEnd w:id="115"/>
      <w:bookmarkStart w:id="116" w:name="_Toc184308049"/>
      <w:bookmarkEnd w:id="116"/>
      <w:bookmarkStart w:id="117" w:name="_Toc184308067"/>
      <w:bookmarkEnd w:id="117"/>
      <w:bookmarkStart w:id="118" w:name="_Toc184312100"/>
      <w:bookmarkEnd w:id="118"/>
      <w:bookmarkStart w:id="119" w:name="_Toc184312106"/>
      <w:bookmarkEnd w:id="119"/>
      <w:bookmarkStart w:id="120" w:name="_Toc184310325"/>
      <w:bookmarkEnd w:id="120"/>
      <w:bookmarkStart w:id="121" w:name="_Toc184310300"/>
      <w:bookmarkEnd w:id="121"/>
      <w:bookmarkStart w:id="122" w:name="_Toc184313301"/>
      <w:bookmarkEnd w:id="122"/>
      <w:bookmarkStart w:id="123" w:name="_Toc184310280"/>
      <w:bookmarkEnd w:id="123"/>
      <w:bookmarkStart w:id="124" w:name="_Toc184308091"/>
      <w:bookmarkEnd w:id="124"/>
      <w:bookmarkStart w:id="125" w:name="_Toc184314472"/>
      <w:bookmarkEnd w:id="125"/>
      <w:bookmarkStart w:id="126" w:name="_Toc184314471"/>
      <w:bookmarkEnd w:id="126"/>
      <w:bookmarkStart w:id="127" w:name="_Toc184310314"/>
      <w:bookmarkEnd w:id="127"/>
      <w:bookmarkStart w:id="128" w:name="_Toc184314434"/>
      <w:bookmarkEnd w:id="128"/>
      <w:bookmarkStart w:id="129" w:name="_Toc184310320"/>
      <w:bookmarkEnd w:id="129"/>
      <w:bookmarkStart w:id="130" w:name="_Toc184313299"/>
      <w:bookmarkEnd w:id="130"/>
      <w:bookmarkStart w:id="131" w:name="_Toc184310344"/>
      <w:bookmarkEnd w:id="131"/>
      <w:bookmarkStart w:id="132" w:name="_Toc184310311"/>
      <w:bookmarkEnd w:id="132"/>
      <w:bookmarkStart w:id="133" w:name="_Toc184312095"/>
      <w:bookmarkEnd w:id="133"/>
      <w:bookmarkStart w:id="134" w:name="_Toc184313287"/>
      <w:bookmarkEnd w:id="134"/>
      <w:bookmarkStart w:id="135" w:name="_Toc184313245"/>
      <w:bookmarkEnd w:id="135"/>
      <w:bookmarkStart w:id="136" w:name="_Toc184313256"/>
      <w:bookmarkEnd w:id="136"/>
      <w:bookmarkStart w:id="137" w:name="_Toc184312135"/>
      <w:bookmarkEnd w:id="137"/>
      <w:bookmarkStart w:id="138" w:name="_Toc184312119"/>
      <w:bookmarkEnd w:id="138"/>
      <w:bookmarkStart w:id="139" w:name="_Toc184313243"/>
      <w:bookmarkEnd w:id="139"/>
      <w:bookmarkStart w:id="140" w:name="_Toc184308044"/>
      <w:bookmarkEnd w:id="140"/>
      <w:bookmarkStart w:id="141" w:name="_Toc184310276"/>
      <w:bookmarkEnd w:id="141"/>
      <w:bookmarkStart w:id="142" w:name="_Toc184314411"/>
      <w:bookmarkEnd w:id="142"/>
      <w:bookmarkStart w:id="143" w:name="_Toc184310342"/>
      <w:bookmarkEnd w:id="143"/>
      <w:bookmarkStart w:id="144" w:name="_Toc184312073"/>
      <w:bookmarkEnd w:id="144"/>
      <w:bookmarkStart w:id="145" w:name="_Toc184308071"/>
      <w:bookmarkEnd w:id="145"/>
      <w:bookmarkStart w:id="146" w:name="_Toc184310283"/>
      <w:bookmarkEnd w:id="146"/>
      <w:bookmarkStart w:id="147" w:name="_Toc184312121"/>
      <w:bookmarkEnd w:id="147"/>
      <w:bookmarkStart w:id="148" w:name="_Toc184314435"/>
      <w:bookmarkEnd w:id="148"/>
      <w:bookmarkStart w:id="149" w:name="_Toc184314466"/>
      <w:bookmarkEnd w:id="149"/>
      <w:bookmarkStart w:id="150" w:name="_Toc184313264"/>
      <w:bookmarkEnd w:id="150"/>
      <w:bookmarkStart w:id="151" w:name="_Toc184314479"/>
      <w:bookmarkEnd w:id="151"/>
      <w:bookmarkStart w:id="152" w:name="_Toc184310288"/>
      <w:bookmarkEnd w:id="152"/>
      <w:bookmarkStart w:id="153" w:name="_Toc184308099"/>
      <w:bookmarkEnd w:id="153"/>
      <w:bookmarkStart w:id="154" w:name="_Toc184313288"/>
      <w:bookmarkEnd w:id="154"/>
      <w:bookmarkStart w:id="155" w:name="_Toc184314413"/>
      <w:bookmarkEnd w:id="155"/>
      <w:bookmarkStart w:id="156" w:name="_Toc184313281"/>
      <w:bookmarkEnd w:id="156"/>
      <w:bookmarkStart w:id="157" w:name="_Toc184312118"/>
      <w:bookmarkEnd w:id="157"/>
      <w:bookmarkStart w:id="158" w:name="_Toc184308098"/>
      <w:bookmarkEnd w:id="158"/>
      <w:bookmarkStart w:id="159" w:name="_Toc184308037"/>
      <w:bookmarkEnd w:id="159"/>
      <w:bookmarkStart w:id="160" w:name="_Toc184313280"/>
      <w:bookmarkEnd w:id="160"/>
      <w:bookmarkStart w:id="161" w:name="_Toc184312086"/>
      <w:bookmarkEnd w:id="161"/>
      <w:bookmarkStart w:id="162" w:name="_Toc184308040"/>
      <w:bookmarkEnd w:id="162"/>
      <w:bookmarkStart w:id="163" w:name="_Toc184308066"/>
      <w:bookmarkEnd w:id="163"/>
      <w:bookmarkStart w:id="164" w:name="_Toc184312091"/>
      <w:bookmarkEnd w:id="164"/>
      <w:bookmarkStart w:id="165" w:name="_Toc184310278"/>
      <w:bookmarkEnd w:id="165"/>
      <w:bookmarkStart w:id="166" w:name="_Toc184312069"/>
      <w:bookmarkEnd w:id="166"/>
      <w:bookmarkStart w:id="167" w:name="_Toc184308088"/>
      <w:bookmarkEnd w:id="167"/>
      <w:bookmarkStart w:id="168" w:name="_Toc184310338"/>
      <w:bookmarkEnd w:id="168"/>
      <w:bookmarkStart w:id="169" w:name="_Toc184313310"/>
      <w:bookmarkEnd w:id="169"/>
      <w:bookmarkStart w:id="170" w:name="_Toc184313300"/>
      <w:bookmarkEnd w:id="170"/>
      <w:bookmarkStart w:id="171" w:name="_Toc184314468"/>
      <w:bookmarkEnd w:id="171"/>
      <w:bookmarkStart w:id="172" w:name="_Toc184314454"/>
      <w:bookmarkEnd w:id="172"/>
      <w:bookmarkStart w:id="173" w:name="_Toc184312082"/>
      <w:bookmarkEnd w:id="173"/>
      <w:bookmarkStart w:id="174" w:name="_Toc184314441"/>
      <w:bookmarkEnd w:id="174"/>
      <w:bookmarkStart w:id="175" w:name="_Toc184310339"/>
      <w:bookmarkEnd w:id="175"/>
      <w:bookmarkStart w:id="176" w:name="_Toc184308102"/>
      <w:bookmarkEnd w:id="176"/>
      <w:bookmarkStart w:id="177" w:name="_Toc184312111"/>
      <w:bookmarkEnd w:id="177"/>
      <w:bookmarkStart w:id="178" w:name="_Toc184312098"/>
      <w:bookmarkEnd w:id="178"/>
      <w:bookmarkStart w:id="179" w:name="_Toc184308054"/>
      <w:bookmarkEnd w:id="179"/>
      <w:bookmarkStart w:id="180" w:name="_Toc184308073"/>
      <w:bookmarkEnd w:id="180"/>
      <w:bookmarkStart w:id="181" w:name="_Toc184314475"/>
      <w:bookmarkEnd w:id="181"/>
      <w:bookmarkStart w:id="182" w:name="_Toc184310310"/>
      <w:bookmarkEnd w:id="182"/>
      <w:bookmarkStart w:id="183" w:name="_Toc184310340"/>
      <w:bookmarkEnd w:id="183"/>
      <w:bookmarkStart w:id="184" w:name="_Toc184313303"/>
      <w:bookmarkEnd w:id="184"/>
      <w:bookmarkStart w:id="185" w:name="_Toc184310304"/>
      <w:bookmarkEnd w:id="185"/>
      <w:bookmarkStart w:id="186" w:name="_Toc184312122"/>
      <w:bookmarkEnd w:id="186"/>
      <w:bookmarkStart w:id="187" w:name="_Toc184308051"/>
      <w:bookmarkEnd w:id="187"/>
      <w:bookmarkStart w:id="188" w:name="_Toc184310309"/>
      <w:bookmarkEnd w:id="188"/>
      <w:bookmarkStart w:id="189" w:name="_Toc184310294"/>
      <w:bookmarkEnd w:id="189"/>
      <w:bookmarkStart w:id="190" w:name="_Toc184313285"/>
      <w:bookmarkEnd w:id="190"/>
      <w:bookmarkStart w:id="191" w:name="_Toc184313242"/>
      <w:bookmarkEnd w:id="191"/>
      <w:bookmarkStart w:id="192" w:name="_Toc184308085"/>
      <w:bookmarkEnd w:id="192"/>
      <w:bookmarkStart w:id="193" w:name="_Toc184312109"/>
      <w:bookmarkEnd w:id="193"/>
      <w:bookmarkStart w:id="194" w:name="_Toc184308080"/>
      <w:bookmarkEnd w:id="194"/>
      <w:bookmarkStart w:id="195" w:name="_Toc184310298"/>
      <w:bookmarkEnd w:id="195"/>
      <w:bookmarkStart w:id="196" w:name="_Toc184308105"/>
      <w:bookmarkEnd w:id="196"/>
      <w:bookmarkStart w:id="197" w:name="_Toc184308092"/>
      <w:bookmarkEnd w:id="197"/>
      <w:bookmarkStart w:id="198" w:name="_Toc184314452"/>
      <w:bookmarkEnd w:id="198"/>
      <w:bookmarkStart w:id="199" w:name="_Toc184308036"/>
      <w:bookmarkEnd w:id="199"/>
      <w:bookmarkStart w:id="200" w:name="_Toc184314476"/>
      <w:bookmarkEnd w:id="200"/>
      <w:bookmarkStart w:id="201" w:name="_Toc184313247"/>
      <w:bookmarkEnd w:id="201"/>
      <w:bookmarkStart w:id="202" w:name="_Toc184310329"/>
      <w:bookmarkEnd w:id="202"/>
      <w:bookmarkStart w:id="203" w:name="_Toc184308059"/>
      <w:bookmarkEnd w:id="203"/>
      <w:bookmarkStart w:id="204" w:name="_Toc184312126"/>
      <w:bookmarkEnd w:id="204"/>
      <w:bookmarkStart w:id="205" w:name="_Toc184313296"/>
      <w:bookmarkEnd w:id="205"/>
      <w:bookmarkStart w:id="206" w:name="_Toc184314465"/>
      <w:bookmarkEnd w:id="206"/>
      <w:bookmarkStart w:id="207" w:name="_Toc184314438"/>
      <w:bookmarkEnd w:id="207"/>
      <w:bookmarkStart w:id="208" w:name="_Toc184308094"/>
      <w:bookmarkEnd w:id="208"/>
      <w:bookmarkStart w:id="209" w:name="_Toc184313258"/>
      <w:bookmarkEnd w:id="209"/>
      <w:bookmarkStart w:id="210" w:name="_Toc184312090"/>
      <w:bookmarkEnd w:id="210"/>
      <w:bookmarkStart w:id="211" w:name="_Toc184312131"/>
      <w:bookmarkEnd w:id="211"/>
      <w:bookmarkStart w:id="212" w:name="_Toc184308076"/>
      <w:bookmarkEnd w:id="212"/>
      <w:bookmarkStart w:id="213" w:name="_Toc184310315"/>
      <w:bookmarkEnd w:id="213"/>
      <w:bookmarkStart w:id="214" w:name="_Toc184314469"/>
      <w:bookmarkEnd w:id="214"/>
      <w:bookmarkStart w:id="215" w:name="_Toc184313307"/>
      <w:bookmarkEnd w:id="215"/>
      <w:bookmarkStart w:id="216" w:name="_Toc184312088"/>
      <w:bookmarkEnd w:id="216"/>
      <w:bookmarkStart w:id="217" w:name="_Toc184310286"/>
      <w:bookmarkEnd w:id="217"/>
      <w:bookmarkStart w:id="218" w:name="_Toc184308104"/>
      <w:bookmarkEnd w:id="218"/>
      <w:bookmarkStart w:id="219" w:name="_Toc184310293"/>
      <w:bookmarkEnd w:id="219"/>
      <w:bookmarkStart w:id="220" w:name="_Toc184313308"/>
      <w:bookmarkEnd w:id="220"/>
      <w:bookmarkStart w:id="221" w:name="_Toc184314477"/>
      <w:bookmarkEnd w:id="221"/>
      <w:bookmarkStart w:id="222" w:name="_Toc184308093"/>
      <w:bookmarkEnd w:id="222"/>
      <w:bookmarkStart w:id="223" w:name="_Toc184310307"/>
      <w:bookmarkEnd w:id="223"/>
      <w:bookmarkStart w:id="224" w:name="_Toc184312114"/>
      <w:bookmarkEnd w:id="224"/>
      <w:bookmarkStart w:id="225" w:name="_Toc184313273"/>
      <w:bookmarkEnd w:id="225"/>
      <w:bookmarkStart w:id="226" w:name="_Toc184314426"/>
      <w:bookmarkEnd w:id="226"/>
      <w:bookmarkStart w:id="227" w:name="_Toc184310321"/>
      <w:bookmarkEnd w:id="227"/>
      <w:bookmarkStart w:id="228" w:name="_Toc184308058"/>
      <w:bookmarkEnd w:id="228"/>
      <w:bookmarkStart w:id="229" w:name="_Toc184308061"/>
      <w:bookmarkEnd w:id="229"/>
      <w:bookmarkStart w:id="230" w:name="_Toc184314436"/>
      <w:bookmarkEnd w:id="230"/>
      <w:bookmarkStart w:id="231" w:name="_Toc184313290"/>
      <w:bookmarkEnd w:id="231"/>
      <w:bookmarkStart w:id="232" w:name="_Toc184312087"/>
      <w:bookmarkEnd w:id="232"/>
      <w:bookmarkStart w:id="233" w:name="_Toc184313257"/>
      <w:bookmarkEnd w:id="233"/>
      <w:bookmarkStart w:id="234" w:name="_Toc184314482"/>
      <w:bookmarkEnd w:id="234"/>
      <w:bookmarkStart w:id="235" w:name="_Toc184310336"/>
      <w:bookmarkEnd w:id="235"/>
      <w:bookmarkStart w:id="236" w:name="_Toc184310275"/>
      <w:bookmarkEnd w:id="236"/>
      <w:bookmarkStart w:id="237" w:name="_Toc184310337"/>
      <w:bookmarkEnd w:id="237"/>
      <w:bookmarkStart w:id="238" w:name="_Toc184313289"/>
      <w:bookmarkEnd w:id="238"/>
      <w:bookmarkStart w:id="239" w:name="_Toc184314427"/>
      <w:bookmarkEnd w:id="239"/>
      <w:bookmarkStart w:id="240" w:name="_Toc184312076"/>
      <w:bookmarkEnd w:id="240"/>
      <w:bookmarkStart w:id="241" w:name="_Toc184313304"/>
      <w:bookmarkEnd w:id="241"/>
      <w:bookmarkStart w:id="242" w:name="_Toc184314446"/>
      <w:bookmarkEnd w:id="242"/>
      <w:bookmarkStart w:id="243" w:name="_Toc184308078"/>
      <w:bookmarkEnd w:id="243"/>
      <w:bookmarkStart w:id="244" w:name="_Toc184314470"/>
      <w:bookmarkEnd w:id="244"/>
      <w:bookmarkStart w:id="245" w:name="_Toc184313279"/>
      <w:bookmarkEnd w:id="245"/>
      <w:bookmarkStart w:id="246" w:name="_Toc184314418"/>
      <w:bookmarkEnd w:id="246"/>
      <w:bookmarkStart w:id="247" w:name="_Toc184308090"/>
      <w:bookmarkEnd w:id="247"/>
      <w:bookmarkStart w:id="248" w:name="_Toc184314481"/>
      <w:bookmarkEnd w:id="248"/>
      <w:bookmarkStart w:id="249" w:name="_Toc184308087"/>
      <w:bookmarkEnd w:id="249"/>
      <w:bookmarkStart w:id="250" w:name="_Toc184312130"/>
      <w:bookmarkEnd w:id="250"/>
      <w:bookmarkStart w:id="251" w:name="_Toc184310322"/>
      <w:bookmarkEnd w:id="251"/>
      <w:bookmarkStart w:id="252" w:name="_Toc184310331"/>
      <w:bookmarkEnd w:id="252"/>
      <w:bookmarkStart w:id="253" w:name="_Toc184312136"/>
      <w:bookmarkEnd w:id="253"/>
      <w:bookmarkStart w:id="254" w:name="_Toc184310335"/>
      <w:bookmarkEnd w:id="254"/>
      <w:bookmarkStart w:id="255" w:name="_Toc184313250"/>
      <w:bookmarkEnd w:id="255"/>
      <w:bookmarkStart w:id="256" w:name="_Toc184308077"/>
      <w:bookmarkEnd w:id="256"/>
      <w:bookmarkStart w:id="257" w:name="_Toc184308069"/>
      <w:bookmarkEnd w:id="257"/>
      <w:bookmarkStart w:id="258" w:name="_Toc184310306"/>
      <w:bookmarkEnd w:id="258"/>
      <w:bookmarkStart w:id="259" w:name="_Toc184314467"/>
      <w:bookmarkEnd w:id="259"/>
      <w:bookmarkStart w:id="260" w:name="_Toc184313309"/>
      <w:bookmarkEnd w:id="260"/>
      <w:bookmarkStart w:id="261" w:name="_Toc184308055"/>
      <w:bookmarkEnd w:id="261"/>
      <w:bookmarkStart w:id="262" w:name="_Toc184312112"/>
      <w:bookmarkEnd w:id="262"/>
      <w:bookmarkStart w:id="263" w:name="_Toc184312134"/>
      <w:bookmarkEnd w:id="263"/>
      <w:bookmarkStart w:id="264" w:name="_Toc184308070"/>
      <w:bookmarkEnd w:id="264"/>
      <w:bookmarkStart w:id="265" w:name="_Toc184314440"/>
      <w:bookmarkEnd w:id="265"/>
      <w:bookmarkStart w:id="266" w:name="_Toc184313291"/>
      <w:bookmarkEnd w:id="266"/>
      <w:bookmarkStart w:id="267" w:name="_Toc184312103"/>
      <w:bookmarkEnd w:id="267"/>
      <w:bookmarkStart w:id="268" w:name="_Toc184310318"/>
      <w:bookmarkEnd w:id="268"/>
      <w:bookmarkStart w:id="269" w:name="_Toc184313274"/>
      <w:bookmarkEnd w:id="269"/>
      <w:bookmarkStart w:id="270" w:name="_Toc184308048"/>
      <w:bookmarkEnd w:id="270"/>
      <w:bookmarkStart w:id="271" w:name="_Toc184310341"/>
      <w:bookmarkEnd w:id="271"/>
      <w:bookmarkStart w:id="272" w:name="_Toc184314412"/>
      <w:bookmarkEnd w:id="272"/>
      <w:bookmarkStart w:id="273" w:name="_Toc184308084"/>
      <w:bookmarkEnd w:id="273"/>
      <w:bookmarkStart w:id="274" w:name="_Toc184310317"/>
      <w:bookmarkEnd w:id="274"/>
      <w:bookmarkStart w:id="275" w:name="_Toc184314421"/>
      <w:bookmarkEnd w:id="275"/>
      <w:bookmarkStart w:id="276" w:name="_Toc184308081"/>
      <w:bookmarkEnd w:id="276"/>
      <w:bookmarkStart w:id="277" w:name="_Toc184308056"/>
      <w:bookmarkEnd w:id="277"/>
      <w:bookmarkStart w:id="278" w:name="_Toc184310305"/>
      <w:bookmarkEnd w:id="278"/>
      <w:bookmarkStart w:id="279" w:name="_Toc184313295"/>
      <w:bookmarkEnd w:id="279"/>
      <w:bookmarkStart w:id="280" w:name="_Toc184313255"/>
      <w:bookmarkEnd w:id="280"/>
      <w:bookmarkStart w:id="281" w:name="_Toc184312092"/>
      <w:bookmarkEnd w:id="281"/>
      <w:bookmarkStart w:id="282" w:name="_Toc184308103"/>
      <w:bookmarkEnd w:id="282"/>
      <w:bookmarkStart w:id="283" w:name="_Toc184310301"/>
      <w:bookmarkEnd w:id="283"/>
      <w:bookmarkStart w:id="284" w:name="_Toc184312113"/>
      <w:bookmarkEnd w:id="284"/>
      <w:bookmarkStart w:id="285" w:name="_Toc184313265"/>
      <w:bookmarkEnd w:id="285"/>
      <w:bookmarkStart w:id="286" w:name="_Toc184314439"/>
      <w:bookmarkEnd w:id="286"/>
      <w:bookmarkStart w:id="287" w:name="_Toc184312132"/>
      <w:bookmarkEnd w:id="287"/>
      <w:bookmarkStart w:id="288" w:name="_Toc184314461"/>
      <w:bookmarkEnd w:id="288"/>
      <w:bookmarkStart w:id="289" w:name="_Toc184312137"/>
      <w:bookmarkEnd w:id="289"/>
      <w:bookmarkStart w:id="290" w:name="_Toc184314474"/>
      <w:bookmarkEnd w:id="290"/>
      <w:bookmarkStart w:id="291" w:name="_Toc184308075"/>
      <w:bookmarkEnd w:id="291"/>
      <w:bookmarkStart w:id="292" w:name="_Toc184313266"/>
      <w:bookmarkEnd w:id="292"/>
      <w:bookmarkStart w:id="293" w:name="_Toc184312068"/>
      <w:bookmarkEnd w:id="293"/>
      <w:bookmarkStart w:id="294" w:name="_Toc184308057"/>
      <w:bookmarkEnd w:id="294"/>
      <w:bookmarkStart w:id="295" w:name="_Toc184308041"/>
      <w:bookmarkEnd w:id="295"/>
      <w:bookmarkStart w:id="296" w:name="_Toc184314459"/>
      <w:bookmarkEnd w:id="296"/>
      <w:bookmarkStart w:id="297" w:name="_Toc184314463"/>
      <w:bookmarkEnd w:id="297"/>
      <w:bookmarkStart w:id="298" w:name="_Toc184308043"/>
      <w:bookmarkEnd w:id="298"/>
      <w:bookmarkStart w:id="299" w:name="_Toc184313306"/>
      <w:bookmarkEnd w:id="299"/>
      <w:bookmarkStart w:id="300" w:name="_Toc184313262"/>
      <w:bookmarkEnd w:id="300"/>
      <w:bookmarkStart w:id="301" w:name="_Toc184308046"/>
      <w:bookmarkEnd w:id="301"/>
      <w:bookmarkStart w:id="302" w:name="_Toc184310299"/>
      <w:bookmarkEnd w:id="302"/>
      <w:bookmarkStart w:id="303" w:name="_Toc184313267"/>
      <w:bookmarkEnd w:id="303"/>
      <w:bookmarkStart w:id="304" w:name="_Toc184310308"/>
      <w:bookmarkEnd w:id="304"/>
      <w:bookmarkStart w:id="305" w:name="_Toc184312120"/>
      <w:bookmarkEnd w:id="305"/>
      <w:bookmarkStart w:id="306" w:name="_Toc184308039"/>
      <w:bookmarkEnd w:id="306"/>
      <w:bookmarkStart w:id="307" w:name="_Toc184313275"/>
      <w:bookmarkEnd w:id="307"/>
      <w:bookmarkStart w:id="308" w:name="_Toc184314419"/>
      <w:bookmarkEnd w:id="308"/>
      <w:bookmarkStart w:id="309" w:name="_Toc184314437"/>
      <w:bookmarkEnd w:id="309"/>
      <w:bookmarkStart w:id="310" w:name="_Toc184310303"/>
      <w:bookmarkEnd w:id="310"/>
      <w:bookmarkStart w:id="311" w:name="_Toc184310284"/>
      <w:bookmarkEnd w:id="311"/>
      <w:bookmarkStart w:id="312" w:name="_Toc184308047"/>
      <w:bookmarkEnd w:id="312"/>
      <w:bookmarkStart w:id="313" w:name="_Toc184312096"/>
      <w:bookmarkEnd w:id="313"/>
      <w:bookmarkStart w:id="314" w:name="_Toc184310328"/>
      <w:bookmarkEnd w:id="314"/>
      <w:bookmarkStart w:id="315" w:name="_Toc184314448"/>
      <w:bookmarkEnd w:id="315"/>
      <w:bookmarkStart w:id="316" w:name="_Toc184310312"/>
      <w:bookmarkEnd w:id="316"/>
      <w:bookmarkStart w:id="317" w:name="_Toc184308083"/>
      <w:bookmarkEnd w:id="317"/>
      <w:bookmarkStart w:id="318" w:name="_Toc184312084"/>
      <w:bookmarkEnd w:id="318"/>
      <w:bookmarkStart w:id="319" w:name="_Toc184312102"/>
      <w:bookmarkEnd w:id="319"/>
      <w:bookmarkStart w:id="320" w:name="_Toc184312072"/>
      <w:bookmarkEnd w:id="320"/>
      <w:bookmarkStart w:id="321" w:name="_Toc184314460"/>
      <w:bookmarkEnd w:id="321"/>
      <w:bookmarkStart w:id="322" w:name="_Toc184313272"/>
      <w:bookmarkEnd w:id="322"/>
      <w:bookmarkStart w:id="323" w:name="_Toc184310327"/>
      <w:bookmarkEnd w:id="323"/>
      <w:bookmarkStart w:id="324" w:name="_Toc184313284"/>
      <w:bookmarkEnd w:id="324"/>
      <w:bookmarkStart w:id="325" w:name="_Toc184314416"/>
      <w:bookmarkEnd w:id="325"/>
      <w:bookmarkStart w:id="326" w:name="_Toc184308074"/>
      <w:bookmarkEnd w:id="326"/>
      <w:bookmarkStart w:id="327" w:name="_Toc184313252"/>
      <w:bookmarkEnd w:id="327"/>
      <w:bookmarkStart w:id="328" w:name="_Toc184314445"/>
      <w:bookmarkEnd w:id="328"/>
      <w:bookmarkStart w:id="329" w:name="_Toc184314453"/>
      <w:bookmarkEnd w:id="329"/>
      <w:bookmarkStart w:id="330" w:name="_Toc184310296"/>
      <w:bookmarkEnd w:id="330"/>
      <w:bookmarkStart w:id="331" w:name="_Toc184314480"/>
      <w:bookmarkEnd w:id="331"/>
      <w:bookmarkStart w:id="332" w:name="_Toc184312127"/>
      <w:bookmarkEnd w:id="332"/>
      <w:bookmarkStart w:id="333" w:name="_Toc184313286"/>
      <w:bookmarkEnd w:id="333"/>
      <w:bookmarkStart w:id="334" w:name="_Toc184310277"/>
      <w:bookmarkEnd w:id="334"/>
      <w:bookmarkStart w:id="335" w:name="_Toc184314462"/>
      <w:bookmarkEnd w:id="335"/>
      <w:bookmarkStart w:id="336" w:name="_Toc184314473"/>
      <w:bookmarkEnd w:id="336"/>
      <w:bookmarkStart w:id="337" w:name="_Toc184310326"/>
      <w:bookmarkEnd w:id="337"/>
      <w:bookmarkStart w:id="338" w:name="_Toc184308042"/>
      <w:bookmarkEnd w:id="338"/>
      <w:bookmarkStart w:id="339" w:name="_Toc184308107"/>
      <w:bookmarkEnd w:id="339"/>
      <w:bookmarkStart w:id="340" w:name="_Toc184310302"/>
      <w:bookmarkEnd w:id="340"/>
      <w:bookmarkStart w:id="341" w:name="_Toc184314456"/>
      <w:bookmarkEnd w:id="341"/>
      <w:bookmarkStart w:id="342" w:name="_Toc184308089"/>
      <w:bookmarkEnd w:id="342"/>
      <w:bookmarkStart w:id="343" w:name="_Toc184314420"/>
      <w:bookmarkEnd w:id="343"/>
      <w:bookmarkStart w:id="344" w:name="_Toc184308106"/>
      <w:bookmarkEnd w:id="344"/>
      <w:bookmarkStart w:id="345" w:name="_Toc184314451"/>
      <w:bookmarkEnd w:id="345"/>
      <w:bookmarkStart w:id="346" w:name="_Toc184313302"/>
      <w:bookmarkEnd w:id="346"/>
      <w:bookmarkStart w:id="347" w:name="_Toc184308065"/>
      <w:bookmarkEnd w:id="347"/>
      <w:bookmarkStart w:id="348" w:name="_Toc184313298"/>
      <w:bookmarkEnd w:id="348"/>
      <w:bookmarkStart w:id="349" w:name="_Toc184314433"/>
      <w:bookmarkEnd w:id="349"/>
      <w:bookmarkStart w:id="350" w:name="_Toc184308038"/>
      <w:bookmarkEnd w:id="350"/>
      <w:bookmarkStart w:id="351" w:name="_Toc184312133"/>
      <w:bookmarkEnd w:id="351"/>
      <w:bookmarkStart w:id="352" w:name="_Toc184312138"/>
      <w:bookmarkEnd w:id="352"/>
      <w:bookmarkStart w:id="353" w:name="_Toc184308095"/>
      <w:bookmarkEnd w:id="353"/>
      <w:bookmarkStart w:id="354" w:name="_Toc184312089"/>
      <w:bookmarkEnd w:id="354"/>
      <w:bookmarkStart w:id="355" w:name="_Toc184308072"/>
      <w:bookmarkEnd w:id="355"/>
      <w:bookmarkStart w:id="356" w:name="_Toc184310274"/>
      <w:bookmarkEnd w:id="356"/>
      <w:bookmarkStart w:id="357" w:name="_Toc184313269"/>
      <w:bookmarkEnd w:id="357"/>
      <w:bookmarkStart w:id="358" w:name="_Toc184314458"/>
      <w:bookmarkEnd w:id="358"/>
      <w:bookmarkStart w:id="359" w:name="_Toc184313278"/>
      <w:bookmarkEnd w:id="359"/>
      <w:bookmarkStart w:id="360" w:name="_Toc184312115"/>
      <w:bookmarkEnd w:id="360"/>
      <w:bookmarkStart w:id="361" w:name="_Toc184312128"/>
      <w:bookmarkEnd w:id="361"/>
      <w:bookmarkStart w:id="362" w:name="_Toc184313239"/>
      <w:bookmarkEnd w:id="362"/>
      <w:bookmarkStart w:id="363" w:name="_Toc184313305"/>
      <w:bookmarkEnd w:id="363"/>
      <w:bookmarkStart w:id="364" w:name="_Toc184310313"/>
      <w:bookmarkEnd w:id="364"/>
      <w:bookmarkStart w:id="365" w:name="_Toc184310343"/>
      <w:bookmarkEnd w:id="365"/>
      <w:bookmarkStart w:id="366" w:name="_Toc184312110"/>
      <w:bookmarkEnd w:id="366"/>
      <w:bookmarkStart w:id="367" w:name="_Toc184310290"/>
      <w:bookmarkEnd w:id="367"/>
      <w:bookmarkStart w:id="368" w:name="_Toc184308082"/>
      <w:bookmarkEnd w:id="368"/>
      <w:bookmarkStart w:id="369" w:name="_Toc184310289"/>
      <w:bookmarkEnd w:id="369"/>
      <w:bookmarkStart w:id="370" w:name="_Toc184314450"/>
      <w:bookmarkEnd w:id="370"/>
      <w:bookmarkStart w:id="371" w:name="_Toc184310292"/>
      <w:bookmarkEnd w:id="371"/>
      <w:bookmarkStart w:id="372" w:name="_Toc184312101"/>
      <w:bookmarkEnd w:id="372"/>
      <w:bookmarkStart w:id="373" w:name="_Toc184314410"/>
      <w:bookmarkEnd w:id="373"/>
      <w:bookmarkStart w:id="374" w:name="_Toc184310319"/>
      <w:bookmarkEnd w:id="374"/>
      <w:bookmarkStart w:id="375" w:name="_Toc184313268"/>
      <w:bookmarkEnd w:id="375"/>
      <w:bookmarkStart w:id="376" w:name="_Toc184314444"/>
      <w:bookmarkEnd w:id="376"/>
      <w:bookmarkStart w:id="377" w:name="_Toc184310281"/>
      <w:bookmarkEnd w:id="377"/>
      <w:bookmarkStart w:id="378" w:name="_Toc184312080"/>
      <w:bookmarkEnd w:id="378"/>
      <w:bookmarkStart w:id="379" w:name="_Toc184313253"/>
      <w:bookmarkEnd w:id="379"/>
      <w:bookmarkStart w:id="380" w:name="_Toc184308053"/>
      <w:bookmarkEnd w:id="380"/>
      <w:bookmarkStart w:id="381" w:name="_Toc184308045"/>
      <w:bookmarkEnd w:id="381"/>
      <w:bookmarkStart w:id="382" w:name="_Toc184310330"/>
      <w:bookmarkEnd w:id="382"/>
      <w:bookmarkStart w:id="383" w:name="_Toc184310295"/>
      <w:bookmarkEnd w:id="383"/>
      <w:bookmarkStart w:id="384" w:name="_Toc184314422"/>
      <w:bookmarkEnd w:id="384"/>
      <w:bookmarkStart w:id="385" w:name="_Toc184312070"/>
      <w:bookmarkEnd w:id="385"/>
      <w:bookmarkStart w:id="386" w:name="_Toc184312124"/>
      <w:bookmarkEnd w:id="386"/>
      <w:bookmarkStart w:id="387" w:name="_Toc184308060"/>
      <w:bookmarkEnd w:id="387"/>
      <w:bookmarkStart w:id="388" w:name="_Toc184313276"/>
      <w:bookmarkEnd w:id="388"/>
      <w:bookmarkStart w:id="389" w:name="_Toc184312075"/>
      <w:bookmarkEnd w:id="389"/>
      <w:bookmarkStart w:id="390" w:name="_Toc184313297"/>
      <w:bookmarkEnd w:id="390"/>
      <w:bookmarkStart w:id="391" w:name="_Toc184310316"/>
      <w:bookmarkEnd w:id="391"/>
      <w:bookmarkStart w:id="392" w:name="_Toc184308063"/>
      <w:bookmarkEnd w:id="392"/>
      <w:bookmarkStart w:id="393" w:name="_Toc184312067"/>
      <w:bookmarkEnd w:id="393"/>
      <w:r>
        <w:rPr>
          <w:rFonts w:hint="eastAsia" w:ascii="宋体" w:hAnsi="宋体" w:cs="宋体"/>
          <w:b/>
          <w:color w:val="auto"/>
          <w:sz w:val="36"/>
          <w:szCs w:val="36"/>
        </w:rPr>
        <w:t>评标办法</w:t>
      </w:r>
    </w:p>
    <w:p>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2"/>
        <w:tblW w:w="62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6976"/>
        <w:gridCol w:w="534"/>
        <w:gridCol w:w="700"/>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360" w:type="pct"/>
            <w:noWrap w:val="0"/>
            <w:vAlign w:val="center"/>
          </w:tcPr>
          <w:p>
            <w:pPr>
              <w:spacing w:line="360" w:lineRule="auto"/>
              <w:jc w:val="center"/>
              <w:outlineLvl w:val="0"/>
              <w:rPr>
                <w:rFonts w:ascii="宋体" w:hAnsi="宋体" w:cs="宋体"/>
                <w:b w:val="0"/>
                <w:bCs/>
                <w:sz w:val="21"/>
                <w:szCs w:val="21"/>
              </w:rPr>
            </w:pPr>
            <w:r>
              <w:rPr>
                <w:rFonts w:hint="eastAsia" w:ascii="宋体" w:hAnsi="宋体" w:cs="宋体"/>
                <w:b w:val="0"/>
                <w:bCs/>
                <w:sz w:val="21"/>
                <w:szCs w:val="21"/>
              </w:rPr>
              <w:t>序号</w:t>
            </w:r>
          </w:p>
        </w:tc>
        <w:tc>
          <w:tcPr>
            <w:tcW w:w="3281" w:type="pct"/>
            <w:noWrap w:val="0"/>
            <w:vAlign w:val="center"/>
          </w:tcPr>
          <w:p>
            <w:pPr>
              <w:spacing w:line="360" w:lineRule="auto"/>
              <w:ind w:firstLine="1365" w:firstLineChars="650"/>
              <w:jc w:val="center"/>
              <w:outlineLvl w:val="0"/>
              <w:rPr>
                <w:rFonts w:ascii="宋体" w:hAnsi="宋体" w:cs="宋体"/>
                <w:b w:val="0"/>
                <w:bCs/>
                <w:sz w:val="21"/>
                <w:szCs w:val="21"/>
              </w:rPr>
            </w:pPr>
            <w:r>
              <w:rPr>
                <w:rFonts w:hint="eastAsia" w:ascii="宋体" w:hAnsi="宋体" w:cs="宋体"/>
                <w:b w:val="0"/>
                <w:bCs/>
                <w:sz w:val="21"/>
                <w:szCs w:val="21"/>
              </w:rPr>
              <w:t>评标标准</w:t>
            </w:r>
          </w:p>
        </w:tc>
        <w:tc>
          <w:tcPr>
            <w:tcW w:w="251" w:type="pct"/>
            <w:noWrap w:val="0"/>
            <w:vAlign w:val="center"/>
          </w:tcPr>
          <w:p>
            <w:pPr>
              <w:spacing w:line="360" w:lineRule="auto"/>
              <w:outlineLvl w:val="0"/>
              <w:rPr>
                <w:rFonts w:ascii="宋体" w:hAnsi="宋体" w:cs="宋体"/>
                <w:b w:val="0"/>
                <w:bCs/>
                <w:sz w:val="21"/>
                <w:szCs w:val="21"/>
              </w:rPr>
            </w:pPr>
            <w:r>
              <w:rPr>
                <w:rFonts w:hint="eastAsia" w:ascii="宋体" w:hAnsi="宋体" w:cs="宋体"/>
                <w:b w:val="0"/>
                <w:bCs/>
                <w:sz w:val="21"/>
                <w:szCs w:val="21"/>
              </w:rPr>
              <w:t>权重</w:t>
            </w:r>
          </w:p>
        </w:tc>
        <w:tc>
          <w:tcPr>
            <w:tcW w:w="329" w:type="pct"/>
            <w:noWrap w:val="0"/>
            <w:vAlign w:val="center"/>
          </w:tcPr>
          <w:p>
            <w:pPr>
              <w:spacing w:line="360" w:lineRule="auto"/>
              <w:jc w:val="center"/>
              <w:outlineLvl w:val="0"/>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主观/客观分</w:t>
            </w:r>
          </w:p>
        </w:tc>
        <w:tc>
          <w:tcPr>
            <w:tcW w:w="777" w:type="pct"/>
            <w:noWrap w:val="0"/>
            <w:vAlign w:val="top"/>
          </w:tcPr>
          <w:p>
            <w:pPr>
              <w:spacing w:line="360" w:lineRule="auto"/>
              <w:outlineLvl w:val="0"/>
              <w:rPr>
                <w:rFonts w:ascii="宋体" w:hAnsi="宋体" w:cs="宋体"/>
                <w:b w:val="0"/>
                <w:bCs/>
                <w:sz w:val="21"/>
                <w:szCs w:val="21"/>
              </w:rPr>
            </w:pPr>
            <w:r>
              <w:rPr>
                <w:rFonts w:hint="eastAsia" w:ascii="宋体" w:hAnsi="宋体" w:cs="宋体"/>
                <w:b w:val="0"/>
                <w:bCs/>
                <w:sz w:val="21"/>
                <w:szCs w:val="21"/>
              </w:rPr>
              <w:t>投标文件中评标标准相应的商务技术资料目录</w:t>
            </w:r>
            <w:r>
              <w:rPr>
                <w:rFonts w:hint="eastAsia" w:ascii="宋体" w:hAnsi="宋体" w:cs="宋体"/>
                <w:b w:val="0"/>
                <w:bCs/>
                <w:sz w:val="21"/>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360" w:type="pct"/>
            <w:noWrap w:val="0"/>
            <w:vAlign w:val="center"/>
          </w:tcPr>
          <w:p>
            <w:pPr>
              <w:spacing w:line="360" w:lineRule="auto"/>
              <w:jc w:val="center"/>
              <w:outlineLvl w:val="0"/>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1</w:t>
            </w:r>
          </w:p>
        </w:tc>
        <w:tc>
          <w:tcPr>
            <w:tcW w:w="3281" w:type="pct"/>
            <w:noWrap w:val="0"/>
            <w:vAlign w:val="center"/>
          </w:tcPr>
          <w:p>
            <w:pPr>
              <w:spacing w:line="360" w:lineRule="auto"/>
              <w:jc w:val="left"/>
              <w:rPr>
                <w:rFonts w:hint="eastAsia" w:ascii="Times New Roman" w:hAnsi="Times New Roman" w:eastAsia="宋体" w:cs="Times New Roman"/>
                <w:kern w:val="2"/>
                <w:sz w:val="21"/>
                <w:szCs w:val="24"/>
                <w:lang w:val="en-US" w:eastAsia="zh-CN" w:bidi="ar-SA"/>
              </w:rPr>
            </w:pPr>
            <w:r>
              <w:rPr>
                <w:rFonts w:hint="eastAsia" w:asciiTheme="minorEastAsia" w:hAnsiTheme="minorEastAsia" w:eastAsiaTheme="minorEastAsia"/>
              </w:rPr>
              <w:t>根据投标人对本项目的架构、设计方案等情况</w:t>
            </w:r>
            <w:r>
              <w:rPr>
                <w:rFonts w:hint="eastAsia" w:asciiTheme="minorEastAsia" w:hAnsiTheme="minorEastAsia" w:eastAsiaTheme="minorEastAsia"/>
                <w:lang w:eastAsia="zh-CN"/>
              </w:rPr>
              <w:t>，</w:t>
            </w:r>
            <w:r>
              <w:rPr>
                <w:rFonts w:hint="eastAsia" w:ascii="宋体" w:hAnsi="宋体" w:cs="宋体"/>
                <w:bCs/>
                <w:szCs w:val="21"/>
              </w:rPr>
              <w:t>提供的针对本项目的建设总体要求的理解、建设重点难点分析、针对本项目实现的目标、交付成果的明确程度分析全面、准确。</w:t>
            </w:r>
          </w:p>
        </w:tc>
        <w:tc>
          <w:tcPr>
            <w:tcW w:w="251" w:type="pct"/>
            <w:noWrap w:val="0"/>
            <w:vAlign w:val="center"/>
          </w:tcPr>
          <w:p>
            <w:pPr>
              <w:spacing w:line="360" w:lineRule="auto"/>
              <w:jc w:val="center"/>
              <w:outlineLvl w:val="0"/>
              <w:rPr>
                <w:rFonts w:hint="eastAsia" w:ascii="宋体" w:hAnsi="宋体" w:eastAsia="宋体" w:cs="宋体"/>
                <w:b w:val="0"/>
                <w:bCs/>
                <w:color w:val="000000"/>
                <w:kern w:val="2"/>
                <w:sz w:val="21"/>
                <w:szCs w:val="21"/>
                <w:lang w:val="en-US" w:eastAsia="zh-CN" w:bidi="ar-SA"/>
              </w:rPr>
            </w:pPr>
            <w:r>
              <w:rPr>
                <w:rFonts w:hint="eastAsia" w:ascii="宋体" w:hAnsi="宋体" w:cs="宋体"/>
                <w:b w:val="0"/>
                <w:bCs/>
                <w:color w:val="000000"/>
                <w:sz w:val="21"/>
                <w:szCs w:val="21"/>
                <w:lang w:val="en-US" w:eastAsia="zh-CN"/>
              </w:rPr>
              <w:t>6</w:t>
            </w:r>
          </w:p>
        </w:tc>
        <w:tc>
          <w:tcPr>
            <w:tcW w:w="329" w:type="pct"/>
            <w:noWrap w:val="0"/>
            <w:vAlign w:val="center"/>
          </w:tcPr>
          <w:p>
            <w:pPr>
              <w:spacing w:line="360" w:lineRule="auto"/>
              <w:jc w:val="center"/>
              <w:outlineLvl w:val="0"/>
              <w:rPr>
                <w:rFonts w:hint="eastAsia" w:ascii="宋体" w:hAnsi="宋体" w:eastAsia="宋体" w:cs="Times New Roman"/>
                <w:b w:val="0"/>
                <w:bCs/>
                <w:color w:val="000000"/>
                <w:kern w:val="2"/>
                <w:sz w:val="21"/>
                <w:szCs w:val="21"/>
                <w:lang w:val="en-US" w:eastAsia="zh-CN" w:bidi="ar-SA"/>
              </w:rPr>
            </w:pPr>
            <w:r>
              <w:rPr>
                <w:rFonts w:hint="eastAsia" w:ascii="宋体" w:hAnsi="宋体"/>
                <w:b w:val="0"/>
                <w:bCs/>
                <w:color w:val="000000"/>
                <w:sz w:val="21"/>
                <w:szCs w:val="21"/>
                <w:lang w:val="en-US" w:eastAsia="zh-CN"/>
              </w:rPr>
              <w:t>主观</w:t>
            </w:r>
          </w:p>
        </w:tc>
        <w:tc>
          <w:tcPr>
            <w:tcW w:w="777" w:type="pct"/>
            <w:noWrap w:val="0"/>
            <w:vAlign w:val="center"/>
          </w:tcPr>
          <w:p>
            <w:pPr>
              <w:spacing w:line="360" w:lineRule="auto"/>
              <w:jc w:val="center"/>
              <w:outlineLvl w:val="0"/>
              <w:rPr>
                <w:rFonts w:hint="eastAsia" w:ascii="宋体" w:hAnsi="宋体"/>
                <w:b w:val="0"/>
                <w:bCs/>
                <w:color w:val="000000"/>
                <w:sz w:val="21"/>
                <w:szCs w:val="21"/>
              </w:rPr>
            </w:pPr>
            <w:r>
              <w:rPr>
                <w:rFonts w:hint="eastAsia" w:ascii="宋体" w:hAnsi="宋体"/>
                <w:b w:val="0"/>
                <w:bCs/>
                <w:color w:val="000000"/>
                <w:sz w:val="21"/>
                <w:szCs w:val="21"/>
              </w:rPr>
              <w:t>（</w:t>
            </w:r>
            <w:r>
              <w:rPr>
                <w:rFonts w:hint="eastAsia" w:ascii="宋体" w:hAnsi="宋体"/>
                <w:b w:val="0"/>
                <w:bCs/>
                <w:color w:val="000000"/>
                <w:sz w:val="21"/>
                <w:szCs w:val="21"/>
                <w:lang w:val="en-US" w:eastAsia="zh-CN"/>
              </w:rPr>
              <w:t>一</w:t>
            </w:r>
            <w:r>
              <w:rPr>
                <w:rFonts w:hint="eastAsia" w:ascii="宋体" w:hAnsi="宋体"/>
                <w:b w:val="0"/>
                <w:bCs/>
                <w:color w:val="000000"/>
                <w:sz w:val="21"/>
                <w:szCs w:val="21"/>
              </w:rPr>
              <w:t>）</w:t>
            </w:r>
          </w:p>
          <w:p>
            <w:pPr>
              <w:spacing w:line="360" w:lineRule="auto"/>
              <w:jc w:val="center"/>
              <w:outlineLvl w:val="0"/>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sz w:val="21"/>
                <w:szCs w:val="21"/>
              </w:rPr>
              <w:t>项目</w:t>
            </w:r>
            <w:r>
              <w:rPr>
                <w:rFonts w:hint="eastAsia" w:ascii="宋体" w:hAnsi="宋体" w:eastAsia="宋体" w:cs="宋体"/>
                <w:b w:val="0"/>
                <w:bCs/>
                <w:color w:val="000000"/>
                <w:sz w:val="21"/>
                <w:szCs w:val="21"/>
                <w:lang w:val="en-US" w:eastAsia="zh-CN"/>
              </w:rPr>
              <w:t>设计</w:t>
            </w:r>
            <w:r>
              <w:rPr>
                <w:rFonts w:hint="eastAsia" w:ascii="宋体" w:hAnsi="宋体" w:eastAsia="宋体" w:cs="宋体"/>
                <w:b w:val="0"/>
                <w:bCs/>
                <w:color w:val="000000"/>
                <w:sz w:val="21"/>
                <w:szCs w:val="21"/>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360" w:type="pct"/>
            <w:noWrap w:val="0"/>
            <w:vAlign w:val="center"/>
          </w:tcPr>
          <w:p>
            <w:pPr>
              <w:spacing w:line="360" w:lineRule="auto"/>
              <w:jc w:val="center"/>
              <w:outlineLvl w:val="0"/>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2</w:t>
            </w:r>
          </w:p>
        </w:tc>
        <w:tc>
          <w:tcPr>
            <w:tcW w:w="3281" w:type="pct"/>
            <w:noWrap w:val="0"/>
            <w:vAlign w:val="center"/>
          </w:tcPr>
          <w:p>
            <w:pPr>
              <w:spacing w:line="360" w:lineRule="auto"/>
              <w:jc w:val="left"/>
              <w:rPr>
                <w:rFonts w:hint="eastAsia" w:ascii="Times New Roman" w:hAnsi="Times New Roman" w:eastAsia="宋体" w:cs="Times New Roman"/>
                <w:kern w:val="2"/>
                <w:sz w:val="21"/>
                <w:szCs w:val="24"/>
                <w:lang w:val="en-US" w:eastAsia="zh-CN" w:bidi="ar-SA"/>
              </w:rPr>
            </w:pPr>
            <w:r>
              <w:rPr>
                <w:rFonts w:hint="eastAsia"/>
              </w:rPr>
              <w:t>投标人组织实施方案的科学性、合理性、规范性和可操作性，包括系统集成、设备供货、验货、安装调试、试运行、测试、调优等内容，以及工作时间进度表、工作程序和步骤、管理和协调方法</w:t>
            </w:r>
            <w:r>
              <w:rPr>
                <w:rFonts w:hint="eastAsia"/>
                <w:lang w:eastAsia="zh-CN"/>
              </w:rPr>
              <w:t>，</w:t>
            </w:r>
            <w:r>
              <w:rPr>
                <w:rFonts w:hint="eastAsia"/>
              </w:rPr>
              <w:t>方案设计的功能实现以及方案配置的合理性等方面与项目对应需求的满足程度等，未提供不得分。</w:t>
            </w:r>
          </w:p>
        </w:tc>
        <w:tc>
          <w:tcPr>
            <w:tcW w:w="251" w:type="pct"/>
            <w:noWrap w:val="0"/>
            <w:vAlign w:val="center"/>
          </w:tcPr>
          <w:p>
            <w:pPr>
              <w:spacing w:line="360" w:lineRule="auto"/>
              <w:jc w:val="center"/>
              <w:outlineLvl w:val="0"/>
              <w:rPr>
                <w:rFonts w:hint="eastAsia" w:ascii="宋体" w:hAnsi="宋体" w:eastAsia="宋体" w:cs="宋体"/>
                <w:b w:val="0"/>
                <w:bCs/>
                <w:color w:val="000000"/>
                <w:kern w:val="2"/>
                <w:sz w:val="21"/>
                <w:szCs w:val="21"/>
                <w:lang w:val="en-US" w:eastAsia="zh-CN" w:bidi="ar-SA"/>
              </w:rPr>
            </w:pPr>
            <w:r>
              <w:rPr>
                <w:rFonts w:hint="eastAsia" w:ascii="宋体" w:hAnsi="宋体" w:cs="宋体"/>
                <w:b w:val="0"/>
                <w:bCs/>
                <w:color w:val="000000"/>
                <w:sz w:val="21"/>
                <w:szCs w:val="21"/>
                <w:lang w:val="en-US" w:eastAsia="zh-CN"/>
              </w:rPr>
              <w:t>6</w:t>
            </w:r>
          </w:p>
        </w:tc>
        <w:tc>
          <w:tcPr>
            <w:tcW w:w="329" w:type="pct"/>
            <w:noWrap w:val="0"/>
            <w:vAlign w:val="center"/>
          </w:tcPr>
          <w:p>
            <w:pPr>
              <w:spacing w:line="360" w:lineRule="auto"/>
              <w:jc w:val="center"/>
              <w:outlineLvl w:val="0"/>
              <w:rPr>
                <w:rFonts w:hint="eastAsia" w:ascii="宋体" w:hAnsi="宋体" w:eastAsia="宋体" w:cs="Times New Roman"/>
                <w:b w:val="0"/>
                <w:bCs/>
                <w:color w:val="000000"/>
                <w:kern w:val="2"/>
                <w:sz w:val="21"/>
                <w:szCs w:val="21"/>
                <w:lang w:val="en-US" w:eastAsia="zh-CN" w:bidi="ar-SA"/>
              </w:rPr>
            </w:pPr>
            <w:r>
              <w:rPr>
                <w:rFonts w:hint="eastAsia" w:ascii="宋体" w:hAnsi="宋体"/>
                <w:b w:val="0"/>
                <w:bCs/>
                <w:color w:val="000000"/>
                <w:sz w:val="21"/>
                <w:szCs w:val="21"/>
                <w:lang w:val="en-US" w:eastAsia="zh-CN"/>
              </w:rPr>
              <w:t>主观</w:t>
            </w:r>
          </w:p>
        </w:tc>
        <w:tc>
          <w:tcPr>
            <w:tcW w:w="777" w:type="pct"/>
            <w:noWrap w:val="0"/>
            <w:vAlign w:val="center"/>
          </w:tcPr>
          <w:p>
            <w:pPr>
              <w:spacing w:line="360" w:lineRule="auto"/>
              <w:jc w:val="center"/>
              <w:outlineLvl w:val="0"/>
              <w:rPr>
                <w:rFonts w:hint="eastAsia" w:ascii="宋体" w:hAnsi="宋体"/>
                <w:b w:val="0"/>
                <w:bCs/>
                <w:color w:val="000000"/>
                <w:sz w:val="21"/>
                <w:szCs w:val="21"/>
              </w:rPr>
            </w:pPr>
            <w:r>
              <w:rPr>
                <w:rFonts w:hint="eastAsia" w:ascii="宋体" w:hAnsi="宋体"/>
                <w:b w:val="0"/>
                <w:bCs/>
                <w:color w:val="000000"/>
                <w:sz w:val="21"/>
                <w:szCs w:val="21"/>
              </w:rPr>
              <w:t>（</w:t>
            </w:r>
            <w:r>
              <w:rPr>
                <w:rFonts w:hint="eastAsia" w:ascii="宋体" w:hAnsi="宋体"/>
                <w:b w:val="0"/>
                <w:bCs/>
                <w:color w:val="000000"/>
                <w:sz w:val="21"/>
                <w:szCs w:val="21"/>
                <w:lang w:val="en-US" w:eastAsia="zh-CN"/>
              </w:rPr>
              <w:t>二</w:t>
            </w:r>
            <w:r>
              <w:rPr>
                <w:rFonts w:hint="eastAsia" w:ascii="宋体" w:hAnsi="宋体"/>
                <w:b w:val="0"/>
                <w:bCs/>
                <w:color w:val="000000"/>
                <w:sz w:val="21"/>
                <w:szCs w:val="21"/>
              </w:rPr>
              <w:t>）</w:t>
            </w:r>
          </w:p>
          <w:p>
            <w:pPr>
              <w:spacing w:line="360" w:lineRule="auto"/>
              <w:jc w:val="center"/>
              <w:outlineLvl w:val="0"/>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宋体"/>
                <w:b w:val="0"/>
                <w:bCs/>
                <w:color w:val="000000"/>
                <w:sz w:val="21"/>
                <w:szCs w:val="21"/>
              </w:rPr>
              <w:t>项目</w:t>
            </w:r>
            <w:r>
              <w:rPr>
                <w:rFonts w:hint="eastAsia" w:ascii="宋体" w:hAnsi="宋体" w:cs="宋体"/>
                <w:b w:val="0"/>
                <w:bCs/>
                <w:color w:val="000000"/>
                <w:sz w:val="21"/>
                <w:szCs w:val="21"/>
                <w:lang w:val="en-US" w:eastAsia="zh-CN"/>
              </w:rPr>
              <w:t>实施</w:t>
            </w:r>
            <w:r>
              <w:rPr>
                <w:rFonts w:hint="eastAsia" w:ascii="宋体" w:hAnsi="宋体" w:eastAsia="宋体" w:cs="宋体"/>
                <w:b w:val="0"/>
                <w:bCs/>
                <w:color w:val="000000"/>
                <w:sz w:val="21"/>
                <w:szCs w:val="21"/>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360" w:type="pct"/>
            <w:noWrap w:val="0"/>
            <w:vAlign w:val="center"/>
          </w:tcPr>
          <w:p>
            <w:pPr>
              <w:spacing w:line="360" w:lineRule="auto"/>
              <w:jc w:val="center"/>
              <w:outlineLvl w:val="0"/>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3</w:t>
            </w:r>
          </w:p>
        </w:tc>
        <w:tc>
          <w:tcPr>
            <w:tcW w:w="3281" w:type="pct"/>
            <w:noWrap w:val="0"/>
            <w:vAlign w:val="center"/>
          </w:tcPr>
          <w:p>
            <w:pPr>
              <w:pStyle w:val="26"/>
              <w:spacing w:line="360" w:lineRule="exact"/>
              <w:ind w:left="0" w:leftChars="0" w:firstLine="0" w:firstLineChars="0"/>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kern w:val="2"/>
                <w:sz w:val="21"/>
                <w:szCs w:val="24"/>
                <w:lang w:val="en-US" w:eastAsia="zh-CN" w:bidi="ar-SA"/>
              </w:rPr>
              <w:t>服务商机房根据机房的规模、工艺环境、供配电、防雷接地（须提供机房防雷装置第三方定期检测报告）、机房消防（须提供机房消防设施年度检测报告）、机房动环监控、空调配置、机房管理巡检等方面与项目对应需求的满足程度等，未提供不得分。</w:t>
            </w:r>
          </w:p>
        </w:tc>
        <w:tc>
          <w:tcPr>
            <w:tcW w:w="251" w:type="pct"/>
            <w:noWrap w:val="0"/>
            <w:vAlign w:val="center"/>
          </w:tcPr>
          <w:p>
            <w:pPr>
              <w:spacing w:line="360" w:lineRule="auto"/>
              <w:jc w:val="center"/>
              <w:outlineLvl w:val="0"/>
              <w:rPr>
                <w:rFonts w:hint="eastAsia" w:ascii="宋体" w:hAnsi="宋体" w:eastAsia="宋体" w:cs="宋体"/>
                <w:b w:val="0"/>
                <w:bCs/>
                <w:color w:val="000000"/>
                <w:kern w:val="2"/>
                <w:sz w:val="21"/>
                <w:szCs w:val="21"/>
                <w:lang w:val="en-US" w:eastAsia="zh-CN" w:bidi="ar-SA"/>
              </w:rPr>
            </w:pPr>
            <w:r>
              <w:rPr>
                <w:rFonts w:hint="eastAsia" w:ascii="宋体" w:hAnsi="宋体" w:cs="宋体"/>
                <w:b w:val="0"/>
                <w:bCs/>
                <w:color w:val="000000"/>
                <w:sz w:val="21"/>
                <w:szCs w:val="21"/>
                <w:lang w:val="en-US" w:eastAsia="zh-CN"/>
              </w:rPr>
              <w:t>6</w:t>
            </w:r>
          </w:p>
        </w:tc>
        <w:tc>
          <w:tcPr>
            <w:tcW w:w="329" w:type="pct"/>
            <w:noWrap w:val="0"/>
            <w:vAlign w:val="center"/>
          </w:tcPr>
          <w:p>
            <w:pPr>
              <w:spacing w:line="360" w:lineRule="auto"/>
              <w:jc w:val="center"/>
              <w:outlineLvl w:val="0"/>
              <w:rPr>
                <w:rFonts w:hint="eastAsia" w:ascii="宋体" w:hAnsi="宋体" w:eastAsia="宋体" w:cs="Times New Roman"/>
                <w:b w:val="0"/>
                <w:bCs/>
                <w:color w:val="000000"/>
                <w:kern w:val="2"/>
                <w:sz w:val="21"/>
                <w:szCs w:val="21"/>
                <w:lang w:val="en-US" w:eastAsia="zh-CN" w:bidi="ar-SA"/>
              </w:rPr>
            </w:pPr>
            <w:r>
              <w:rPr>
                <w:rFonts w:hint="eastAsia" w:ascii="宋体" w:hAnsi="宋体"/>
                <w:b w:val="0"/>
                <w:bCs/>
                <w:color w:val="000000"/>
                <w:sz w:val="21"/>
                <w:szCs w:val="21"/>
                <w:lang w:val="en-US" w:eastAsia="zh-CN"/>
              </w:rPr>
              <w:t>主观</w:t>
            </w:r>
          </w:p>
        </w:tc>
        <w:tc>
          <w:tcPr>
            <w:tcW w:w="777" w:type="pct"/>
            <w:noWrap w:val="0"/>
            <w:vAlign w:val="center"/>
          </w:tcPr>
          <w:p>
            <w:pPr>
              <w:spacing w:line="360" w:lineRule="auto"/>
              <w:jc w:val="center"/>
              <w:outlineLvl w:val="0"/>
              <w:rPr>
                <w:rFonts w:hint="eastAsia" w:ascii="宋体" w:hAnsi="宋体"/>
                <w:b w:val="0"/>
                <w:bCs/>
                <w:color w:val="000000"/>
                <w:sz w:val="21"/>
                <w:szCs w:val="21"/>
              </w:rPr>
            </w:pPr>
            <w:r>
              <w:rPr>
                <w:rFonts w:hint="eastAsia" w:ascii="宋体" w:hAnsi="宋体"/>
                <w:b w:val="0"/>
                <w:bCs/>
                <w:color w:val="000000"/>
                <w:sz w:val="21"/>
                <w:szCs w:val="21"/>
              </w:rPr>
              <w:t>（</w:t>
            </w:r>
            <w:r>
              <w:rPr>
                <w:rFonts w:hint="eastAsia" w:ascii="宋体" w:hAnsi="宋体"/>
                <w:b w:val="0"/>
                <w:bCs/>
                <w:color w:val="000000"/>
                <w:sz w:val="21"/>
                <w:szCs w:val="21"/>
                <w:lang w:val="en-US" w:eastAsia="zh-CN"/>
              </w:rPr>
              <w:t>三</w:t>
            </w:r>
            <w:r>
              <w:rPr>
                <w:rFonts w:hint="eastAsia" w:ascii="宋体" w:hAnsi="宋体"/>
                <w:b w:val="0"/>
                <w:bCs/>
                <w:color w:val="000000"/>
                <w:sz w:val="21"/>
                <w:szCs w:val="21"/>
              </w:rPr>
              <w:t>）</w:t>
            </w:r>
          </w:p>
          <w:p>
            <w:pPr>
              <w:spacing w:line="360" w:lineRule="auto"/>
              <w:jc w:val="center"/>
              <w:outlineLvl w:val="0"/>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sz w:val="21"/>
                <w:szCs w:val="21"/>
              </w:rPr>
              <w:t>项目</w:t>
            </w:r>
            <w:r>
              <w:rPr>
                <w:rFonts w:hint="eastAsia" w:ascii="宋体" w:hAnsi="宋体" w:eastAsia="宋体" w:cs="宋体"/>
                <w:b w:val="0"/>
                <w:bCs/>
                <w:color w:val="000000"/>
                <w:sz w:val="21"/>
                <w:szCs w:val="21"/>
                <w:lang w:val="en-US" w:eastAsia="zh-CN"/>
              </w:rPr>
              <w:t>实施</w:t>
            </w:r>
            <w:r>
              <w:rPr>
                <w:rFonts w:hint="eastAsia" w:ascii="宋体" w:hAnsi="宋体" w:eastAsia="宋体" w:cs="宋体"/>
                <w:b w:val="0"/>
                <w:bCs/>
                <w:color w:val="000000"/>
                <w:sz w:val="21"/>
                <w:szCs w:val="21"/>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360" w:type="pct"/>
            <w:noWrap w:val="0"/>
            <w:vAlign w:val="center"/>
          </w:tcPr>
          <w:p>
            <w:pPr>
              <w:spacing w:line="360" w:lineRule="auto"/>
              <w:jc w:val="center"/>
              <w:outlineLvl w:val="0"/>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4</w:t>
            </w:r>
          </w:p>
        </w:tc>
        <w:tc>
          <w:tcPr>
            <w:tcW w:w="3281" w:type="pct"/>
            <w:noWrap w:val="0"/>
            <w:vAlign w:val="center"/>
          </w:tcPr>
          <w:p>
            <w:pPr>
              <w:widowControl/>
              <w:numPr>
                <w:ilvl w:val="0"/>
                <w:numId w:val="2"/>
              </w:numPr>
              <w:spacing w:line="360" w:lineRule="auto"/>
              <w:jc w:val="left"/>
              <w:rPr>
                <w:rFonts w:hint="eastAsia"/>
              </w:rPr>
            </w:pPr>
            <w:r>
              <w:rPr>
                <w:rFonts w:hint="eastAsia"/>
              </w:rPr>
              <w:t>拟派本项目负责人具有信息类或工程类或通信类高级及以上职称的，得3分；</w:t>
            </w:r>
            <w:r>
              <w:rPr>
                <w:rFonts w:hint="eastAsia"/>
                <w:lang w:eastAsia="zh-CN"/>
              </w:rPr>
              <w:t>（</w:t>
            </w:r>
            <w:r>
              <w:rPr>
                <w:rFonts w:hint="eastAsia"/>
              </w:rPr>
              <w:t>需提供证书</w:t>
            </w:r>
            <w:r>
              <w:rPr>
                <w:rFonts w:hint="eastAsia"/>
                <w:lang w:val="en-US" w:eastAsia="zh-CN"/>
              </w:rPr>
              <w:t>原件扫描件</w:t>
            </w:r>
            <w:r>
              <w:rPr>
                <w:rFonts w:hint="eastAsia"/>
              </w:rPr>
              <w:t>及近三个月社保证明</w:t>
            </w:r>
            <w:r>
              <w:rPr>
                <w:rFonts w:hint="eastAsia"/>
                <w:lang w:eastAsia="zh-CN"/>
              </w:rPr>
              <w:t>）</w:t>
            </w:r>
          </w:p>
          <w:p>
            <w:pPr>
              <w:widowControl/>
              <w:numPr>
                <w:ilvl w:val="0"/>
                <w:numId w:val="2"/>
              </w:numPr>
              <w:spacing w:line="360" w:lineRule="auto"/>
              <w:jc w:val="left"/>
              <w:rPr>
                <w:rFonts w:hint="eastAsia"/>
              </w:rPr>
            </w:pPr>
            <w:r>
              <w:rPr>
                <w:rFonts w:hint="eastAsia"/>
              </w:rPr>
              <w:t>拟派本项目技术负责人具有信息类或工程类或通信类高级及以上职称的，得3分，具有信息类或工程类或通信类工程师职称的得2分</w:t>
            </w:r>
            <w:r>
              <w:rPr>
                <w:rFonts w:hint="eastAsia"/>
                <w:lang w:eastAsia="zh-CN"/>
              </w:rPr>
              <w:t>；（</w:t>
            </w:r>
            <w:r>
              <w:rPr>
                <w:rFonts w:hint="eastAsia"/>
              </w:rPr>
              <w:t>需提供证书</w:t>
            </w:r>
            <w:r>
              <w:rPr>
                <w:rFonts w:hint="eastAsia"/>
                <w:lang w:val="en-US" w:eastAsia="zh-CN"/>
              </w:rPr>
              <w:t>原件扫描件</w:t>
            </w:r>
            <w:r>
              <w:rPr>
                <w:rFonts w:hint="eastAsia"/>
              </w:rPr>
              <w:t>及近三个月社保证明</w:t>
            </w:r>
            <w:r>
              <w:rPr>
                <w:rFonts w:hint="eastAsia"/>
                <w:lang w:eastAsia="zh-CN"/>
              </w:rPr>
              <w:t>）</w:t>
            </w:r>
            <w:r>
              <w:rPr>
                <w:rFonts w:hint="eastAsia"/>
                <w:lang w:val="en-US" w:eastAsia="zh-CN"/>
              </w:rPr>
              <w:t>共5分。</w:t>
            </w:r>
          </w:p>
          <w:p>
            <w:pPr>
              <w:widowControl/>
              <w:numPr>
                <w:ilvl w:val="0"/>
                <w:numId w:val="2"/>
              </w:numPr>
              <w:spacing w:line="360" w:lineRule="auto"/>
              <w:jc w:val="left"/>
              <w:rPr>
                <w:rFonts w:hint="eastAsia" w:ascii="Times New Roman" w:hAnsi="Times New Roman" w:eastAsia="宋体" w:cs="Times New Roman"/>
                <w:kern w:val="2"/>
                <w:sz w:val="21"/>
                <w:szCs w:val="24"/>
                <w:lang w:val="en-US" w:eastAsia="zh-CN" w:bidi="ar-SA"/>
              </w:rPr>
            </w:pPr>
            <w:r>
              <w:rPr>
                <w:rFonts w:hint="eastAsia"/>
                <w:highlight w:val="none"/>
              </w:rPr>
              <w:t>拟派本项目团队人员（除项目负责人和技术负责人）同时具有网络工程师和电工作业证的每人得2分，最高得8分。</w:t>
            </w:r>
            <w:r>
              <w:rPr>
                <w:rFonts w:hint="eastAsia"/>
                <w:highlight w:val="none"/>
                <w:lang w:eastAsia="zh-CN"/>
              </w:rPr>
              <w:t>（</w:t>
            </w:r>
            <w:r>
              <w:rPr>
                <w:rFonts w:hint="eastAsia"/>
                <w:highlight w:val="none"/>
                <w:lang w:val="en-US" w:eastAsia="zh-CN"/>
              </w:rPr>
              <w:t>需要提供证书原件扫描件，和本单位在职近三个月社保证明。</w:t>
            </w:r>
            <w:r>
              <w:rPr>
                <w:rFonts w:hint="eastAsia"/>
                <w:highlight w:val="none"/>
                <w:lang w:eastAsia="zh-CN"/>
              </w:rPr>
              <w:t>）</w:t>
            </w:r>
          </w:p>
        </w:tc>
        <w:tc>
          <w:tcPr>
            <w:tcW w:w="251" w:type="pct"/>
            <w:noWrap w:val="0"/>
            <w:vAlign w:val="center"/>
          </w:tcPr>
          <w:p>
            <w:pPr>
              <w:spacing w:line="360" w:lineRule="auto"/>
              <w:jc w:val="both"/>
              <w:outlineLvl w:val="0"/>
              <w:rPr>
                <w:rFonts w:hint="eastAsia" w:ascii="宋体" w:hAnsi="宋体" w:eastAsia="宋体" w:cs="宋体"/>
                <w:b w:val="0"/>
                <w:bCs/>
                <w:color w:val="000000"/>
                <w:kern w:val="2"/>
                <w:sz w:val="21"/>
                <w:szCs w:val="21"/>
                <w:lang w:val="en-US" w:eastAsia="zh-CN" w:bidi="ar-SA"/>
              </w:rPr>
            </w:pPr>
            <w:r>
              <w:rPr>
                <w:rFonts w:hint="eastAsia" w:ascii="宋体" w:hAnsi="宋体" w:cs="宋体"/>
                <w:b w:val="0"/>
                <w:bCs/>
                <w:color w:val="000000"/>
                <w:sz w:val="21"/>
                <w:szCs w:val="21"/>
                <w:lang w:val="en-US" w:eastAsia="zh-CN"/>
              </w:rPr>
              <w:t>16</w:t>
            </w:r>
          </w:p>
        </w:tc>
        <w:tc>
          <w:tcPr>
            <w:tcW w:w="329" w:type="pct"/>
            <w:noWrap w:val="0"/>
            <w:vAlign w:val="center"/>
          </w:tcPr>
          <w:p>
            <w:pPr>
              <w:spacing w:line="360" w:lineRule="auto"/>
              <w:jc w:val="center"/>
              <w:outlineLvl w:val="0"/>
              <w:rPr>
                <w:rFonts w:hint="eastAsia" w:ascii="宋体" w:hAnsi="宋体" w:eastAsia="宋体" w:cs="宋体"/>
                <w:b w:val="0"/>
                <w:bCs/>
                <w:kern w:val="2"/>
                <w:sz w:val="21"/>
                <w:szCs w:val="21"/>
                <w:lang w:val="en-US" w:eastAsia="zh-CN" w:bidi="ar-SA"/>
              </w:rPr>
            </w:pPr>
            <w:r>
              <w:rPr>
                <w:rFonts w:hint="eastAsia" w:ascii="宋体" w:hAnsi="宋体" w:cs="宋体"/>
                <w:b w:val="0"/>
                <w:bCs/>
                <w:sz w:val="21"/>
                <w:szCs w:val="21"/>
                <w:lang w:val="en-US" w:eastAsia="zh-CN"/>
              </w:rPr>
              <w:t>客观</w:t>
            </w:r>
          </w:p>
        </w:tc>
        <w:tc>
          <w:tcPr>
            <w:tcW w:w="777" w:type="pct"/>
            <w:noWrap w:val="0"/>
            <w:vAlign w:val="center"/>
          </w:tcPr>
          <w:p>
            <w:pPr>
              <w:spacing w:line="360" w:lineRule="auto"/>
              <w:jc w:val="center"/>
              <w:outlineLvl w:val="0"/>
              <w:rPr>
                <w:rFonts w:hint="eastAsia" w:ascii="宋体" w:hAnsi="宋体" w:cs="宋体"/>
                <w:b w:val="0"/>
                <w:bCs/>
                <w:color w:val="auto"/>
                <w:sz w:val="21"/>
                <w:szCs w:val="21"/>
                <w:lang w:val="en-US" w:eastAsia="zh-CN"/>
              </w:rPr>
            </w:pPr>
            <w:r>
              <w:rPr>
                <w:rFonts w:hint="eastAsia" w:ascii="宋体" w:hAnsi="宋体" w:cs="宋体"/>
                <w:b w:val="0"/>
                <w:bCs/>
                <w:color w:val="auto"/>
                <w:sz w:val="21"/>
                <w:szCs w:val="21"/>
                <w:lang w:val="en-US" w:eastAsia="zh-CN"/>
              </w:rPr>
              <w:t>（四）</w:t>
            </w:r>
          </w:p>
          <w:p>
            <w:pPr>
              <w:spacing w:line="360" w:lineRule="auto"/>
              <w:jc w:val="center"/>
              <w:outlineLvl w:val="0"/>
              <w:rPr>
                <w:rFonts w:hint="default" w:ascii="宋体" w:hAnsi="宋体" w:eastAsia="宋体" w:cs="宋体"/>
                <w:b w:val="0"/>
                <w:bCs/>
                <w:kern w:val="2"/>
                <w:sz w:val="21"/>
                <w:szCs w:val="21"/>
                <w:lang w:val="en-US" w:eastAsia="zh-CN" w:bidi="ar-SA"/>
              </w:rPr>
            </w:pPr>
            <w:r>
              <w:rPr>
                <w:rFonts w:hint="eastAsia" w:ascii="宋体" w:hAnsi="宋体"/>
                <w:b w:val="0"/>
                <w:bCs/>
                <w:color w:val="000000"/>
                <w:sz w:val="21"/>
                <w:szCs w:val="21"/>
                <w:lang w:val="en-US" w:eastAsia="zh-CN"/>
              </w:rPr>
              <w:t>人力资源投入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360" w:type="pct"/>
            <w:noWrap w:val="0"/>
            <w:vAlign w:val="center"/>
          </w:tcPr>
          <w:p>
            <w:pPr>
              <w:spacing w:line="360" w:lineRule="auto"/>
              <w:jc w:val="center"/>
              <w:outlineLvl w:val="0"/>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5</w:t>
            </w:r>
          </w:p>
        </w:tc>
        <w:tc>
          <w:tcPr>
            <w:tcW w:w="3281" w:type="pct"/>
            <w:noWrap w:val="0"/>
            <w:vAlign w:val="center"/>
          </w:tcPr>
          <w:p>
            <w:pPr>
              <w:numPr>
                <w:ilvl w:val="0"/>
                <w:numId w:val="3"/>
              </w:numPr>
              <w:spacing w:line="360" w:lineRule="auto"/>
              <w:jc w:val="left"/>
              <w:rPr>
                <w:rFonts w:hint="default"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rPr>
              <w:t>工期承诺：项目中标后</w:t>
            </w:r>
            <w:r>
              <w:rPr>
                <w:rFonts w:hint="eastAsia" w:cs="Times New Roman"/>
                <w:b/>
                <w:bCs/>
                <w:highlight w:val="none"/>
                <w:lang w:val="en-US" w:eastAsia="zh-CN"/>
              </w:rPr>
              <w:t>15</w:t>
            </w:r>
            <w:r>
              <w:rPr>
                <w:rFonts w:hint="eastAsia" w:ascii="Times New Roman" w:hAnsi="Times New Roman" w:eastAsia="宋体" w:cs="Times New Roman"/>
                <w:b/>
                <w:bCs/>
                <w:highlight w:val="none"/>
              </w:rPr>
              <w:t>天</w:t>
            </w:r>
            <w:r>
              <w:rPr>
                <w:rFonts w:hint="eastAsia" w:ascii="Times New Roman" w:hAnsi="Times New Roman" w:eastAsia="宋体" w:cs="Times New Roman"/>
              </w:rPr>
              <w:t>内提供项目所有服务的得3分，项目中标后</w:t>
            </w:r>
            <w:r>
              <w:rPr>
                <w:rFonts w:hint="eastAsia" w:cs="Times New Roman"/>
                <w:b/>
                <w:bCs/>
                <w:lang w:val="en-US" w:eastAsia="zh-CN"/>
              </w:rPr>
              <w:t>20</w:t>
            </w:r>
            <w:r>
              <w:rPr>
                <w:rFonts w:hint="eastAsia" w:ascii="Times New Roman" w:hAnsi="Times New Roman" w:eastAsia="宋体" w:cs="Times New Roman"/>
                <w:b/>
                <w:bCs/>
              </w:rPr>
              <w:t>天</w:t>
            </w:r>
            <w:r>
              <w:rPr>
                <w:rFonts w:hint="eastAsia" w:ascii="Times New Roman" w:hAnsi="Times New Roman" w:eastAsia="宋体" w:cs="Times New Roman"/>
              </w:rPr>
              <w:t>内提供项目所有服务的得1分,符合招标文件要求的不得分。最高得3分。（注：要求提供工期承诺函</w:t>
            </w:r>
            <w:r>
              <w:rPr>
                <w:rFonts w:hint="eastAsia" w:ascii="Times New Roman" w:hAnsi="Times New Roman" w:eastAsia="宋体" w:cs="Times New Roman"/>
                <w:lang w:val="en-US" w:eastAsia="zh-CN"/>
              </w:rPr>
              <w:t>并加盖公章</w:t>
            </w:r>
            <w:r>
              <w:rPr>
                <w:rFonts w:hint="eastAsia" w:ascii="Times New Roman" w:hAnsi="Times New Roman" w:eastAsia="宋体" w:cs="Times New Roman"/>
              </w:rPr>
              <w:t>）</w:t>
            </w:r>
          </w:p>
          <w:p>
            <w:pPr>
              <w:numPr>
                <w:ilvl w:val="0"/>
                <w:numId w:val="3"/>
              </w:numPr>
              <w:spacing w:line="360" w:lineRule="auto"/>
              <w:jc w:val="left"/>
              <w:rPr>
                <w:rFonts w:hint="default"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lang w:val="en-US" w:eastAsia="zh-CN" w:bidi="ar-SA"/>
              </w:rPr>
              <w:t>vpn链路、视频监控系统平台的运行维护方案，维护方案是否科学合理，符号采购人需求。</w:t>
            </w:r>
            <w:r>
              <w:rPr>
                <w:rFonts w:hint="eastAsia" w:ascii="Times New Roman" w:hAnsi="Times New Roman" w:cs="Times New Roman"/>
                <w:b w:val="0"/>
                <w:bCs w:val="0"/>
                <w:kern w:val="2"/>
                <w:sz w:val="21"/>
                <w:szCs w:val="24"/>
                <w:lang w:val="en-US" w:eastAsia="zh-CN" w:bidi="ar-SA"/>
              </w:rPr>
              <w:t>（3分）</w:t>
            </w:r>
          </w:p>
          <w:p>
            <w:pPr>
              <w:spacing w:line="360" w:lineRule="auto"/>
              <w:jc w:val="left"/>
              <w:rPr>
                <w:rFonts w:hint="eastAsia" w:ascii="Times New Roman" w:hAnsi="Times New Roman" w:eastAsia="宋体" w:cs="Times New Roman"/>
                <w:lang w:eastAsia="zh-CN"/>
              </w:rPr>
            </w:pPr>
            <w:r>
              <w:rPr>
                <w:rFonts w:hint="eastAsia" w:cs="Times New Roman"/>
                <w:lang w:val="en-US" w:eastAsia="zh-CN"/>
              </w:rPr>
              <w:t>3</w:t>
            </w:r>
            <w:r>
              <w:rPr>
                <w:rFonts w:hint="eastAsia" w:ascii="Times New Roman" w:hAnsi="Times New Roman" w:eastAsia="宋体" w:cs="Times New Roman"/>
                <w:lang w:val="en-US" w:eastAsia="zh-CN"/>
              </w:rPr>
              <w:t>、售后服务承诺：</w:t>
            </w:r>
            <w:r>
              <w:rPr>
                <w:rFonts w:hint="eastAsia" w:ascii="Times New Roman" w:hAnsi="Times New Roman" w:eastAsia="宋体" w:cs="Times New Roman"/>
              </w:rPr>
              <w:t>包括保修年限，保修部件范围，保修服务标准，</w:t>
            </w:r>
            <w:r>
              <w:rPr>
                <w:rFonts w:hint="eastAsia" w:ascii="Times New Roman" w:hAnsi="Times New Roman" w:eastAsia="宋体" w:cs="Times New Roman"/>
                <w:lang w:val="en-US" w:eastAsia="zh-CN"/>
              </w:rPr>
              <w:t>报修平台，</w:t>
            </w:r>
            <w:r>
              <w:rPr>
                <w:rFonts w:hint="eastAsia" w:ascii="Times New Roman" w:hAnsi="Times New Roman" w:eastAsia="宋体" w:cs="Times New Roman"/>
              </w:rPr>
              <w:t>人员配备，故障响应修复时间方式、保障措施等</w:t>
            </w:r>
            <w:r>
              <w:rPr>
                <w:rFonts w:hint="eastAsia" w:ascii="Times New Roman" w:hAnsi="Times New Roman" w:eastAsia="宋体" w:cs="Times New Roman"/>
                <w:lang w:eastAsia="zh-CN"/>
              </w:rPr>
              <w:t>，</w:t>
            </w:r>
            <w:r>
              <w:rPr>
                <w:rFonts w:hint="eastAsia" w:ascii="Times New Roman" w:hAnsi="Times New Roman" w:eastAsia="宋体" w:cs="Times New Roman"/>
              </w:rPr>
              <w:t>具有完善的服务质量保证方案，有明确的维护质量目标，质量保证措施，并具有详细可行的实施内容。</w:t>
            </w:r>
            <w:r>
              <w:rPr>
                <w:rFonts w:hint="eastAsia" w:ascii="Times New Roman" w:hAnsi="Times New Roman" w:eastAsia="宋体" w:cs="Times New Roman"/>
                <w:lang w:eastAsia="zh-CN"/>
              </w:rPr>
              <w:t>（</w:t>
            </w:r>
            <w:r>
              <w:rPr>
                <w:rFonts w:hint="eastAsia" w:cs="Times New Roman"/>
                <w:lang w:val="en-US" w:eastAsia="zh-CN"/>
              </w:rPr>
              <w:t>6</w:t>
            </w:r>
            <w:r>
              <w:rPr>
                <w:rFonts w:hint="eastAsia" w:ascii="Times New Roman" w:hAnsi="Times New Roman" w:eastAsia="宋体" w:cs="Times New Roman"/>
                <w:lang w:val="en-US" w:eastAsia="zh-CN"/>
              </w:rPr>
              <w:t>分</w:t>
            </w:r>
            <w:r>
              <w:rPr>
                <w:rFonts w:hint="eastAsia" w:ascii="Times New Roman" w:hAnsi="Times New Roman" w:eastAsia="宋体" w:cs="Times New Roman"/>
                <w:lang w:eastAsia="zh-CN"/>
              </w:rPr>
              <w:t>）</w:t>
            </w:r>
          </w:p>
          <w:p>
            <w:pPr>
              <w:spacing w:line="360" w:lineRule="auto"/>
              <w:jc w:val="left"/>
              <w:rPr>
                <w:rFonts w:hint="eastAsia" w:ascii="Times New Roman" w:hAnsi="Times New Roman" w:eastAsia="宋体" w:cs="Times New Roman"/>
                <w:highlight w:val="none"/>
              </w:rPr>
            </w:pPr>
            <w:r>
              <w:rPr>
                <w:rFonts w:hint="eastAsia" w:cs="Times New Roman"/>
                <w:highlight w:val="none"/>
                <w:lang w:val="en-US" w:eastAsia="zh-CN"/>
              </w:rPr>
              <w:t>4</w:t>
            </w:r>
            <w:r>
              <w:rPr>
                <w:rFonts w:hint="eastAsia" w:ascii="Times New Roman" w:hAnsi="Times New Roman" w:eastAsia="宋体" w:cs="Times New Roman"/>
                <w:highlight w:val="none"/>
                <w:lang w:val="en-US" w:eastAsia="zh-CN"/>
              </w:rPr>
              <w:t>、售后服务</w:t>
            </w:r>
            <w:r>
              <w:rPr>
                <w:rFonts w:hint="eastAsia" w:cs="Times New Roman"/>
                <w:highlight w:val="none"/>
                <w:lang w:val="en-US" w:eastAsia="zh-CN"/>
              </w:rPr>
              <w:t>时间承诺</w:t>
            </w:r>
            <w:r>
              <w:rPr>
                <w:rFonts w:hint="eastAsia" w:ascii="Times New Roman" w:hAnsi="Times New Roman" w:eastAsia="宋体" w:cs="Times New Roman"/>
                <w:highlight w:val="none"/>
                <w:lang w:val="en-US" w:eastAsia="zh-CN"/>
              </w:rPr>
              <w:t>：</w:t>
            </w:r>
            <w:r>
              <w:rPr>
                <w:rFonts w:hint="eastAsia" w:ascii="Times New Roman" w:hAnsi="Times New Roman" w:eastAsia="宋体" w:cs="Times New Roman"/>
                <w:highlight w:val="none"/>
                <w:lang w:val="zh-CN" w:eastAsia="zh-CN"/>
              </w:rPr>
              <w:t>承诺维修人员接到通知后</w:t>
            </w:r>
            <w:r>
              <w:rPr>
                <w:rFonts w:hint="eastAsia" w:ascii="Times New Roman" w:hAnsi="Times New Roman" w:eastAsia="宋体" w:cs="Times New Roman"/>
                <w:highlight w:val="none"/>
                <w:lang w:val="en-US" w:eastAsia="zh-CN"/>
              </w:rPr>
              <w:t>3小时内到达现场</w:t>
            </w:r>
            <w:r>
              <w:rPr>
                <w:rFonts w:hint="eastAsia" w:cs="Times New Roman"/>
                <w:highlight w:val="none"/>
                <w:lang w:val="en-US" w:eastAsia="zh-CN"/>
              </w:rPr>
              <w:t>得1分，</w:t>
            </w:r>
            <w:r>
              <w:rPr>
                <w:rFonts w:hint="eastAsia" w:ascii="Times New Roman" w:hAnsi="Times New Roman" w:eastAsia="宋体" w:cs="Times New Roman"/>
                <w:highlight w:val="none"/>
                <w:lang w:val="zh-CN" w:eastAsia="zh-CN"/>
              </w:rPr>
              <w:t>承诺维修人员接到通知后</w:t>
            </w:r>
            <w:r>
              <w:rPr>
                <w:rFonts w:hint="eastAsia" w:ascii="Times New Roman" w:hAnsi="Times New Roman" w:cs="Times New Roman"/>
                <w:highlight w:val="none"/>
                <w:lang w:val="en-US" w:eastAsia="zh-CN"/>
              </w:rPr>
              <w:t>2</w:t>
            </w:r>
            <w:r>
              <w:rPr>
                <w:rFonts w:hint="eastAsia" w:ascii="Times New Roman" w:hAnsi="Times New Roman" w:eastAsia="宋体" w:cs="Times New Roman"/>
                <w:highlight w:val="none"/>
                <w:lang w:val="en-US" w:eastAsia="zh-CN"/>
              </w:rPr>
              <w:t>小时内到达现场</w:t>
            </w:r>
            <w:r>
              <w:rPr>
                <w:rFonts w:hint="eastAsia" w:cs="Times New Roman"/>
                <w:highlight w:val="none"/>
                <w:lang w:val="en-US" w:eastAsia="zh-CN"/>
              </w:rPr>
              <w:t>得2分</w:t>
            </w:r>
            <w:r>
              <w:rPr>
                <w:rFonts w:hint="eastAsia" w:ascii="Times New Roman" w:hAnsi="Times New Roman" w:eastAsia="宋体" w:cs="Times New Roman"/>
                <w:highlight w:val="none"/>
                <w:lang w:val="en-US" w:eastAsia="zh-CN"/>
              </w:rPr>
              <w:t>。</w:t>
            </w:r>
            <w:r>
              <w:rPr>
                <w:rFonts w:hint="eastAsia" w:ascii="Times New Roman" w:hAnsi="Times New Roman" w:eastAsia="宋体" w:cs="Times New Roman"/>
                <w:highlight w:val="none"/>
                <w:lang w:val="zh-CN" w:eastAsia="zh-CN"/>
              </w:rPr>
              <w:t>（</w:t>
            </w:r>
            <w:r>
              <w:rPr>
                <w:rFonts w:hint="eastAsia" w:cs="Times New Roman"/>
                <w:highlight w:val="none"/>
                <w:lang w:val="en-US" w:eastAsia="zh-CN"/>
              </w:rPr>
              <w:t>2</w:t>
            </w:r>
            <w:r>
              <w:rPr>
                <w:rFonts w:hint="eastAsia" w:ascii="Times New Roman" w:hAnsi="Times New Roman" w:eastAsia="宋体" w:cs="Times New Roman"/>
                <w:highlight w:val="none"/>
                <w:lang w:val="zh-CN" w:eastAsia="zh-CN"/>
              </w:rPr>
              <w:t>分）</w:t>
            </w:r>
          </w:p>
          <w:p>
            <w:pPr>
              <w:spacing w:line="360" w:lineRule="auto"/>
              <w:jc w:val="left"/>
              <w:rPr>
                <w:rFonts w:hint="eastAsia" w:cs="Times New Roman"/>
                <w:highlight w:val="none"/>
                <w:lang w:eastAsia="zh-CN"/>
              </w:rPr>
            </w:pPr>
            <w:r>
              <w:rPr>
                <w:rFonts w:hint="eastAsia" w:cs="Times New Roman"/>
                <w:highlight w:val="none"/>
                <w:lang w:val="en-US" w:eastAsia="zh-CN"/>
              </w:rPr>
              <w:t>5</w:t>
            </w:r>
            <w:r>
              <w:rPr>
                <w:rFonts w:hint="eastAsia" w:ascii="Times New Roman" w:hAnsi="Times New Roman" w:eastAsia="宋体" w:cs="Times New Roman"/>
                <w:highlight w:val="none"/>
                <w:lang w:val="en-US" w:eastAsia="zh-CN"/>
              </w:rPr>
              <w:t>、</w:t>
            </w:r>
            <w:r>
              <w:rPr>
                <w:rFonts w:hint="eastAsia" w:ascii="Times New Roman" w:hAnsi="Times New Roman" w:eastAsia="宋体" w:cs="Times New Roman"/>
                <w:highlight w:val="none"/>
              </w:rPr>
              <w:t>售后服务人员配置，要求投标人配备专业的维护人员，配备30人及以上得3分，15-</w:t>
            </w:r>
            <w:r>
              <w:rPr>
                <w:rFonts w:hint="eastAsia" w:cs="Times New Roman"/>
                <w:highlight w:val="none"/>
                <w:lang w:val="en-US" w:eastAsia="zh-CN"/>
              </w:rPr>
              <w:t>29</w:t>
            </w:r>
            <w:r>
              <w:rPr>
                <w:rFonts w:hint="eastAsia" w:ascii="Times New Roman" w:hAnsi="Times New Roman" w:eastAsia="宋体" w:cs="Times New Roman"/>
                <w:highlight w:val="none"/>
              </w:rPr>
              <w:t>人得2分，</w:t>
            </w:r>
            <w:r>
              <w:rPr>
                <w:rFonts w:hint="eastAsia" w:cs="Times New Roman"/>
                <w:highlight w:val="none"/>
                <w:lang w:val="en-US" w:eastAsia="zh-CN"/>
              </w:rPr>
              <w:t>14人及以下</w:t>
            </w:r>
            <w:r>
              <w:rPr>
                <w:rFonts w:hint="eastAsia" w:ascii="Times New Roman" w:hAnsi="Times New Roman" w:eastAsia="宋体" w:cs="Times New Roman"/>
                <w:highlight w:val="none"/>
              </w:rPr>
              <w:t>得1分，不提供不得分；</w:t>
            </w:r>
            <w:r>
              <w:rPr>
                <w:rFonts w:hint="eastAsia" w:cs="Times New Roman"/>
                <w:highlight w:val="none"/>
                <w:lang w:eastAsia="zh-CN"/>
              </w:rPr>
              <w:t>（</w:t>
            </w:r>
            <w:r>
              <w:rPr>
                <w:rFonts w:hint="eastAsia" w:cs="Times New Roman"/>
                <w:highlight w:val="none"/>
                <w:lang w:val="en-US" w:eastAsia="zh-CN"/>
              </w:rPr>
              <w:t>需服务人员配置名单，并提供</w:t>
            </w:r>
            <w:r>
              <w:rPr>
                <w:rFonts w:hint="eastAsia"/>
                <w:highlight w:val="none"/>
                <w:lang w:val="en-US" w:eastAsia="zh-CN"/>
              </w:rPr>
              <w:t>本单位在职近三个月社保证明</w:t>
            </w:r>
            <w:r>
              <w:rPr>
                <w:rFonts w:hint="eastAsia" w:cs="Times New Roman"/>
                <w:highlight w:val="none"/>
                <w:lang w:eastAsia="zh-CN"/>
              </w:rPr>
              <w:t>）</w:t>
            </w:r>
          </w:p>
          <w:p>
            <w:pPr>
              <w:spacing w:line="360" w:lineRule="auto"/>
              <w:jc w:val="left"/>
              <w:rPr>
                <w:rFonts w:hint="eastAsia" w:ascii="Times New Roman" w:hAnsi="Times New Roman" w:eastAsia="宋体" w:cs="Times New Roman"/>
                <w:highlight w:val="none"/>
              </w:rPr>
            </w:pPr>
            <w:r>
              <w:rPr>
                <w:rFonts w:hint="eastAsia" w:ascii="Times New Roman" w:hAnsi="Times New Roman" w:eastAsia="宋体" w:cs="Times New Roman"/>
                <w:highlight w:val="none"/>
              </w:rPr>
              <w:t>其中同时具备电工作业证和登高作业证的每人得0.3分，最高得6分。（投标人须提供</w:t>
            </w:r>
            <w:r>
              <w:rPr>
                <w:rFonts w:hint="eastAsia" w:cs="Times New Roman"/>
                <w:highlight w:val="none"/>
                <w:lang w:val="en-US" w:eastAsia="zh-CN"/>
              </w:rPr>
              <w:t>证书原件或</w:t>
            </w:r>
            <w:r>
              <w:rPr>
                <w:rFonts w:hint="eastAsia" w:ascii="Times New Roman" w:hAnsi="Times New Roman" w:eastAsia="宋体" w:cs="Times New Roman"/>
                <w:highlight w:val="none"/>
              </w:rPr>
              <w:t>复印件扫描件、在本单位近3个月社保证明，不提供不得分）</w:t>
            </w:r>
          </w:p>
          <w:p>
            <w:pPr>
              <w:spacing w:line="360" w:lineRule="auto"/>
              <w:jc w:val="left"/>
              <w:rPr>
                <w:rFonts w:hint="eastAsia" w:ascii="Times New Roman" w:hAnsi="Times New Roman" w:eastAsia="宋体" w:cs="Times New Roman"/>
                <w:kern w:val="2"/>
                <w:sz w:val="21"/>
                <w:szCs w:val="24"/>
                <w:lang w:val="en-US" w:eastAsia="zh-CN" w:bidi="ar-SA"/>
              </w:rPr>
            </w:pPr>
            <w:r>
              <w:rPr>
                <w:rFonts w:hint="eastAsia" w:cs="Times New Roman"/>
                <w:highlight w:val="none"/>
                <w:lang w:val="en-US" w:eastAsia="zh-CN"/>
              </w:rPr>
              <w:t>6</w:t>
            </w:r>
            <w:r>
              <w:rPr>
                <w:rFonts w:hint="eastAsia" w:ascii="Times New Roman" w:hAnsi="Times New Roman" w:eastAsia="宋体" w:cs="Times New Roman"/>
                <w:highlight w:val="none"/>
                <w:lang w:val="en-US" w:eastAsia="zh-CN"/>
              </w:rPr>
              <w:t>、</w:t>
            </w:r>
            <w:r>
              <w:rPr>
                <w:rFonts w:hint="eastAsia" w:ascii="Times New Roman" w:hAnsi="Times New Roman" w:eastAsia="宋体" w:cs="Times New Roman"/>
                <w:highlight w:val="none"/>
              </w:rPr>
              <w:t>投标人自有的售后服务车辆配置（须为运维专用车辆，能够随车带梯子、备件等维修工具的工程车或面包车，不能用商务车或轿车）：本项目要求售后运维车辆，每提供一辆得1分，最高得8分。（提供有效期内的行驶证</w:t>
            </w:r>
            <w:r>
              <w:rPr>
                <w:rFonts w:hint="eastAsia" w:cs="Times New Roman"/>
                <w:highlight w:val="none"/>
                <w:lang w:val="en-US" w:eastAsia="zh-CN"/>
              </w:rPr>
              <w:t>原件或</w:t>
            </w:r>
            <w:r>
              <w:rPr>
                <w:rFonts w:hint="eastAsia" w:ascii="Times New Roman" w:hAnsi="Times New Roman" w:eastAsia="宋体" w:cs="Times New Roman"/>
                <w:highlight w:val="none"/>
              </w:rPr>
              <w:t>复印件扫描件，车辆照片（含车牌））</w:t>
            </w:r>
          </w:p>
        </w:tc>
        <w:tc>
          <w:tcPr>
            <w:tcW w:w="251" w:type="pct"/>
            <w:noWrap w:val="0"/>
            <w:vAlign w:val="center"/>
          </w:tcPr>
          <w:p>
            <w:pPr>
              <w:spacing w:line="360" w:lineRule="auto"/>
              <w:jc w:val="center"/>
              <w:outlineLvl w:val="0"/>
              <w:rPr>
                <w:rFonts w:hint="default"/>
                <w:lang w:val="en-US" w:eastAsia="zh-CN"/>
              </w:rPr>
            </w:pPr>
            <w:r>
              <w:rPr>
                <w:rFonts w:hint="eastAsia"/>
                <w:lang w:val="en-US" w:eastAsia="zh-CN"/>
              </w:rPr>
              <w:t>31</w:t>
            </w:r>
          </w:p>
        </w:tc>
        <w:tc>
          <w:tcPr>
            <w:tcW w:w="329" w:type="pct"/>
            <w:noWrap w:val="0"/>
            <w:vAlign w:val="center"/>
          </w:tcPr>
          <w:p>
            <w:pPr>
              <w:spacing w:line="360" w:lineRule="auto"/>
              <w:jc w:val="center"/>
              <w:outlineLvl w:val="0"/>
              <w:rPr>
                <w:rFonts w:hint="eastAsia" w:ascii="宋体" w:hAnsi="宋体" w:eastAsia="宋体" w:cs="Times New Roman"/>
                <w:b w:val="0"/>
                <w:bCs/>
                <w:color w:val="000000"/>
                <w:kern w:val="2"/>
                <w:sz w:val="21"/>
                <w:szCs w:val="21"/>
                <w:lang w:val="en-US" w:eastAsia="zh-CN" w:bidi="ar-SA"/>
              </w:rPr>
            </w:pPr>
            <w:r>
              <w:rPr>
                <w:rFonts w:hint="eastAsia" w:ascii="宋体" w:hAnsi="宋体"/>
                <w:b w:val="0"/>
                <w:bCs/>
                <w:color w:val="000000"/>
                <w:sz w:val="21"/>
                <w:szCs w:val="21"/>
                <w:lang w:val="en-US" w:eastAsia="zh-CN"/>
              </w:rPr>
              <w:t>主观</w:t>
            </w:r>
          </w:p>
        </w:tc>
        <w:tc>
          <w:tcPr>
            <w:tcW w:w="777" w:type="pct"/>
            <w:noWrap w:val="0"/>
            <w:vAlign w:val="center"/>
          </w:tcPr>
          <w:p>
            <w:pPr>
              <w:spacing w:line="360" w:lineRule="auto"/>
              <w:jc w:val="center"/>
              <w:outlineLvl w:val="0"/>
              <w:rPr>
                <w:rFonts w:hint="eastAsia" w:ascii="宋体" w:hAnsi="宋体"/>
                <w:b w:val="0"/>
                <w:bCs/>
                <w:color w:val="000000"/>
                <w:sz w:val="21"/>
                <w:szCs w:val="21"/>
              </w:rPr>
            </w:pPr>
            <w:r>
              <w:rPr>
                <w:rFonts w:hint="eastAsia" w:ascii="宋体" w:hAnsi="宋体"/>
                <w:b w:val="0"/>
                <w:bCs/>
                <w:color w:val="000000"/>
                <w:sz w:val="21"/>
                <w:szCs w:val="21"/>
              </w:rPr>
              <w:t>（</w:t>
            </w:r>
            <w:r>
              <w:rPr>
                <w:rFonts w:hint="eastAsia" w:ascii="宋体" w:hAnsi="宋体"/>
                <w:b w:val="0"/>
                <w:bCs/>
                <w:color w:val="000000"/>
                <w:sz w:val="21"/>
                <w:szCs w:val="21"/>
                <w:lang w:val="en-US" w:eastAsia="zh-CN"/>
              </w:rPr>
              <w:t>五</w:t>
            </w:r>
            <w:r>
              <w:rPr>
                <w:rFonts w:hint="eastAsia" w:ascii="宋体" w:hAnsi="宋体"/>
                <w:b w:val="0"/>
                <w:bCs/>
                <w:color w:val="000000"/>
                <w:sz w:val="21"/>
                <w:szCs w:val="21"/>
              </w:rPr>
              <w:t>）</w:t>
            </w:r>
          </w:p>
          <w:p>
            <w:pPr>
              <w:spacing w:line="360" w:lineRule="auto"/>
              <w:jc w:val="center"/>
              <w:outlineLvl w:val="0"/>
              <w:rPr>
                <w:rFonts w:hint="eastAsia" w:ascii="宋体" w:hAnsi="宋体" w:eastAsia="宋体" w:cs="Times New Roman"/>
                <w:b w:val="0"/>
                <w:bCs/>
                <w:color w:val="000000"/>
                <w:kern w:val="2"/>
                <w:sz w:val="21"/>
                <w:szCs w:val="21"/>
                <w:lang w:val="en-US" w:eastAsia="zh-CN" w:bidi="ar-SA"/>
              </w:rPr>
            </w:pPr>
            <w:r>
              <w:rPr>
                <w:rFonts w:hint="eastAsia" w:ascii="宋体" w:hAnsi="宋体"/>
                <w:b w:val="0"/>
                <w:bCs/>
                <w:color w:val="000000"/>
                <w:sz w:val="21"/>
                <w:szCs w:val="21"/>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360" w:type="pct"/>
            <w:noWrap w:val="0"/>
            <w:vAlign w:val="center"/>
          </w:tcPr>
          <w:p>
            <w:pPr>
              <w:spacing w:line="360" w:lineRule="auto"/>
              <w:jc w:val="center"/>
              <w:outlineLvl w:val="0"/>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6</w:t>
            </w:r>
          </w:p>
        </w:tc>
        <w:tc>
          <w:tcPr>
            <w:tcW w:w="3281" w:type="pct"/>
            <w:noWrap w:val="0"/>
            <w:vAlign w:val="center"/>
          </w:tcPr>
          <w:p>
            <w:pPr>
              <w:spacing w:line="360" w:lineRule="auto"/>
              <w:jc w:val="left"/>
              <w:rPr>
                <w:rFonts w:hint="eastAsia"/>
                <w:lang w:val="en-US" w:eastAsia="zh-CN"/>
              </w:rPr>
            </w:pPr>
            <w:r>
              <w:rPr>
                <w:rFonts w:hint="eastAsia"/>
                <w:lang w:val="en-US" w:eastAsia="zh-CN"/>
              </w:rPr>
              <w:t>投标人承诺服务期间</w:t>
            </w:r>
            <w:r>
              <w:rPr>
                <w:rFonts w:hint="eastAsia" w:ascii="Times New Roman" w:hAnsi="Times New Roman" w:eastAsia="宋体" w:cs="Times New Roman"/>
                <w:b w:val="0"/>
                <w:bCs w:val="0"/>
                <w:kern w:val="2"/>
                <w:sz w:val="21"/>
                <w:szCs w:val="24"/>
                <w:lang w:val="en-US" w:eastAsia="zh-CN" w:bidi="ar-SA"/>
              </w:rPr>
              <w:t>，设立售后服务中心并配备专人值班，提供7*12小时响应服务，</w:t>
            </w:r>
            <w:r>
              <w:rPr>
                <w:rFonts w:hint="eastAsia"/>
                <w:lang w:val="en-US" w:eastAsia="zh-CN"/>
              </w:rPr>
              <w:t>承诺提供一年7天24小时重保服务的，得4分，提供一年5-6天24小时重保服务的，得3分，提供一年3-4天24小时重保服务的，得2分，提供一年1-2天24小时重保服务的，得1分，不提供不得分。（24小时重保服务是指重要时间节日、重大安保等期间，投标人需安排专业人员24小时在招标单位指定地点进行安全保障服务）</w:t>
            </w:r>
          </w:p>
        </w:tc>
        <w:tc>
          <w:tcPr>
            <w:tcW w:w="251" w:type="pct"/>
            <w:noWrap w:val="0"/>
            <w:vAlign w:val="center"/>
          </w:tcPr>
          <w:p>
            <w:pPr>
              <w:spacing w:line="360" w:lineRule="auto"/>
              <w:jc w:val="center"/>
              <w:outlineLvl w:val="0"/>
              <w:rPr>
                <w:rFonts w:hint="default" w:ascii="宋体" w:hAnsi="宋体" w:eastAsia="宋体" w:cs="宋体"/>
                <w:b w:val="0"/>
                <w:bCs/>
                <w:color w:val="000000"/>
                <w:kern w:val="2"/>
                <w:sz w:val="21"/>
                <w:szCs w:val="21"/>
                <w:lang w:val="en-US" w:eastAsia="zh-CN" w:bidi="ar-SA"/>
              </w:rPr>
            </w:pPr>
            <w:r>
              <w:rPr>
                <w:rFonts w:hint="eastAsia" w:ascii="宋体" w:hAnsi="宋体" w:cs="宋体"/>
                <w:b w:val="0"/>
                <w:bCs/>
                <w:color w:val="000000"/>
                <w:kern w:val="2"/>
                <w:sz w:val="21"/>
                <w:szCs w:val="21"/>
                <w:lang w:val="en-US" w:eastAsia="zh-CN" w:bidi="ar-SA"/>
              </w:rPr>
              <w:t>4</w:t>
            </w:r>
          </w:p>
        </w:tc>
        <w:tc>
          <w:tcPr>
            <w:tcW w:w="329" w:type="pct"/>
            <w:noWrap w:val="0"/>
            <w:vAlign w:val="center"/>
          </w:tcPr>
          <w:p>
            <w:pPr>
              <w:spacing w:line="360" w:lineRule="auto"/>
              <w:jc w:val="center"/>
              <w:outlineLvl w:val="0"/>
              <w:rPr>
                <w:rFonts w:hint="eastAsia" w:ascii="宋体" w:hAnsi="宋体" w:eastAsia="宋体" w:cs="Times New Roman"/>
                <w:b w:val="0"/>
                <w:bCs/>
                <w:color w:val="000000"/>
                <w:kern w:val="2"/>
                <w:sz w:val="21"/>
                <w:szCs w:val="21"/>
                <w:lang w:val="en-US" w:eastAsia="zh-CN" w:bidi="ar-SA"/>
              </w:rPr>
            </w:pPr>
            <w:r>
              <w:rPr>
                <w:rFonts w:hint="eastAsia" w:ascii="宋体" w:hAnsi="宋体" w:cs="宋体"/>
                <w:b w:val="0"/>
                <w:bCs/>
                <w:sz w:val="21"/>
                <w:szCs w:val="21"/>
                <w:lang w:val="en-US" w:eastAsia="zh-CN"/>
              </w:rPr>
              <w:t>客观</w:t>
            </w:r>
          </w:p>
        </w:tc>
        <w:tc>
          <w:tcPr>
            <w:tcW w:w="777" w:type="pct"/>
            <w:noWrap w:val="0"/>
            <w:vAlign w:val="center"/>
          </w:tcPr>
          <w:p>
            <w:pPr>
              <w:spacing w:line="360" w:lineRule="auto"/>
              <w:jc w:val="center"/>
              <w:outlineLvl w:val="0"/>
              <w:rPr>
                <w:rFonts w:hint="default" w:ascii="宋体" w:hAnsi="宋体" w:eastAsia="宋体" w:cs="宋体"/>
                <w:b w:val="0"/>
                <w:bCs/>
                <w:color w:val="000000"/>
                <w:kern w:val="2"/>
                <w:sz w:val="21"/>
                <w:szCs w:val="21"/>
                <w:lang w:val="en-US" w:eastAsia="zh-CN" w:bidi="ar-SA"/>
              </w:rPr>
            </w:pPr>
            <w:r>
              <w:rPr>
                <w:rFonts w:hint="eastAsia" w:ascii="宋体" w:hAnsi="宋体" w:cs="宋体"/>
                <w:b w:val="0"/>
                <w:bCs/>
                <w:color w:val="000000"/>
                <w:kern w:val="2"/>
                <w:sz w:val="21"/>
                <w:szCs w:val="21"/>
                <w:lang w:val="en-US" w:eastAsia="zh-CN" w:bidi="ar-SA"/>
              </w:rPr>
              <w:t>（六）服务承诺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360" w:type="pct"/>
            <w:noWrap w:val="0"/>
            <w:vAlign w:val="center"/>
          </w:tcPr>
          <w:p>
            <w:pPr>
              <w:spacing w:line="360" w:lineRule="auto"/>
              <w:jc w:val="center"/>
              <w:outlineLvl w:val="0"/>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7</w:t>
            </w:r>
          </w:p>
        </w:tc>
        <w:tc>
          <w:tcPr>
            <w:tcW w:w="3281" w:type="pct"/>
            <w:noWrap w:val="0"/>
            <w:vAlign w:val="center"/>
          </w:tcPr>
          <w:p>
            <w:pPr>
              <w:spacing w:line="360" w:lineRule="auto"/>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培训方案：</w:t>
            </w:r>
            <w:r>
              <w:rPr>
                <w:rFonts w:hint="eastAsia" w:ascii="Times New Roman" w:hAnsi="Times New Roman" w:eastAsia="宋体" w:cs="Times New Roman"/>
                <w:lang w:val="zh-CN" w:eastAsia="zh-CN"/>
              </w:rPr>
              <w:t>投标人提出系统管理培训、系统运行维护培训等内容的培训计划、地点、组织、人员配备、软硬件资料等内容的完整性、科学合理性。</w:t>
            </w:r>
          </w:p>
        </w:tc>
        <w:tc>
          <w:tcPr>
            <w:tcW w:w="251" w:type="pct"/>
            <w:noWrap w:val="0"/>
            <w:vAlign w:val="center"/>
          </w:tcPr>
          <w:p>
            <w:pPr>
              <w:spacing w:line="360" w:lineRule="auto"/>
              <w:jc w:val="center"/>
              <w:outlineLvl w:val="0"/>
              <w:rPr>
                <w:rFonts w:hint="eastAsia" w:ascii="宋体" w:hAnsi="宋体" w:eastAsia="宋体" w:cs="宋体"/>
                <w:b w:val="0"/>
                <w:bCs/>
                <w:color w:val="000000"/>
                <w:kern w:val="2"/>
                <w:sz w:val="21"/>
                <w:szCs w:val="21"/>
                <w:lang w:val="en-US" w:eastAsia="zh-CN" w:bidi="ar-SA"/>
              </w:rPr>
            </w:pPr>
            <w:r>
              <w:rPr>
                <w:rFonts w:hint="eastAsia" w:ascii="宋体" w:hAnsi="宋体" w:cs="宋体"/>
                <w:b w:val="0"/>
                <w:bCs/>
                <w:color w:val="000000"/>
                <w:sz w:val="21"/>
                <w:szCs w:val="21"/>
                <w:lang w:val="en-US" w:eastAsia="zh-CN"/>
              </w:rPr>
              <w:t>6</w:t>
            </w:r>
          </w:p>
        </w:tc>
        <w:tc>
          <w:tcPr>
            <w:tcW w:w="329" w:type="pct"/>
            <w:noWrap w:val="0"/>
            <w:vAlign w:val="center"/>
          </w:tcPr>
          <w:p>
            <w:pPr>
              <w:spacing w:line="360" w:lineRule="auto"/>
              <w:jc w:val="center"/>
              <w:outlineLvl w:val="0"/>
              <w:rPr>
                <w:rFonts w:hint="eastAsia" w:ascii="宋体" w:hAnsi="宋体" w:eastAsia="宋体" w:cs="Times New Roman"/>
                <w:b w:val="0"/>
                <w:bCs/>
                <w:color w:val="000000"/>
                <w:kern w:val="2"/>
                <w:sz w:val="21"/>
                <w:szCs w:val="21"/>
                <w:lang w:val="en-US" w:eastAsia="zh-CN" w:bidi="ar-SA"/>
              </w:rPr>
            </w:pPr>
            <w:r>
              <w:rPr>
                <w:rFonts w:hint="eastAsia" w:ascii="宋体" w:hAnsi="宋体"/>
                <w:b w:val="0"/>
                <w:bCs/>
                <w:color w:val="000000"/>
                <w:sz w:val="21"/>
                <w:szCs w:val="21"/>
                <w:lang w:val="en-US" w:eastAsia="zh-CN"/>
              </w:rPr>
              <w:t>主观</w:t>
            </w:r>
          </w:p>
        </w:tc>
        <w:tc>
          <w:tcPr>
            <w:tcW w:w="777" w:type="pct"/>
            <w:noWrap w:val="0"/>
            <w:vAlign w:val="center"/>
          </w:tcPr>
          <w:p>
            <w:pPr>
              <w:spacing w:line="360" w:lineRule="auto"/>
              <w:jc w:val="center"/>
              <w:outlineLvl w:val="0"/>
              <w:rPr>
                <w:rFonts w:hint="eastAsia" w:ascii="宋体" w:hAnsi="宋体"/>
                <w:b w:val="0"/>
                <w:bCs/>
                <w:color w:val="000000"/>
                <w:sz w:val="21"/>
                <w:szCs w:val="21"/>
              </w:rPr>
            </w:pPr>
            <w:r>
              <w:rPr>
                <w:rFonts w:hint="eastAsia" w:ascii="宋体" w:hAnsi="宋体"/>
                <w:b w:val="0"/>
                <w:bCs/>
                <w:color w:val="000000"/>
                <w:sz w:val="21"/>
                <w:szCs w:val="21"/>
              </w:rPr>
              <w:t>（</w:t>
            </w:r>
            <w:r>
              <w:rPr>
                <w:rFonts w:hint="eastAsia" w:ascii="宋体" w:hAnsi="宋体"/>
                <w:b w:val="0"/>
                <w:bCs/>
                <w:color w:val="000000"/>
                <w:sz w:val="21"/>
                <w:szCs w:val="21"/>
                <w:lang w:val="en-US" w:eastAsia="zh-CN"/>
              </w:rPr>
              <w:t>七</w:t>
            </w:r>
            <w:r>
              <w:rPr>
                <w:rFonts w:hint="eastAsia" w:ascii="宋体" w:hAnsi="宋体"/>
                <w:b w:val="0"/>
                <w:bCs/>
                <w:color w:val="000000"/>
                <w:sz w:val="21"/>
                <w:szCs w:val="21"/>
              </w:rPr>
              <w:t>）</w:t>
            </w:r>
          </w:p>
          <w:p>
            <w:pPr>
              <w:spacing w:line="360" w:lineRule="auto"/>
              <w:jc w:val="center"/>
              <w:outlineLvl w:val="0"/>
              <w:rPr>
                <w:rFonts w:hint="eastAsia" w:ascii="宋体" w:hAnsi="宋体" w:eastAsia="宋体" w:cs="Times New Roman"/>
                <w:b w:val="0"/>
                <w:bCs/>
                <w:color w:val="000000"/>
                <w:kern w:val="2"/>
                <w:sz w:val="21"/>
                <w:szCs w:val="21"/>
                <w:lang w:val="en-US" w:eastAsia="zh-CN" w:bidi="ar-SA"/>
              </w:rPr>
            </w:pPr>
            <w:r>
              <w:rPr>
                <w:rFonts w:hint="eastAsia" w:ascii="宋体" w:hAnsi="宋体"/>
                <w:b w:val="0"/>
                <w:bCs/>
                <w:color w:val="000000"/>
                <w:sz w:val="21"/>
                <w:szCs w:val="21"/>
                <w:lang w:val="en-US" w:eastAsia="zh-CN"/>
              </w:rPr>
              <w:t>培训</w:t>
            </w:r>
            <w:r>
              <w:rPr>
                <w:rFonts w:hint="eastAsia" w:ascii="宋体" w:hAnsi="宋体"/>
                <w:b w:val="0"/>
                <w:bCs/>
                <w:color w:val="000000"/>
                <w:sz w:val="21"/>
                <w:szCs w:val="21"/>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360" w:type="pct"/>
            <w:noWrap w:val="0"/>
            <w:vAlign w:val="center"/>
          </w:tcPr>
          <w:p>
            <w:pPr>
              <w:spacing w:line="360" w:lineRule="auto"/>
              <w:jc w:val="center"/>
              <w:outlineLvl w:val="0"/>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8</w:t>
            </w:r>
          </w:p>
        </w:tc>
        <w:tc>
          <w:tcPr>
            <w:tcW w:w="3281" w:type="pct"/>
            <w:noWrap w:val="0"/>
            <w:vAlign w:val="center"/>
          </w:tcPr>
          <w:p>
            <w:pPr>
              <w:tabs>
                <w:tab w:val="left" w:pos="3870"/>
                <w:tab w:val="left" w:pos="4085"/>
              </w:tabs>
              <w:autoSpaceDE w:val="0"/>
              <w:autoSpaceDN w:val="0"/>
              <w:spacing w:line="360" w:lineRule="auto"/>
              <w:jc w:val="left"/>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rPr>
              <w:t>投标人具有有效的质量管理体系认证、环境管理体系认证、职业健康安全管理体系认证证书的，每个得1分，没有不得分</w:t>
            </w:r>
            <w:r>
              <w:rPr>
                <w:rFonts w:hint="eastAsia" w:ascii="宋体" w:hAnsi="宋体" w:cs="宋体"/>
                <w:b w:val="0"/>
                <w:bCs/>
                <w:color w:val="000000"/>
                <w:sz w:val="21"/>
                <w:szCs w:val="21"/>
                <w:lang w:eastAsia="zh-CN"/>
              </w:rPr>
              <w:t>。</w:t>
            </w:r>
          </w:p>
          <w:p>
            <w:pPr>
              <w:tabs>
                <w:tab w:val="left" w:pos="3870"/>
                <w:tab w:val="left" w:pos="4085"/>
              </w:tabs>
              <w:autoSpaceDE w:val="0"/>
              <w:autoSpaceDN w:val="0"/>
              <w:spacing w:line="360" w:lineRule="auto"/>
              <w:jc w:val="left"/>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sz w:val="21"/>
                <w:szCs w:val="21"/>
              </w:rPr>
              <w:t>注：以上证书需在有效期内，提供</w:t>
            </w:r>
            <w:r>
              <w:rPr>
                <w:rFonts w:hint="eastAsia" w:ascii="宋体" w:hAnsi="宋体" w:cs="宋体"/>
                <w:b w:val="0"/>
                <w:bCs/>
                <w:color w:val="000000"/>
                <w:sz w:val="21"/>
                <w:szCs w:val="21"/>
                <w:lang w:val="en-US" w:eastAsia="zh-CN"/>
              </w:rPr>
              <w:t>原件或</w:t>
            </w:r>
            <w:r>
              <w:rPr>
                <w:rFonts w:hint="eastAsia" w:ascii="宋体" w:hAnsi="宋体" w:eastAsia="宋体" w:cs="宋体"/>
                <w:b w:val="0"/>
                <w:bCs/>
                <w:color w:val="000000"/>
                <w:sz w:val="21"/>
                <w:szCs w:val="21"/>
              </w:rPr>
              <w:t>复印件</w:t>
            </w:r>
            <w:r>
              <w:rPr>
                <w:rFonts w:hint="eastAsia" w:ascii="宋体" w:hAnsi="宋体" w:cs="宋体"/>
                <w:b w:val="0"/>
                <w:bCs/>
                <w:color w:val="000000"/>
                <w:sz w:val="21"/>
                <w:szCs w:val="21"/>
                <w:lang w:val="en-US" w:eastAsia="zh-CN"/>
              </w:rPr>
              <w:t>扫描件</w:t>
            </w:r>
            <w:r>
              <w:rPr>
                <w:rFonts w:hint="eastAsia" w:ascii="宋体" w:hAnsi="宋体" w:eastAsia="宋体" w:cs="宋体"/>
                <w:b w:val="0"/>
                <w:bCs/>
                <w:color w:val="000000"/>
                <w:sz w:val="21"/>
                <w:szCs w:val="21"/>
              </w:rPr>
              <w:t>并加盖公章，未提供不得分。</w:t>
            </w:r>
          </w:p>
        </w:tc>
        <w:tc>
          <w:tcPr>
            <w:tcW w:w="251" w:type="pct"/>
            <w:noWrap w:val="0"/>
            <w:vAlign w:val="center"/>
          </w:tcPr>
          <w:p>
            <w:pPr>
              <w:spacing w:line="360" w:lineRule="auto"/>
              <w:jc w:val="center"/>
              <w:rPr>
                <w:rFonts w:ascii="宋体" w:hAnsi="宋体" w:cs="宋体"/>
                <w:b w:val="0"/>
                <w:bCs/>
                <w:color w:val="000000"/>
                <w:sz w:val="21"/>
                <w:szCs w:val="21"/>
              </w:rPr>
            </w:pPr>
          </w:p>
          <w:p>
            <w:pPr>
              <w:spacing w:line="360" w:lineRule="auto"/>
              <w:jc w:val="center"/>
              <w:outlineLvl w:val="0"/>
              <w:rPr>
                <w:rFonts w:hint="eastAsia" w:ascii="宋体" w:hAnsi="宋体" w:eastAsia="宋体" w:cs="宋体"/>
                <w:b w:val="0"/>
                <w:bCs/>
                <w:color w:val="000000"/>
                <w:kern w:val="2"/>
                <w:sz w:val="21"/>
                <w:szCs w:val="21"/>
                <w:lang w:val="en-US" w:eastAsia="zh-CN" w:bidi="ar-SA"/>
              </w:rPr>
            </w:pPr>
            <w:r>
              <w:rPr>
                <w:rFonts w:hint="eastAsia" w:ascii="宋体" w:hAnsi="宋体" w:cs="宋体"/>
                <w:b w:val="0"/>
                <w:bCs/>
                <w:color w:val="000000"/>
                <w:sz w:val="21"/>
                <w:szCs w:val="21"/>
                <w:lang w:val="en-US" w:eastAsia="zh-CN"/>
              </w:rPr>
              <w:t>3</w:t>
            </w:r>
          </w:p>
        </w:tc>
        <w:tc>
          <w:tcPr>
            <w:tcW w:w="329" w:type="pct"/>
            <w:noWrap w:val="0"/>
            <w:vAlign w:val="center"/>
          </w:tcPr>
          <w:p>
            <w:pPr>
              <w:spacing w:line="360" w:lineRule="auto"/>
              <w:jc w:val="center"/>
              <w:outlineLvl w:val="0"/>
              <w:rPr>
                <w:rFonts w:hint="eastAsia" w:ascii="宋体" w:hAnsi="宋体" w:eastAsia="宋体" w:cs="宋体"/>
                <w:b w:val="0"/>
                <w:bCs/>
                <w:kern w:val="2"/>
                <w:sz w:val="21"/>
                <w:szCs w:val="21"/>
                <w:lang w:val="en-US" w:eastAsia="zh-CN" w:bidi="ar-SA"/>
              </w:rPr>
            </w:pPr>
            <w:r>
              <w:rPr>
                <w:rFonts w:hint="eastAsia" w:ascii="宋体" w:hAnsi="宋体" w:cs="宋体"/>
                <w:b w:val="0"/>
                <w:bCs/>
                <w:sz w:val="21"/>
                <w:szCs w:val="21"/>
                <w:lang w:val="en-US" w:eastAsia="zh-CN"/>
              </w:rPr>
              <w:t>客观</w:t>
            </w:r>
          </w:p>
        </w:tc>
        <w:tc>
          <w:tcPr>
            <w:tcW w:w="777" w:type="pct"/>
            <w:noWrap w:val="0"/>
            <w:vAlign w:val="center"/>
          </w:tcPr>
          <w:p>
            <w:pPr>
              <w:spacing w:line="360" w:lineRule="auto"/>
              <w:jc w:val="center"/>
              <w:outlineLvl w:val="0"/>
              <w:rPr>
                <w:rFonts w:hint="eastAsia" w:ascii="宋体" w:hAnsi="宋体" w:cs="宋体"/>
                <w:b w:val="0"/>
                <w:bCs/>
                <w:sz w:val="21"/>
                <w:szCs w:val="21"/>
              </w:rPr>
            </w:pPr>
            <w:r>
              <w:rPr>
                <w:rFonts w:hint="eastAsia" w:ascii="宋体" w:hAnsi="宋体" w:cs="宋体"/>
                <w:b w:val="0"/>
                <w:bCs/>
                <w:sz w:val="21"/>
                <w:szCs w:val="21"/>
              </w:rPr>
              <w:t>（</w:t>
            </w:r>
            <w:r>
              <w:rPr>
                <w:rFonts w:hint="eastAsia" w:ascii="宋体" w:hAnsi="宋体" w:cs="宋体"/>
                <w:b w:val="0"/>
                <w:bCs/>
                <w:sz w:val="21"/>
                <w:szCs w:val="21"/>
                <w:lang w:val="en-US" w:eastAsia="zh-CN"/>
              </w:rPr>
              <w:t>八</w:t>
            </w:r>
            <w:r>
              <w:rPr>
                <w:rFonts w:hint="eastAsia" w:ascii="宋体" w:hAnsi="宋体" w:cs="宋体"/>
                <w:b w:val="0"/>
                <w:bCs/>
                <w:sz w:val="21"/>
                <w:szCs w:val="21"/>
              </w:rPr>
              <w:t>）</w:t>
            </w:r>
          </w:p>
          <w:p>
            <w:pPr>
              <w:spacing w:line="360" w:lineRule="auto"/>
              <w:jc w:val="center"/>
              <w:outlineLvl w:val="0"/>
              <w:rPr>
                <w:rFonts w:hint="default" w:ascii="宋体" w:hAnsi="宋体" w:eastAsia="宋体" w:cs="宋体"/>
                <w:b w:val="0"/>
                <w:bCs/>
                <w:kern w:val="2"/>
                <w:sz w:val="21"/>
                <w:szCs w:val="21"/>
                <w:lang w:val="en-US" w:eastAsia="zh-CN" w:bidi="ar-SA"/>
              </w:rPr>
            </w:pPr>
            <w:r>
              <w:rPr>
                <w:rFonts w:hint="eastAsia" w:ascii="宋体" w:hAnsi="宋体"/>
                <w:b w:val="0"/>
                <w:bCs/>
                <w:color w:val="000000"/>
                <w:sz w:val="21"/>
                <w:szCs w:val="21"/>
                <w:lang w:val="en-US" w:eastAsia="zh-CN"/>
              </w:rPr>
              <w:t>证书及荣誉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360" w:type="pct"/>
            <w:noWrap w:val="0"/>
            <w:vAlign w:val="center"/>
          </w:tcPr>
          <w:p>
            <w:pPr>
              <w:spacing w:line="360" w:lineRule="auto"/>
              <w:jc w:val="center"/>
              <w:outlineLvl w:val="0"/>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9</w:t>
            </w:r>
          </w:p>
        </w:tc>
        <w:tc>
          <w:tcPr>
            <w:tcW w:w="3281" w:type="pct"/>
            <w:noWrap w:val="0"/>
            <w:vAlign w:val="center"/>
          </w:tcPr>
          <w:p>
            <w:pPr>
              <w:tabs>
                <w:tab w:val="left" w:pos="3870"/>
                <w:tab w:val="left" w:pos="4085"/>
              </w:tabs>
              <w:autoSpaceDE w:val="0"/>
              <w:autoSpaceDN w:val="0"/>
              <w:spacing w:line="360" w:lineRule="auto"/>
              <w:jc w:val="left"/>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sz w:val="21"/>
                <w:szCs w:val="21"/>
              </w:rPr>
              <w:t>投标人在2020年以来，投标成功的类似项目成功案例，每提供一个得1分，最高得2分。</w:t>
            </w:r>
            <w:r>
              <w:rPr>
                <w:rFonts w:hint="eastAsia" w:ascii="宋体" w:hAnsi="宋体" w:cs="宋体"/>
                <w:b w:val="0"/>
                <w:bCs/>
                <w:color w:val="000000"/>
                <w:sz w:val="21"/>
                <w:szCs w:val="21"/>
                <w:lang w:eastAsia="zh-CN"/>
              </w:rPr>
              <w:t>（</w:t>
            </w:r>
            <w:r>
              <w:rPr>
                <w:rFonts w:hint="eastAsia" w:ascii="宋体" w:hAnsi="宋体" w:cs="宋体"/>
                <w:b w:val="0"/>
                <w:bCs/>
                <w:color w:val="000000"/>
                <w:sz w:val="21"/>
                <w:szCs w:val="21"/>
                <w:lang w:val="en-US" w:eastAsia="zh-CN"/>
              </w:rPr>
              <w:t>注：需</w:t>
            </w:r>
            <w:r>
              <w:rPr>
                <w:rFonts w:hint="eastAsia" w:ascii="宋体" w:hAnsi="宋体" w:eastAsia="宋体" w:cs="宋体"/>
                <w:b w:val="0"/>
                <w:bCs/>
                <w:color w:val="000000"/>
                <w:sz w:val="21"/>
                <w:szCs w:val="21"/>
              </w:rPr>
              <w:t>提供合同</w:t>
            </w:r>
            <w:r>
              <w:rPr>
                <w:rFonts w:hint="eastAsia" w:ascii="宋体" w:hAnsi="宋体" w:cs="宋体"/>
                <w:b w:val="0"/>
                <w:bCs/>
                <w:color w:val="000000"/>
                <w:sz w:val="21"/>
                <w:szCs w:val="21"/>
                <w:lang w:val="en-US" w:eastAsia="zh-CN"/>
              </w:rPr>
              <w:t>原件或</w:t>
            </w:r>
            <w:r>
              <w:rPr>
                <w:rFonts w:hint="eastAsia" w:ascii="宋体" w:hAnsi="宋体" w:eastAsia="宋体" w:cs="宋体"/>
                <w:b w:val="0"/>
                <w:bCs/>
                <w:color w:val="000000"/>
                <w:sz w:val="21"/>
                <w:szCs w:val="21"/>
              </w:rPr>
              <w:t>复印件</w:t>
            </w:r>
            <w:r>
              <w:rPr>
                <w:rFonts w:hint="eastAsia" w:ascii="宋体" w:hAnsi="宋体" w:cs="宋体"/>
                <w:b w:val="0"/>
                <w:bCs/>
                <w:color w:val="000000"/>
                <w:sz w:val="21"/>
                <w:szCs w:val="21"/>
                <w:lang w:val="en-US" w:eastAsia="zh-CN"/>
              </w:rPr>
              <w:t>扫描件并加盖公章</w:t>
            </w:r>
            <w:r>
              <w:rPr>
                <w:rFonts w:hint="eastAsia" w:ascii="宋体" w:hAnsi="宋体" w:eastAsia="宋体" w:cs="宋体"/>
                <w:b w:val="0"/>
                <w:bCs/>
                <w:color w:val="000000"/>
                <w:sz w:val="21"/>
                <w:szCs w:val="21"/>
              </w:rPr>
              <w:t>（以合同签订时间为准），否则不得分。</w:t>
            </w:r>
            <w:r>
              <w:rPr>
                <w:rFonts w:hint="eastAsia" w:ascii="宋体" w:hAnsi="宋体" w:cs="宋体"/>
                <w:b w:val="0"/>
                <w:bCs/>
                <w:color w:val="000000"/>
                <w:sz w:val="21"/>
                <w:szCs w:val="21"/>
                <w:lang w:eastAsia="zh-CN"/>
              </w:rPr>
              <w:t>）</w:t>
            </w:r>
          </w:p>
        </w:tc>
        <w:tc>
          <w:tcPr>
            <w:tcW w:w="251" w:type="pct"/>
            <w:noWrap w:val="0"/>
            <w:vAlign w:val="center"/>
          </w:tcPr>
          <w:p>
            <w:pPr>
              <w:spacing w:line="360" w:lineRule="auto"/>
              <w:jc w:val="center"/>
              <w:outlineLvl w:val="0"/>
              <w:rPr>
                <w:rFonts w:hint="eastAsia" w:ascii="宋体" w:hAnsi="宋体" w:eastAsia="宋体" w:cs="宋体"/>
                <w:b w:val="0"/>
                <w:bCs/>
                <w:color w:val="000000"/>
                <w:kern w:val="2"/>
                <w:sz w:val="21"/>
                <w:szCs w:val="21"/>
                <w:lang w:val="en-US" w:eastAsia="zh-CN" w:bidi="ar-SA"/>
              </w:rPr>
            </w:pPr>
            <w:r>
              <w:rPr>
                <w:rFonts w:hint="eastAsia" w:ascii="宋体" w:hAnsi="宋体" w:cs="宋体"/>
                <w:b w:val="0"/>
                <w:bCs/>
                <w:color w:val="000000"/>
                <w:sz w:val="21"/>
                <w:szCs w:val="21"/>
                <w:lang w:val="en-US" w:eastAsia="zh-CN"/>
              </w:rPr>
              <w:t>2</w:t>
            </w:r>
          </w:p>
        </w:tc>
        <w:tc>
          <w:tcPr>
            <w:tcW w:w="329" w:type="pct"/>
            <w:noWrap w:val="0"/>
            <w:vAlign w:val="center"/>
          </w:tcPr>
          <w:p>
            <w:pPr>
              <w:spacing w:line="360" w:lineRule="auto"/>
              <w:jc w:val="center"/>
              <w:outlineLvl w:val="0"/>
              <w:rPr>
                <w:rFonts w:hint="eastAsia" w:ascii="宋体" w:hAnsi="宋体" w:eastAsia="宋体" w:cs="宋体"/>
                <w:b w:val="0"/>
                <w:bCs/>
                <w:kern w:val="2"/>
                <w:sz w:val="21"/>
                <w:szCs w:val="21"/>
                <w:lang w:val="en-US" w:eastAsia="zh-CN" w:bidi="ar-SA"/>
              </w:rPr>
            </w:pPr>
            <w:r>
              <w:rPr>
                <w:rFonts w:hint="eastAsia" w:ascii="宋体" w:hAnsi="宋体" w:cs="宋体"/>
                <w:b w:val="0"/>
                <w:bCs/>
                <w:sz w:val="21"/>
                <w:szCs w:val="21"/>
                <w:lang w:val="en-US" w:eastAsia="zh-CN"/>
              </w:rPr>
              <w:t>客观</w:t>
            </w:r>
          </w:p>
        </w:tc>
        <w:tc>
          <w:tcPr>
            <w:tcW w:w="777" w:type="pct"/>
            <w:noWrap w:val="0"/>
            <w:vAlign w:val="center"/>
          </w:tcPr>
          <w:p>
            <w:pPr>
              <w:spacing w:line="360" w:lineRule="auto"/>
              <w:jc w:val="center"/>
              <w:outlineLvl w:val="0"/>
              <w:rPr>
                <w:rFonts w:hint="eastAsia" w:ascii="宋体" w:hAnsi="宋体"/>
                <w:b w:val="0"/>
                <w:bCs/>
                <w:color w:val="000000"/>
                <w:sz w:val="21"/>
                <w:szCs w:val="21"/>
                <w:lang w:eastAsia="zh-CN"/>
              </w:rPr>
            </w:pPr>
            <w:r>
              <w:rPr>
                <w:rFonts w:hint="eastAsia" w:ascii="宋体" w:hAnsi="宋体"/>
                <w:b w:val="0"/>
                <w:bCs/>
                <w:color w:val="000000"/>
                <w:sz w:val="21"/>
                <w:szCs w:val="21"/>
                <w:lang w:eastAsia="zh-CN"/>
              </w:rPr>
              <w:t>（</w:t>
            </w:r>
            <w:r>
              <w:rPr>
                <w:rFonts w:hint="eastAsia" w:ascii="宋体" w:hAnsi="宋体"/>
                <w:b w:val="0"/>
                <w:bCs/>
                <w:color w:val="000000"/>
                <w:sz w:val="21"/>
                <w:szCs w:val="21"/>
                <w:lang w:val="en-US" w:eastAsia="zh-CN"/>
              </w:rPr>
              <w:t>九</w:t>
            </w:r>
            <w:r>
              <w:rPr>
                <w:rFonts w:hint="eastAsia" w:ascii="宋体" w:hAnsi="宋体"/>
                <w:b w:val="0"/>
                <w:bCs/>
                <w:color w:val="000000"/>
                <w:sz w:val="21"/>
                <w:szCs w:val="21"/>
                <w:lang w:eastAsia="zh-CN"/>
              </w:rPr>
              <w:t>）</w:t>
            </w:r>
          </w:p>
          <w:p>
            <w:pPr>
              <w:spacing w:line="360" w:lineRule="auto"/>
              <w:jc w:val="center"/>
              <w:outlineLvl w:val="0"/>
              <w:rPr>
                <w:rFonts w:hint="eastAsia" w:ascii="宋体" w:hAnsi="宋体" w:eastAsia="宋体" w:cs="Times New Roman"/>
                <w:b w:val="0"/>
                <w:bCs/>
                <w:color w:val="000000"/>
                <w:kern w:val="2"/>
                <w:sz w:val="21"/>
                <w:szCs w:val="21"/>
                <w:lang w:val="en-US" w:eastAsia="zh-CN" w:bidi="ar-SA"/>
              </w:rPr>
            </w:pPr>
            <w:r>
              <w:rPr>
                <w:rFonts w:hint="eastAsia" w:ascii="宋体" w:hAnsi="宋体"/>
                <w:b w:val="0"/>
                <w:bCs/>
                <w:color w:val="000000"/>
                <w:sz w:val="21"/>
                <w:szCs w:val="21"/>
                <w:lang w:val="en-US" w:eastAsia="zh-CN"/>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360" w:type="pct"/>
            <w:noWrap w:val="0"/>
            <w:vAlign w:val="center"/>
          </w:tcPr>
          <w:p>
            <w:pPr>
              <w:spacing w:line="360" w:lineRule="auto"/>
              <w:jc w:val="center"/>
              <w:outlineLvl w:val="0"/>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10</w:t>
            </w:r>
          </w:p>
        </w:tc>
        <w:tc>
          <w:tcPr>
            <w:tcW w:w="3281" w:type="pct"/>
            <w:noWrap w:val="0"/>
            <w:vAlign w:val="top"/>
          </w:tcPr>
          <w:p>
            <w:pPr>
              <w:spacing w:line="360" w:lineRule="auto"/>
              <w:jc w:val="left"/>
              <w:outlineLvl w:val="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有效投标报价的最低价作为评标基准价，其最低报价为满分；按［投标报价得分=（评标基准价/投标报价）*</w:t>
            </w:r>
            <w:r>
              <w:rPr>
                <w:rFonts w:hint="eastAsia" w:ascii="宋体" w:hAnsi="宋体" w:cs="宋体"/>
                <w:b w:val="0"/>
                <w:bCs/>
                <w:color w:val="000000"/>
                <w:sz w:val="21"/>
                <w:szCs w:val="21"/>
                <w:lang w:val="en-US" w:eastAsia="zh-CN"/>
              </w:rPr>
              <w:t>2</w:t>
            </w:r>
            <w:r>
              <w:rPr>
                <w:rFonts w:hint="eastAsia" w:ascii="宋体" w:hAnsi="宋体" w:eastAsia="宋体" w:cs="宋体"/>
                <w:b w:val="0"/>
                <w:bCs/>
                <w:color w:val="000000"/>
                <w:sz w:val="21"/>
                <w:szCs w:val="21"/>
              </w:rPr>
              <w:t>0］的计算公式计算。</w:t>
            </w:r>
          </w:p>
          <w:p>
            <w:pPr>
              <w:widowControl/>
              <w:shd w:val="clear" w:color="auto" w:fill="FFFFFF"/>
              <w:adjustRightInd/>
              <w:spacing w:after="225" w:line="360" w:lineRule="auto"/>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评标过程中，不得去掉报价中的最高报价和最低报价。因落实政府采购政策需要进行价格调整的，以调整后的价格计算评标基准价和投标报价。</w:t>
            </w:r>
          </w:p>
        </w:tc>
        <w:tc>
          <w:tcPr>
            <w:tcW w:w="251" w:type="pct"/>
            <w:noWrap w:val="0"/>
            <w:vAlign w:val="center"/>
          </w:tcPr>
          <w:p>
            <w:pPr>
              <w:spacing w:line="360" w:lineRule="auto"/>
              <w:ind w:firstLine="105" w:firstLineChars="50"/>
              <w:jc w:val="center"/>
              <w:outlineLvl w:val="0"/>
              <w:rPr>
                <w:rFonts w:ascii="宋体" w:hAnsi="宋体" w:cs="宋体"/>
                <w:b w:val="0"/>
                <w:bCs/>
                <w:color w:val="000000"/>
                <w:sz w:val="21"/>
                <w:szCs w:val="21"/>
              </w:rPr>
            </w:pPr>
            <w:r>
              <w:rPr>
                <w:rFonts w:hint="eastAsia" w:ascii="宋体" w:hAnsi="宋体" w:cs="宋体"/>
                <w:b w:val="0"/>
                <w:bCs/>
                <w:color w:val="000000"/>
                <w:sz w:val="21"/>
                <w:szCs w:val="21"/>
                <w:lang w:val="en-US" w:eastAsia="zh-CN"/>
              </w:rPr>
              <w:t>2</w:t>
            </w:r>
            <w:r>
              <w:rPr>
                <w:rFonts w:hint="eastAsia" w:ascii="宋体" w:hAnsi="宋体" w:cs="宋体"/>
                <w:b w:val="0"/>
                <w:bCs/>
                <w:color w:val="000000"/>
                <w:sz w:val="21"/>
                <w:szCs w:val="21"/>
              </w:rPr>
              <w:t>0</w:t>
            </w:r>
          </w:p>
        </w:tc>
        <w:tc>
          <w:tcPr>
            <w:tcW w:w="329" w:type="pct"/>
            <w:noWrap w:val="0"/>
            <w:vAlign w:val="center"/>
          </w:tcPr>
          <w:p>
            <w:pPr>
              <w:spacing w:line="360" w:lineRule="auto"/>
              <w:jc w:val="center"/>
              <w:outlineLvl w:val="0"/>
              <w:rPr>
                <w:rFonts w:hint="eastAsia" w:ascii="宋体" w:hAnsi="宋体" w:cs="宋体"/>
                <w:b w:val="0"/>
                <w:bCs/>
                <w:sz w:val="21"/>
                <w:szCs w:val="21"/>
              </w:rPr>
            </w:pPr>
          </w:p>
        </w:tc>
        <w:tc>
          <w:tcPr>
            <w:tcW w:w="777" w:type="pct"/>
            <w:noWrap w:val="0"/>
            <w:vAlign w:val="center"/>
          </w:tcPr>
          <w:p>
            <w:pPr>
              <w:spacing w:line="360" w:lineRule="auto"/>
              <w:jc w:val="center"/>
              <w:outlineLvl w:val="0"/>
              <w:rPr>
                <w:rFonts w:ascii="宋体" w:hAnsi="宋体" w:cs="宋体"/>
                <w:b w:val="0"/>
                <w:bCs/>
                <w:sz w:val="21"/>
                <w:szCs w:val="21"/>
              </w:rPr>
            </w:pPr>
            <w:r>
              <w:rPr>
                <w:rFonts w:hint="eastAsia" w:ascii="宋体" w:hAnsi="宋体" w:cs="宋体"/>
                <w:b w:val="0"/>
                <w:bCs/>
                <w:sz w:val="21"/>
                <w:szCs w:val="21"/>
              </w:rPr>
              <w:t>/</w:t>
            </w:r>
          </w:p>
        </w:tc>
      </w:tr>
    </w:tbl>
    <w:p>
      <w:pPr>
        <w:rPr>
          <w:color w:val="auto"/>
        </w:rPr>
      </w:pPr>
    </w:p>
    <w:p>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pPr>
        <w:pStyle w:val="128"/>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pPr>
        <w:pStyle w:val="128"/>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4.2.13投标人未提供样品或提供的样品不满足采购需求实质性条件的，投标无效；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highlight w:val="none"/>
        </w:rPr>
        <w:t>4.2.15法律、法</w:t>
      </w:r>
      <w:r>
        <w:rPr>
          <w:rFonts w:hint="eastAsia" w:ascii="宋体" w:hAnsi="宋体" w:cs="宋体"/>
          <w:kern w:val="0"/>
          <w:sz w:val="24"/>
        </w:rPr>
        <w:t>规、规章（适用本市的）及省级以上规范性文件（适用本市的）规定的其他无效情形。</w:t>
      </w:r>
    </w:p>
    <w:p>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5.1符合专业条件的供应商或者对招标文件作实质响应的供应商不足3家的；</w:t>
      </w:r>
    </w:p>
    <w:p>
      <w:pPr>
        <w:pStyle w:val="26"/>
        <w:snapToGrid w:val="0"/>
        <w:spacing w:line="360" w:lineRule="auto"/>
        <w:rPr>
          <w:rFonts w:cs="宋体"/>
        </w:rPr>
      </w:pPr>
      <w:r>
        <w:rPr>
          <w:rFonts w:hint="eastAsia" w:cs="宋体"/>
        </w:rPr>
        <w:t>5.2出现影响采购公正的违法、违规行为的；</w:t>
      </w:r>
    </w:p>
    <w:p>
      <w:pPr>
        <w:pStyle w:val="26"/>
        <w:snapToGrid w:val="0"/>
        <w:spacing w:line="360" w:lineRule="auto"/>
        <w:rPr>
          <w:rFonts w:cs="宋体"/>
        </w:rPr>
      </w:pPr>
      <w:r>
        <w:rPr>
          <w:rFonts w:hint="eastAsia" w:cs="宋体"/>
        </w:rPr>
        <w:t>5.3投标人的报价均超过了采购预算，采购人不能支付的；</w:t>
      </w:r>
    </w:p>
    <w:p>
      <w:pPr>
        <w:pStyle w:val="26"/>
        <w:snapToGrid w:val="0"/>
        <w:spacing w:line="360" w:lineRule="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废标后，采购机构应当将废标理由通知所有投标人。</w:t>
      </w:r>
    </w:p>
    <w:p>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6"/>
        <w:snapToGrid w:val="0"/>
        <w:spacing w:line="360" w:lineRule="auto"/>
        <w:rPr>
          <w:rFonts w:cs="宋体"/>
        </w:rPr>
      </w:pPr>
      <w:r>
        <w:rPr>
          <w:rFonts w:hint="eastAsia" w:cs="宋体"/>
        </w:rPr>
        <w:t>7.1未确定中标供应商的，终止本次政府采购活动，重新开展政府采购活动。</w:t>
      </w:r>
    </w:p>
    <w:p>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7.4政府采购合同已经履行，给采购人、供应商造成损失的，由责任人承担赔偿责任。</w:t>
      </w:r>
    </w:p>
    <w:p>
      <w:pPr>
        <w:pStyle w:val="2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cs="宋体"/>
        </w:rPr>
      </w:pPr>
    </w:p>
    <w:bookmarkEnd w:id="28"/>
    <w:p>
      <w:pPr>
        <w:spacing w:line="360" w:lineRule="auto"/>
        <w:ind w:left="720" w:leftChars="343" w:firstLine="1084" w:firstLineChars="300"/>
        <w:outlineLvl w:val="0"/>
        <w:rPr>
          <w:rFonts w:ascii="宋体" w:hAnsi="宋体" w:cs="宋体"/>
          <w:b/>
          <w:sz w:val="36"/>
          <w:szCs w:val="36"/>
        </w:rPr>
      </w:pPr>
      <w:bookmarkStart w:id="394" w:name="第五部分"/>
      <w:bookmarkStart w:id="395"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699"/>
        <w:rPr>
          <w:rFonts w:ascii="宋体" w:hAnsi="宋体" w:cs="宋体"/>
          <w:szCs w:val="24"/>
        </w:rPr>
      </w:pPr>
    </w:p>
    <w:p>
      <w:pPr>
        <w:pStyle w:val="699"/>
        <w:rPr>
          <w:rFonts w:ascii="宋体" w:hAnsi="宋体" w:cs="宋体"/>
          <w:szCs w:val="24"/>
        </w:rPr>
      </w:pPr>
    </w:p>
    <w:p>
      <w:pPr>
        <w:pStyle w:val="699"/>
        <w:jc w:val="center"/>
        <w:rPr>
          <w:rFonts w:ascii="宋体" w:hAnsi="宋体" w:cs="宋体"/>
          <w:szCs w:val="24"/>
        </w:rPr>
      </w:pPr>
    </w:p>
    <w:p>
      <w:pPr>
        <w:pStyle w:val="699"/>
        <w:ind w:firstLine="2843" w:firstLineChars="1180"/>
        <w:rPr>
          <w:rFonts w:ascii="宋体" w:hAnsi="宋体" w:cs="宋体"/>
          <w:b/>
          <w:szCs w:val="24"/>
        </w:rPr>
      </w:pPr>
      <w:r>
        <w:rPr>
          <w:rFonts w:hint="eastAsia" w:ascii="宋体" w:hAnsi="宋体" w:cs="宋体"/>
          <w:b/>
          <w:szCs w:val="24"/>
        </w:rPr>
        <w:t>第一部分 合同书</w:t>
      </w:r>
    </w:p>
    <w:p>
      <w:pPr>
        <w:pStyle w:val="699"/>
        <w:rPr>
          <w:rFonts w:ascii="宋体" w:hAnsi="宋体" w:cs="宋体"/>
          <w:szCs w:val="24"/>
        </w:rPr>
      </w:pPr>
    </w:p>
    <w:p>
      <w:pPr>
        <w:pStyle w:val="699"/>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6"/>
        <w:spacing w:before="120" w:line="22" w:lineRule="atLeast"/>
        <w:rPr>
          <w:rFonts w:ascii="宋体" w:hAnsi="宋体" w:eastAsia="宋体" w:cs="宋体"/>
          <w:szCs w:val="24"/>
        </w:rPr>
      </w:pPr>
    </w:p>
    <w:p>
      <w:pPr>
        <w:pStyle w:val="59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color w:val="0000FF"/>
          <w:sz w:val="24"/>
          <w:u w:val="single"/>
        </w:rPr>
        <w:t xml:space="preserve">（项目名称）  </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（中标供应商名称）</w:t>
      </w:r>
      <w:r>
        <w:rPr>
          <w:rFonts w:hint="eastAsia" w:ascii="宋体" w:hAnsi="宋体" w:cs="宋体"/>
          <w:sz w:val="24"/>
        </w:rPr>
        <w:t>为该项目中标供应商。现于中标通知书发出之日起10个工作日内，按照采购文件确定的事项签订本合同。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396" w:name="_Toc3029"/>
      <w:bookmarkStart w:id="397" w:name="_Toc24059"/>
      <w:bookmarkStart w:id="398" w:name="_Toc2232"/>
      <w:r>
        <w:rPr>
          <w:rFonts w:hint="eastAsia" w:ascii="宋体" w:hAnsi="宋体" w:cs="宋体"/>
          <w:b/>
          <w:sz w:val="24"/>
        </w:rPr>
        <w:t>1.1 合同组成部分</w:t>
      </w:r>
      <w:bookmarkEnd w:id="396"/>
      <w:bookmarkEnd w:id="397"/>
      <w:bookmarkEnd w:id="398"/>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中标通知书；</w:t>
      </w:r>
    </w:p>
    <w:p>
      <w:pPr>
        <w:spacing w:line="560" w:lineRule="exact"/>
        <w:ind w:firstLine="480" w:firstLineChars="200"/>
        <w:rPr>
          <w:rFonts w:ascii="宋体" w:hAnsi="宋体" w:cs="宋体"/>
          <w:sz w:val="24"/>
        </w:rPr>
      </w:pPr>
      <w:r>
        <w:rPr>
          <w:rFonts w:hint="eastAsia" w:ascii="宋体" w:hAnsi="宋体" w:cs="宋体"/>
          <w:sz w:val="24"/>
        </w:rPr>
        <w:t>1.1.3 投标文件（含澄清或者说明文件）；</w:t>
      </w:r>
    </w:p>
    <w:p>
      <w:pPr>
        <w:spacing w:line="560" w:lineRule="exact"/>
        <w:ind w:firstLine="480" w:firstLineChars="200"/>
        <w:rPr>
          <w:rFonts w:ascii="宋体" w:hAnsi="宋体" w:cs="宋体"/>
          <w:sz w:val="24"/>
        </w:rPr>
      </w:pPr>
      <w:r>
        <w:rPr>
          <w:rFonts w:hint="eastAsia" w:ascii="宋体" w:hAnsi="宋体" w:cs="宋体"/>
          <w:sz w:val="24"/>
        </w:rPr>
        <w:t>1.1.4 招标文件（含澄清或者修改文件）；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399" w:name="_Toc27126"/>
      <w:bookmarkStart w:id="400" w:name="_Toc21295"/>
      <w:bookmarkStart w:id="401" w:name="_Toc24300"/>
      <w:r>
        <w:rPr>
          <w:rFonts w:hint="eastAsia" w:ascii="宋体" w:hAnsi="宋体" w:cs="宋体"/>
          <w:b/>
          <w:sz w:val="24"/>
        </w:rPr>
        <w:t>1.2 货物</w:t>
      </w:r>
      <w:bookmarkEnd w:id="399"/>
      <w:bookmarkEnd w:id="400"/>
      <w:bookmarkEnd w:id="401"/>
    </w:p>
    <w:p>
      <w:pPr>
        <w:spacing w:line="560" w:lineRule="exact"/>
        <w:ind w:firstLine="480" w:firstLineChars="200"/>
        <w:rPr>
          <w:rFonts w:ascii="宋体" w:hAnsi="宋体" w:cs="宋体"/>
          <w:sz w:val="24"/>
          <w:u w:val="single"/>
        </w:rPr>
      </w:pPr>
      <w:r>
        <w:rPr>
          <w:rFonts w:hint="eastAsia" w:ascii="宋体" w:hAnsi="宋体" w:cs="宋体"/>
          <w:sz w:val="24"/>
        </w:rPr>
        <w:t>1.2.1 货物名称：</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1.2.3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02" w:name="_Toc21631"/>
      <w:bookmarkStart w:id="403" w:name="_Toc21551"/>
      <w:bookmarkStart w:id="404" w:name="_Toc23292"/>
      <w:r>
        <w:rPr>
          <w:rFonts w:hint="eastAsia" w:ascii="宋体" w:hAnsi="宋体" w:cs="宋体"/>
          <w:b/>
          <w:sz w:val="24"/>
        </w:rPr>
        <w:t>1.3 价款</w:t>
      </w:r>
      <w:bookmarkEnd w:id="402"/>
      <w:bookmarkEnd w:id="403"/>
      <w:bookmarkEnd w:id="404"/>
    </w:p>
    <w:p>
      <w:pPr>
        <w:spacing w:line="560" w:lineRule="exact"/>
        <w:ind w:firstLine="480" w:firstLineChars="200"/>
        <w:rPr>
          <w:rFonts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bl>
    <w:p>
      <w:pPr>
        <w:spacing w:line="560" w:lineRule="exact"/>
        <w:ind w:firstLine="482" w:firstLineChars="200"/>
        <w:outlineLvl w:val="0"/>
        <w:rPr>
          <w:rFonts w:ascii="宋体" w:hAnsi="宋体" w:cs="宋体"/>
          <w:b/>
          <w:sz w:val="24"/>
        </w:rPr>
      </w:pPr>
      <w:bookmarkStart w:id="405" w:name="_Toc1814"/>
      <w:bookmarkStart w:id="406" w:name="_Toc10340"/>
      <w:bookmarkStart w:id="407" w:name="_Toc22618"/>
      <w:r>
        <w:rPr>
          <w:rFonts w:hint="eastAsia" w:ascii="宋体" w:hAnsi="宋体" w:cs="宋体"/>
          <w:b/>
          <w:sz w:val="24"/>
        </w:rPr>
        <w:t>1.4 付款</w:t>
      </w:r>
      <w:bookmarkEnd w:id="405"/>
      <w:bookmarkEnd w:id="406"/>
      <w:bookmarkEnd w:id="407"/>
      <w:r>
        <w:rPr>
          <w:rFonts w:hint="eastAsia" w:ascii="宋体" w:hAnsi="宋体" w:cs="宋体"/>
          <w:b/>
          <w:sz w:val="24"/>
        </w:rPr>
        <w:t>方式、时间和条件</w:t>
      </w:r>
    </w:p>
    <w:p>
      <w:pPr>
        <w:pStyle w:val="957"/>
        <w:spacing w:before="0" w:beforeAutospacing="0" w:after="0" w:afterAutospacing="0" w:line="360" w:lineRule="auto"/>
        <w:ind w:firstLine="480"/>
      </w:pPr>
      <w:r>
        <w:rPr>
          <w:rFonts w:hint="eastAsia"/>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宋体" w:hAnsi="宋体" w:cs="宋体"/>
          <w:sz w:val="24"/>
        </w:rPr>
      </w:pPr>
      <w:r>
        <w:rPr>
          <w:rFonts w:hint="eastAsia" w:ascii="宋体" w:hAnsi="宋体" w:cs="宋体"/>
          <w:sz w:val="24"/>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宋体" w:hAnsi="宋体" w:cs="宋体"/>
          <w:sz w:val="24"/>
        </w:rPr>
      </w:pPr>
      <w:r>
        <w:rPr>
          <w:rFonts w:hint="eastAsia" w:ascii="宋体" w:hAnsi="宋体" w:cs="宋体"/>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宋体" w:hAnsi="宋体" w:cs="宋体"/>
          <w:sz w:val="24"/>
        </w:rPr>
      </w:pPr>
      <w:r>
        <w:rPr>
          <w:rFonts w:hint="eastAsia" w:ascii="宋体" w:hAnsi="宋体" w:cs="宋体"/>
          <w:sz w:val="24"/>
        </w:rPr>
        <w:t>1.4.4资金支付的方式、时间和条件详见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outlineLvl w:val="0"/>
        <w:rPr>
          <w:rFonts w:ascii="宋体" w:hAnsi="宋体" w:cs="宋体"/>
          <w:sz w:val="24"/>
        </w:rPr>
      </w:pPr>
      <w:r>
        <w:rPr>
          <w:rFonts w:hint="eastAsia" w:ascii="宋体" w:hAnsi="宋体" w:cs="宋体"/>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ascii="宋体" w:hAnsi="宋体" w:cs="宋体"/>
          <w:b/>
          <w:sz w:val="24"/>
        </w:rPr>
      </w:pPr>
      <w:bookmarkStart w:id="408" w:name="_Toc32071"/>
      <w:bookmarkStart w:id="409" w:name="_Toc19304"/>
      <w:bookmarkStart w:id="410" w:name="_Toc2846"/>
      <w:r>
        <w:rPr>
          <w:rFonts w:hint="eastAsia" w:ascii="宋体" w:hAnsi="宋体" w:cs="宋体"/>
          <w:b/>
          <w:sz w:val="24"/>
        </w:rPr>
        <w:t>1.5 货物交付期限、地点和方式</w:t>
      </w:r>
      <w:bookmarkEnd w:id="408"/>
      <w:bookmarkEnd w:id="409"/>
      <w:bookmarkEnd w:id="410"/>
    </w:p>
    <w:p>
      <w:pPr>
        <w:spacing w:line="560" w:lineRule="exact"/>
        <w:ind w:firstLine="480" w:firstLineChars="200"/>
        <w:rPr>
          <w:rFonts w:ascii="宋体" w:hAnsi="宋体" w:cs="宋体"/>
          <w:sz w:val="24"/>
          <w:u w:val="single"/>
        </w:rPr>
      </w:pPr>
      <w:r>
        <w:rPr>
          <w:rFonts w:hint="eastAsia" w:ascii="宋体" w:hAnsi="宋体" w:cs="宋体"/>
          <w:sz w:val="24"/>
        </w:rPr>
        <w:t>1.5.1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1.5.2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1.5.3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1" w:name="_Toc19554"/>
      <w:bookmarkStart w:id="412" w:name="_Toc27250"/>
      <w:bookmarkStart w:id="413" w:name="_Toc21423"/>
      <w:r>
        <w:rPr>
          <w:rFonts w:hint="eastAsia" w:ascii="宋体" w:hAnsi="宋体" w:cs="宋体"/>
          <w:b/>
          <w:sz w:val="24"/>
        </w:rPr>
        <w:t>1.6 违约责任</w:t>
      </w:r>
      <w:bookmarkEnd w:id="411"/>
      <w:bookmarkEnd w:id="412"/>
      <w:bookmarkEnd w:id="413"/>
    </w:p>
    <w:p>
      <w:pPr>
        <w:spacing w:line="560" w:lineRule="exact"/>
        <w:ind w:firstLine="480" w:firstLineChars="200"/>
        <w:rPr>
          <w:rFonts w:ascii="宋体" w:hAnsi="宋体" w:cs="宋体"/>
          <w:sz w:val="24"/>
        </w:rPr>
      </w:pPr>
      <w:r>
        <w:rPr>
          <w:rFonts w:hint="eastAsia" w:ascii="宋体" w:hAnsi="宋体" w:cs="宋体"/>
          <w:sz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1.6.2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1.6.7违约责任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414" w:name="_Toc28375"/>
      <w:bookmarkStart w:id="415" w:name="_Toc15583"/>
      <w:bookmarkStart w:id="416" w:name="_Toc16021"/>
      <w:r>
        <w:rPr>
          <w:rFonts w:hint="eastAsia" w:ascii="宋体" w:hAnsi="宋体" w:cs="宋体"/>
          <w:b/>
          <w:sz w:val="24"/>
        </w:rPr>
        <w:t>1.7 合同争议的解决</w:t>
      </w:r>
      <w:bookmarkEnd w:id="414"/>
      <w:bookmarkEnd w:id="415"/>
      <w:bookmarkEnd w:id="416"/>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合同专用条款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1.7.1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1.7.2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17" w:name="_Toc11173"/>
      <w:bookmarkStart w:id="418" w:name="_Toc15322"/>
      <w:bookmarkStart w:id="419" w:name="_Toc7245"/>
      <w:r>
        <w:rPr>
          <w:rFonts w:hint="eastAsia" w:ascii="宋体" w:hAnsi="宋体" w:cs="宋体"/>
          <w:b/>
          <w:sz w:val="24"/>
        </w:rPr>
        <w:t>1.8 合同生效</w:t>
      </w:r>
      <w:bookmarkEnd w:id="417"/>
      <w:bookmarkEnd w:id="418"/>
      <w:bookmarkEnd w:id="419"/>
    </w:p>
    <w:p>
      <w:pPr>
        <w:spacing w:line="560" w:lineRule="exact"/>
        <w:ind w:firstLine="480" w:firstLineChars="200"/>
        <w:rPr>
          <w:rFonts w:ascii="宋体" w:hAnsi="宋体" w:cs="宋体"/>
          <w:b/>
          <w:sz w:val="24"/>
        </w:rPr>
      </w:pPr>
      <w:r>
        <w:rPr>
          <w:rFonts w:hint="eastAsia" w:ascii="宋体" w:hAnsi="宋体" w:cs="宋体"/>
          <w:sz w:val="24"/>
        </w:rPr>
        <w:t>本合同自双方当事人盖章或者签字时生效。</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widowControl/>
        <w:spacing w:line="560" w:lineRule="exact"/>
        <w:jc w:val="left"/>
        <w:rPr>
          <w:rFonts w:ascii="宋体" w:hAnsi="宋体" w:cs="宋体"/>
          <w:b/>
          <w:sz w:val="24"/>
        </w:rPr>
      </w:pPr>
      <w:bookmarkStart w:id="420" w:name="_Toc331685783"/>
    </w:p>
    <w:p>
      <w:pPr>
        <w:widowControl/>
        <w:adjustRightInd/>
        <w:jc w:val="left"/>
        <w:rPr>
          <w:rFonts w:ascii="宋体" w:hAnsi="宋体" w:cs="宋体"/>
          <w:b/>
          <w:sz w:val="24"/>
        </w:rPr>
      </w:pPr>
      <w:r>
        <w:rPr>
          <w:rFonts w:ascii="宋体" w:hAnsi="宋体" w:cs="宋体"/>
          <w:b/>
        </w:rPr>
        <w:br w:type="page"/>
      </w:r>
    </w:p>
    <w:p>
      <w:pPr>
        <w:pStyle w:val="699"/>
        <w:spacing w:line="560" w:lineRule="exact"/>
        <w:ind w:firstLine="482"/>
        <w:jc w:val="center"/>
        <w:rPr>
          <w:rFonts w:ascii="宋体" w:hAnsi="宋体" w:cs="宋体"/>
          <w:b/>
          <w:szCs w:val="24"/>
        </w:rPr>
      </w:pPr>
      <w:r>
        <w:rPr>
          <w:rFonts w:hint="eastAsia" w:ascii="宋体" w:hAnsi="宋体" w:cs="宋体"/>
          <w:b/>
          <w:szCs w:val="24"/>
        </w:rPr>
        <w:t>第二部分 合同一般条款</w:t>
      </w:r>
      <w:bookmarkEnd w:id="420"/>
    </w:p>
    <w:p>
      <w:pPr>
        <w:spacing w:line="560" w:lineRule="exact"/>
        <w:ind w:firstLine="482" w:firstLineChars="200"/>
        <w:outlineLvl w:val="0"/>
        <w:rPr>
          <w:rFonts w:ascii="宋体" w:hAnsi="宋体" w:cs="宋体"/>
          <w:b/>
          <w:sz w:val="24"/>
        </w:rPr>
      </w:pPr>
      <w:bookmarkStart w:id="421" w:name="_Ref467379094"/>
      <w:bookmarkStart w:id="422" w:name="_Toc279701240"/>
      <w:bookmarkStart w:id="423" w:name="_Ref467379101"/>
      <w:bookmarkStart w:id="424" w:name="_Ref467378463"/>
      <w:bookmarkStart w:id="425" w:name="_Toc487900349"/>
      <w:bookmarkStart w:id="426" w:name="_Ref467379214"/>
      <w:bookmarkStart w:id="427" w:name="_Toc259093669"/>
      <w:bookmarkStart w:id="428" w:name="_Ref467379109"/>
      <w:bookmarkStart w:id="429" w:name="_Toc19614"/>
      <w:bookmarkStart w:id="430" w:name="_Toc16917"/>
      <w:bookmarkStart w:id="431" w:name="_Ref467378499"/>
      <w:bookmarkStart w:id="432" w:name="_Ref467378404"/>
      <w:bookmarkStart w:id="433" w:name="_Ref467379205"/>
      <w:bookmarkStart w:id="434" w:name="_Ref467379195"/>
      <w:bookmarkStart w:id="435" w:name="_Ref467379225"/>
      <w:bookmarkStart w:id="436" w:name="_Toc28763"/>
      <w:r>
        <w:rPr>
          <w:rFonts w:hint="eastAsia" w:ascii="宋体" w:hAnsi="宋体" w:cs="宋体"/>
          <w:b/>
          <w:sz w:val="24"/>
        </w:rPr>
        <w:t>2.1 定义</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“合同价”系指根据合同约定，中标供应商在完全履行合同义务后，采购人应支付给中标供应商的价格。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437" w:name="_Ref467378840"/>
      <w:r>
        <w:rPr>
          <w:rFonts w:hint="eastAsia" w:ascii="宋体" w:hAnsi="宋体" w:cs="宋体"/>
          <w:sz w:val="24"/>
        </w:rPr>
        <w:t>2.1.4 “甲方”系指与中标供应商签署合同的采购人</w:t>
      </w:r>
      <w:bookmarkEnd w:id="437"/>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38" w:name="_Ref467379400"/>
      <w:r>
        <w:rPr>
          <w:rFonts w:hint="eastAsia" w:ascii="宋体" w:hAnsi="宋体" w:cs="宋体"/>
          <w:sz w:val="24"/>
        </w:rPr>
        <w:t>2.1.5 “乙方”系指根据合同约定交付货物的中标供应商</w:t>
      </w:r>
      <w:bookmarkEnd w:id="438"/>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439" w:name="_Ref467379436"/>
      <w:r>
        <w:rPr>
          <w:rFonts w:hint="eastAsia" w:ascii="宋体" w:hAnsi="宋体" w:cs="宋体"/>
          <w:sz w:val="24"/>
        </w:rPr>
        <w:t>2.1.6 “现场”系指合同约定货物将要运至或者安装的地点。</w:t>
      </w:r>
      <w:bookmarkEnd w:id="439"/>
    </w:p>
    <w:p>
      <w:pPr>
        <w:spacing w:line="560" w:lineRule="exact"/>
        <w:ind w:firstLine="482" w:firstLineChars="200"/>
        <w:outlineLvl w:val="0"/>
        <w:rPr>
          <w:rFonts w:ascii="宋体" w:hAnsi="宋体" w:cs="宋体"/>
          <w:b/>
          <w:sz w:val="24"/>
        </w:rPr>
      </w:pPr>
      <w:bookmarkStart w:id="440" w:name="_Toc279701241"/>
      <w:bookmarkStart w:id="441" w:name="_Toc27635"/>
      <w:bookmarkStart w:id="442" w:name="_Toc32504"/>
      <w:bookmarkStart w:id="443" w:name="_Toc13336"/>
      <w:bookmarkStart w:id="444" w:name="_Toc259093670"/>
      <w:bookmarkStart w:id="445" w:name="_Toc487900350"/>
      <w:r>
        <w:rPr>
          <w:rFonts w:hint="eastAsia" w:ascii="宋体" w:hAnsi="宋体" w:cs="宋体"/>
          <w:b/>
          <w:sz w:val="24"/>
        </w:rPr>
        <w:t>2.2 技术规范</w:t>
      </w:r>
      <w:bookmarkEnd w:id="440"/>
      <w:bookmarkEnd w:id="441"/>
      <w:bookmarkEnd w:id="442"/>
      <w:bookmarkEnd w:id="443"/>
      <w:bookmarkEnd w:id="444"/>
      <w:bookmarkEnd w:id="445"/>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446" w:name="_Toc279701242"/>
      <w:bookmarkStart w:id="447" w:name="_Toc259093671"/>
      <w:bookmarkStart w:id="448" w:name="_Toc487900351"/>
      <w:bookmarkStart w:id="449" w:name="_Toc9829"/>
      <w:bookmarkStart w:id="450" w:name="_Toc31634"/>
      <w:bookmarkStart w:id="451" w:name="_Toc27853"/>
      <w:r>
        <w:rPr>
          <w:rFonts w:hint="eastAsia" w:ascii="宋体" w:hAnsi="宋体" w:cs="宋体"/>
          <w:b/>
          <w:sz w:val="24"/>
        </w:rPr>
        <w:t>2.3 知识产权</w:t>
      </w:r>
      <w:bookmarkEnd w:id="446"/>
      <w:bookmarkEnd w:id="447"/>
      <w:bookmarkEnd w:id="448"/>
      <w:bookmarkEnd w:id="449"/>
      <w:bookmarkEnd w:id="450"/>
      <w:bookmarkEnd w:id="451"/>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2" w:name="_Toc29149"/>
      <w:bookmarkStart w:id="453" w:name="_Toc11932"/>
      <w:bookmarkStart w:id="454" w:name="_Toc4194"/>
      <w:r>
        <w:rPr>
          <w:rFonts w:hint="eastAsia" w:ascii="宋体" w:hAnsi="宋体" w:cs="宋体"/>
          <w:b/>
          <w:sz w:val="24"/>
        </w:rPr>
        <w:t>2.4 包装和装运</w:t>
      </w:r>
      <w:bookmarkEnd w:id="452"/>
      <w:bookmarkEnd w:id="453"/>
      <w:bookmarkEnd w:id="454"/>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5" w:name="_Ref467378541"/>
      <w:bookmarkStart w:id="456" w:name="_Toc259093674"/>
      <w:bookmarkStart w:id="457" w:name="_Ref467379536"/>
      <w:bookmarkStart w:id="458" w:name="_Ref467379527"/>
      <w:bookmarkStart w:id="459" w:name="_Ref467378591"/>
      <w:bookmarkStart w:id="460" w:name="_Toc487900354"/>
      <w:bookmarkStart w:id="461" w:name="_Ref467379542"/>
      <w:bookmarkStart w:id="462" w:name="_Toc279701245"/>
      <w:bookmarkStart w:id="463" w:name="_Toc26182"/>
      <w:bookmarkStart w:id="464" w:name="_Toc19074"/>
      <w:bookmarkStart w:id="465" w:name="_Toc30272"/>
      <w:r>
        <w:rPr>
          <w:rFonts w:hint="eastAsia" w:ascii="宋体" w:hAnsi="宋体" w:cs="宋体"/>
          <w:b/>
          <w:sz w:val="24"/>
        </w:rPr>
        <w:t>2.</w:t>
      </w:r>
      <w:bookmarkEnd w:id="455"/>
      <w:bookmarkEnd w:id="456"/>
      <w:bookmarkEnd w:id="457"/>
      <w:bookmarkEnd w:id="458"/>
      <w:bookmarkEnd w:id="459"/>
      <w:bookmarkEnd w:id="460"/>
      <w:bookmarkEnd w:id="461"/>
      <w:bookmarkEnd w:id="462"/>
      <w:r>
        <w:rPr>
          <w:rFonts w:hint="eastAsia" w:ascii="宋体" w:hAnsi="宋体" w:cs="宋体"/>
          <w:b/>
          <w:sz w:val="24"/>
        </w:rPr>
        <w:t>5 履约检查和问题反馈</w:t>
      </w:r>
      <w:bookmarkEnd w:id="463"/>
      <w:bookmarkEnd w:id="464"/>
      <w:bookmarkEnd w:id="465"/>
    </w:p>
    <w:p>
      <w:pPr>
        <w:spacing w:line="560" w:lineRule="exact"/>
        <w:ind w:firstLine="480" w:firstLineChars="200"/>
        <w:rPr>
          <w:rFonts w:ascii="宋体" w:hAnsi="宋体" w:cs="宋体"/>
          <w:sz w:val="24"/>
        </w:rPr>
      </w:pPr>
      <w:bookmarkStart w:id="466" w:name="_Ref467379657"/>
      <w:r>
        <w:rPr>
          <w:rFonts w:hint="eastAsia" w:ascii="宋体" w:hAnsi="宋体" w:cs="宋体"/>
          <w:sz w:val="24"/>
        </w:rPr>
        <w:t>2.5.1</w:t>
      </w:r>
      <w:bookmarkEnd w:id="466"/>
      <w:bookmarkStart w:id="467" w:name="_Toc186431854"/>
      <w:bookmarkStart w:id="468" w:name="_Ref467379807"/>
      <w:bookmarkStart w:id="469" w:name="_Toc259093676"/>
      <w:bookmarkStart w:id="470" w:name="_Toc487900357"/>
      <w:bookmarkStart w:id="471" w:name="_Ref467379793"/>
      <w:bookmarkStart w:id="472" w:name="_Toc27970124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7"/>
      <w:bookmarkStart w:id="473" w:name="_Toc186431855"/>
      <w:r>
        <w:rPr>
          <w:rFonts w:hint="eastAsia" w:ascii="宋体" w:hAnsi="宋体" w:cs="宋体"/>
          <w:sz w:val="24"/>
        </w:rPr>
        <w:t>。</w:t>
      </w:r>
    </w:p>
    <w:bookmarkEnd w:id="468"/>
    <w:bookmarkEnd w:id="469"/>
    <w:bookmarkEnd w:id="470"/>
    <w:bookmarkEnd w:id="471"/>
    <w:bookmarkEnd w:id="472"/>
    <w:bookmarkEnd w:id="473"/>
    <w:p>
      <w:pPr>
        <w:spacing w:line="560" w:lineRule="exact"/>
        <w:ind w:firstLine="482" w:firstLineChars="200"/>
        <w:outlineLvl w:val="0"/>
        <w:rPr>
          <w:rFonts w:ascii="宋体" w:hAnsi="宋体" w:cs="宋体"/>
          <w:b/>
          <w:sz w:val="24"/>
        </w:rPr>
      </w:pPr>
      <w:bookmarkStart w:id="474" w:name="_Ref467379923"/>
      <w:bookmarkStart w:id="475" w:name="_Toc279701248"/>
      <w:bookmarkStart w:id="476" w:name="_Toc259093677"/>
      <w:bookmarkStart w:id="477" w:name="_Ref467379863"/>
      <w:bookmarkStart w:id="478" w:name="_Toc487900358"/>
      <w:bookmarkStart w:id="479" w:name="_Ref467379852"/>
      <w:bookmarkStart w:id="480" w:name="_Toc774"/>
      <w:bookmarkStart w:id="481" w:name="_Toc3225"/>
      <w:bookmarkStart w:id="482" w:name="_Toc16110"/>
      <w:r>
        <w:rPr>
          <w:rFonts w:hint="eastAsia" w:ascii="宋体" w:hAnsi="宋体" w:cs="宋体"/>
          <w:b/>
          <w:sz w:val="24"/>
        </w:rPr>
        <w:t>2.6 技术资料</w:t>
      </w:r>
      <w:bookmarkEnd w:id="474"/>
      <w:bookmarkEnd w:id="475"/>
      <w:bookmarkEnd w:id="476"/>
      <w:bookmarkEnd w:id="477"/>
      <w:bookmarkEnd w:id="478"/>
      <w:bookmarkEnd w:id="479"/>
      <w:r>
        <w:rPr>
          <w:rFonts w:hint="eastAsia" w:ascii="宋体" w:hAnsi="宋体" w:cs="宋体"/>
          <w:b/>
          <w:sz w:val="24"/>
        </w:rPr>
        <w:t>和保密义务</w:t>
      </w:r>
      <w:bookmarkEnd w:id="480"/>
      <w:bookmarkEnd w:id="481"/>
      <w:bookmarkEnd w:id="482"/>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483" w:name="_Toc7860"/>
      <w:r>
        <w:rPr>
          <w:rFonts w:hint="eastAsia" w:ascii="宋体" w:hAnsi="宋体" w:cs="宋体"/>
          <w:b/>
          <w:sz w:val="24"/>
        </w:rPr>
        <w:t>2.7 质量保证</w:t>
      </w:r>
      <w:bookmarkEnd w:id="483"/>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484" w:name="_Toc17244"/>
      <w:bookmarkStart w:id="485" w:name="_Toc279701252"/>
      <w:bookmarkStart w:id="486" w:name="_Toc259093681"/>
      <w:bookmarkStart w:id="487" w:name="_Toc487900362"/>
      <w:r>
        <w:rPr>
          <w:rFonts w:hint="eastAsia" w:ascii="宋体" w:hAnsi="宋体" w:cs="宋体"/>
          <w:b/>
          <w:sz w:val="24"/>
        </w:rPr>
        <w:t>2.8 货物的风险负担</w:t>
      </w:r>
      <w:bookmarkEnd w:id="484"/>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88" w:name="_Toc14055"/>
      <w:r>
        <w:rPr>
          <w:rFonts w:hint="eastAsia" w:ascii="宋体" w:hAnsi="宋体" w:cs="宋体"/>
          <w:b/>
          <w:sz w:val="24"/>
        </w:rPr>
        <w:t>2.9 延迟交货</w:t>
      </w:r>
      <w:bookmarkEnd w:id="485"/>
      <w:bookmarkEnd w:id="486"/>
      <w:bookmarkEnd w:id="487"/>
      <w:bookmarkEnd w:id="488"/>
    </w:p>
    <w:p>
      <w:pPr>
        <w:spacing w:line="560" w:lineRule="exact"/>
        <w:ind w:firstLine="480" w:firstLineChars="200"/>
        <w:rPr>
          <w:rFonts w:ascii="宋体" w:hAnsi="宋体" w:cs="宋体"/>
          <w:sz w:val="24"/>
        </w:rPr>
      </w:pPr>
      <w:r>
        <w:rPr>
          <w:rFonts w:hint="eastAsia" w:ascii="宋体" w:hAnsi="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489" w:name="_Toc7502"/>
      <w:bookmarkStart w:id="490" w:name="_Toc279701254"/>
      <w:bookmarkStart w:id="491" w:name="_Ref467378121"/>
      <w:bookmarkStart w:id="492" w:name="_Toc259093683"/>
      <w:bookmarkStart w:id="493" w:name="_Toc487900364"/>
      <w:r>
        <w:rPr>
          <w:rFonts w:hint="eastAsia" w:ascii="宋体" w:hAnsi="宋体" w:cs="宋体"/>
          <w:b/>
          <w:sz w:val="24"/>
        </w:rPr>
        <w:t>2.10 合同变更</w:t>
      </w:r>
      <w:bookmarkEnd w:id="489"/>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4" w:name="_Toc487900369"/>
      <w:bookmarkStart w:id="495" w:name="_Toc279701259"/>
      <w:bookmarkStart w:id="496" w:name="_Toc259093688"/>
    </w:p>
    <w:p>
      <w:pPr>
        <w:spacing w:line="560" w:lineRule="exact"/>
        <w:ind w:firstLine="482" w:firstLineChars="200"/>
        <w:outlineLvl w:val="0"/>
        <w:rPr>
          <w:rFonts w:ascii="宋体" w:hAnsi="宋体" w:cs="宋体"/>
          <w:b/>
          <w:sz w:val="24"/>
        </w:rPr>
      </w:pPr>
      <w:bookmarkStart w:id="497" w:name="_Toc10366"/>
      <w:bookmarkStart w:id="498" w:name="_Toc15237"/>
      <w:bookmarkStart w:id="499" w:name="_Toc22955"/>
      <w:r>
        <w:rPr>
          <w:rFonts w:hint="eastAsia" w:ascii="宋体" w:hAnsi="宋体" w:cs="宋体"/>
          <w:b/>
          <w:sz w:val="24"/>
        </w:rPr>
        <w:t>2.11 合同转让</w:t>
      </w:r>
      <w:bookmarkEnd w:id="494"/>
      <w:bookmarkEnd w:id="495"/>
      <w:bookmarkEnd w:id="496"/>
      <w:r>
        <w:rPr>
          <w:rFonts w:hint="eastAsia" w:ascii="宋体" w:hAnsi="宋体" w:cs="宋体"/>
          <w:b/>
          <w:sz w:val="24"/>
        </w:rPr>
        <w:t>和分包</w:t>
      </w:r>
      <w:bookmarkEnd w:id="497"/>
      <w:bookmarkEnd w:id="498"/>
      <w:bookmarkEnd w:id="499"/>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500" w:name="_Toc14066"/>
      <w:bookmarkStart w:id="501" w:name="_Toc16508"/>
      <w:bookmarkStart w:id="502" w:name="_Toc13566"/>
      <w:r>
        <w:rPr>
          <w:rFonts w:hint="eastAsia" w:ascii="宋体" w:hAnsi="宋体" w:cs="宋体"/>
          <w:b/>
          <w:sz w:val="24"/>
        </w:rPr>
        <w:t>2.12 不可抗力</w:t>
      </w:r>
      <w:bookmarkEnd w:id="500"/>
      <w:bookmarkEnd w:id="501"/>
      <w:bookmarkEnd w:id="502"/>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503" w:name="_Toc487900365"/>
      <w:bookmarkStart w:id="504" w:name="_Toc30676"/>
      <w:bookmarkStart w:id="505" w:name="_Toc6969"/>
      <w:bookmarkStart w:id="506" w:name="_Toc279701255"/>
      <w:bookmarkStart w:id="507" w:name="_Toc689"/>
      <w:bookmarkStart w:id="508" w:name="_Toc259093684"/>
      <w:r>
        <w:rPr>
          <w:rFonts w:hint="eastAsia" w:ascii="宋体" w:hAnsi="宋体" w:cs="宋体"/>
          <w:b/>
          <w:sz w:val="24"/>
        </w:rPr>
        <w:t>2.13 税费</w:t>
      </w:r>
      <w:bookmarkEnd w:id="503"/>
      <w:bookmarkEnd w:id="504"/>
      <w:bookmarkEnd w:id="505"/>
      <w:bookmarkEnd w:id="506"/>
      <w:bookmarkEnd w:id="507"/>
      <w:bookmarkEnd w:id="508"/>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509" w:name="_Toc279701258"/>
      <w:bookmarkStart w:id="510" w:name="_Toc487900368"/>
      <w:bookmarkStart w:id="511" w:name="_Toc16959"/>
      <w:bookmarkStart w:id="512" w:name="_Toc259093687"/>
      <w:bookmarkStart w:id="513" w:name="_Toc7102"/>
      <w:bookmarkStart w:id="514" w:name="_Toc8298"/>
      <w:r>
        <w:rPr>
          <w:rFonts w:hint="eastAsia" w:ascii="宋体" w:hAnsi="宋体" w:cs="宋体"/>
          <w:b/>
          <w:sz w:val="24"/>
        </w:rPr>
        <w:t>2.14乙方破产</w:t>
      </w:r>
      <w:bookmarkEnd w:id="509"/>
      <w:bookmarkEnd w:id="510"/>
      <w:bookmarkEnd w:id="511"/>
      <w:bookmarkEnd w:id="512"/>
      <w:bookmarkEnd w:id="513"/>
      <w:bookmarkEnd w:id="514"/>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515" w:name="_Toc6134"/>
      <w:bookmarkStart w:id="516" w:name="_Toc15387"/>
      <w:bookmarkStart w:id="517" w:name="_Toc29333"/>
      <w:r>
        <w:rPr>
          <w:rFonts w:hint="eastAsia" w:ascii="宋体" w:hAnsi="宋体" w:cs="宋体"/>
          <w:b/>
          <w:sz w:val="24"/>
        </w:rPr>
        <w:t>2.15 合同中止、终止</w:t>
      </w:r>
      <w:bookmarkEnd w:id="515"/>
      <w:bookmarkEnd w:id="516"/>
      <w:bookmarkEnd w:id="517"/>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518" w:name="_Toc1125"/>
      <w:bookmarkStart w:id="519" w:name="_Toc6596"/>
      <w:bookmarkStart w:id="520" w:name="_Toc14563"/>
      <w:r>
        <w:rPr>
          <w:rFonts w:hint="eastAsia" w:ascii="宋体" w:hAnsi="宋体" w:cs="宋体"/>
          <w:b/>
          <w:sz w:val="24"/>
        </w:rPr>
        <w:t>2.16检验和验收</w:t>
      </w:r>
      <w:bookmarkEnd w:id="518"/>
      <w:bookmarkEnd w:id="519"/>
      <w:bookmarkEnd w:id="520"/>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0"/>
    <w:bookmarkEnd w:id="491"/>
    <w:bookmarkEnd w:id="492"/>
    <w:bookmarkEnd w:id="493"/>
    <w:p>
      <w:pPr>
        <w:spacing w:line="560" w:lineRule="exact"/>
        <w:ind w:firstLine="482" w:firstLineChars="200"/>
        <w:outlineLvl w:val="0"/>
        <w:rPr>
          <w:rFonts w:ascii="宋体" w:hAnsi="宋体" w:cs="宋体"/>
          <w:b/>
          <w:sz w:val="24"/>
        </w:rPr>
      </w:pPr>
      <w:bookmarkStart w:id="521" w:name="_Toc279701261"/>
      <w:bookmarkStart w:id="522" w:name="_Toc487900371"/>
      <w:bookmarkStart w:id="523" w:name="_Toc259093690"/>
      <w:bookmarkStart w:id="524" w:name="_Toc19604"/>
      <w:bookmarkStart w:id="525" w:name="_Toc11284"/>
      <w:bookmarkStart w:id="526" w:name="_Toc25182"/>
      <w:r>
        <w:rPr>
          <w:rFonts w:hint="eastAsia" w:ascii="宋体" w:hAnsi="宋体" w:cs="宋体"/>
          <w:b/>
          <w:sz w:val="24"/>
        </w:rPr>
        <w:t>2.17 通知</w:t>
      </w:r>
      <w:bookmarkEnd w:id="521"/>
      <w:bookmarkEnd w:id="522"/>
      <w:bookmarkEnd w:id="523"/>
      <w:r>
        <w:rPr>
          <w:rFonts w:hint="eastAsia" w:ascii="宋体" w:hAnsi="宋体" w:cs="宋体"/>
          <w:b/>
          <w:sz w:val="24"/>
        </w:rPr>
        <w:t>和送达</w:t>
      </w:r>
      <w:bookmarkEnd w:id="524"/>
      <w:bookmarkEnd w:id="525"/>
      <w:bookmarkEnd w:id="526"/>
    </w:p>
    <w:p>
      <w:pPr>
        <w:spacing w:line="560" w:lineRule="exact"/>
        <w:ind w:firstLine="480" w:firstLineChars="200"/>
        <w:rPr>
          <w:rFonts w:ascii="宋体" w:hAnsi="宋体" w:cs="宋体"/>
          <w:sz w:val="24"/>
        </w:rPr>
      </w:pPr>
      <w:bookmarkStart w:id="527" w:name="_Toc6698"/>
      <w:bookmarkStart w:id="528" w:name="_Toc3135"/>
      <w:bookmarkStart w:id="529" w:name="_Toc487900372"/>
      <w:bookmarkStart w:id="530" w:name="_Toc259093691"/>
      <w:bookmarkStart w:id="531" w:name="_Toc27970126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7"/>
      <w:bookmarkEnd w:id="528"/>
    </w:p>
    <w:p>
      <w:pPr>
        <w:spacing w:line="560" w:lineRule="exact"/>
        <w:ind w:firstLine="480" w:firstLineChars="200"/>
        <w:rPr>
          <w:rFonts w:ascii="宋体" w:hAnsi="宋体" w:cs="宋体"/>
          <w:sz w:val="24"/>
        </w:rPr>
      </w:pPr>
      <w:bookmarkStart w:id="532" w:name="_Toc23294"/>
      <w:bookmarkStart w:id="533"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2"/>
      <w:bookmarkEnd w:id="533"/>
    </w:p>
    <w:p>
      <w:pPr>
        <w:spacing w:line="560" w:lineRule="exact"/>
        <w:ind w:firstLine="482" w:firstLineChars="200"/>
        <w:outlineLvl w:val="0"/>
        <w:rPr>
          <w:rFonts w:ascii="宋体" w:hAnsi="宋体" w:cs="宋体"/>
          <w:b/>
          <w:sz w:val="24"/>
        </w:rPr>
      </w:pPr>
      <w:bookmarkStart w:id="534" w:name="_Toc4355"/>
      <w:bookmarkStart w:id="535" w:name="_Toc18540"/>
      <w:bookmarkStart w:id="536" w:name="_Toc30599"/>
      <w:r>
        <w:rPr>
          <w:rFonts w:hint="eastAsia" w:ascii="宋体" w:hAnsi="宋体" w:cs="宋体"/>
          <w:b/>
          <w:sz w:val="24"/>
        </w:rPr>
        <w:t>2.18 计量单位</w:t>
      </w:r>
      <w:bookmarkEnd w:id="529"/>
      <w:bookmarkEnd w:id="530"/>
      <w:bookmarkEnd w:id="531"/>
      <w:bookmarkEnd w:id="534"/>
      <w:bookmarkEnd w:id="535"/>
      <w:bookmarkEnd w:id="536"/>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537" w:name="_Toc18567"/>
      <w:bookmarkStart w:id="538" w:name="_Toc12773"/>
      <w:bookmarkStart w:id="539" w:name="_Toc259093692"/>
      <w:bookmarkStart w:id="540" w:name="_Toc279701263"/>
      <w:bookmarkStart w:id="541" w:name="_Toc487900373"/>
      <w:bookmarkStart w:id="542" w:name="_Toc10330"/>
      <w:r>
        <w:rPr>
          <w:rFonts w:hint="eastAsia" w:ascii="宋体" w:hAnsi="宋体" w:cs="宋体"/>
          <w:b/>
          <w:sz w:val="24"/>
        </w:rPr>
        <w:t>2.19 合同使用的文字和适用的法律</w:t>
      </w:r>
      <w:bookmarkEnd w:id="537"/>
      <w:bookmarkEnd w:id="538"/>
      <w:bookmarkEnd w:id="539"/>
      <w:bookmarkEnd w:id="540"/>
      <w:bookmarkEnd w:id="541"/>
      <w:bookmarkEnd w:id="542"/>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543" w:name="_Toc12004"/>
      <w:bookmarkStart w:id="544" w:name="_Toc3148"/>
      <w:bookmarkStart w:id="545" w:name="_Toc16673"/>
      <w:bookmarkStart w:id="546" w:name="_Toc279701264"/>
      <w:bookmarkStart w:id="547" w:name="_Toc259093693"/>
      <w:bookmarkStart w:id="548" w:name="_Toc487900374"/>
      <w:r>
        <w:rPr>
          <w:rFonts w:hint="eastAsia" w:ascii="宋体" w:hAnsi="宋体" w:cs="宋体"/>
          <w:b/>
          <w:sz w:val="24"/>
        </w:rPr>
        <w:t>2.20 履约保证金</w:t>
      </w:r>
      <w:bookmarkEnd w:id="543"/>
      <w:bookmarkEnd w:id="544"/>
      <w:bookmarkEnd w:id="545"/>
      <w:bookmarkEnd w:id="546"/>
      <w:bookmarkEnd w:id="547"/>
    </w:p>
    <w:p>
      <w:pPr>
        <w:pStyle w:val="957"/>
        <w:spacing w:before="0" w:beforeAutospacing="0" w:after="0" w:afterAutospacing="0" w:line="360" w:lineRule="auto"/>
        <w:ind w:firstLine="420"/>
      </w:pPr>
      <w:r>
        <w:rPr>
          <w:rFonts w:hint="eastAsia"/>
        </w:rPr>
        <w:t>2.20.1 采购文件要求乙方提交履约保证金的，乙方应按</w:t>
      </w:r>
      <w:r>
        <w:rPr>
          <w:rFonts w:hint="eastAsia"/>
          <w:b/>
          <w:i/>
          <w:u w:val="single"/>
        </w:rPr>
        <w:t>合同专用条款</w:t>
      </w:r>
      <w:r>
        <w:rPr>
          <w:rFonts w:hint="eastAsia"/>
        </w:rPr>
        <w:t>约定的方式，以支票、汇票、本票或者金融机构、担保机构出具的保函等非现金形式，提交不超过合同金额</w:t>
      </w:r>
      <w:r>
        <w:t>1%</w:t>
      </w:r>
      <w:r>
        <w:rPr>
          <w:rFonts w:hint="eastAsia"/>
        </w:rPr>
        <w:t>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ascii="宋体" w:hAnsi="宋体" w:cs="宋体"/>
          <w:sz w:val="24"/>
        </w:rPr>
      </w:pPr>
      <w:r>
        <w:rPr>
          <w:rFonts w:ascii="宋体" w:hAnsi="宋体" w:cs="宋体"/>
          <w:sz w:val="24"/>
        </w:rPr>
        <w:t xml:space="preserve">2.20.2  </w:t>
      </w:r>
      <w:r>
        <w:rPr>
          <w:rFonts w:hint="eastAsia" w:ascii="宋体" w:hAnsi="宋体" w:cs="宋体"/>
          <w:sz w:val="24"/>
        </w:rPr>
        <w:t>甲方在项目验收结束后及时退还履约保证金。甲方在项目通过验收之日起</w:t>
      </w:r>
      <w:r>
        <w:rPr>
          <w:rFonts w:hint="eastAsia" w:ascii="宋体" w:hAnsi="宋体" w:cs="宋体"/>
          <w:sz w:val="24"/>
          <w:u w:val="single"/>
        </w:rPr>
        <w:t xml:space="preserve"> </w:t>
      </w:r>
      <w:r>
        <w:rPr>
          <w:rFonts w:hint="eastAsia" w:ascii="宋体" w:hAnsi="宋体" w:cs="宋体"/>
          <w:b/>
          <w:i/>
          <w:sz w:val="24"/>
          <w:u w:val="single"/>
        </w:rPr>
        <w:t>合同专用条款</w:t>
      </w:r>
      <w:r>
        <w:rPr>
          <w:rFonts w:hint="eastAsia" w:ascii="宋体" w:hAnsi="宋体" w:cs="宋体"/>
          <w:sz w:val="24"/>
          <w:u w:val="single"/>
        </w:rPr>
        <w:t xml:space="preserve"> </w:t>
      </w:r>
      <w:r>
        <w:rPr>
          <w:rFonts w:hint="eastAsia" w:ascii="宋体" w:hAnsi="宋体" w:cs="宋体"/>
          <w:sz w:val="24"/>
        </w:rPr>
        <w:t>个工作日内将履约保证金退还乙方，逾期退还的，乙方可要求甲方支付违约金，违约金按每迟延退还一日的应退还而未退还金额的</w:t>
      </w:r>
      <w:r>
        <w:rPr>
          <w:rFonts w:hint="eastAsia" w:ascii="宋体" w:hAnsi="宋体" w:cs="宋体"/>
          <w:sz w:val="24"/>
          <w:u w:val="single"/>
        </w:rPr>
        <w:t xml:space="preserve">  0.05  </w:t>
      </w:r>
      <w:r>
        <w:rPr>
          <w:rFonts w:hint="eastAsia" w:ascii="宋体" w:hAnsi="宋体" w:cs="宋体"/>
          <w:sz w:val="24"/>
        </w:rPr>
        <w:t>%计算，最高限额为本合同履约保证金的</w:t>
      </w:r>
      <w:r>
        <w:rPr>
          <w:rFonts w:hint="eastAsia" w:ascii="宋体" w:hAnsi="宋体" w:cs="宋体"/>
          <w:sz w:val="24"/>
          <w:u w:val="single"/>
        </w:rPr>
        <w:t xml:space="preserve">  20   </w:t>
      </w:r>
      <w:r>
        <w:rPr>
          <w:rFonts w:hint="eastAsia" w:ascii="宋体" w:hAnsi="宋体" w:cs="宋体"/>
          <w:sz w:val="24"/>
        </w:rPr>
        <w:t xml:space="preserve">%； </w:t>
      </w:r>
    </w:p>
    <w:p>
      <w:pPr>
        <w:spacing w:line="560" w:lineRule="exact"/>
        <w:ind w:firstLine="480" w:firstLineChars="200"/>
        <w:rPr>
          <w:rFonts w:ascii="宋体" w:hAnsi="宋体" w:cs="宋体"/>
          <w:sz w:val="24"/>
        </w:rPr>
      </w:pPr>
      <w:r>
        <w:rPr>
          <w:rFonts w:hint="eastAsia" w:ascii="宋体" w:hAnsi="宋体" w:cs="宋体"/>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cs="宋体"/>
        </w:rPr>
      </w:pPr>
      <w:r>
        <w:rPr>
          <w:rFonts w:hint="eastAsia" w:ascii="宋体" w:hAnsi="宋体" w:cs="宋体"/>
          <w:sz w:val="24"/>
        </w:rPr>
        <w:t>2.20.4甲方在乙方履行完合同约定义务事项后及时退还，延迟退还的，应当按照合同约定和法律规定承担相应的赔偿责任。</w:t>
      </w:r>
    </w:p>
    <w:p>
      <w:pPr>
        <w:spacing w:line="560" w:lineRule="exact"/>
        <w:ind w:firstLine="480" w:firstLineChars="200"/>
        <w:rPr>
          <w:rFonts w:ascii="宋体" w:hAnsi="宋体" w:cs="宋体"/>
          <w:sz w:val="24"/>
        </w:rPr>
      </w:pPr>
      <w:r>
        <w:rPr>
          <w:rFonts w:hint="eastAsia" w:ascii="宋体" w:hAnsi="宋体" w:cs="宋体"/>
          <w:sz w:val="24"/>
        </w:rPr>
        <w:t>2.21对于因甲方原因导致变更、中止或者终止政府采购合同的，甲方应当依照合同约定对供应商受到的损失予以赔偿或者补偿。</w:t>
      </w:r>
    </w:p>
    <w:bookmarkEnd w:id="548"/>
    <w:p>
      <w:pPr>
        <w:spacing w:line="560" w:lineRule="exact"/>
        <w:ind w:firstLine="482" w:firstLineChars="200"/>
        <w:outlineLvl w:val="0"/>
        <w:rPr>
          <w:rFonts w:ascii="宋体" w:hAnsi="宋体" w:cs="宋体"/>
          <w:b/>
          <w:sz w:val="24"/>
        </w:rPr>
      </w:pPr>
      <w:bookmarkStart w:id="549" w:name="_Toc6885"/>
      <w:bookmarkStart w:id="550" w:name="_Toc14001"/>
      <w:bookmarkStart w:id="551" w:name="_Toc19890"/>
      <w:r>
        <w:rPr>
          <w:rFonts w:hint="eastAsia" w:ascii="宋体" w:hAnsi="宋体" w:cs="宋体"/>
          <w:b/>
          <w:sz w:val="24"/>
        </w:rPr>
        <w:t>2.22合同份数</w:t>
      </w:r>
      <w:bookmarkEnd w:id="549"/>
      <w:bookmarkEnd w:id="550"/>
      <w:bookmarkEnd w:id="551"/>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0"/>
        <w:rPr>
          <w:rFonts w:ascii="宋体" w:hAnsi="宋体" w:cs="宋体"/>
          <w:b/>
        </w:rPr>
      </w:pPr>
      <w:r>
        <w:rPr>
          <w:rFonts w:hint="eastAsia" w:ascii="宋体" w:hAnsi="宋体" w:cs="宋体"/>
          <w:kern w:val="0"/>
        </w:rPr>
        <w:br w:type="page"/>
      </w:r>
      <w:bookmarkStart w:id="552" w:name="_Toc331685784"/>
      <w:r>
        <w:rPr>
          <w:rFonts w:hint="eastAsia" w:ascii="宋体" w:hAnsi="宋体" w:cs="宋体"/>
          <w:b/>
          <w:sz w:val="32"/>
          <w:szCs w:val="20"/>
        </w:rPr>
        <w:t xml:space="preserve"> </w:t>
      </w:r>
      <w:bookmarkEnd w:id="552"/>
      <w:r>
        <w:rPr>
          <w:rFonts w:hint="eastAsia" w:ascii="宋体" w:hAnsi="宋体" w:cs="宋体"/>
          <w:b/>
          <w:sz w:val="32"/>
          <w:szCs w:val="20"/>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1.4.4</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1.6.7</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53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2.4.1</w:t>
            </w:r>
          </w:p>
        </w:tc>
        <w:tc>
          <w:tcPr>
            <w:tcW w:w="453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宋体" w:hAnsi="宋体" w:cs="宋体"/>
                <w:sz w:val="24"/>
              </w:rPr>
            </w:pPr>
            <w:r>
              <w:rPr>
                <w:rFonts w:hint="eastAsia" w:ascii="宋体" w:hAnsi="宋体" w:cs="宋体"/>
                <w:sz w:val="24"/>
              </w:rPr>
              <w:t xml:space="preserve">2.8 </w:t>
            </w:r>
          </w:p>
        </w:tc>
        <w:tc>
          <w:tcPr>
            <w:tcW w:w="453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2.12.4</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52"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ascii="宋体" w:hAnsi="宋体" w:cs="宋体"/>
                <w:sz w:val="24"/>
              </w:rPr>
            </w:pPr>
            <w:r>
              <w:rPr>
                <w:rFonts w:hint="eastAsia" w:ascii="宋体" w:hAnsi="宋体" w:cs="宋体"/>
                <w:sz w:val="24"/>
              </w:rPr>
              <w:t>2.20.1</w:t>
            </w:r>
          </w:p>
        </w:tc>
        <w:tc>
          <w:tcPr>
            <w:tcW w:w="453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2.20.2 </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2.22 </w:t>
            </w:r>
          </w:p>
        </w:tc>
        <w:tc>
          <w:tcPr>
            <w:tcW w:w="4534" w:type="pct"/>
            <w:vAlign w:val="center"/>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4"/>
      <w:r>
        <w:rPr>
          <w:rFonts w:hint="eastAsia" w:ascii="宋体" w:hAnsi="宋体" w:cs="宋体"/>
          <w:b/>
          <w:sz w:val="36"/>
          <w:szCs w:val="20"/>
        </w:rPr>
        <w:t xml:space="preserve"> </w:t>
      </w:r>
      <w:bookmarkEnd w:id="395"/>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、杭州市公共资源交易中心</w:t>
      </w:r>
      <w:r>
        <w:rPr>
          <w:rFonts w:hint="eastAsia" w:ascii="宋体" w:hAnsi="宋体" w:cs="宋体"/>
          <w:sz w:val="24"/>
          <w:lang w:val="en-US" w:eastAsia="zh-CN"/>
        </w:rPr>
        <w:t>桐庐分中心</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pStyle w:val="2"/>
      </w:pPr>
    </w:p>
    <w:p>
      <w:pPr>
        <w:snapToGrid w:val="0"/>
        <w:spacing w:line="360" w:lineRule="auto"/>
        <w:ind w:right="480" w:firstLine="559" w:firstLineChars="233"/>
        <w:jc w:val="left"/>
        <w:rPr>
          <w:rFonts w:ascii="宋体" w:hAnsi="宋体" w:cs="宋体"/>
          <w:b/>
          <w:kern w:val="0"/>
          <w:sz w:val="32"/>
          <w:szCs w:val="32"/>
          <w:highlight w:val="none"/>
        </w:rPr>
      </w:pPr>
      <w:r>
        <w:rPr>
          <w:rFonts w:hint="eastAsia" w:cs="仿宋_GB2312" w:asciiTheme="minorEastAsia" w:hAnsiTheme="minorEastAsia" w:eastAsiaTheme="minorEastAsia"/>
          <w:sz w:val="24"/>
          <w:highlight w:val="none"/>
        </w:rPr>
        <w:t>注：根据《</w:t>
      </w:r>
      <w:r>
        <w:rPr>
          <w:rFonts w:cs="仿宋_GB2312" w:asciiTheme="minorEastAsia" w:hAnsiTheme="minorEastAsia" w:eastAsiaTheme="minorEastAsia"/>
          <w:sz w:val="24"/>
          <w:highlight w:val="none"/>
        </w:rPr>
        <w:t>关于规范政府采购供应商资格设定及资格审查的通知</w:t>
      </w: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浙财采监[2013]24号</w:t>
      </w:r>
      <w:r>
        <w:rPr>
          <w:rFonts w:hint="eastAsia" w:cs="仿宋_GB2312" w:asciiTheme="minorEastAsia" w:hAnsiTheme="minorEastAsia" w:eastAsiaTheme="minorEastAsia"/>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ascii="宋体" w:hAnsi="宋体" w:cs="宋体"/>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r>
        <w:rPr>
          <w:rFonts w:hint="eastAsia" w:ascii="宋体" w:hAnsi="宋体" w:cs="宋体"/>
          <w:b/>
          <w:color w:val="FF0000"/>
          <w:kern w:val="0"/>
          <w:sz w:val="32"/>
          <w:szCs w:val="32"/>
        </w:rPr>
        <w:t>（如果有）</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2"/>
        <w:rPr>
          <w:lang w:val="en-US"/>
        </w:rPr>
      </w:pPr>
    </w:p>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、杭州市公共资源交易中心</w:t>
      </w:r>
      <w:r>
        <w:rPr>
          <w:rFonts w:hint="eastAsia" w:ascii="宋体" w:hAnsi="宋体" w:cs="宋体"/>
          <w:sz w:val="24"/>
          <w:lang w:val="en-US" w:eastAsia="zh-CN"/>
        </w:rPr>
        <w:t>桐庐分中心</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color w:val="FF0000"/>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、杭州市公共资源交易中心</w:t>
      </w:r>
      <w:r>
        <w:rPr>
          <w:rFonts w:hint="eastAsia" w:ascii="宋体" w:hAnsi="宋体" w:cs="宋体"/>
          <w:sz w:val="24"/>
          <w:lang w:val="en-US" w:eastAsia="zh-CN"/>
        </w:rPr>
        <w:t>桐庐分中心</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、杭州市公共资源交易中心</w:t>
      </w:r>
      <w:r>
        <w:rPr>
          <w:rFonts w:hint="eastAsia" w:ascii="宋体" w:hAnsi="宋体" w:cs="宋体"/>
          <w:sz w:val="24"/>
          <w:lang w:val="en-US" w:eastAsia="zh-CN"/>
        </w:rPr>
        <w:t>桐庐分中心</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napToGrid w:val="0"/>
        <w:spacing w:line="360" w:lineRule="auto"/>
        <w:ind w:firstLine="480" w:firstLineChars="200"/>
        <w:rPr>
          <w:rFonts w:ascii="宋体" w:hAnsi="宋体" w:cs="宋体"/>
          <w:kern w:val="0"/>
          <w:sz w:val="24"/>
          <w:highlight w:val="cyan"/>
          <w:lang w:val="zh-CN"/>
        </w:rPr>
      </w:pPr>
    </w:p>
    <w:p>
      <w:pPr>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bookmarkStart w:id="553"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53"/>
    <w:p>
      <w:pPr>
        <w:snapToGrid w:val="0"/>
        <w:spacing w:line="360" w:lineRule="auto"/>
        <w:rPr>
          <w:rFonts w:ascii="宋体" w:hAnsi="宋体" w:cs="宋体"/>
          <w:kern w:val="0"/>
          <w:sz w:val="24"/>
        </w:rPr>
      </w:pPr>
    </w:p>
    <w:p>
      <w:pPr>
        <w:jc w:val="center"/>
        <w:rPr>
          <w:rFonts w:ascii="宋体" w:hAnsi="宋体" w:cs="宋体"/>
          <w:b/>
          <w:kern w:val="0"/>
          <w:sz w:val="32"/>
          <w:szCs w:val="32"/>
        </w:rPr>
      </w:pPr>
    </w:p>
    <w:p>
      <w:pPr>
        <w:pStyle w:val="2"/>
        <w:rPr>
          <w:lang w:val="en-US"/>
        </w:rPr>
      </w:pPr>
    </w:p>
    <w:p/>
    <w:p>
      <w:pPr>
        <w:pStyle w:val="2"/>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、杭州市公共资源交易中心</w:t>
      </w:r>
      <w:r>
        <w:rPr>
          <w:rFonts w:hint="eastAsia" w:ascii="宋体" w:hAnsi="宋体" w:cs="宋体"/>
          <w:sz w:val="24"/>
          <w:lang w:val="en-US" w:eastAsia="zh-CN"/>
        </w:rPr>
        <w:t>桐庐分中心</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690"/>
        <w:keepNext w:val="0"/>
        <w:pageBreakBefore w:val="0"/>
        <w:shd w:val="clear"/>
        <w:tabs>
          <w:tab w:val="clear" w:pos="720"/>
        </w:tabs>
        <w:snapToGrid w:val="0"/>
        <w:spacing w:before="120" w:after="120"/>
        <w:ind w:firstLine="643"/>
        <w:outlineLvl w:val="9"/>
        <w:rPr>
          <w:rFonts w:ascii="宋体" w:hAnsi="宋体" w:eastAsia="宋体" w:cs="宋体"/>
          <w:kern w:val="2"/>
          <w:sz w:val="32"/>
          <w:szCs w:val="32"/>
          <w:highlight w:val="yellow"/>
        </w:rPr>
      </w:pPr>
      <w:r>
        <w:rPr>
          <w:rFonts w:hint="eastAsia" w:ascii="宋体" w:hAnsi="宋体" w:eastAsia="宋体" w:cs="宋体"/>
          <w:kern w:val="2"/>
          <w:sz w:val="32"/>
          <w:szCs w:val="32"/>
          <w:highlight w:val="yellow"/>
        </w:rPr>
        <w:t>一、开标一览表（报价表）</w:t>
      </w:r>
    </w:p>
    <w:p>
      <w:pPr>
        <w:shd w:val="clear"/>
        <w:snapToGrid w:val="0"/>
        <w:spacing w:line="360" w:lineRule="auto"/>
        <w:rPr>
          <w:rFonts w:ascii="宋体" w:hAnsi="宋体" w:cs="宋体"/>
          <w:kern w:val="0"/>
          <w:sz w:val="24"/>
          <w:highlight w:val="yellow"/>
        </w:rPr>
      </w:pPr>
      <w:r>
        <w:rPr>
          <w:rFonts w:hint="eastAsia" w:ascii="宋体" w:hAnsi="宋体" w:cs="宋体"/>
          <w:color w:val="0000FF"/>
          <w:sz w:val="24"/>
          <w:highlight w:val="yellow"/>
        </w:rPr>
        <w:t>（采购人）</w:t>
      </w:r>
      <w:r>
        <w:rPr>
          <w:rFonts w:hint="eastAsia" w:ascii="宋体" w:hAnsi="宋体" w:cs="宋体"/>
          <w:sz w:val="24"/>
          <w:highlight w:val="yellow"/>
        </w:rPr>
        <w:t>、杭州市公共资源交易中心</w:t>
      </w:r>
      <w:r>
        <w:rPr>
          <w:rFonts w:hint="eastAsia" w:ascii="宋体" w:hAnsi="宋体" w:cs="宋体"/>
          <w:sz w:val="24"/>
          <w:highlight w:val="yellow"/>
          <w:lang w:val="en-US" w:eastAsia="zh-CN"/>
        </w:rPr>
        <w:t>桐庐分中心</w:t>
      </w:r>
      <w:r>
        <w:rPr>
          <w:rFonts w:hint="eastAsia" w:ascii="宋体" w:hAnsi="宋体" w:cs="宋体"/>
          <w:kern w:val="0"/>
          <w:sz w:val="24"/>
          <w:highlight w:val="yellow"/>
          <w:lang w:val="zh-CN"/>
        </w:rPr>
        <w:t>：</w:t>
      </w:r>
    </w:p>
    <w:p>
      <w:pPr>
        <w:shd w:val="clear"/>
        <w:snapToGrid w:val="0"/>
        <w:spacing w:line="360" w:lineRule="auto"/>
        <w:ind w:firstLine="482"/>
        <w:rPr>
          <w:rFonts w:ascii="宋体" w:hAnsi="宋体" w:cs="宋体"/>
          <w:kern w:val="0"/>
          <w:sz w:val="24"/>
          <w:highlight w:val="yellow"/>
          <w:lang w:val="zh-CN"/>
        </w:rPr>
      </w:pPr>
      <w:r>
        <w:rPr>
          <w:rFonts w:hint="eastAsia" w:ascii="宋体" w:hAnsi="宋体" w:cs="宋体"/>
          <w:kern w:val="0"/>
          <w:sz w:val="24"/>
          <w:highlight w:val="yellow"/>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highlight w:val="yellow"/>
        </w:rPr>
        <w:t>（项目名称）</w:t>
      </w:r>
      <w:r>
        <w:rPr>
          <w:rFonts w:hint="eastAsia" w:ascii="宋体" w:hAnsi="宋体" w:cs="宋体"/>
          <w:kern w:val="0"/>
          <w:sz w:val="24"/>
          <w:highlight w:val="yellow"/>
          <w:lang w:val="zh-CN"/>
        </w:rPr>
        <w:t>【招标编号：</w:t>
      </w:r>
      <w:r>
        <w:rPr>
          <w:rFonts w:hint="eastAsia" w:ascii="宋体" w:hAnsi="宋体" w:cs="宋体"/>
          <w:color w:val="FF0000"/>
          <w:sz w:val="24"/>
          <w:highlight w:val="yellow"/>
        </w:rPr>
        <w:t>（采购编号）</w:t>
      </w:r>
      <w:r>
        <w:rPr>
          <w:rFonts w:hint="eastAsia" w:ascii="宋体" w:hAnsi="宋体" w:cs="宋体"/>
          <w:sz w:val="24"/>
          <w:highlight w:val="yellow"/>
        </w:rPr>
        <w:t>】的实施</w:t>
      </w:r>
      <w:r>
        <w:rPr>
          <w:rFonts w:hint="eastAsia" w:ascii="宋体" w:hAnsi="宋体" w:cs="宋体"/>
          <w:kern w:val="0"/>
          <w:sz w:val="24"/>
          <w:highlight w:val="yellow"/>
          <w:lang w:val="zh-CN"/>
        </w:rPr>
        <w:t>。</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1656"/>
        <w:gridCol w:w="1929"/>
        <w:gridCol w:w="3205"/>
        <w:gridCol w:w="2371"/>
        <w:gridCol w:w="4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Align w:val="center"/>
          </w:tcPr>
          <w:p>
            <w:pPr>
              <w:pStyle w:val="26"/>
              <w:shd w:val="clear"/>
              <w:jc w:val="center"/>
              <w:rPr>
                <w:rFonts w:asciiTheme="minorEastAsia" w:hAnsiTheme="minorEastAsia" w:eastAsiaTheme="minorEastAsia"/>
                <w:bCs/>
                <w:highlight w:val="yellow"/>
              </w:rPr>
            </w:pPr>
            <w:r>
              <w:rPr>
                <w:rFonts w:hint="eastAsia" w:asciiTheme="minorEastAsia" w:hAnsiTheme="minorEastAsia" w:eastAsiaTheme="minorEastAsia"/>
                <w:bCs/>
                <w:highlight w:val="yellow"/>
              </w:rPr>
              <w:t>序号</w:t>
            </w:r>
          </w:p>
        </w:tc>
        <w:tc>
          <w:tcPr>
            <w:tcW w:w="570" w:type="pct"/>
            <w:vAlign w:val="center"/>
          </w:tcPr>
          <w:p>
            <w:pPr>
              <w:pStyle w:val="26"/>
              <w:shd w:val="clear"/>
              <w:jc w:val="center"/>
              <w:rPr>
                <w:rFonts w:hint="eastAsia" w:asciiTheme="minorEastAsia" w:hAnsiTheme="minorEastAsia" w:eastAsiaTheme="minorEastAsia"/>
                <w:bCs/>
                <w:highlight w:val="yellow"/>
              </w:rPr>
            </w:pPr>
            <w:r>
              <w:rPr>
                <w:rFonts w:hint="eastAsia" w:asciiTheme="minorEastAsia" w:hAnsiTheme="minorEastAsia" w:eastAsiaTheme="minorEastAsia"/>
                <w:bCs/>
                <w:highlight w:val="yellow"/>
              </w:rPr>
              <w:t>服务</w:t>
            </w:r>
          </w:p>
          <w:p>
            <w:pPr>
              <w:pStyle w:val="26"/>
              <w:shd w:val="clear"/>
              <w:jc w:val="center"/>
              <w:rPr>
                <w:rFonts w:asciiTheme="minorEastAsia" w:hAnsiTheme="minorEastAsia" w:eastAsiaTheme="minorEastAsia"/>
                <w:bCs/>
                <w:highlight w:val="yellow"/>
              </w:rPr>
            </w:pPr>
            <w:r>
              <w:rPr>
                <w:rFonts w:hint="eastAsia" w:asciiTheme="minorEastAsia" w:hAnsiTheme="minorEastAsia" w:eastAsiaTheme="minorEastAsia"/>
                <w:bCs/>
                <w:highlight w:val="yellow"/>
              </w:rPr>
              <w:t>名称</w:t>
            </w:r>
          </w:p>
        </w:tc>
        <w:tc>
          <w:tcPr>
            <w:tcW w:w="662" w:type="pct"/>
            <w:vAlign w:val="center"/>
          </w:tcPr>
          <w:p>
            <w:pPr>
              <w:pStyle w:val="26"/>
              <w:shd w:val="clear"/>
              <w:jc w:val="center"/>
              <w:rPr>
                <w:rFonts w:asciiTheme="minorEastAsia" w:hAnsiTheme="minorEastAsia" w:eastAsiaTheme="minorEastAsia"/>
                <w:bCs/>
                <w:highlight w:val="yellow"/>
              </w:rPr>
            </w:pPr>
            <w:r>
              <w:rPr>
                <w:rFonts w:asciiTheme="minorEastAsia" w:hAnsiTheme="minorEastAsia" w:eastAsiaTheme="minorEastAsia"/>
                <w:bCs/>
                <w:highlight w:val="yellow"/>
              </w:rPr>
              <w:t>数量</w:t>
            </w:r>
          </w:p>
        </w:tc>
        <w:tc>
          <w:tcPr>
            <w:tcW w:w="1103" w:type="pct"/>
            <w:vAlign w:val="center"/>
          </w:tcPr>
          <w:p>
            <w:pPr>
              <w:pStyle w:val="26"/>
              <w:shd w:val="clear"/>
              <w:jc w:val="center"/>
              <w:rPr>
                <w:rFonts w:asciiTheme="minorEastAsia" w:hAnsiTheme="minorEastAsia" w:eastAsiaTheme="minorEastAsia"/>
                <w:bCs/>
                <w:highlight w:val="yellow"/>
              </w:rPr>
            </w:pPr>
            <w:r>
              <w:rPr>
                <w:rFonts w:hint="eastAsia" w:asciiTheme="minorEastAsia" w:hAnsiTheme="minorEastAsia" w:eastAsiaTheme="minorEastAsia"/>
                <w:bCs/>
                <w:highlight w:val="yellow"/>
              </w:rPr>
              <w:t>服务单价</w:t>
            </w:r>
          </w:p>
        </w:tc>
        <w:tc>
          <w:tcPr>
            <w:tcW w:w="816" w:type="pct"/>
            <w:vAlign w:val="center"/>
          </w:tcPr>
          <w:p>
            <w:pPr>
              <w:pStyle w:val="26"/>
              <w:shd w:val="clear"/>
              <w:jc w:val="center"/>
              <w:rPr>
                <w:rFonts w:asciiTheme="minorEastAsia" w:hAnsiTheme="minorEastAsia" w:eastAsiaTheme="minorEastAsia"/>
                <w:bCs/>
                <w:highlight w:val="yellow"/>
              </w:rPr>
            </w:pPr>
            <w:r>
              <w:rPr>
                <w:rFonts w:hint="eastAsia" w:asciiTheme="minorEastAsia" w:hAnsiTheme="minorEastAsia" w:eastAsiaTheme="minorEastAsia"/>
                <w:bCs/>
                <w:highlight w:val="yellow"/>
              </w:rPr>
              <w:t>服务总价</w:t>
            </w:r>
          </w:p>
        </w:tc>
        <w:tc>
          <w:tcPr>
            <w:tcW w:w="1399" w:type="pct"/>
            <w:vAlign w:val="center"/>
          </w:tcPr>
          <w:p>
            <w:pPr>
              <w:pStyle w:val="26"/>
              <w:shd w:val="clear"/>
              <w:jc w:val="center"/>
              <w:rPr>
                <w:rFonts w:asciiTheme="minorEastAsia" w:hAnsiTheme="minorEastAsia" w:eastAsiaTheme="minorEastAsia"/>
                <w:bCs/>
                <w:highlight w:val="yellow"/>
              </w:rPr>
            </w:pPr>
            <w:r>
              <w:rPr>
                <w:rFonts w:hint="eastAsia" w:asciiTheme="minorEastAsia" w:hAnsiTheme="minorEastAsia" w:eastAsiaTheme="minorEastAsia"/>
                <w:bCs/>
                <w:highlight w:val="yellow"/>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447" w:type="pct"/>
            <w:vAlign w:val="center"/>
          </w:tcPr>
          <w:p>
            <w:pPr>
              <w:pStyle w:val="803"/>
              <w:shd w:val="clear"/>
              <w:ind w:firstLine="0" w:firstLineChars="0"/>
              <w:jc w:val="center"/>
              <w:rPr>
                <w:rFonts w:asciiTheme="minorEastAsia" w:hAnsiTheme="minorEastAsia" w:eastAsiaTheme="minorEastAsia"/>
                <w:snapToGrid w:val="0"/>
                <w:color w:val="auto"/>
                <w:kern w:val="28"/>
                <w:sz w:val="24"/>
                <w:szCs w:val="24"/>
                <w:highlight w:val="yellow"/>
              </w:rPr>
            </w:pPr>
            <w:r>
              <w:rPr>
                <w:rFonts w:hint="eastAsia" w:asciiTheme="minorEastAsia" w:hAnsiTheme="minorEastAsia" w:eastAsiaTheme="minorEastAsia"/>
                <w:snapToGrid w:val="0"/>
                <w:color w:val="auto"/>
                <w:kern w:val="28"/>
                <w:sz w:val="24"/>
                <w:szCs w:val="24"/>
                <w:highlight w:val="yellow"/>
              </w:rPr>
              <w:t>1</w:t>
            </w:r>
          </w:p>
        </w:tc>
        <w:tc>
          <w:tcPr>
            <w:tcW w:w="570" w:type="pct"/>
            <w:vAlign w:val="center"/>
          </w:tcPr>
          <w:p>
            <w:pPr>
              <w:pStyle w:val="803"/>
              <w:shd w:val="clear"/>
              <w:ind w:firstLine="0" w:firstLineChars="0"/>
              <w:jc w:val="center"/>
              <w:rPr>
                <w:rFonts w:asciiTheme="minorEastAsia" w:hAnsiTheme="minorEastAsia" w:eastAsiaTheme="minorEastAsia"/>
                <w:snapToGrid w:val="0"/>
                <w:color w:val="auto"/>
                <w:kern w:val="28"/>
                <w:sz w:val="24"/>
                <w:szCs w:val="24"/>
                <w:highlight w:val="yellow"/>
              </w:rPr>
            </w:pPr>
            <w:r>
              <w:rPr>
                <w:rFonts w:hint="eastAsia" w:asciiTheme="minorEastAsia" w:hAnsiTheme="minorEastAsia" w:eastAsiaTheme="minorEastAsia"/>
                <w:snapToGrid w:val="0"/>
                <w:color w:val="auto"/>
                <w:kern w:val="28"/>
                <w:sz w:val="24"/>
                <w:szCs w:val="24"/>
                <w:highlight w:val="yellow"/>
              </w:rPr>
              <w:t>VPN网</w:t>
            </w:r>
          </w:p>
        </w:tc>
        <w:tc>
          <w:tcPr>
            <w:tcW w:w="662" w:type="pct"/>
            <w:vAlign w:val="center"/>
          </w:tcPr>
          <w:p>
            <w:pPr>
              <w:pStyle w:val="26"/>
              <w:shd w:val="clear"/>
              <w:jc w:val="center"/>
              <w:rPr>
                <w:rFonts w:asciiTheme="minorEastAsia" w:hAnsiTheme="minorEastAsia" w:eastAsiaTheme="minorEastAsia"/>
                <w:highlight w:val="yellow"/>
              </w:rPr>
            </w:pPr>
            <w:r>
              <w:rPr>
                <w:rFonts w:hint="eastAsia" w:asciiTheme="minorEastAsia" w:hAnsiTheme="minorEastAsia" w:eastAsiaTheme="minorEastAsia"/>
                <w:highlight w:val="yellow"/>
              </w:rPr>
              <w:t>352条</w:t>
            </w:r>
          </w:p>
        </w:tc>
        <w:tc>
          <w:tcPr>
            <w:tcW w:w="1103" w:type="pct"/>
            <w:vAlign w:val="center"/>
          </w:tcPr>
          <w:p>
            <w:pPr>
              <w:pStyle w:val="26"/>
              <w:shd w:val="clear"/>
              <w:jc w:val="center"/>
              <w:rPr>
                <w:rFonts w:asciiTheme="minorEastAsia" w:hAnsiTheme="minorEastAsia" w:eastAsiaTheme="minorEastAsia"/>
                <w:highlight w:val="yellow"/>
              </w:rPr>
            </w:pPr>
            <w:r>
              <w:rPr>
                <w:rFonts w:hint="eastAsia" w:asciiTheme="minorEastAsia" w:hAnsiTheme="minorEastAsia" w:eastAsiaTheme="minorEastAsia"/>
                <w:highlight w:val="yellow"/>
              </w:rPr>
              <w:t>（  ）元/月/点</w:t>
            </w:r>
          </w:p>
        </w:tc>
        <w:tc>
          <w:tcPr>
            <w:tcW w:w="816" w:type="pct"/>
            <w:vAlign w:val="center"/>
          </w:tcPr>
          <w:p>
            <w:pPr>
              <w:pStyle w:val="24"/>
              <w:shd w:val="clear"/>
              <w:ind w:firstLine="0" w:firstLineChars="0"/>
              <w:jc w:val="center"/>
              <w:rPr>
                <w:rFonts w:hint="eastAsia" w:asciiTheme="minorEastAsia" w:hAnsiTheme="minorEastAsia" w:eastAsiaTheme="minorEastAsia"/>
                <w:szCs w:val="24"/>
                <w:highlight w:val="yellow"/>
                <w:u w:val="single"/>
              </w:rPr>
            </w:pPr>
          </w:p>
        </w:tc>
        <w:tc>
          <w:tcPr>
            <w:tcW w:w="1399" w:type="pct"/>
            <w:vAlign w:val="center"/>
          </w:tcPr>
          <w:p>
            <w:pPr>
              <w:widowControl/>
              <w:shd w:val="clear"/>
              <w:ind w:firstLine="0" w:firstLineChars="0"/>
              <w:textAlignment w:val="center"/>
              <w:rPr>
                <w:rFonts w:asciiTheme="minorEastAsia" w:hAnsiTheme="minorEastAsia" w:eastAsiaTheme="minorEastAsia"/>
                <w:color w:val="000000"/>
                <w:sz w:val="24"/>
                <w:highlight w:val="yellow"/>
              </w:rPr>
            </w:pPr>
            <w:r>
              <w:rPr>
                <w:rFonts w:asciiTheme="minorEastAsia" w:hAnsiTheme="minorEastAsia" w:eastAsiaTheme="minorEastAsia"/>
                <w:color w:val="000000"/>
                <w:kern w:val="0"/>
                <w:sz w:val="24"/>
                <w:highlight w:val="yellow"/>
              </w:rPr>
              <w:t>2023.7.1</w:t>
            </w:r>
            <w:r>
              <w:rPr>
                <w:rStyle w:val="203"/>
                <w:rFonts w:asciiTheme="minorEastAsia" w:hAnsiTheme="minorEastAsia" w:eastAsiaTheme="minorEastAsia"/>
                <w:sz w:val="24"/>
                <w:szCs w:val="24"/>
                <w:highlight w:val="yellow"/>
              </w:rPr>
              <w:t>—</w:t>
            </w:r>
            <w:r>
              <w:rPr>
                <w:rFonts w:asciiTheme="minorEastAsia" w:hAnsiTheme="minorEastAsia" w:eastAsiaTheme="minorEastAsia"/>
                <w:color w:val="000000"/>
                <w:kern w:val="0"/>
                <w:sz w:val="24"/>
                <w:highlight w:val="yellow"/>
              </w:rPr>
              <w:t>2026.6.30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Align w:val="center"/>
          </w:tcPr>
          <w:p>
            <w:pPr>
              <w:pStyle w:val="803"/>
              <w:shd w:val="clear"/>
              <w:ind w:firstLine="0" w:firstLineChars="0"/>
              <w:jc w:val="center"/>
              <w:rPr>
                <w:rFonts w:asciiTheme="minorEastAsia" w:hAnsiTheme="minorEastAsia" w:eastAsiaTheme="minorEastAsia"/>
                <w:snapToGrid w:val="0"/>
                <w:color w:val="auto"/>
                <w:kern w:val="28"/>
                <w:sz w:val="24"/>
                <w:szCs w:val="24"/>
                <w:highlight w:val="yellow"/>
              </w:rPr>
            </w:pPr>
            <w:r>
              <w:rPr>
                <w:rFonts w:hint="eastAsia" w:asciiTheme="minorEastAsia" w:hAnsiTheme="minorEastAsia" w:eastAsiaTheme="minorEastAsia"/>
                <w:snapToGrid w:val="0"/>
                <w:color w:val="auto"/>
                <w:kern w:val="28"/>
                <w:sz w:val="24"/>
                <w:szCs w:val="24"/>
                <w:highlight w:val="yellow"/>
              </w:rPr>
              <w:t>2</w:t>
            </w:r>
          </w:p>
        </w:tc>
        <w:tc>
          <w:tcPr>
            <w:tcW w:w="570" w:type="pct"/>
            <w:vAlign w:val="center"/>
          </w:tcPr>
          <w:p>
            <w:pPr>
              <w:pStyle w:val="803"/>
              <w:shd w:val="clear"/>
              <w:ind w:firstLine="0" w:firstLineChars="0"/>
              <w:jc w:val="center"/>
              <w:rPr>
                <w:rFonts w:asciiTheme="minorEastAsia" w:hAnsiTheme="minorEastAsia" w:eastAsiaTheme="minorEastAsia"/>
                <w:snapToGrid w:val="0"/>
                <w:color w:val="auto"/>
                <w:kern w:val="28"/>
                <w:sz w:val="24"/>
                <w:szCs w:val="24"/>
                <w:highlight w:val="yellow"/>
              </w:rPr>
            </w:pPr>
            <w:r>
              <w:rPr>
                <w:rFonts w:hint="eastAsia" w:asciiTheme="minorEastAsia" w:hAnsiTheme="minorEastAsia" w:eastAsiaTheme="minorEastAsia"/>
                <w:snapToGrid w:val="0"/>
                <w:color w:val="auto"/>
                <w:kern w:val="28"/>
                <w:sz w:val="24"/>
                <w:szCs w:val="24"/>
                <w:highlight w:val="yellow"/>
              </w:rPr>
              <w:t>VPN网</w:t>
            </w:r>
          </w:p>
        </w:tc>
        <w:tc>
          <w:tcPr>
            <w:tcW w:w="662" w:type="pct"/>
            <w:vAlign w:val="center"/>
          </w:tcPr>
          <w:p>
            <w:pPr>
              <w:pStyle w:val="26"/>
              <w:shd w:val="clear"/>
              <w:jc w:val="center"/>
              <w:rPr>
                <w:rFonts w:asciiTheme="minorEastAsia" w:hAnsiTheme="minorEastAsia" w:eastAsiaTheme="minorEastAsia"/>
                <w:highlight w:val="yellow"/>
              </w:rPr>
            </w:pPr>
            <w:r>
              <w:rPr>
                <w:rFonts w:hint="eastAsia" w:asciiTheme="minorEastAsia" w:hAnsiTheme="minorEastAsia" w:eastAsiaTheme="minorEastAsia"/>
                <w:highlight w:val="yellow"/>
              </w:rPr>
              <w:t>90条</w:t>
            </w:r>
          </w:p>
        </w:tc>
        <w:tc>
          <w:tcPr>
            <w:tcW w:w="1103" w:type="pct"/>
            <w:vAlign w:val="center"/>
          </w:tcPr>
          <w:p>
            <w:pPr>
              <w:pStyle w:val="26"/>
              <w:shd w:val="clear"/>
              <w:jc w:val="center"/>
              <w:rPr>
                <w:rFonts w:asciiTheme="minorEastAsia" w:hAnsiTheme="minorEastAsia" w:eastAsiaTheme="minorEastAsia"/>
                <w:highlight w:val="yellow"/>
              </w:rPr>
            </w:pPr>
            <w:r>
              <w:rPr>
                <w:rFonts w:hint="eastAsia" w:asciiTheme="minorEastAsia" w:hAnsiTheme="minorEastAsia" w:eastAsiaTheme="minorEastAsia"/>
                <w:highlight w:val="yellow"/>
              </w:rPr>
              <w:t>（  ）元/月/点</w:t>
            </w:r>
          </w:p>
        </w:tc>
        <w:tc>
          <w:tcPr>
            <w:tcW w:w="816" w:type="pct"/>
            <w:vAlign w:val="center"/>
          </w:tcPr>
          <w:p>
            <w:pPr>
              <w:pStyle w:val="24"/>
              <w:shd w:val="clear"/>
              <w:ind w:firstLine="0" w:firstLineChars="0"/>
              <w:jc w:val="center"/>
              <w:rPr>
                <w:rFonts w:hint="eastAsia" w:asciiTheme="minorEastAsia" w:hAnsiTheme="minorEastAsia" w:eastAsiaTheme="minorEastAsia"/>
                <w:szCs w:val="24"/>
                <w:highlight w:val="yellow"/>
                <w:u w:val="single"/>
              </w:rPr>
            </w:pPr>
          </w:p>
        </w:tc>
        <w:tc>
          <w:tcPr>
            <w:tcW w:w="1399" w:type="pct"/>
            <w:vAlign w:val="center"/>
          </w:tcPr>
          <w:p>
            <w:pPr>
              <w:widowControl/>
              <w:shd w:val="clear"/>
              <w:ind w:firstLine="0" w:firstLineChars="0"/>
              <w:textAlignment w:val="center"/>
              <w:rPr>
                <w:rFonts w:asciiTheme="minorEastAsia" w:hAnsiTheme="minorEastAsia" w:eastAsiaTheme="minorEastAsia"/>
                <w:color w:val="000000"/>
                <w:kern w:val="0"/>
                <w:sz w:val="24"/>
                <w:highlight w:val="yellow"/>
              </w:rPr>
            </w:pPr>
            <w:r>
              <w:rPr>
                <w:rFonts w:asciiTheme="minorEastAsia" w:hAnsiTheme="minorEastAsia" w:eastAsiaTheme="minorEastAsia"/>
                <w:color w:val="000000"/>
                <w:kern w:val="0"/>
                <w:sz w:val="24"/>
                <w:highlight w:val="yellow"/>
              </w:rPr>
              <w:t>2024.1.1—2026.6.30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Align w:val="center"/>
          </w:tcPr>
          <w:p>
            <w:pPr>
              <w:pStyle w:val="803"/>
              <w:shd w:val="clear"/>
              <w:ind w:firstLine="0" w:firstLineChars="0"/>
              <w:jc w:val="center"/>
              <w:rPr>
                <w:rFonts w:asciiTheme="minorEastAsia" w:hAnsiTheme="minorEastAsia" w:eastAsiaTheme="minorEastAsia"/>
                <w:snapToGrid w:val="0"/>
                <w:color w:val="auto"/>
                <w:kern w:val="28"/>
                <w:sz w:val="24"/>
                <w:szCs w:val="24"/>
                <w:highlight w:val="yellow"/>
              </w:rPr>
            </w:pPr>
            <w:r>
              <w:rPr>
                <w:rFonts w:hint="eastAsia" w:asciiTheme="minorEastAsia" w:hAnsiTheme="minorEastAsia" w:eastAsiaTheme="minorEastAsia"/>
                <w:snapToGrid w:val="0"/>
                <w:color w:val="auto"/>
                <w:kern w:val="28"/>
                <w:sz w:val="24"/>
                <w:szCs w:val="24"/>
                <w:highlight w:val="yellow"/>
              </w:rPr>
              <w:t>3</w:t>
            </w:r>
          </w:p>
        </w:tc>
        <w:tc>
          <w:tcPr>
            <w:tcW w:w="570" w:type="pct"/>
            <w:vAlign w:val="center"/>
          </w:tcPr>
          <w:p>
            <w:pPr>
              <w:pStyle w:val="803"/>
              <w:shd w:val="clear"/>
              <w:ind w:firstLine="0" w:firstLineChars="0"/>
              <w:jc w:val="center"/>
              <w:rPr>
                <w:rFonts w:hint="eastAsia" w:asciiTheme="minorEastAsia" w:hAnsiTheme="minorEastAsia" w:eastAsiaTheme="minorEastAsia"/>
                <w:snapToGrid w:val="0"/>
                <w:color w:val="auto"/>
                <w:kern w:val="28"/>
                <w:sz w:val="24"/>
                <w:szCs w:val="24"/>
                <w:highlight w:val="yellow"/>
              </w:rPr>
            </w:pPr>
            <w:r>
              <w:rPr>
                <w:rFonts w:hint="eastAsia" w:asciiTheme="minorEastAsia" w:hAnsiTheme="minorEastAsia" w:eastAsiaTheme="minorEastAsia"/>
                <w:snapToGrid w:val="0"/>
                <w:color w:val="auto"/>
                <w:kern w:val="28"/>
                <w:sz w:val="24"/>
                <w:szCs w:val="24"/>
                <w:highlight w:val="yellow"/>
              </w:rPr>
              <w:t>视频</w:t>
            </w:r>
          </w:p>
          <w:p>
            <w:pPr>
              <w:pStyle w:val="803"/>
              <w:shd w:val="clear"/>
              <w:ind w:firstLine="0" w:firstLineChars="0"/>
              <w:jc w:val="center"/>
              <w:rPr>
                <w:rFonts w:asciiTheme="minorEastAsia" w:hAnsiTheme="minorEastAsia" w:eastAsiaTheme="minorEastAsia"/>
                <w:snapToGrid w:val="0"/>
                <w:color w:val="auto"/>
                <w:kern w:val="28"/>
                <w:sz w:val="24"/>
                <w:szCs w:val="24"/>
                <w:highlight w:val="yellow"/>
              </w:rPr>
            </w:pPr>
            <w:r>
              <w:rPr>
                <w:rFonts w:hint="eastAsia" w:asciiTheme="minorEastAsia" w:hAnsiTheme="minorEastAsia" w:eastAsiaTheme="minorEastAsia"/>
                <w:snapToGrid w:val="0"/>
                <w:color w:val="auto"/>
                <w:kern w:val="28"/>
                <w:sz w:val="24"/>
                <w:szCs w:val="24"/>
                <w:highlight w:val="yellow"/>
              </w:rPr>
              <w:t>监控</w:t>
            </w:r>
          </w:p>
        </w:tc>
        <w:tc>
          <w:tcPr>
            <w:tcW w:w="662" w:type="pct"/>
            <w:vAlign w:val="center"/>
          </w:tcPr>
          <w:p>
            <w:pPr>
              <w:pStyle w:val="26"/>
              <w:shd w:val="clear"/>
              <w:jc w:val="center"/>
              <w:rPr>
                <w:rFonts w:asciiTheme="minorEastAsia" w:hAnsiTheme="minorEastAsia" w:eastAsiaTheme="minorEastAsia"/>
                <w:highlight w:val="yellow"/>
              </w:rPr>
            </w:pPr>
            <w:r>
              <w:rPr>
                <w:rFonts w:hint="eastAsia" w:asciiTheme="minorEastAsia" w:hAnsiTheme="minorEastAsia" w:eastAsiaTheme="minorEastAsia"/>
                <w:highlight w:val="yellow"/>
              </w:rPr>
              <w:t>99路</w:t>
            </w:r>
          </w:p>
        </w:tc>
        <w:tc>
          <w:tcPr>
            <w:tcW w:w="1103" w:type="pct"/>
            <w:vAlign w:val="center"/>
          </w:tcPr>
          <w:p>
            <w:pPr>
              <w:pStyle w:val="26"/>
              <w:shd w:val="clear"/>
              <w:jc w:val="center"/>
              <w:rPr>
                <w:rFonts w:asciiTheme="minorEastAsia" w:hAnsiTheme="minorEastAsia" w:eastAsiaTheme="minorEastAsia"/>
                <w:highlight w:val="yellow"/>
              </w:rPr>
            </w:pPr>
            <w:r>
              <w:rPr>
                <w:rFonts w:hint="eastAsia" w:asciiTheme="minorEastAsia" w:hAnsiTheme="minorEastAsia" w:eastAsiaTheme="minorEastAsia"/>
                <w:highlight w:val="yellow"/>
              </w:rPr>
              <w:t>（  ）元/月/点</w:t>
            </w:r>
          </w:p>
        </w:tc>
        <w:tc>
          <w:tcPr>
            <w:tcW w:w="816" w:type="pct"/>
            <w:vAlign w:val="center"/>
          </w:tcPr>
          <w:p>
            <w:pPr>
              <w:pStyle w:val="803"/>
              <w:shd w:val="clear"/>
              <w:ind w:firstLine="0" w:firstLineChars="0"/>
              <w:jc w:val="center"/>
              <w:rPr>
                <w:rFonts w:asciiTheme="minorEastAsia" w:hAnsiTheme="minorEastAsia" w:eastAsiaTheme="minorEastAsia"/>
                <w:sz w:val="24"/>
                <w:szCs w:val="24"/>
                <w:highlight w:val="yellow"/>
                <w:u w:val="single"/>
              </w:rPr>
            </w:pPr>
          </w:p>
        </w:tc>
        <w:tc>
          <w:tcPr>
            <w:tcW w:w="1399" w:type="pct"/>
            <w:vAlign w:val="center"/>
          </w:tcPr>
          <w:p>
            <w:pPr>
              <w:widowControl/>
              <w:shd w:val="clear"/>
              <w:ind w:firstLine="0" w:firstLineChars="0"/>
              <w:textAlignment w:val="center"/>
              <w:rPr>
                <w:rFonts w:asciiTheme="minorEastAsia" w:hAnsiTheme="minorEastAsia" w:eastAsiaTheme="minorEastAsia"/>
                <w:color w:val="000000"/>
                <w:kern w:val="0"/>
                <w:sz w:val="24"/>
                <w:highlight w:val="yellow"/>
              </w:rPr>
            </w:pPr>
            <w:r>
              <w:rPr>
                <w:rFonts w:asciiTheme="minorEastAsia" w:hAnsiTheme="minorEastAsia" w:eastAsiaTheme="minorEastAsia"/>
                <w:color w:val="000000"/>
                <w:kern w:val="0"/>
                <w:sz w:val="24"/>
                <w:highlight w:val="yellow"/>
              </w:rPr>
              <w:t>2023.12.11—2026.6.30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Align w:val="center"/>
          </w:tcPr>
          <w:p>
            <w:pPr>
              <w:pStyle w:val="803"/>
              <w:shd w:val="clear"/>
              <w:ind w:firstLine="0" w:firstLineChars="0"/>
              <w:jc w:val="center"/>
              <w:rPr>
                <w:rFonts w:asciiTheme="minorEastAsia" w:hAnsiTheme="minorEastAsia" w:eastAsiaTheme="minorEastAsia"/>
                <w:snapToGrid w:val="0"/>
                <w:color w:val="auto"/>
                <w:kern w:val="28"/>
                <w:sz w:val="24"/>
                <w:szCs w:val="24"/>
                <w:highlight w:val="yellow"/>
              </w:rPr>
            </w:pPr>
            <w:r>
              <w:rPr>
                <w:rFonts w:hint="eastAsia" w:asciiTheme="minorEastAsia" w:hAnsiTheme="minorEastAsia" w:eastAsiaTheme="minorEastAsia"/>
                <w:snapToGrid w:val="0"/>
                <w:color w:val="auto"/>
                <w:kern w:val="28"/>
                <w:sz w:val="24"/>
                <w:szCs w:val="24"/>
                <w:highlight w:val="yellow"/>
              </w:rPr>
              <w:t>4</w:t>
            </w:r>
          </w:p>
        </w:tc>
        <w:tc>
          <w:tcPr>
            <w:tcW w:w="570" w:type="pct"/>
            <w:vAlign w:val="center"/>
          </w:tcPr>
          <w:p>
            <w:pPr>
              <w:pStyle w:val="803"/>
              <w:shd w:val="clear"/>
              <w:ind w:firstLine="0" w:firstLineChars="0"/>
              <w:jc w:val="center"/>
              <w:rPr>
                <w:rFonts w:hint="eastAsia" w:asciiTheme="minorEastAsia" w:hAnsiTheme="minorEastAsia" w:eastAsiaTheme="minorEastAsia"/>
                <w:snapToGrid w:val="0"/>
                <w:color w:val="auto"/>
                <w:kern w:val="28"/>
                <w:sz w:val="24"/>
                <w:szCs w:val="24"/>
                <w:highlight w:val="yellow"/>
              </w:rPr>
            </w:pPr>
            <w:r>
              <w:rPr>
                <w:rFonts w:hint="eastAsia" w:asciiTheme="minorEastAsia" w:hAnsiTheme="minorEastAsia" w:eastAsiaTheme="minorEastAsia"/>
                <w:snapToGrid w:val="0"/>
                <w:color w:val="auto"/>
                <w:kern w:val="28"/>
                <w:sz w:val="24"/>
                <w:szCs w:val="24"/>
                <w:highlight w:val="yellow"/>
              </w:rPr>
              <w:t>视频</w:t>
            </w:r>
          </w:p>
          <w:p>
            <w:pPr>
              <w:pStyle w:val="803"/>
              <w:shd w:val="clear"/>
              <w:ind w:firstLine="0" w:firstLineChars="0"/>
              <w:jc w:val="center"/>
              <w:rPr>
                <w:rFonts w:asciiTheme="minorEastAsia" w:hAnsiTheme="minorEastAsia" w:eastAsiaTheme="minorEastAsia"/>
                <w:snapToGrid w:val="0"/>
                <w:color w:val="auto"/>
                <w:kern w:val="28"/>
                <w:sz w:val="24"/>
                <w:szCs w:val="24"/>
                <w:highlight w:val="yellow"/>
              </w:rPr>
            </w:pPr>
            <w:r>
              <w:rPr>
                <w:rFonts w:hint="eastAsia" w:asciiTheme="minorEastAsia" w:hAnsiTheme="minorEastAsia" w:eastAsiaTheme="minorEastAsia"/>
                <w:snapToGrid w:val="0"/>
                <w:color w:val="auto"/>
                <w:kern w:val="28"/>
                <w:sz w:val="24"/>
                <w:szCs w:val="24"/>
                <w:highlight w:val="yellow"/>
              </w:rPr>
              <w:t>监控</w:t>
            </w:r>
          </w:p>
        </w:tc>
        <w:tc>
          <w:tcPr>
            <w:tcW w:w="662" w:type="pct"/>
            <w:vAlign w:val="center"/>
          </w:tcPr>
          <w:p>
            <w:pPr>
              <w:pStyle w:val="26"/>
              <w:shd w:val="clear"/>
              <w:jc w:val="center"/>
              <w:rPr>
                <w:rFonts w:asciiTheme="minorEastAsia" w:hAnsiTheme="minorEastAsia" w:eastAsiaTheme="minorEastAsia"/>
                <w:highlight w:val="yellow"/>
              </w:rPr>
            </w:pPr>
            <w:r>
              <w:rPr>
                <w:rFonts w:hint="eastAsia" w:asciiTheme="minorEastAsia" w:hAnsiTheme="minorEastAsia" w:eastAsiaTheme="minorEastAsia"/>
                <w:highlight w:val="yellow"/>
              </w:rPr>
              <w:t>12路</w:t>
            </w:r>
          </w:p>
        </w:tc>
        <w:tc>
          <w:tcPr>
            <w:tcW w:w="1103" w:type="pct"/>
            <w:vAlign w:val="center"/>
          </w:tcPr>
          <w:p>
            <w:pPr>
              <w:pStyle w:val="26"/>
              <w:shd w:val="clear"/>
              <w:jc w:val="center"/>
              <w:rPr>
                <w:rFonts w:asciiTheme="minorEastAsia" w:hAnsiTheme="minorEastAsia" w:eastAsiaTheme="minorEastAsia"/>
                <w:highlight w:val="yellow"/>
              </w:rPr>
            </w:pPr>
            <w:r>
              <w:rPr>
                <w:rFonts w:hint="eastAsia" w:asciiTheme="minorEastAsia" w:hAnsiTheme="minorEastAsia" w:eastAsiaTheme="minorEastAsia"/>
                <w:highlight w:val="yellow"/>
              </w:rPr>
              <w:t>（  ）元/月/点</w:t>
            </w:r>
          </w:p>
        </w:tc>
        <w:tc>
          <w:tcPr>
            <w:tcW w:w="816" w:type="pct"/>
            <w:vAlign w:val="center"/>
          </w:tcPr>
          <w:p>
            <w:pPr>
              <w:pStyle w:val="803"/>
              <w:shd w:val="clear"/>
              <w:ind w:firstLine="0" w:firstLineChars="0"/>
              <w:jc w:val="center"/>
              <w:rPr>
                <w:rFonts w:asciiTheme="minorEastAsia" w:hAnsiTheme="minorEastAsia" w:eastAsiaTheme="minorEastAsia"/>
                <w:sz w:val="24"/>
                <w:szCs w:val="24"/>
                <w:highlight w:val="yellow"/>
                <w:u w:val="single"/>
              </w:rPr>
            </w:pPr>
          </w:p>
        </w:tc>
        <w:tc>
          <w:tcPr>
            <w:tcW w:w="1399" w:type="pct"/>
            <w:vAlign w:val="center"/>
          </w:tcPr>
          <w:p>
            <w:pPr>
              <w:widowControl/>
              <w:shd w:val="clear"/>
              <w:ind w:firstLine="0" w:firstLineChars="0"/>
              <w:textAlignment w:val="center"/>
              <w:rPr>
                <w:rFonts w:asciiTheme="minorEastAsia" w:hAnsiTheme="minorEastAsia" w:eastAsiaTheme="minorEastAsia"/>
                <w:color w:val="000000"/>
                <w:kern w:val="0"/>
                <w:sz w:val="24"/>
                <w:highlight w:val="yellow"/>
              </w:rPr>
            </w:pPr>
            <w:r>
              <w:rPr>
                <w:rFonts w:asciiTheme="minorEastAsia" w:hAnsiTheme="minorEastAsia" w:eastAsiaTheme="minorEastAsia"/>
                <w:color w:val="000000"/>
                <w:kern w:val="0"/>
                <w:sz w:val="24"/>
                <w:highlight w:val="yellow"/>
              </w:rPr>
              <w:t>2024.1.1—2026.6.30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Align w:val="center"/>
          </w:tcPr>
          <w:p>
            <w:pPr>
              <w:pStyle w:val="803"/>
              <w:shd w:val="clear"/>
              <w:ind w:firstLine="0" w:firstLineChars="0"/>
              <w:jc w:val="center"/>
              <w:rPr>
                <w:rFonts w:asciiTheme="minorEastAsia" w:hAnsiTheme="minorEastAsia" w:eastAsiaTheme="minorEastAsia"/>
                <w:snapToGrid w:val="0"/>
                <w:color w:val="auto"/>
                <w:kern w:val="28"/>
                <w:sz w:val="24"/>
                <w:szCs w:val="24"/>
                <w:highlight w:val="yellow"/>
              </w:rPr>
            </w:pPr>
            <w:r>
              <w:rPr>
                <w:rFonts w:hint="eastAsia" w:asciiTheme="minorEastAsia" w:hAnsiTheme="minorEastAsia" w:eastAsiaTheme="minorEastAsia"/>
                <w:snapToGrid w:val="0"/>
                <w:color w:val="auto"/>
                <w:kern w:val="28"/>
                <w:sz w:val="24"/>
                <w:szCs w:val="24"/>
                <w:highlight w:val="yellow"/>
              </w:rPr>
              <w:t>5</w:t>
            </w:r>
          </w:p>
        </w:tc>
        <w:tc>
          <w:tcPr>
            <w:tcW w:w="570" w:type="pct"/>
            <w:vAlign w:val="center"/>
          </w:tcPr>
          <w:p>
            <w:pPr>
              <w:pStyle w:val="803"/>
              <w:shd w:val="clear"/>
              <w:ind w:firstLine="0" w:firstLineChars="0"/>
              <w:jc w:val="center"/>
              <w:rPr>
                <w:rFonts w:asciiTheme="minorEastAsia" w:hAnsiTheme="minorEastAsia" w:eastAsiaTheme="minorEastAsia"/>
                <w:snapToGrid w:val="0"/>
                <w:color w:val="auto"/>
                <w:kern w:val="28"/>
                <w:sz w:val="24"/>
                <w:szCs w:val="24"/>
                <w:highlight w:val="yellow"/>
              </w:rPr>
            </w:pPr>
            <w:r>
              <w:rPr>
                <w:rFonts w:hint="eastAsia" w:asciiTheme="minorEastAsia" w:hAnsiTheme="minorEastAsia" w:eastAsiaTheme="minorEastAsia"/>
                <w:snapToGrid w:val="0"/>
                <w:color w:val="auto"/>
                <w:kern w:val="28"/>
                <w:sz w:val="24"/>
                <w:szCs w:val="24"/>
                <w:highlight w:val="yellow"/>
              </w:rPr>
              <w:t>裸光纤</w:t>
            </w:r>
          </w:p>
        </w:tc>
        <w:tc>
          <w:tcPr>
            <w:tcW w:w="662" w:type="pct"/>
            <w:vAlign w:val="center"/>
          </w:tcPr>
          <w:p>
            <w:pPr>
              <w:pStyle w:val="26"/>
              <w:shd w:val="clear"/>
              <w:jc w:val="center"/>
              <w:rPr>
                <w:rFonts w:asciiTheme="minorEastAsia" w:hAnsiTheme="minorEastAsia" w:eastAsiaTheme="minorEastAsia"/>
                <w:highlight w:val="yellow"/>
              </w:rPr>
            </w:pPr>
            <w:r>
              <w:rPr>
                <w:rFonts w:hint="eastAsia" w:asciiTheme="minorEastAsia" w:hAnsiTheme="minorEastAsia" w:eastAsiaTheme="minorEastAsia"/>
                <w:highlight w:val="yellow"/>
              </w:rPr>
              <w:t>7条</w:t>
            </w:r>
          </w:p>
        </w:tc>
        <w:tc>
          <w:tcPr>
            <w:tcW w:w="1103" w:type="pct"/>
            <w:vAlign w:val="center"/>
          </w:tcPr>
          <w:p>
            <w:pPr>
              <w:pStyle w:val="26"/>
              <w:shd w:val="clear"/>
              <w:jc w:val="center"/>
              <w:rPr>
                <w:rFonts w:asciiTheme="minorEastAsia" w:hAnsiTheme="minorEastAsia" w:eastAsiaTheme="minorEastAsia"/>
                <w:highlight w:val="yellow"/>
              </w:rPr>
            </w:pPr>
            <w:r>
              <w:rPr>
                <w:rFonts w:hint="eastAsia" w:asciiTheme="minorEastAsia" w:hAnsiTheme="minorEastAsia" w:eastAsiaTheme="minorEastAsia"/>
                <w:highlight w:val="yellow"/>
              </w:rPr>
              <w:t>（  ）元/月/点</w:t>
            </w:r>
          </w:p>
        </w:tc>
        <w:tc>
          <w:tcPr>
            <w:tcW w:w="816" w:type="pct"/>
            <w:vAlign w:val="center"/>
          </w:tcPr>
          <w:p>
            <w:pPr>
              <w:pStyle w:val="803"/>
              <w:shd w:val="clear"/>
              <w:ind w:firstLine="0" w:firstLineChars="0"/>
              <w:jc w:val="center"/>
              <w:rPr>
                <w:rFonts w:asciiTheme="minorEastAsia" w:hAnsiTheme="minorEastAsia" w:eastAsiaTheme="minorEastAsia"/>
                <w:sz w:val="24"/>
                <w:szCs w:val="24"/>
                <w:highlight w:val="yellow"/>
                <w:u w:val="single"/>
              </w:rPr>
            </w:pPr>
          </w:p>
        </w:tc>
        <w:tc>
          <w:tcPr>
            <w:tcW w:w="1399" w:type="pct"/>
            <w:vAlign w:val="center"/>
          </w:tcPr>
          <w:p>
            <w:pPr>
              <w:widowControl/>
              <w:shd w:val="clear"/>
              <w:ind w:firstLine="0" w:firstLineChars="0"/>
              <w:textAlignment w:val="center"/>
              <w:rPr>
                <w:rFonts w:asciiTheme="minorEastAsia" w:hAnsiTheme="minorEastAsia" w:eastAsiaTheme="minorEastAsia"/>
                <w:color w:val="000000"/>
                <w:kern w:val="0"/>
                <w:sz w:val="24"/>
                <w:highlight w:val="yellow"/>
              </w:rPr>
            </w:pPr>
            <w:r>
              <w:rPr>
                <w:rFonts w:asciiTheme="minorEastAsia" w:hAnsiTheme="minorEastAsia" w:eastAsiaTheme="minorEastAsia"/>
                <w:color w:val="000000"/>
                <w:kern w:val="0"/>
                <w:sz w:val="24"/>
                <w:highlight w:val="yellow"/>
              </w:rPr>
              <w:t>2024.1.1—2026.6.30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7" w:type="pct"/>
            <w:vAlign w:val="center"/>
          </w:tcPr>
          <w:p>
            <w:pPr>
              <w:pStyle w:val="803"/>
              <w:shd w:val="clear"/>
              <w:ind w:firstLine="0" w:firstLineChars="0"/>
              <w:jc w:val="center"/>
              <w:rPr>
                <w:rFonts w:asciiTheme="minorEastAsia" w:hAnsiTheme="minorEastAsia" w:eastAsiaTheme="minorEastAsia"/>
                <w:snapToGrid w:val="0"/>
                <w:color w:val="auto"/>
                <w:kern w:val="28"/>
                <w:sz w:val="24"/>
                <w:szCs w:val="24"/>
                <w:highlight w:val="yellow"/>
              </w:rPr>
            </w:pPr>
            <w:r>
              <w:rPr>
                <w:rFonts w:hint="eastAsia" w:asciiTheme="minorEastAsia" w:hAnsiTheme="minorEastAsia" w:eastAsiaTheme="minorEastAsia"/>
                <w:snapToGrid w:val="0"/>
                <w:color w:val="auto"/>
                <w:kern w:val="28"/>
                <w:sz w:val="24"/>
                <w:szCs w:val="24"/>
                <w:highlight w:val="yellow"/>
              </w:rPr>
              <w:t>6</w:t>
            </w:r>
          </w:p>
        </w:tc>
        <w:tc>
          <w:tcPr>
            <w:tcW w:w="570" w:type="pct"/>
            <w:vAlign w:val="center"/>
          </w:tcPr>
          <w:p>
            <w:pPr>
              <w:pStyle w:val="803"/>
              <w:shd w:val="clear"/>
              <w:ind w:firstLine="0" w:firstLineChars="0"/>
              <w:jc w:val="center"/>
              <w:rPr>
                <w:rFonts w:asciiTheme="minorEastAsia" w:hAnsiTheme="minorEastAsia" w:eastAsiaTheme="minorEastAsia"/>
                <w:snapToGrid w:val="0"/>
                <w:color w:val="auto"/>
                <w:kern w:val="28"/>
                <w:sz w:val="24"/>
                <w:szCs w:val="24"/>
                <w:highlight w:val="yellow"/>
              </w:rPr>
            </w:pPr>
            <w:r>
              <w:rPr>
                <w:rFonts w:hint="eastAsia" w:asciiTheme="minorEastAsia" w:hAnsiTheme="minorEastAsia" w:eastAsiaTheme="minorEastAsia"/>
                <w:snapToGrid w:val="0"/>
                <w:color w:val="auto"/>
                <w:kern w:val="28"/>
                <w:sz w:val="24"/>
                <w:szCs w:val="24"/>
                <w:highlight w:val="yellow"/>
              </w:rPr>
              <w:t>党政网</w:t>
            </w:r>
          </w:p>
        </w:tc>
        <w:tc>
          <w:tcPr>
            <w:tcW w:w="662" w:type="pct"/>
            <w:vAlign w:val="center"/>
          </w:tcPr>
          <w:p>
            <w:pPr>
              <w:pStyle w:val="26"/>
              <w:shd w:val="clear"/>
              <w:jc w:val="center"/>
              <w:rPr>
                <w:rFonts w:asciiTheme="minorEastAsia" w:hAnsiTheme="minorEastAsia" w:eastAsiaTheme="minorEastAsia"/>
                <w:highlight w:val="yellow"/>
              </w:rPr>
            </w:pPr>
            <w:r>
              <w:rPr>
                <w:rFonts w:hint="eastAsia" w:asciiTheme="minorEastAsia" w:hAnsiTheme="minorEastAsia" w:eastAsiaTheme="minorEastAsia"/>
                <w:highlight w:val="yellow"/>
              </w:rPr>
              <w:t>1条</w:t>
            </w:r>
          </w:p>
        </w:tc>
        <w:tc>
          <w:tcPr>
            <w:tcW w:w="1103" w:type="pct"/>
            <w:vAlign w:val="center"/>
          </w:tcPr>
          <w:p>
            <w:pPr>
              <w:pStyle w:val="26"/>
              <w:shd w:val="clear"/>
              <w:jc w:val="center"/>
              <w:rPr>
                <w:rFonts w:asciiTheme="minorEastAsia" w:hAnsiTheme="minorEastAsia" w:eastAsiaTheme="minorEastAsia"/>
                <w:highlight w:val="yellow"/>
              </w:rPr>
            </w:pPr>
            <w:r>
              <w:rPr>
                <w:rFonts w:hint="eastAsia" w:asciiTheme="minorEastAsia" w:hAnsiTheme="minorEastAsia" w:eastAsiaTheme="minorEastAsia"/>
                <w:highlight w:val="yellow"/>
              </w:rPr>
              <w:t>（  ）元/月/点</w:t>
            </w:r>
          </w:p>
        </w:tc>
        <w:tc>
          <w:tcPr>
            <w:tcW w:w="816" w:type="pct"/>
            <w:vAlign w:val="center"/>
          </w:tcPr>
          <w:p>
            <w:pPr>
              <w:pStyle w:val="803"/>
              <w:shd w:val="clear"/>
              <w:ind w:firstLine="0" w:firstLineChars="0"/>
              <w:jc w:val="center"/>
              <w:rPr>
                <w:rFonts w:asciiTheme="minorEastAsia" w:hAnsiTheme="minorEastAsia" w:eastAsiaTheme="minorEastAsia"/>
                <w:sz w:val="24"/>
                <w:szCs w:val="24"/>
                <w:highlight w:val="yellow"/>
                <w:u w:val="single"/>
              </w:rPr>
            </w:pPr>
          </w:p>
        </w:tc>
        <w:tc>
          <w:tcPr>
            <w:tcW w:w="1399" w:type="pct"/>
            <w:vAlign w:val="center"/>
          </w:tcPr>
          <w:p>
            <w:pPr>
              <w:widowControl/>
              <w:shd w:val="clear"/>
              <w:ind w:firstLine="0" w:firstLineChars="0"/>
              <w:textAlignment w:val="center"/>
              <w:rPr>
                <w:rFonts w:asciiTheme="minorEastAsia" w:hAnsiTheme="minorEastAsia" w:eastAsiaTheme="minorEastAsia"/>
                <w:color w:val="000000"/>
                <w:kern w:val="0"/>
                <w:sz w:val="24"/>
                <w:highlight w:val="yellow"/>
              </w:rPr>
            </w:pPr>
            <w:r>
              <w:rPr>
                <w:rFonts w:asciiTheme="minorEastAsia" w:hAnsiTheme="minorEastAsia" w:eastAsiaTheme="minorEastAsia"/>
                <w:color w:val="000000"/>
                <w:kern w:val="0"/>
                <w:sz w:val="24"/>
                <w:highlight w:val="yellow"/>
              </w:rPr>
              <w:t>2024.1.1—2026.6.30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Align w:val="center"/>
          </w:tcPr>
          <w:p>
            <w:pPr>
              <w:pStyle w:val="803"/>
              <w:shd w:val="clear"/>
              <w:ind w:firstLine="0" w:firstLineChars="0"/>
              <w:jc w:val="center"/>
              <w:rPr>
                <w:rFonts w:asciiTheme="minorEastAsia" w:hAnsiTheme="minorEastAsia" w:eastAsiaTheme="minorEastAsia"/>
                <w:snapToGrid w:val="0"/>
                <w:color w:val="auto"/>
                <w:kern w:val="28"/>
                <w:sz w:val="24"/>
                <w:szCs w:val="24"/>
                <w:highlight w:val="yellow"/>
              </w:rPr>
            </w:pPr>
            <w:r>
              <w:rPr>
                <w:rFonts w:hint="eastAsia" w:asciiTheme="minorEastAsia" w:hAnsiTheme="minorEastAsia" w:eastAsiaTheme="minorEastAsia"/>
                <w:snapToGrid w:val="0"/>
                <w:color w:val="auto"/>
                <w:kern w:val="28"/>
                <w:sz w:val="24"/>
                <w:szCs w:val="24"/>
                <w:highlight w:val="yellow"/>
              </w:rPr>
              <w:t>7</w:t>
            </w:r>
          </w:p>
        </w:tc>
        <w:tc>
          <w:tcPr>
            <w:tcW w:w="570" w:type="pct"/>
            <w:vAlign w:val="center"/>
          </w:tcPr>
          <w:p>
            <w:pPr>
              <w:pStyle w:val="803"/>
              <w:shd w:val="clear"/>
              <w:ind w:firstLine="0" w:firstLineChars="0"/>
              <w:jc w:val="center"/>
              <w:rPr>
                <w:rFonts w:asciiTheme="minorEastAsia" w:hAnsiTheme="minorEastAsia" w:eastAsiaTheme="minorEastAsia"/>
                <w:snapToGrid w:val="0"/>
                <w:color w:val="auto"/>
                <w:kern w:val="28"/>
                <w:sz w:val="24"/>
                <w:szCs w:val="24"/>
                <w:highlight w:val="yellow"/>
              </w:rPr>
            </w:pPr>
            <w:r>
              <w:rPr>
                <w:rFonts w:hint="eastAsia" w:asciiTheme="minorEastAsia" w:hAnsiTheme="minorEastAsia" w:eastAsiaTheme="minorEastAsia"/>
                <w:snapToGrid w:val="0"/>
                <w:color w:val="auto"/>
                <w:kern w:val="28"/>
                <w:sz w:val="24"/>
                <w:szCs w:val="24"/>
                <w:highlight w:val="yellow"/>
              </w:rPr>
              <w:t>因特网</w:t>
            </w:r>
          </w:p>
        </w:tc>
        <w:tc>
          <w:tcPr>
            <w:tcW w:w="662" w:type="pct"/>
            <w:vAlign w:val="center"/>
          </w:tcPr>
          <w:p>
            <w:pPr>
              <w:pStyle w:val="26"/>
              <w:shd w:val="clear"/>
              <w:jc w:val="center"/>
              <w:rPr>
                <w:rFonts w:asciiTheme="minorEastAsia" w:hAnsiTheme="minorEastAsia" w:eastAsiaTheme="minorEastAsia"/>
                <w:highlight w:val="yellow"/>
              </w:rPr>
            </w:pPr>
            <w:r>
              <w:rPr>
                <w:rFonts w:hint="eastAsia" w:asciiTheme="minorEastAsia" w:hAnsiTheme="minorEastAsia" w:eastAsiaTheme="minorEastAsia"/>
                <w:highlight w:val="yellow"/>
              </w:rPr>
              <w:t>3条</w:t>
            </w:r>
          </w:p>
        </w:tc>
        <w:tc>
          <w:tcPr>
            <w:tcW w:w="1103" w:type="pct"/>
            <w:vAlign w:val="center"/>
          </w:tcPr>
          <w:p>
            <w:pPr>
              <w:pStyle w:val="26"/>
              <w:shd w:val="clear"/>
              <w:jc w:val="center"/>
              <w:rPr>
                <w:rFonts w:asciiTheme="minorEastAsia" w:hAnsiTheme="minorEastAsia" w:eastAsiaTheme="minorEastAsia"/>
                <w:highlight w:val="yellow"/>
              </w:rPr>
            </w:pPr>
            <w:r>
              <w:rPr>
                <w:rFonts w:hint="eastAsia" w:asciiTheme="minorEastAsia" w:hAnsiTheme="minorEastAsia" w:eastAsiaTheme="minorEastAsia"/>
                <w:highlight w:val="yellow"/>
              </w:rPr>
              <w:t>（  ）元/月/点</w:t>
            </w:r>
          </w:p>
        </w:tc>
        <w:tc>
          <w:tcPr>
            <w:tcW w:w="816" w:type="pct"/>
            <w:vAlign w:val="center"/>
          </w:tcPr>
          <w:p>
            <w:pPr>
              <w:pStyle w:val="803"/>
              <w:shd w:val="clear"/>
              <w:ind w:firstLine="0" w:firstLineChars="0"/>
              <w:jc w:val="center"/>
              <w:rPr>
                <w:rFonts w:asciiTheme="minorEastAsia" w:hAnsiTheme="minorEastAsia" w:eastAsiaTheme="minorEastAsia"/>
                <w:sz w:val="24"/>
                <w:szCs w:val="24"/>
                <w:highlight w:val="yellow"/>
                <w:u w:val="single"/>
              </w:rPr>
            </w:pPr>
          </w:p>
        </w:tc>
        <w:tc>
          <w:tcPr>
            <w:tcW w:w="1399" w:type="pct"/>
            <w:vAlign w:val="center"/>
          </w:tcPr>
          <w:p>
            <w:pPr>
              <w:widowControl/>
              <w:shd w:val="clear"/>
              <w:ind w:firstLine="0" w:firstLineChars="0"/>
              <w:textAlignment w:val="center"/>
              <w:rPr>
                <w:rFonts w:asciiTheme="minorEastAsia" w:hAnsiTheme="minorEastAsia" w:eastAsiaTheme="minorEastAsia"/>
                <w:color w:val="000000"/>
                <w:kern w:val="0"/>
                <w:sz w:val="24"/>
                <w:highlight w:val="yellow"/>
              </w:rPr>
            </w:pPr>
            <w:r>
              <w:rPr>
                <w:rFonts w:asciiTheme="minorEastAsia" w:hAnsiTheme="minorEastAsia" w:eastAsiaTheme="minorEastAsia"/>
                <w:color w:val="000000"/>
                <w:kern w:val="0"/>
                <w:sz w:val="24"/>
                <w:highlight w:val="yellow"/>
              </w:rPr>
              <w:t>2024.1.1—2026.6.30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Align w:val="center"/>
          </w:tcPr>
          <w:p>
            <w:pPr>
              <w:pStyle w:val="803"/>
              <w:shd w:val="clear"/>
              <w:ind w:firstLine="0" w:firstLineChars="0"/>
              <w:jc w:val="center"/>
              <w:rPr>
                <w:rFonts w:asciiTheme="minorEastAsia" w:hAnsiTheme="minorEastAsia" w:eastAsiaTheme="minorEastAsia"/>
                <w:snapToGrid w:val="0"/>
                <w:color w:val="auto"/>
                <w:kern w:val="28"/>
                <w:sz w:val="24"/>
                <w:szCs w:val="24"/>
                <w:highlight w:val="yellow"/>
              </w:rPr>
            </w:pPr>
            <w:r>
              <w:rPr>
                <w:rFonts w:hint="eastAsia" w:asciiTheme="minorEastAsia" w:hAnsiTheme="minorEastAsia" w:eastAsiaTheme="minorEastAsia"/>
                <w:snapToGrid w:val="0"/>
                <w:color w:val="auto"/>
                <w:kern w:val="28"/>
                <w:sz w:val="24"/>
                <w:szCs w:val="24"/>
                <w:highlight w:val="yellow"/>
              </w:rPr>
              <w:t>8</w:t>
            </w:r>
          </w:p>
        </w:tc>
        <w:tc>
          <w:tcPr>
            <w:tcW w:w="570" w:type="pct"/>
            <w:vAlign w:val="center"/>
          </w:tcPr>
          <w:p>
            <w:pPr>
              <w:pStyle w:val="803"/>
              <w:shd w:val="clear"/>
              <w:ind w:firstLine="0" w:firstLineChars="0"/>
              <w:jc w:val="center"/>
              <w:rPr>
                <w:rFonts w:asciiTheme="minorEastAsia" w:hAnsiTheme="minorEastAsia" w:eastAsiaTheme="minorEastAsia"/>
                <w:snapToGrid w:val="0"/>
                <w:color w:val="auto"/>
                <w:kern w:val="28"/>
                <w:sz w:val="24"/>
                <w:szCs w:val="24"/>
                <w:highlight w:val="yellow"/>
              </w:rPr>
            </w:pPr>
            <w:r>
              <w:rPr>
                <w:rFonts w:hint="eastAsia" w:asciiTheme="minorEastAsia" w:hAnsiTheme="minorEastAsia" w:eastAsiaTheme="minorEastAsia"/>
                <w:snapToGrid w:val="0"/>
                <w:color w:val="auto"/>
                <w:kern w:val="28"/>
                <w:sz w:val="24"/>
                <w:szCs w:val="24"/>
                <w:highlight w:val="yellow"/>
              </w:rPr>
              <w:t>公安网</w:t>
            </w:r>
          </w:p>
        </w:tc>
        <w:tc>
          <w:tcPr>
            <w:tcW w:w="662" w:type="pct"/>
            <w:vAlign w:val="center"/>
          </w:tcPr>
          <w:p>
            <w:pPr>
              <w:pStyle w:val="26"/>
              <w:shd w:val="clear"/>
              <w:jc w:val="center"/>
              <w:rPr>
                <w:rFonts w:asciiTheme="minorEastAsia" w:hAnsiTheme="minorEastAsia" w:eastAsiaTheme="minorEastAsia"/>
                <w:highlight w:val="yellow"/>
              </w:rPr>
            </w:pPr>
            <w:r>
              <w:rPr>
                <w:rFonts w:hint="eastAsia" w:asciiTheme="minorEastAsia" w:hAnsiTheme="minorEastAsia" w:eastAsiaTheme="minorEastAsia"/>
                <w:highlight w:val="yellow"/>
              </w:rPr>
              <w:t>1条</w:t>
            </w:r>
          </w:p>
        </w:tc>
        <w:tc>
          <w:tcPr>
            <w:tcW w:w="1103" w:type="pct"/>
            <w:vAlign w:val="center"/>
          </w:tcPr>
          <w:p>
            <w:pPr>
              <w:pStyle w:val="26"/>
              <w:shd w:val="clear"/>
              <w:jc w:val="center"/>
              <w:rPr>
                <w:rFonts w:asciiTheme="minorEastAsia" w:hAnsiTheme="minorEastAsia" w:eastAsiaTheme="minorEastAsia"/>
                <w:highlight w:val="yellow"/>
              </w:rPr>
            </w:pPr>
            <w:r>
              <w:rPr>
                <w:rFonts w:hint="eastAsia" w:asciiTheme="minorEastAsia" w:hAnsiTheme="minorEastAsia" w:eastAsiaTheme="minorEastAsia"/>
                <w:highlight w:val="yellow"/>
              </w:rPr>
              <w:t>（  ）元/月/点</w:t>
            </w:r>
          </w:p>
        </w:tc>
        <w:tc>
          <w:tcPr>
            <w:tcW w:w="816" w:type="pct"/>
            <w:vAlign w:val="center"/>
          </w:tcPr>
          <w:p>
            <w:pPr>
              <w:pStyle w:val="803"/>
              <w:shd w:val="clear"/>
              <w:ind w:firstLine="0" w:firstLineChars="0"/>
              <w:jc w:val="center"/>
              <w:rPr>
                <w:rFonts w:asciiTheme="minorEastAsia" w:hAnsiTheme="minorEastAsia" w:eastAsiaTheme="minorEastAsia"/>
                <w:sz w:val="24"/>
                <w:szCs w:val="24"/>
                <w:highlight w:val="yellow"/>
                <w:u w:val="single"/>
              </w:rPr>
            </w:pPr>
          </w:p>
        </w:tc>
        <w:tc>
          <w:tcPr>
            <w:tcW w:w="1399" w:type="pct"/>
            <w:vAlign w:val="center"/>
          </w:tcPr>
          <w:p>
            <w:pPr>
              <w:widowControl/>
              <w:shd w:val="clear"/>
              <w:ind w:firstLine="0" w:firstLineChars="0"/>
              <w:textAlignment w:val="center"/>
              <w:rPr>
                <w:rFonts w:asciiTheme="minorEastAsia" w:hAnsiTheme="minorEastAsia" w:eastAsiaTheme="minorEastAsia"/>
                <w:color w:val="000000"/>
                <w:kern w:val="0"/>
                <w:sz w:val="24"/>
                <w:highlight w:val="yellow"/>
              </w:rPr>
            </w:pPr>
            <w:r>
              <w:rPr>
                <w:rFonts w:asciiTheme="minorEastAsia" w:hAnsiTheme="minorEastAsia" w:eastAsiaTheme="minorEastAsia"/>
                <w:color w:val="000000"/>
                <w:kern w:val="0"/>
                <w:sz w:val="24"/>
                <w:highlight w:val="yellow"/>
              </w:rPr>
              <w:t>2024.1.1—2026.6.30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pct"/>
            <w:gridSpan w:val="3"/>
            <w:vAlign w:val="center"/>
          </w:tcPr>
          <w:p>
            <w:pPr>
              <w:pStyle w:val="23"/>
              <w:shd w:val="clear"/>
              <w:ind w:firstLine="0" w:firstLineChars="0"/>
              <w:rPr>
                <w:rFonts w:asciiTheme="minorEastAsia" w:hAnsiTheme="minorEastAsia" w:eastAsiaTheme="minorEastAsia"/>
                <w:szCs w:val="24"/>
                <w:highlight w:val="yellow"/>
                <w:u w:val="single"/>
              </w:rPr>
            </w:pPr>
            <w:r>
              <w:rPr>
                <w:rFonts w:hint="eastAsia" w:asciiTheme="minorEastAsia" w:hAnsiTheme="minorEastAsia" w:eastAsiaTheme="minorEastAsia"/>
                <w:szCs w:val="24"/>
                <w:highlight w:val="yellow"/>
              </w:rPr>
              <w:t>报价</w:t>
            </w:r>
            <w:r>
              <w:rPr>
                <w:rFonts w:hint="eastAsia" w:asciiTheme="minorEastAsia" w:hAnsiTheme="minorEastAsia" w:eastAsiaTheme="minorEastAsia"/>
                <w:szCs w:val="24"/>
                <w:highlight w:val="yellow"/>
                <w:lang w:val="en-US"/>
              </w:rPr>
              <w:t>合计</w:t>
            </w:r>
            <w:r>
              <w:rPr>
                <w:rFonts w:hint="eastAsia" w:asciiTheme="minorEastAsia" w:hAnsiTheme="minorEastAsia" w:eastAsiaTheme="minorEastAsia"/>
                <w:szCs w:val="24"/>
                <w:highlight w:val="yellow"/>
              </w:rPr>
              <w:t>（小写）</w:t>
            </w:r>
          </w:p>
        </w:tc>
        <w:tc>
          <w:tcPr>
            <w:tcW w:w="3318" w:type="pct"/>
            <w:gridSpan w:val="3"/>
            <w:vAlign w:val="center"/>
          </w:tcPr>
          <w:p>
            <w:pPr>
              <w:pStyle w:val="23"/>
              <w:shd w:val="clear"/>
              <w:ind w:firstLine="480"/>
              <w:rPr>
                <w:rFonts w:cs="Times New Roman" w:asciiTheme="minorEastAsia" w:hAnsiTheme="minorEastAsia" w:eastAsiaTheme="minorEastAsia"/>
                <w:color w:val="000000"/>
                <w:kern w:val="0"/>
                <w:szCs w:val="24"/>
                <w:highlight w:val="yellow"/>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pct"/>
            <w:gridSpan w:val="3"/>
            <w:vAlign w:val="center"/>
          </w:tcPr>
          <w:p>
            <w:pPr>
              <w:pStyle w:val="23"/>
              <w:shd w:val="clear"/>
              <w:ind w:firstLine="0" w:firstLineChars="0"/>
              <w:rPr>
                <w:rFonts w:asciiTheme="minorEastAsia" w:hAnsiTheme="minorEastAsia" w:eastAsiaTheme="minorEastAsia"/>
                <w:szCs w:val="24"/>
                <w:highlight w:val="yellow"/>
              </w:rPr>
            </w:pPr>
            <w:r>
              <w:rPr>
                <w:rFonts w:hint="eastAsia" w:asciiTheme="minorEastAsia" w:hAnsiTheme="minorEastAsia" w:eastAsiaTheme="minorEastAsia"/>
                <w:szCs w:val="24"/>
                <w:highlight w:val="yellow"/>
                <w:lang w:val="en-US"/>
              </w:rPr>
              <w:t>报价合计</w:t>
            </w:r>
            <w:r>
              <w:rPr>
                <w:rFonts w:hint="eastAsia" w:asciiTheme="minorEastAsia" w:hAnsiTheme="minorEastAsia" w:eastAsiaTheme="minorEastAsia"/>
                <w:szCs w:val="24"/>
                <w:highlight w:val="yellow"/>
              </w:rPr>
              <w:t>（大写）</w:t>
            </w:r>
          </w:p>
        </w:tc>
        <w:tc>
          <w:tcPr>
            <w:tcW w:w="3318" w:type="pct"/>
            <w:gridSpan w:val="3"/>
            <w:vAlign w:val="center"/>
          </w:tcPr>
          <w:p>
            <w:pPr>
              <w:pStyle w:val="23"/>
              <w:shd w:val="clear"/>
              <w:ind w:firstLine="480"/>
              <w:rPr>
                <w:rFonts w:cs="Times New Roman" w:asciiTheme="minorEastAsia" w:hAnsiTheme="minorEastAsia" w:eastAsiaTheme="minorEastAsia"/>
                <w:color w:val="000000"/>
                <w:kern w:val="0"/>
                <w:szCs w:val="24"/>
                <w:highlight w:val="yellow"/>
                <w:lang w:val="en-US"/>
              </w:rPr>
            </w:pPr>
          </w:p>
        </w:tc>
      </w:tr>
    </w:tbl>
    <w:p>
      <w:pPr>
        <w:snapToGrid w:val="0"/>
        <w:spacing w:line="360" w:lineRule="auto"/>
        <w:ind w:left="480"/>
        <w:rPr>
          <w:rFonts w:hint="eastAsia" w:ascii="宋体" w:hAnsi="宋体" w:cs="宋体"/>
          <w:b/>
          <w:kern w:val="0"/>
          <w:sz w:val="24"/>
          <w:lang w:val="zh-CN"/>
        </w:rPr>
      </w:pPr>
    </w:p>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b/>
          <w:sz w:val="24"/>
        </w:rPr>
      </w:pPr>
      <w:r>
        <w:rPr>
          <w:rFonts w:hint="eastAsia" w:ascii="宋体" w:hAnsi="宋体" w:cs="宋体"/>
          <w:kern w:val="0"/>
          <w:sz w:val="24"/>
          <w:highlight w:val="cyan"/>
          <w:lang w:val="zh-CN"/>
        </w:rPr>
        <w:t>2、有关本项目实施所涉及的一切费用均计入报价。总价不为零，报价明细表中部分产品、服务单价为零的，视作已包含在总价中。</w:t>
      </w:r>
      <w:r>
        <w:rPr>
          <w:rFonts w:hint="eastAsia" w:ascii="宋体" w:hAnsi="宋体" w:cs="宋体"/>
          <w:b/>
          <w:kern w:val="0"/>
          <w:sz w:val="24"/>
          <w:highlight w:val="cyan"/>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highlight w:val="cyan"/>
        </w:rPr>
        <w:t>视为</w:t>
      </w:r>
      <w:r>
        <w:rPr>
          <w:rFonts w:hint="eastAsia" w:ascii="宋体" w:hAnsi="宋体" w:cs="宋体"/>
          <w:b/>
          <w:sz w:val="24"/>
          <w:highlight w:val="cyan"/>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sz w:val="24"/>
          <w:highlight w:val="cyan"/>
        </w:rPr>
      </w:pPr>
      <w:r>
        <w:rPr>
          <w:rFonts w:hint="eastAsia" w:ascii="宋体" w:hAnsi="宋体" w:cs="宋体"/>
          <w:b/>
          <w:sz w:val="24"/>
          <w:highlight w:val="cyan"/>
        </w:rPr>
        <w:t>5、特别说明：</w:t>
      </w:r>
      <w:r>
        <w:rPr>
          <w:rFonts w:hint="eastAsia" w:ascii="宋体" w:hAnsi="宋体" w:cs="宋体"/>
          <w:b/>
          <w:sz w:val="24"/>
          <w:highlight w:val="red"/>
        </w:rPr>
        <w:t>▲</w:t>
      </w:r>
      <w:r>
        <w:rPr>
          <w:rFonts w:hint="eastAsia" w:ascii="宋体" w:hAnsi="宋体" w:cs="宋体"/>
          <w:b/>
          <w:sz w:val="24"/>
          <w:highlight w:val="cyan"/>
        </w:rPr>
        <w:t>供应商报价低于项目预算50%的，应当在报价文件中详细阐述不影响产品质量或者诚信履约的具体原因。</w:t>
      </w: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w:t>
      </w:r>
      <w:bookmarkStart w:id="554" w:name="_Hlk101259491"/>
      <w:r>
        <w:rPr>
          <w:rFonts w:hint="eastAsia" w:ascii="宋体" w:hAnsi="宋体" w:eastAsia="宋体" w:cs="宋体"/>
          <w:color w:val="FF0000"/>
          <w:sz w:val="32"/>
          <w:szCs w:val="32"/>
        </w:rPr>
        <w:t>（如果有）</w:t>
      </w:r>
      <w:bookmarkEnd w:id="554"/>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5" w:name="_Toc465665161"/>
      <w:r>
        <w:rPr>
          <w:rFonts w:hint="eastAsia" w:ascii="宋体" w:hAnsi="宋体" w:cs="宋体"/>
        </w:rPr>
        <w:t>附件</w:t>
      </w:r>
      <w:bookmarkEnd w:id="555"/>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56" w:name="OLE_LINK13"/>
      <w:bookmarkStart w:id="557" w:name="OLE_LINK14"/>
      <w:r>
        <w:rPr>
          <w:rFonts w:hint="eastAsia" w:ascii="宋体" w:hAnsi="宋体" w:cs="宋体"/>
          <w:b/>
          <w:spacing w:val="6"/>
          <w:sz w:val="32"/>
          <w:szCs w:val="32"/>
        </w:rPr>
        <w:t>残疾人福利性单位声明函</w:t>
      </w:r>
    </w:p>
    <w:bookmarkEnd w:id="556"/>
    <w:bookmarkEnd w:id="557"/>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0000FF"/>
          <w:sz w:val="24"/>
          <w:u w:val="single"/>
        </w:rPr>
        <w:t>（采购人）</w:t>
      </w:r>
      <w:r>
        <w:rPr>
          <w:rFonts w:hint="eastAsia" w:ascii="宋体" w:hAnsi="宋体" w:cs="宋体"/>
          <w:sz w:val="24"/>
        </w:rPr>
        <w:t>单位的</w:t>
      </w:r>
      <w:r>
        <w:rPr>
          <w:rFonts w:hint="eastAsia" w:ascii="宋体" w:hAnsi="宋体" w:cs="宋体"/>
          <w:color w:val="0000FF"/>
          <w:sz w:val="24"/>
          <w:u w:val="single"/>
        </w:rPr>
        <w:t>（项目名称）</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0000FF"/>
          <w:sz w:val="24"/>
          <w:u w:val="single"/>
        </w:rPr>
      </w:pPr>
    </w:p>
    <w:p>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、杭州市公共资源交易中心</w:t>
      </w:r>
      <w:r>
        <w:rPr>
          <w:rFonts w:hint="eastAsia" w:ascii="宋体" w:hAnsi="宋体" w:cs="宋体"/>
          <w:sz w:val="24"/>
          <w:u w:val="single"/>
          <w:lang w:val="en-US" w:eastAsia="zh-CN"/>
        </w:rPr>
        <w:t>桐庐分中心</w:t>
      </w:r>
      <w:r>
        <w:rPr>
          <w:rFonts w:hint="eastAsia" w:ascii="宋体" w:hAnsi="宋体" w:cs="宋体"/>
          <w:sz w:val="24"/>
          <w:u w:val="single"/>
        </w:rPr>
        <w:t>：</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558"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8"/>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要求以联合体形式参加的项目或采购包，供应商按招标文件第一部分招标公告申请人的资格要求中规定的联合协议中中小企业、其中小微企业合同金额应当达到的比例要求填写。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9"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中中小企业、其中小微企业合同金额应当达到的比例要求填写。</w:t>
      </w:r>
      <w:r>
        <w:rPr>
          <w:rFonts w:hint="eastAsia" w:ascii="宋体" w:hAnsi="宋体" w:cs="宋体"/>
          <w:b/>
          <w:bCs/>
          <w:kern w:val="0"/>
          <w:sz w:val="24"/>
          <w:lang w:val="zh-CN"/>
        </w:rPr>
        <w:t>）</w:t>
      </w:r>
      <w:bookmarkEnd w:id="559"/>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rPr>
          <w:rFonts w:ascii="宋体" w:hAnsi="宋体" w:cs="宋体"/>
          <w:bCs/>
          <w:sz w:val="24"/>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微软雅黑"/>
    <w:panose1 w:val="02010609030101010101"/>
    <w:charset w:val="86"/>
    <w:family w:val="modern"/>
    <w:pitch w:val="default"/>
    <w:sig w:usb0="00000000" w:usb1="00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微软雅黑"/>
    <w:panose1 w:val="02010609030101010101"/>
    <w:charset w:val="86"/>
    <w:family w:val="swiss"/>
    <w:pitch w:val="default"/>
    <w:sig w:usb0="00000000" w:usb1="00000000" w:usb2="00000000" w:usb3="00000000" w:csb0="00040000" w:csb1="00000000"/>
  </w:font>
  <w:font w:name="Futura Bk">
    <w:altName w:val="Segoe Print"/>
    <w:panose1 w:val="00000000000000000000"/>
    <w:charset w:val="00"/>
    <w:family w:val="decorative"/>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decorative"/>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moder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decorative"/>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altName w:val="宋体"/>
    <w:panose1 w:val="02010609060101010101"/>
    <w:charset w:val="86"/>
    <w:family w:val="modern"/>
    <w:pitch w:val="default"/>
    <w:sig w:usb0="00000000" w:usb1="00000000"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微软雅黑"/>
    <w:panose1 w:val="00000000000000000000"/>
    <w:charset w:val="00"/>
    <w:family w:val="swiss"/>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60" w:name="_Toc36110187"/>
    <w:bookmarkStart w:id="561" w:name="_Toc91899912"/>
    <w:bookmarkStart w:id="562" w:name="_Toc131845147"/>
    <w:bookmarkStart w:id="563" w:name="_Toc164085800"/>
    <w:r>
      <w:rPr>
        <w:rFonts w:hint="eastAsia" w:ascii="仿宋_GB2312" w:eastAsia="仿宋_GB2312"/>
        <w:kern w:val="0"/>
        <w:szCs w:val="21"/>
      </w:rPr>
      <w:t xml:space="preserve"> 页</w:t>
    </w:r>
    <w:bookmarkEnd w:id="560"/>
    <w:bookmarkEnd w:id="561"/>
    <w:bookmarkEnd w:id="562"/>
    <w:bookmarkEnd w:id="56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08832"/>
    <w:multiLevelType w:val="singleLevel"/>
    <w:tmpl w:val="06708832"/>
    <w:lvl w:ilvl="0" w:tentative="0">
      <w:start w:val="1"/>
      <w:numFmt w:val="decimal"/>
      <w:suff w:val="nothing"/>
      <w:lvlText w:val="%1、"/>
      <w:lvlJc w:val="left"/>
    </w:lvl>
  </w:abstractNum>
  <w:abstractNum w:abstractNumId="1">
    <w:nsid w:val="14E40C2B"/>
    <w:multiLevelType w:val="singleLevel"/>
    <w:tmpl w:val="14E40C2B"/>
    <w:lvl w:ilvl="0" w:tentative="0">
      <w:start w:val="4"/>
      <w:numFmt w:val="decimal"/>
      <w:suff w:val="nothing"/>
      <w:lvlText w:val="%1、"/>
      <w:lvlJc w:val="left"/>
    </w:lvl>
  </w:abstractNum>
  <w:abstractNum w:abstractNumId="2">
    <w:nsid w:val="167937E5"/>
    <w:multiLevelType w:val="singleLevel"/>
    <w:tmpl w:val="167937E5"/>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yYTgzOGE1ODRhY2UyNDUwMmRmNTIxM2MyMGNlND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90A"/>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41A"/>
    <w:rsid w:val="00050656"/>
    <w:rsid w:val="00050A19"/>
    <w:rsid w:val="000511B6"/>
    <w:rsid w:val="00051B00"/>
    <w:rsid w:val="00051C2A"/>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7C0"/>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26"/>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4A76"/>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2C"/>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00"/>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1452"/>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06A"/>
    <w:rsid w:val="001A79A2"/>
    <w:rsid w:val="001A7FA5"/>
    <w:rsid w:val="001B06A6"/>
    <w:rsid w:val="001B13BF"/>
    <w:rsid w:val="001B15B9"/>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787"/>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819"/>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878"/>
    <w:rsid w:val="00242F79"/>
    <w:rsid w:val="0024415B"/>
    <w:rsid w:val="00244968"/>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1DF"/>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4D8D"/>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4E2"/>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653"/>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809"/>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D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32C"/>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CDB"/>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895"/>
    <w:rsid w:val="006673B9"/>
    <w:rsid w:val="0066790C"/>
    <w:rsid w:val="00667A67"/>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1FF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6FC"/>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5397"/>
    <w:rsid w:val="007C60A8"/>
    <w:rsid w:val="007C6158"/>
    <w:rsid w:val="007C660F"/>
    <w:rsid w:val="007C6664"/>
    <w:rsid w:val="007C66FF"/>
    <w:rsid w:val="007C69AE"/>
    <w:rsid w:val="007C6FE9"/>
    <w:rsid w:val="007C7688"/>
    <w:rsid w:val="007C76E3"/>
    <w:rsid w:val="007C76F3"/>
    <w:rsid w:val="007C7DD9"/>
    <w:rsid w:val="007D03BC"/>
    <w:rsid w:val="007D0418"/>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288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603"/>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004"/>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80A"/>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227"/>
    <w:rsid w:val="00867501"/>
    <w:rsid w:val="00867D8E"/>
    <w:rsid w:val="008700C0"/>
    <w:rsid w:val="0087058B"/>
    <w:rsid w:val="008705AA"/>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775"/>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1B6"/>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239"/>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27FC4"/>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118"/>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CB"/>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700"/>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4DD1"/>
    <w:rsid w:val="00B55F64"/>
    <w:rsid w:val="00B56ECA"/>
    <w:rsid w:val="00B57093"/>
    <w:rsid w:val="00B574DA"/>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3D8"/>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AA3"/>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E10"/>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6FF"/>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6C7"/>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1FA"/>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37B"/>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05"/>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118F"/>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E38"/>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02D"/>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DA1"/>
    <w:rsid w:val="00DE6E4D"/>
    <w:rsid w:val="00DE7498"/>
    <w:rsid w:val="00DE75EF"/>
    <w:rsid w:val="00DE7611"/>
    <w:rsid w:val="00DE7D19"/>
    <w:rsid w:val="00DF05A0"/>
    <w:rsid w:val="00DF1162"/>
    <w:rsid w:val="00DF1BA8"/>
    <w:rsid w:val="00DF1DDB"/>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587E"/>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6F9A"/>
    <w:rsid w:val="00ED71BA"/>
    <w:rsid w:val="00ED728F"/>
    <w:rsid w:val="00ED73A1"/>
    <w:rsid w:val="00ED7CA2"/>
    <w:rsid w:val="00EE04F9"/>
    <w:rsid w:val="00EE05E0"/>
    <w:rsid w:val="00EE0FF6"/>
    <w:rsid w:val="00EE13DA"/>
    <w:rsid w:val="00EE1595"/>
    <w:rsid w:val="00EE1E71"/>
    <w:rsid w:val="00EE2087"/>
    <w:rsid w:val="00EE20C2"/>
    <w:rsid w:val="00EE224D"/>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C32AB"/>
    <w:rsid w:val="011F6449"/>
    <w:rsid w:val="01236AFB"/>
    <w:rsid w:val="01541149"/>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BE6034"/>
    <w:rsid w:val="03DD35E4"/>
    <w:rsid w:val="04076900"/>
    <w:rsid w:val="041A5A3B"/>
    <w:rsid w:val="042311BA"/>
    <w:rsid w:val="042B157A"/>
    <w:rsid w:val="044D2C6F"/>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DC3F77"/>
    <w:rsid w:val="0B29077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3468E4"/>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C70674"/>
    <w:rsid w:val="10F33360"/>
    <w:rsid w:val="10FC16EA"/>
    <w:rsid w:val="110F1D40"/>
    <w:rsid w:val="11266F33"/>
    <w:rsid w:val="118963A1"/>
    <w:rsid w:val="11C6522A"/>
    <w:rsid w:val="11E104CC"/>
    <w:rsid w:val="11E20309"/>
    <w:rsid w:val="12255233"/>
    <w:rsid w:val="12530213"/>
    <w:rsid w:val="12603E6A"/>
    <w:rsid w:val="127723A9"/>
    <w:rsid w:val="12862074"/>
    <w:rsid w:val="12883966"/>
    <w:rsid w:val="129E45B4"/>
    <w:rsid w:val="12D81596"/>
    <w:rsid w:val="13072A44"/>
    <w:rsid w:val="135F4BE2"/>
    <w:rsid w:val="139B1A0A"/>
    <w:rsid w:val="139D25C7"/>
    <w:rsid w:val="13BF3CE4"/>
    <w:rsid w:val="141008D8"/>
    <w:rsid w:val="14125FE6"/>
    <w:rsid w:val="14504752"/>
    <w:rsid w:val="146D271E"/>
    <w:rsid w:val="14982588"/>
    <w:rsid w:val="149A5AD9"/>
    <w:rsid w:val="14A7619D"/>
    <w:rsid w:val="150536C3"/>
    <w:rsid w:val="150C1963"/>
    <w:rsid w:val="151447A0"/>
    <w:rsid w:val="154511D8"/>
    <w:rsid w:val="154A6454"/>
    <w:rsid w:val="15762120"/>
    <w:rsid w:val="15F86086"/>
    <w:rsid w:val="16A8729C"/>
    <w:rsid w:val="16B33777"/>
    <w:rsid w:val="16BC70A7"/>
    <w:rsid w:val="16C6339E"/>
    <w:rsid w:val="172F2D79"/>
    <w:rsid w:val="174900D6"/>
    <w:rsid w:val="17557BEF"/>
    <w:rsid w:val="17C01095"/>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83082F"/>
    <w:rsid w:val="1BA209CF"/>
    <w:rsid w:val="1BB4777D"/>
    <w:rsid w:val="1BCF50AD"/>
    <w:rsid w:val="1BD75AB8"/>
    <w:rsid w:val="1C0459C2"/>
    <w:rsid w:val="1C1B3B4A"/>
    <w:rsid w:val="1C88086E"/>
    <w:rsid w:val="1D266CE1"/>
    <w:rsid w:val="1D3963AF"/>
    <w:rsid w:val="1D55566A"/>
    <w:rsid w:val="1D6A673C"/>
    <w:rsid w:val="1D9247AE"/>
    <w:rsid w:val="1DB567EC"/>
    <w:rsid w:val="1DE32193"/>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76BBD"/>
    <w:rsid w:val="245375B0"/>
    <w:rsid w:val="24642C0A"/>
    <w:rsid w:val="24B22173"/>
    <w:rsid w:val="24B95AD9"/>
    <w:rsid w:val="24BE24DA"/>
    <w:rsid w:val="24CF5825"/>
    <w:rsid w:val="24D663E6"/>
    <w:rsid w:val="24D77F2B"/>
    <w:rsid w:val="258B00E2"/>
    <w:rsid w:val="25A917A6"/>
    <w:rsid w:val="25BE27CC"/>
    <w:rsid w:val="25CC175F"/>
    <w:rsid w:val="25F74A5C"/>
    <w:rsid w:val="2628662C"/>
    <w:rsid w:val="262D45DE"/>
    <w:rsid w:val="26871DC8"/>
    <w:rsid w:val="26A53EF9"/>
    <w:rsid w:val="26A94201"/>
    <w:rsid w:val="26AC274F"/>
    <w:rsid w:val="27044A29"/>
    <w:rsid w:val="271D34C8"/>
    <w:rsid w:val="276142BF"/>
    <w:rsid w:val="27783712"/>
    <w:rsid w:val="27907362"/>
    <w:rsid w:val="27F754CA"/>
    <w:rsid w:val="28333E1D"/>
    <w:rsid w:val="28454BD6"/>
    <w:rsid w:val="28455253"/>
    <w:rsid w:val="28551971"/>
    <w:rsid w:val="285B1C53"/>
    <w:rsid w:val="289F7086"/>
    <w:rsid w:val="28C32028"/>
    <w:rsid w:val="28CC490F"/>
    <w:rsid w:val="28DE40AA"/>
    <w:rsid w:val="29345E77"/>
    <w:rsid w:val="29363ABF"/>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0F7F9B"/>
    <w:rsid w:val="2C191F85"/>
    <w:rsid w:val="2CE82D6F"/>
    <w:rsid w:val="2D343236"/>
    <w:rsid w:val="2D6F317D"/>
    <w:rsid w:val="2DD15014"/>
    <w:rsid w:val="2DF72DE4"/>
    <w:rsid w:val="2E0220AF"/>
    <w:rsid w:val="2E4B082A"/>
    <w:rsid w:val="2E5D4E86"/>
    <w:rsid w:val="2E5D790B"/>
    <w:rsid w:val="2E9A3C18"/>
    <w:rsid w:val="2EBB0FEE"/>
    <w:rsid w:val="2EC63002"/>
    <w:rsid w:val="2F0A6B38"/>
    <w:rsid w:val="2F946CCB"/>
    <w:rsid w:val="2FD25781"/>
    <w:rsid w:val="2FDC745C"/>
    <w:rsid w:val="2FFD7934"/>
    <w:rsid w:val="30542A7D"/>
    <w:rsid w:val="30733ACD"/>
    <w:rsid w:val="308C3862"/>
    <w:rsid w:val="309379D8"/>
    <w:rsid w:val="30A270F7"/>
    <w:rsid w:val="30DF1478"/>
    <w:rsid w:val="30EC586F"/>
    <w:rsid w:val="319C6071"/>
    <w:rsid w:val="31AC537E"/>
    <w:rsid w:val="31C36805"/>
    <w:rsid w:val="31E3679B"/>
    <w:rsid w:val="31E732FD"/>
    <w:rsid w:val="324B0876"/>
    <w:rsid w:val="32517576"/>
    <w:rsid w:val="32BE5C2C"/>
    <w:rsid w:val="32FB6478"/>
    <w:rsid w:val="33263B3F"/>
    <w:rsid w:val="336963EB"/>
    <w:rsid w:val="33816EEB"/>
    <w:rsid w:val="33EB55CD"/>
    <w:rsid w:val="33EC4C02"/>
    <w:rsid w:val="340D2360"/>
    <w:rsid w:val="3410665D"/>
    <w:rsid w:val="34211214"/>
    <w:rsid w:val="34211DBB"/>
    <w:rsid w:val="342E63AB"/>
    <w:rsid w:val="34950E68"/>
    <w:rsid w:val="34986E94"/>
    <w:rsid w:val="34AF62C9"/>
    <w:rsid w:val="34CB4388"/>
    <w:rsid w:val="34FA6E12"/>
    <w:rsid w:val="351F7AFD"/>
    <w:rsid w:val="354D7158"/>
    <w:rsid w:val="358D5588"/>
    <w:rsid w:val="363A3B40"/>
    <w:rsid w:val="365302AE"/>
    <w:rsid w:val="36607A0A"/>
    <w:rsid w:val="3662273E"/>
    <w:rsid w:val="366E227C"/>
    <w:rsid w:val="366F2E0D"/>
    <w:rsid w:val="367B6A5C"/>
    <w:rsid w:val="369E361B"/>
    <w:rsid w:val="36A74ADA"/>
    <w:rsid w:val="36AD60D5"/>
    <w:rsid w:val="36B224F9"/>
    <w:rsid w:val="36EC0CC9"/>
    <w:rsid w:val="37192342"/>
    <w:rsid w:val="37377380"/>
    <w:rsid w:val="373F410B"/>
    <w:rsid w:val="37EE7094"/>
    <w:rsid w:val="38296C89"/>
    <w:rsid w:val="383002EB"/>
    <w:rsid w:val="38586797"/>
    <w:rsid w:val="38BC0149"/>
    <w:rsid w:val="38D87D1C"/>
    <w:rsid w:val="39636459"/>
    <w:rsid w:val="396B7F6C"/>
    <w:rsid w:val="39B417A9"/>
    <w:rsid w:val="39FC5695"/>
    <w:rsid w:val="3A006D8E"/>
    <w:rsid w:val="3A3651E5"/>
    <w:rsid w:val="3A744481"/>
    <w:rsid w:val="3A772A1D"/>
    <w:rsid w:val="3A8C7BEF"/>
    <w:rsid w:val="3A906246"/>
    <w:rsid w:val="3AAA0375"/>
    <w:rsid w:val="3B2349B7"/>
    <w:rsid w:val="3B616CFF"/>
    <w:rsid w:val="3B6259F6"/>
    <w:rsid w:val="3B976654"/>
    <w:rsid w:val="3BC01EFC"/>
    <w:rsid w:val="3BCA786A"/>
    <w:rsid w:val="3BD31E2F"/>
    <w:rsid w:val="3BF15831"/>
    <w:rsid w:val="3C105946"/>
    <w:rsid w:val="3C471448"/>
    <w:rsid w:val="3C5F759A"/>
    <w:rsid w:val="3C6C525A"/>
    <w:rsid w:val="3CCE23CB"/>
    <w:rsid w:val="3CD17D17"/>
    <w:rsid w:val="3D296A4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9061C1"/>
    <w:rsid w:val="42CD1CE0"/>
    <w:rsid w:val="42E1381E"/>
    <w:rsid w:val="42ED6459"/>
    <w:rsid w:val="42FE5862"/>
    <w:rsid w:val="42FE58DD"/>
    <w:rsid w:val="43174B3D"/>
    <w:rsid w:val="434B790E"/>
    <w:rsid w:val="4360274F"/>
    <w:rsid w:val="43977AB6"/>
    <w:rsid w:val="439A302D"/>
    <w:rsid w:val="43A3342B"/>
    <w:rsid w:val="43C77C27"/>
    <w:rsid w:val="43DE09EE"/>
    <w:rsid w:val="43F565F9"/>
    <w:rsid w:val="44002FAD"/>
    <w:rsid w:val="449101DD"/>
    <w:rsid w:val="44DE1391"/>
    <w:rsid w:val="451B225C"/>
    <w:rsid w:val="452410C9"/>
    <w:rsid w:val="45317DFB"/>
    <w:rsid w:val="453958B8"/>
    <w:rsid w:val="456D3CE4"/>
    <w:rsid w:val="4579042C"/>
    <w:rsid w:val="457F0571"/>
    <w:rsid w:val="45851176"/>
    <w:rsid w:val="458F6DEB"/>
    <w:rsid w:val="45C63B94"/>
    <w:rsid w:val="460E7DA5"/>
    <w:rsid w:val="46422483"/>
    <w:rsid w:val="4659254A"/>
    <w:rsid w:val="465B0637"/>
    <w:rsid w:val="465E3F0D"/>
    <w:rsid w:val="466A16E6"/>
    <w:rsid w:val="46893F2B"/>
    <w:rsid w:val="46C4686E"/>
    <w:rsid w:val="475C24EB"/>
    <w:rsid w:val="477B778F"/>
    <w:rsid w:val="478203EC"/>
    <w:rsid w:val="479760C3"/>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9C6E2F"/>
    <w:rsid w:val="4E693057"/>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13869"/>
    <w:rsid w:val="5244713B"/>
    <w:rsid w:val="52542E8D"/>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2A2BBF"/>
    <w:rsid w:val="55364EFD"/>
    <w:rsid w:val="555D4828"/>
    <w:rsid w:val="557A4C8B"/>
    <w:rsid w:val="558931E1"/>
    <w:rsid w:val="55923347"/>
    <w:rsid w:val="55925180"/>
    <w:rsid w:val="55983B1B"/>
    <w:rsid w:val="55A8376B"/>
    <w:rsid w:val="55C13CC6"/>
    <w:rsid w:val="55DC29B6"/>
    <w:rsid w:val="55DD4241"/>
    <w:rsid w:val="566B6D1E"/>
    <w:rsid w:val="56A7044E"/>
    <w:rsid w:val="57032A2C"/>
    <w:rsid w:val="570452C9"/>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8F149F1"/>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235B2D"/>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524EF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B64CBE"/>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BE0F5A"/>
    <w:rsid w:val="6DC0172B"/>
    <w:rsid w:val="6DCB690C"/>
    <w:rsid w:val="6DD41A5B"/>
    <w:rsid w:val="6DF43C2E"/>
    <w:rsid w:val="6DF51CA3"/>
    <w:rsid w:val="6E8335BD"/>
    <w:rsid w:val="6E8E12EF"/>
    <w:rsid w:val="6E972936"/>
    <w:rsid w:val="6ED446C5"/>
    <w:rsid w:val="6F1842F2"/>
    <w:rsid w:val="6F2A7D94"/>
    <w:rsid w:val="6F8331F1"/>
    <w:rsid w:val="6FAA5C3A"/>
    <w:rsid w:val="6FAE1A09"/>
    <w:rsid w:val="6FD75BF8"/>
    <w:rsid w:val="6FFF1196"/>
    <w:rsid w:val="707723D0"/>
    <w:rsid w:val="70F5661B"/>
    <w:rsid w:val="71360107"/>
    <w:rsid w:val="713B688E"/>
    <w:rsid w:val="71D43752"/>
    <w:rsid w:val="71F1796A"/>
    <w:rsid w:val="72154626"/>
    <w:rsid w:val="72262B5D"/>
    <w:rsid w:val="72283FF7"/>
    <w:rsid w:val="722E7212"/>
    <w:rsid w:val="723A0474"/>
    <w:rsid w:val="725923E4"/>
    <w:rsid w:val="72864BF7"/>
    <w:rsid w:val="729023FC"/>
    <w:rsid w:val="73A830E9"/>
    <w:rsid w:val="73C0646E"/>
    <w:rsid w:val="73D96AEE"/>
    <w:rsid w:val="742222F5"/>
    <w:rsid w:val="74476126"/>
    <w:rsid w:val="74706664"/>
    <w:rsid w:val="747F3682"/>
    <w:rsid w:val="74983A1F"/>
    <w:rsid w:val="749C4185"/>
    <w:rsid w:val="74E751F0"/>
    <w:rsid w:val="75067759"/>
    <w:rsid w:val="752E6DCD"/>
    <w:rsid w:val="7551380D"/>
    <w:rsid w:val="75600BE5"/>
    <w:rsid w:val="7564475C"/>
    <w:rsid w:val="7583797F"/>
    <w:rsid w:val="758B5587"/>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BD70A9"/>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0929FF"/>
    <w:rsid w:val="7E1E5218"/>
    <w:rsid w:val="7E3231B3"/>
    <w:rsid w:val="7E9A4E1F"/>
    <w:rsid w:val="7EA7723A"/>
    <w:rsid w:val="7EF56FBB"/>
    <w:rsid w:val="7F0768EB"/>
    <w:rsid w:val="7F143BEC"/>
    <w:rsid w:val="7F4E13D2"/>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18"/>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2"/>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8"/>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5"/>
    <w:qFormat/>
    <w:uiPriority w:val="0"/>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qFormat/>
    <w:uiPriority w:val="0"/>
    <w:rPr>
      <w:b/>
      <w:bCs/>
    </w:rPr>
  </w:style>
  <w:style w:type="paragraph" w:styleId="61">
    <w:name w:val="Body Text First Indent 2"/>
    <w:basedOn w:val="26"/>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8"/>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7"/>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0"/>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basedOn w:val="69"/>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正文首行缩进 21"/>
    <w:basedOn w:val="1"/>
    <w:qFormat/>
    <w:uiPriority w:val="0"/>
    <w:pPr>
      <w:spacing w:after="120"/>
      <w:ind w:left="420" w:leftChars="200" w:firstLine="420"/>
    </w:pPr>
    <w:rPr>
      <w:rFonts w:cs="宋体"/>
      <w:color w:val="00000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3B2367-DA3D-4523-AE1D-B1C1C21D6852}">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34715</Words>
  <Characters>36970</Characters>
  <Lines>287</Lines>
  <Paragraphs>81</Paragraphs>
  <TotalTime>5</TotalTime>
  <ScaleCrop>false</ScaleCrop>
  <LinksUpToDate>false</LinksUpToDate>
  <CharactersWithSpaces>42075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企业用户_228607491</cp:lastModifiedBy>
  <cp:lastPrinted>2021-12-27T03:06:00Z</cp:lastPrinted>
  <dcterms:modified xsi:type="dcterms:W3CDTF">2023-09-01T07:44:49Z</dcterms:modified>
  <dc:title>杭州市市民卡扩大发卡工程</dc:title>
  <cp:revision>379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94DF4ED3CAEA48A78F3A0572C369FACC_13</vt:lpwstr>
  </property>
</Properties>
</file>