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lang w:val="en-US" w:eastAsia="zh-CN"/>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2023年杭州市生态环境局桐庐分局执法办案管理中心电梯采购项目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编号:TLZFCG2023-GK-020</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杭州市生态环境局桐庐分局</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杭州市公共资源交易中心桐庐分中心</w:t>
      </w:r>
    </w:p>
    <w:p>
      <w:pPr>
        <w:spacing w:line="360" w:lineRule="auto"/>
        <w:jc w:val="center"/>
        <w:rPr>
          <w:rFonts w:ascii="宋体" w:hAnsi="宋体" w:cs="宋体"/>
          <w:color w:val="auto"/>
          <w:sz w:val="24"/>
          <w:highlight w:val="none"/>
        </w:rPr>
      </w:pPr>
      <w:r>
        <w:rPr>
          <w:rFonts w:hint="eastAsia" w:ascii="宋体" w:hAnsi="宋体" w:cs="宋体"/>
          <w:bCs/>
          <w:color w:val="auto"/>
          <w:sz w:val="32"/>
          <w:szCs w:val="32"/>
          <w:highlight w:val="none"/>
        </w:rPr>
        <w:t>二〇二三年十一月</w:t>
      </w: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宋体" w:hAnsi="宋体" w:cs="宋体"/>
          <w:color w:val="auto"/>
          <w:sz w:val="24"/>
          <w:highlight w:val="none"/>
          <w:u w:val="single"/>
        </w:rPr>
        <w:t>2023年杭州市生态环境局桐庐分局执法办案管理中心电梯采购项目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u w:val="single"/>
        </w:rPr>
        <w:t>2023</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12</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19</w:t>
      </w:r>
      <w:r>
        <w:rPr>
          <w:rStyle w:val="76"/>
          <w:rFonts w:hint="eastAsia" w:cs="Times New Roman" w:asciiTheme="minorEastAsia" w:hAnsiTheme="minorEastAsia" w:eastAsiaTheme="minorEastAsia"/>
          <w:snapToGrid/>
          <w:color w:val="auto"/>
          <w:kern w:val="2"/>
          <w:sz w:val="24"/>
          <w:szCs w:val="24"/>
          <w:highlight w:val="none"/>
          <w:u w:val="single"/>
        </w:rPr>
        <w:t>日</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10</w:t>
      </w:r>
      <w:r>
        <w:rPr>
          <w:rStyle w:val="76"/>
          <w:rFonts w:hint="eastAsia" w:cs="Times New Roman" w:asciiTheme="minorEastAsia" w:hAnsiTheme="minorEastAsia" w:eastAsiaTheme="minorEastAsia"/>
          <w:snapToGrid/>
          <w:color w:val="auto"/>
          <w:kern w:val="2"/>
          <w:sz w:val="24"/>
          <w:szCs w:val="24"/>
          <w:highlight w:val="none"/>
          <w:u w:val="single"/>
        </w:rPr>
        <w:t>点</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00</w:t>
      </w:r>
      <w:r>
        <w:rPr>
          <w:rStyle w:val="76"/>
          <w:rFonts w:hint="eastAsia" w:cs="Times New Roman" w:asciiTheme="minorEastAsia" w:hAnsiTheme="minorEastAsia" w:eastAsiaTheme="minorEastAsia"/>
          <w:snapToGrid/>
          <w:color w:val="auto"/>
          <w:kern w:val="2"/>
          <w:sz w:val="24"/>
          <w:szCs w:val="24"/>
          <w:highlight w:val="none"/>
          <w:u w:val="single"/>
        </w:rPr>
        <w:t>分</w:t>
      </w:r>
      <w:r>
        <w:rPr>
          <w:rStyle w:val="76"/>
          <w:rFonts w:hint="eastAsia" w:cs="Times New Roman" w:asciiTheme="minorEastAsia" w:hAnsiTheme="minorEastAsia" w:eastAsiaTheme="minorEastAsia"/>
          <w:bCs/>
          <w:snapToGrid/>
          <w:color w:val="auto"/>
          <w:kern w:val="2"/>
          <w:sz w:val="24"/>
          <w:szCs w:val="24"/>
          <w:highlight w:val="none"/>
          <w:u w:val="singl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TLZFCG2023-GK-020</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2023年杭州市生态环境局桐庐分局执法办案管理中心电梯采购项目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预算金额（元）：430000.00</w:t>
      </w:r>
      <w:r>
        <w:rPr>
          <w:rFonts w:hint="eastAsia" w:ascii="宋体" w:hAnsi="宋体" w:cs="宋体"/>
          <w:color w:val="auto"/>
          <w:sz w:val="24"/>
          <w:highlight w:val="none"/>
        </w:rPr>
        <w:t xml:space="preserve"> </w:t>
      </w:r>
    </w:p>
    <w:p>
      <w:pPr>
        <w:spacing w:line="360" w:lineRule="auto"/>
        <w:ind w:firstLine="480"/>
        <w:rPr>
          <w:rFonts w:ascii="宋体" w:hAnsi="宋体" w:cs="宋体"/>
          <w:b/>
          <w:bCs/>
          <w:color w:val="auto"/>
          <w:sz w:val="24"/>
          <w:highlight w:val="none"/>
        </w:rPr>
      </w:pPr>
      <w:r>
        <w:rPr>
          <w:rFonts w:hint="eastAsia" w:ascii="宋体" w:hAnsi="宋体" w:cs="宋体"/>
          <w:b/>
          <w:color w:val="auto"/>
          <w:sz w:val="24"/>
          <w:highlight w:val="none"/>
        </w:rPr>
        <w:t>最高限价（元）：</w:t>
      </w:r>
      <w:r>
        <w:rPr>
          <w:rFonts w:hint="eastAsia" w:ascii="宋体" w:hAnsi="宋体" w:cs="宋体"/>
          <w:b/>
          <w:bCs/>
          <w:color w:val="auto"/>
          <w:sz w:val="24"/>
          <w:highlight w:val="none"/>
        </w:rPr>
        <w:t>430000.00</w:t>
      </w:r>
    </w:p>
    <w:p>
      <w:pPr>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rPr>
        <w:t>2023年杭州市生态环境局桐庐分局执法办案管理中心电梯采购项目</w:t>
      </w:r>
    </w:p>
    <w:p>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主要内容： 电梯采购。</w:t>
      </w:r>
      <w:r>
        <w:rPr>
          <w:rFonts w:hint="eastAsia" w:asciiTheme="minorEastAsia" w:hAnsiTheme="minorEastAsia" w:eastAsiaTheme="minorEastAsia"/>
          <w:snapToGrid/>
          <w:color w:val="auto"/>
          <w:kern w:val="2"/>
          <w:sz w:val="24"/>
          <w:szCs w:val="24"/>
          <w:highlight w:val="none"/>
        </w:rPr>
        <w:t>具体以招标文件第三部分采购需求为准。</w:t>
      </w:r>
    </w:p>
    <w:p>
      <w:pPr>
        <w:pStyle w:val="128"/>
        <w:spacing w:line="360" w:lineRule="auto"/>
        <w:ind w:left="0" w:leftChars="0" w:firstLine="0" w:firstLineChars="0"/>
        <w:outlineLvl w:val="2"/>
        <w:rPr>
          <w:rFonts w:asciiTheme="minorEastAsia" w:hAnsiTheme="minorEastAsia" w:eastAsiaTheme="minorEastAsia"/>
          <w:color w:val="auto"/>
          <w:szCs w:val="24"/>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服务周期为40</w:t>
      </w:r>
      <w:r>
        <w:rPr>
          <w:rFonts w:hint="eastAsia" w:asciiTheme="minorEastAsia" w:hAnsiTheme="minorEastAsia" w:eastAsiaTheme="minorEastAsia"/>
          <w:b w:val="0"/>
          <w:bCs/>
          <w:color w:val="auto"/>
          <w:szCs w:val="24"/>
          <w:highlight w:val="none"/>
        </w:rPr>
        <w:t>日历天</w:t>
      </w:r>
      <w:r>
        <w:rPr>
          <w:rFonts w:hint="eastAsia" w:ascii="宋体" w:hAnsi="宋体" w:cs="宋体"/>
          <w:b w:val="0"/>
          <w:bCs/>
          <w:color w:val="auto"/>
          <w:highlight w:val="none"/>
          <w:lang w:val="en-US" w:eastAsia="zh-CN"/>
        </w:rPr>
        <w:t>（其中</w:t>
      </w:r>
      <w:r>
        <w:rPr>
          <w:rFonts w:hint="eastAsia" w:asciiTheme="minorEastAsia" w:hAnsiTheme="minorEastAsia" w:eastAsiaTheme="minorEastAsia"/>
          <w:b w:val="0"/>
          <w:bCs/>
          <w:color w:val="auto"/>
          <w:szCs w:val="24"/>
          <w:highlight w:val="none"/>
        </w:rPr>
        <w:t>交货周期为20日历天，安装周期接到通知后20日历天</w:t>
      </w:r>
      <w:r>
        <w:rPr>
          <w:rFonts w:hint="eastAsia" w:ascii="宋体" w:hAnsi="宋体" w:cs="宋体"/>
          <w:b w:val="0"/>
          <w:bCs/>
          <w:color w:val="auto"/>
          <w:highlight w:val="none"/>
          <w:lang w:val="en-US" w:eastAsia="zh-CN"/>
        </w:rPr>
        <w:t>）</w:t>
      </w:r>
      <w:r>
        <w:rPr>
          <w:rFonts w:hint="eastAsia" w:asciiTheme="minorEastAsia" w:hAnsiTheme="minorEastAsia" w:eastAsiaTheme="minorEastAsia"/>
          <w:b w:val="0"/>
          <w:bCs/>
          <w:color w:val="auto"/>
          <w:szCs w:val="24"/>
          <w:highlight w:val="none"/>
        </w:rPr>
        <w:t>。</w:t>
      </w:r>
    </w:p>
    <w:p>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宋体" w:cs="宋体"/>
              <w:color w:val="0000FF"/>
              <w:kern w:val="0"/>
              <w:sz w:val="24"/>
              <w:szCs w:val="24"/>
              <w:lang w:val="en-US" w:eastAsia="zh-CN" w:bidi="ar-SA"/>
            </w:rPr>
            <w:t>þ</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r>
        <w:rPr>
          <w:rFonts w:hint="eastAsia" w:ascii="宋体" w:hAnsi="宋体" w:cs="宋体"/>
          <w:color w:val="0000FF"/>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auto"/>
          <w:kern w:val="28"/>
          <w:sz w:val="24"/>
          <w:szCs w:val="20"/>
          <w:highlight w:val="none"/>
        </w:rPr>
        <w:t>制造商具有《中华人民共和国特种设备生产许可证》和《中华人民共和国特种设备安装改造维修许可证》（电梯）A级及以上资质，或2019年6月1日后按国家新规取得国家市场监督部门颁发的特种设备生产许可证获准从事以下特种设备生产活动许可项目（含安装、修理、改造）许可子项目中包含(曳引驱动乘客电梯(含消防员电梯))A级及以上资质</w:t>
      </w:r>
      <w:r>
        <w:rPr>
          <w:rFonts w:hint="eastAsia" w:ascii="宋体" w:hAnsi="宋体" w:cs="宋体"/>
          <w:snapToGrid w:val="0"/>
          <w:color w:val="auto"/>
          <w:kern w:val="28"/>
          <w:sz w:val="24"/>
          <w:szCs w:val="20"/>
          <w:highlight w:val="none"/>
          <w:lang w:eastAsia="zh-CN"/>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称：（采购人） 杭州市生态环境局桐庐分局</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浙江省桐庐县城南街道金堂山路2</w:t>
      </w:r>
      <w:r>
        <w:rPr>
          <w:rFonts w:ascii="宋体" w:hAnsi="宋体" w:cs="宋体"/>
          <w:color w:val="auto"/>
          <w:sz w:val="24"/>
          <w:highlight w:val="none"/>
        </w:rPr>
        <w:t>8</w:t>
      </w:r>
      <w:r>
        <w:rPr>
          <w:rFonts w:hint="eastAsia" w:ascii="宋体" w:hAnsi="宋体" w:cs="宋体"/>
          <w:color w:val="auto"/>
          <w:sz w:val="24"/>
          <w:highlight w:val="none"/>
        </w:rPr>
        <w:t xml:space="preserve">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项目联系人（询问）：童垚鑫</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ascii="宋体" w:hAnsi="宋体" w:cs="宋体"/>
          <w:color w:val="auto"/>
          <w:sz w:val="24"/>
          <w:highlight w:val="none"/>
        </w:rPr>
        <w:t>0571-89546240</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陈明达</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 0</w:t>
      </w:r>
      <w:r>
        <w:rPr>
          <w:rFonts w:ascii="宋体" w:hAnsi="宋体" w:cs="宋体"/>
          <w:color w:val="auto"/>
          <w:sz w:val="24"/>
          <w:highlight w:val="none"/>
        </w:rPr>
        <w:t>571-</w:t>
      </w:r>
      <w:r>
        <w:rPr>
          <w:rFonts w:eastAsia="新宋体"/>
          <w:color w:val="auto"/>
          <w:kern w:val="0"/>
          <w:sz w:val="24"/>
          <w:highlight w:val="none"/>
          <w:lang w:bidi="ar"/>
        </w:rPr>
        <w:t>89546237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称：杭州市公共资源交易中心桐庐分中心</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址：杭州市桐庐县迎春南路258号国资大厦5楼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Theme="minorEastAsia" w:hAnsiTheme="minorEastAsia" w:eastAsiaTheme="minorEastAsia"/>
          <w:color w:val="auto"/>
          <w:sz w:val="24"/>
          <w:highlight w:val="none"/>
        </w:rPr>
        <w:t>郑洋莹</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项目联系方式（询问）：0571-64267692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w:t>
      </w:r>
      <w:r>
        <w:rPr>
          <w:rFonts w:hint="eastAsia" w:asciiTheme="minorEastAsia" w:hAnsiTheme="minorEastAsia" w:eastAsiaTheme="minorEastAsia"/>
          <w:color w:val="auto"/>
          <w:sz w:val="24"/>
          <w:highlight w:val="none"/>
        </w:rPr>
        <w:t>王赛栎</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Theme="minorEastAsia" w:hAnsiTheme="minorEastAsia" w:eastAsiaTheme="minorEastAsia"/>
          <w:color w:val="auto"/>
          <w:sz w:val="24"/>
          <w:highlight w:val="none"/>
        </w:rPr>
        <w:t>0571-89545845</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称：桐庐县财政局</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地    址：桐庐县春江路688号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：张正元</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监督投诉电话：0571-58507058</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34"/>
        <w:spacing w:line="360" w:lineRule="auto"/>
        <w:rPr>
          <w:rFonts w:hAnsi="宋体" w:cs="宋体"/>
          <w:b/>
          <w:color w:val="auto"/>
          <w:sz w:val="36"/>
          <w:szCs w:val="20"/>
          <w:highlight w:val="none"/>
        </w:rPr>
      </w:pPr>
    </w:p>
    <w:p>
      <w:pPr>
        <w:pStyle w:val="34"/>
        <w:spacing w:line="360" w:lineRule="auto"/>
        <w:rPr>
          <w:rFonts w:hAnsi="宋体" w:cs="宋体"/>
          <w:b/>
          <w:color w:val="auto"/>
          <w:sz w:val="36"/>
          <w:szCs w:val="20"/>
          <w:highlight w:val="none"/>
        </w:rPr>
      </w:pPr>
    </w:p>
    <w:p>
      <w:pPr>
        <w:pStyle w:val="34"/>
        <w:spacing w:line="360" w:lineRule="auto"/>
        <w:rPr>
          <w:rFonts w:hAnsi="宋体" w:cs="宋体"/>
          <w:b/>
          <w:color w:val="auto"/>
          <w:sz w:val="36"/>
          <w:szCs w:val="20"/>
          <w:highlight w:val="none"/>
        </w:rPr>
      </w:pPr>
    </w:p>
    <w:p>
      <w:pPr>
        <w:pStyle w:val="34"/>
        <w:spacing w:line="360" w:lineRule="auto"/>
        <w:rPr>
          <w:rFonts w:hAnsi="宋体" w:cs="宋体"/>
          <w:b/>
          <w:color w:val="auto"/>
          <w:sz w:val="36"/>
          <w:szCs w:val="20"/>
          <w:highlight w:val="none"/>
        </w:rPr>
      </w:pP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电梯   </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（1）标的：见采购需求中“技术参数要求” 中清单，属于工业行业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运输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桐庐县迎春南路258号国资大厦5楼窗口</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0571-64267692</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pPr>
        <w:pStyle w:val="886"/>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86"/>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8"/>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highlight w:val="none"/>
        </w:rPr>
      </w:pPr>
    </w:p>
    <w:p>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color w:val="auto"/>
          <w:sz w:val="24"/>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6"/>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68057669"/>
      <w:bookmarkEnd w:id="18"/>
      <w:bookmarkStart w:id="19" w:name="_Hlt74729768"/>
      <w:bookmarkEnd w:id="19"/>
      <w:bookmarkStart w:id="20" w:name="_Hlt75236011"/>
      <w:bookmarkEnd w:id="20"/>
      <w:bookmarkStart w:id="21" w:name="_Hlt68073093"/>
      <w:bookmarkEnd w:id="21"/>
      <w:bookmarkStart w:id="22" w:name="_Hlt74730295"/>
      <w:bookmarkEnd w:id="22"/>
      <w:bookmarkStart w:id="23" w:name="_Hlt75236290"/>
      <w:bookmarkEnd w:id="23"/>
      <w:bookmarkStart w:id="24" w:name="_Hlt74707468"/>
      <w:bookmarkEnd w:id="24"/>
      <w:bookmarkStart w:id="25" w:name="_Hlt68072998"/>
      <w:bookmarkEnd w:id="25"/>
      <w:bookmarkStart w:id="26" w:name="_Hlt74714665"/>
      <w:bookmarkEnd w:id="26"/>
      <w:bookmarkStart w:id="27" w:name="_Hlt68403820"/>
      <w:bookmarkEnd w:id="27"/>
      <w:bookmarkStart w:id="28" w:name="_Hlt68072990"/>
      <w:bookmarkEnd w:id="28"/>
      <w:bookmarkStart w:id="29" w:name="_Hlt75236101"/>
      <w:bookmarkEnd w:id="29"/>
    </w:p>
    <w:bookmarkEnd w:id="12"/>
    <w:bookmarkEnd w:id="13"/>
    <w:p>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pPr>
        <w:tabs>
          <w:tab w:val="left" w:pos="0"/>
        </w:tabs>
        <w:spacing w:line="360" w:lineRule="auto"/>
        <w:ind w:firstLine="480"/>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一、总则</w:t>
      </w:r>
    </w:p>
    <w:p>
      <w:pPr>
        <w:tabs>
          <w:tab w:val="left" w:pos="0"/>
        </w:tabs>
        <w:spacing w:line="360" w:lineRule="auto"/>
        <w:ind w:firstLine="480"/>
        <w:rPr>
          <w:rFonts w:hint="eastAsia" w:eastAsia="宋体"/>
          <w:color w:val="auto"/>
          <w:highlight w:val="none"/>
          <w:lang w:val="en-US" w:eastAsia="zh-CN"/>
        </w:rPr>
      </w:pPr>
      <w:r>
        <w:rPr>
          <w:rFonts w:hint="eastAsia" w:asciiTheme="minorEastAsia" w:hAnsiTheme="minorEastAsia" w:eastAsiaTheme="minorEastAsia" w:cstheme="minorEastAsia"/>
          <w:color w:val="auto"/>
          <w:kern w:val="0"/>
          <w:sz w:val="24"/>
          <w:highlight w:val="none"/>
        </w:rPr>
        <w:t>本项目采用“交钥匙工程”方式，</w:t>
      </w:r>
      <w:r>
        <w:rPr>
          <w:rFonts w:hint="eastAsia" w:ascii="宋体" w:hAnsi="宋体" w:cs="宋体"/>
          <w:color w:val="auto"/>
          <w:kern w:val="0"/>
          <w:sz w:val="24"/>
          <w:highlight w:val="none"/>
        </w:rPr>
        <w:t>包括</w:t>
      </w:r>
      <w:r>
        <w:rPr>
          <w:rFonts w:hint="eastAsia" w:ascii="宋体" w:hAnsi="宋体" w:cs="宋体"/>
          <w:color w:val="auto"/>
          <w:kern w:val="0"/>
          <w:sz w:val="24"/>
          <w:highlight w:val="none"/>
          <w:lang w:val="en-US" w:eastAsia="zh-CN"/>
        </w:rPr>
        <w:t>原有</w:t>
      </w:r>
      <w:r>
        <w:rPr>
          <w:rFonts w:hint="eastAsia" w:ascii="宋体" w:hAnsi="宋体" w:cs="宋体"/>
          <w:color w:val="auto"/>
          <w:kern w:val="0"/>
          <w:sz w:val="24"/>
          <w:highlight w:val="none"/>
        </w:rPr>
        <w:t>旧梯拆除</w:t>
      </w:r>
      <w:r>
        <w:rPr>
          <w:rFonts w:hint="eastAsia" w:ascii="宋体" w:hAnsi="宋体" w:cs="宋体"/>
          <w:color w:val="auto"/>
          <w:kern w:val="0"/>
          <w:sz w:val="24"/>
          <w:highlight w:val="none"/>
          <w:lang w:val="en-US" w:eastAsia="zh-CN"/>
        </w:rPr>
        <w:t>工作以及新电梯</w:t>
      </w:r>
      <w:r>
        <w:rPr>
          <w:rFonts w:hint="eastAsia" w:ascii="宋体" w:hAnsi="宋体" w:cs="宋体"/>
          <w:color w:val="auto"/>
          <w:kern w:val="0"/>
          <w:sz w:val="24"/>
          <w:highlight w:val="none"/>
        </w:rPr>
        <w:t>的供货、运输、装卸、安装、检验、通过有关部门验收、维保期上门服务、设备终身维修等，保证设备使用的安全性能与检测结果的可靠性；产品（材料）及其辅助装置铭牌、使用指示、警告指示应以中文或英文及易懂的通用符号来表示；应准确无误地表明货物之型号、规格、制造厂及生产或出厂日期；设备中所有预装的或为本项目安装的软件具有合法的版权或使用正版软件且无质量瑕疵。</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在系统试运行之前，中标人应免费负责招标单位的相关技术人员的技术培训，培训的内容应能使招标单位技术人员掌握系统设备的操作、维护、保养等有关技术，能熟练操作、排除故障。</w:t>
      </w:r>
    </w:p>
    <w:p>
      <w:pPr>
        <w:snapToGrid w:val="0"/>
        <w:rPr>
          <w:rFonts w:cs="宋体" w:asciiTheme="minorEastAsia" w:hAnsiTheme="minorEastAsia" w:eastAsiaTheme="minorEastAsia"/>
          <w:b/>
          <w:color w:val="auto"/>
          <w:sz w:val="24"/>
          <w:highlight w:val="none"/>
        </w:rPr>
      </w:pPr>
      <w:r>
        <w:rPr>
          <w:rFonts w:hint="eastAsia" w:ascii="宋体" w:hAnsi="宋体" w:cs="宋体"/>
          <w:b/>
          <w:bCs/>
          <w:color w:val="auto"/>
          <w:kern w:val="0"/>
          <w:sz w:val="28"/>
          <w:szCs w:val="28"/>
          <w:highlight w:val="none"/>
        </w:rPr>
        <w:t>二、</w:t>
      </w:r>
      <w:r>
        <w:rPr>
          <w:rFonts w:hint="eastAsia" w:cs="Arial" w:asciiTheme="minorEastAsia" w:hAnsiTheme="minorEastAsia" w:eastAsiaTheme="minorEastAsia"/>
          <w:b/>
          <w:bCs/>
          <w:color w:val="auto"/>
          <w:sz w:val="28"/>
          <w:highlight w:val="none"/>
        </w:rPr>
        <w:t>设备工程量清单</w:t>
      </w:r>
      <w:r>
        <w:rPr>
          <w:rFonts w:hint="eastAsia" w:cs="宋体" w:asciiTheme="minorEastAsia" w:hAnsiTheme="minorEastAsia" w:eastAsiaTheme="minorEastAsia"/>
          <w:b/>
          <w:color w:val="auto"/>
          <w:sz w:val="24"/>
          <w:highlight w:val="none"/>
        </w:rPr>
        <w:t xml:space="preserve"> </w:t>
      </w:r>
    </w:p>
    <w:p>
      <w:pPr>
        <w:snapToGrid w:val="0"/>
        <w:ind w:firstLine="480" w:firstLineChars="200"/>
        <w:rPr>
          <w:color w:val="auto"/>
          <w:highlight w:val="none"/>
        </w:rPr>
      </w:pPr>
      <w:r>
        <w:rPr>
          <w:rFonts w:hint="eastAsia" w:cs="宋体" w:asciiTheme="minorEastAsia" w:hAnsiTheme="minorEastAsia" w:eastAsiaTheme="minorEastAsia"/>
          <w:color w:val="auto"/>
          <w:sz w:val="24"/>
          <w:highlight w:val="none"/>
        </w:rPr>
        <w:t>（一）电梯规格参数表</w:t>
      </w:r>
    </w:p>
    <w:tbl>
      <w:tblPr>
        <w:tblStyle w:val="62"/>
        <w:tblpPr w:leftFromText="180" w:rightFromText="180" w:vertAnchor="text" w:horzAnchor="page" w:tblpX="1945" w:tblpY="343"/>
        <w:tblOverlap w:val="never"/>
        <w:tblW w:w="8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05"/>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260" w:type="dxa"/>
            <w:vAlign w:val="center"/>
          </w:tcPr>
          <w:p>
            <w:pPr>
              <w:tabs>
                <w:tab w:val="left" w:pos="0"/>
              </w:tabs>
              <w:jc w:val="center"/>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梯 型</w:t>
            </w:r>
          </w:p>
        </w:tc>
        <w:tc>
          <w:tcPr>
            <w:tcW w:w="1905" w:type="dxa"/>
            <w:vAlign w:val="center"/>
          </w:tcPr>
          <w:p>
            <w:pPr>
              <w:tabs>
                <w:tab w:val="left" w:pos="0"/>
              </w:tabs>
              <w:jc w:val="center"/>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规 格</w:t>
            </w:r>
          </w:p>
        </w:tc>
        <w:tc>
          <w:tcPr>
            <w:tcW w:w="5070" w:type="dxa"/>
            <w:vAlign w:val="center"/>
          </w:tcPr>
          <w:p>
            <w:pPr>
              <w:tabs>
                <w:tab w:val="left" w:pos="0"/>
              </w:tabs>
              <w:jc w:val="center"/>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60" w:type="dxa"/>
            <w:vMerge w:val="restart"/>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1台有机房乘客电梯</w:t>
            </w:r>
          </w:p>
        </w:tc>
        <w:tc>
          <w:tcPr>
            <w:tcW w:w="1905"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额定载重（kg）</w:t>
            </w:r>
          </w:p>
        </w:tc>
        <w:tc>
          <w:tcPr>
            <w:tcW w:w="50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60"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905"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额定速度（m/s）</w:t>
            </w:r>
          </w:p>
        </w:tc>
        <w:tc>
          <w:tcPr>
            <w:tcW w:w="50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val="en-US" w:eastAsia="zh-CN"/>
              </w:rPr>
              <w:t>75</w:t>
            </w:r>
            <w:r>
              <w:rPr>
                <w:rFonts w:hint="eastAsia" w:asciiTheme="minorEastAsia" w:hAnsiTheme="minorEastAsia" w:eastAsiaTheme="minorEastAsia" w:cstheme="minorEastAsia"/>
                <w:color w:val="auto"/>
                <w:kern w:val="0"/>
                <w:szCs w:val="21"/>
                <w:highlight w:val="none"/>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1260"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905"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层/站/门</w:t>
            </w:r>
          </w:p>
        </w:tc>
        <w:tc>
          <w:tcPr>
            <w:tcW w:w="50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5层5站5门</w:t>
            </w:r>
          </w:p>
          <w:p>
            <w:pPr>
              <w:tabs>
                <w:tab w:val="left" w:pos="0"/>
              </w:tabs>
              <w:jc w:val="center"/>
              <w:rPr>
                <w:rFonts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260"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905"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停靠站</w:t>
            </w:r>
          </w:p>
        </w:tc>
        <w:tc>
          <w:tcPr>
            <w:tcW w:w="50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1F、2F、3F、4F、5F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1260"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905"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台 量</w:t>
            </w:r>
          </w:p>
        </w:tc>
        <w:tc>
          <w:tcPr>
            <w:tcW w:w="50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260"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905"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井道尺寸</w:t>
            </w:r>
          </w:p>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（宽×深）（mm）</w:t>
            </w:r>
          </w:p>
        </w:tc>
        <w:tc>
          <w:tcPr>
            <w:tcW w:w="50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2300*2300mm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260"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905"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开门尺寸</w:t>
            </w:r>
          </w:p>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（宽×高）（mm）</w:t>
            </w:r>
          </w:p>
        </w:tc>
        <w:tc>
          <w:tcPr>
            <w:tcW w:w="50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900mm*2100mm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260"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905"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开门方式</w:t>
            </w:r>
          </w:p>
        </w:tc>
        <w:tc>
          <w:tcPr>
            <w:tcW w:w="50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中分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60"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905"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运行方式</w:t>
            </w:r>
          </w:p>
        </w:tc>
        <w:tc>
          <w:tcPr>
            <w:tcW w:w="50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60"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905"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顶层高度</w:t>
            </w:r>
          </w:p>
        </w:tc>
        <w:tc>
          <w:tcPr>
            <w:tcW w:w="50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60"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905"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基坑深度</w:t>
            </w:r>
          </w:p>
        </w:tc>
        <w:tc>
          <w:tcPr>
            <w:tcW w:w="50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60"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905"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控制方式</w:t>
            </w:r>
          </w:p>
        </w:tc>
        <w:tc>
          <w:tcPr>
            <w:tcW w:w="50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集选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905"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门套</w:t>
            </w:r>
          </w:p>
        </w:tc>
        <w:tc>
          <w:tcPr>
            <w:tcW w:w="50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均为304发纹不锈钢大门套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60"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905"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楼层间距（毫米）</w:t>
            </w:r>
          </w:p>
        </w:tc>
        <w:tc>
          <w:tcPr>
            <w:tcW w:w="50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1楼3900，2楼3300，3楼3300，4楼3300，5楼4600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260"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905"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调速系统</w:t>
            </w:r>
          </w:p>
        </w:tc>
        <w:tc>
          <w:tcPr>
            <w:tcW w:w="50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交流变频变压调速VVVF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60"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905"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主机</w:t>
            </w:r>
          </w:p>
        </w:tc>
        <w:tc>
          <w:tcPr>
            <w:tcW w:w="50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永磁同步无齿轮主机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905"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控制系统</w:t>
            </w:r>
          </w:p>
        </w:tc>
        <w:tc>
          <w:tcPr>
            <w:tcW w:w="50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变频调速控制系统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60"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905"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控制柜变频器</w:t>
            </w:r>
          </w:p>
        </w:tc>
        <w:tc>
          <w:tcPr>
            <w:tcW w:w="50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采用VVVF变频器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905"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门机系统</w:t>
            </w:r>
          </w:p>
        </w:tc>
        <w:tc>
          <w:tcPr>
            <w:tcW w:w="50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VVVF门机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905"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门机保护装置</w:t>
            </w:r>
          </w:p>
        </w:tc>
        <w:tc>
          <w:tcPr>
            <w:tcW w:w="50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光幕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60"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905"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钢丝绳</w:t>
            </w:r>
          </w:p>
        </w:tc>
        <w:tc>
          <w:tcPr>
            <w:tcW w:w="50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采用复合钢带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0"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905"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电源要求</w:t>
            </w:r>
          </w:p>
        </w:tc>
        <w:tc>
          <w:tcPr>
            <w:tcW w:w="50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AC380±7%  50±1HZ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60"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905" w:type="dxa"/>
            <w:vAlign w:val="bottom"/>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96333功能</w:t>
            </w:r>
          </w:p>
        </w:tc>
        <w:tc>
          <w:tcPr>
            <w:tcW w:w="5070" w:type="dxa"/>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政府部门规定的远程控制系统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60" w:type="dxa"/>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905" w:type="dxa"/>
            <w:vAlign w:val="bottom"/>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空调</w:t>
            </w:r>
          </w:p>
        </w:tc>
        <w:tc>
          <w:tcPr>
            <w:tcW w:w="5070" w:type="dxa"/>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轿厢单冷空调</w:t>
            </w:r>
          </w:p>
        </w:tc>
      </w:tr>
    </w:tbl>
    <w:p>
      <w:pPr>
        <w:pStyle w:val="3"/>
        <w:rPr>
          <w:rFonts w:hAnsi="宋体" w:eastAsia="黑体" w:cs="Arial"/>
          <w:color w:val="auto"/>
          <w:sz w:val="24"/>
          <w:szCs w:val="22"/>
          <w:highlight w:val="none"/>
        </w:rPr>
      </w:pPr>
      <w:r>
        <w:rPr>
          <w:rFonts w:hint="eastAsia" w:hAnsi="宋体" w:eastAsia="黑体" w:cs="Arial"/>
          <w:color w:val="auto"/>
          <w:sz w:val="24"/>
          <w:szCs w:val="22"/>
          <w:highlight w:val="none"/>
        </w:rPr>
        <w:t>注：所有尺寸需投标人自行测量以现场实际尺寸为准，后期因测量不准而引起的损失由投标人自行承担。</w:t>
      </w:r>
    </w:p>
    <w:p>
      <w:pPr>
        <w:rPr>
          <w:color w:val="auto"/>
          <w:highlight w:val="none"/>
        </w:rPr>
      </w:pPr>
    </w:p>
    <w:p>
      <w:pPr>
        <w:snapToGrid w:val="0"/>
        <w:rPr>
          <w:color w:val="auto"/>
          <w:highlight w:val="none"/>
        </w:rPr>
      </w:pPr>
      <w:r>
        <w:rPr>
          <w:rFonts w:hint="eastAsia" w:cs="宋体" w:asciiTheme="minorEastAsia" w:hAnsiTheme="minorEastAsia" w:eastAsiaTheme="minorEastAsia"/>
          <w:color w:val="auto"/>
          <w:sz w:val="24"/>
          <w:highlight w:val="none"/>
        </w:rPr>
        <w:t>（二）电梯装修要求</w:t>
      </w:r>
    </w:p>
    <w:tbl>
      <w:tblPr>
        <w:tblStyle w:val="62"/>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470"/>
        <w:gridCol w:w="5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53" w:type="dxa"/>
            <w:vMerge w:val="restart"/>
            <w:vAlign w:val="center"/>
          </w:tcPr>
          <w:p>
            <w:pPr>
              <w:tabs>
                <w:tab w:val="left" w:pos="0"/>
              </w:tabs>
              <w:jc w:val="center"/>
              <w:rPr>
                <w:rFonts w:asciiTheme="minorEastAsia" w:hAnsiTheme="minorEastAsia" w:eastAsiaTheme="minorEastAsia" w:cstheme="minorEastAsia"/>
                <w:color w:val="auto"/>
                <w:kern w:val="0"/>
                <w:szCs w:val="21"/>
                <w:highlight w:val="none"/>
              </w:rPr>
            </w:pPr>
          </w:p>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装修</w:t>
            </w:r>
          </w:p>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要求</w:t>
            </w:r>
          </w:p>
        </w:tc>
        <w:tc>
          <w:tcPr>
            <w:tcW w:w="14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轿  厢</w:t>
            </w:r>
          </w:p>
        </w:tc>
        <w:tc>
          <w:tcPr>
            <w:tcW w:w="5618"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发纹不锈钢（轿厢为单通）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53"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4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  面</w:t>
            </w:r>
          </w:p>
        </w:tc>
        <w:tc>
          <w:tcPr>
            <w:tcW w:w="5618"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大理石地板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253"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4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轿厢顶</w:t>
            </w:r>
          </w:p>
        </w:tc>
        <w:tc>
          <w:tcPr>
            <w:tcW w:w="5618"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标准轿厢顶，顶部含灯光和通风扇。如中标，业主可以在投标人提供的电梯样本范围内任意选择，总价不变。轿厢顶需留有摄像机孔，随行电缆中应附视频电缆。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53"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4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轿  门</w:t>
            </w:r>
          </w:p>
        </w:tc>
        <w:tc>
          <w:tcPr>
            <w:tcW w:w="5618"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采用发纹不锈钢，红外线光幕保护。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253"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4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操纵盘</w:t>
            </w:r>
          </w:p>
        </w:tc>
        <w:tc>
          <w:tcPr>
            <w:tcW w:w="5618"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装有触模式发光二极管背景照明的楼层按钮。面板采用发纹不锈钢，微</w:t>
            </w:r>
          </w:p>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动不锈钢按钮。轿厢采用15英寸多媒体液晶显示运行方向及当前层站。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53"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4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厅  门</w:t>
            </w:r>
          </w:p>
        </w:tc>
        <w:tc>
          <w:tcPr>
            <w:tcW w:w="5618"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每</w:t>
            </w:r>
            <w:r>
              <w:rPr>
                <w:rFonts w:hint="eastAsia" w:asciiTheme="minorEastAsia" w:hAnsiTheme="minorEastAsia" w:eastAsiaTheme="minorEastAsia" w:cstheme="minorEastAsia"/>
                <w:color w:val="auto"/>
                <w:kern w:val="0"/>
                <w:szCs w:val="21"/>
                <w:highlight w:val="none"/>
              </w:rPr>
              <w:t>层为304发纹不锈钢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53"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4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门  套</w:t>
            </w:r>
          </w:p>
        </w:tc>
        <w:tc>
          <w:tcPr>
            <w:tcW w:w="5618"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每</w:t>
            </w:r>
            <w:r>
              <w:rPr>
                <w:rFonts w:hint="eastAsia" w:asciiTheme="minorEastAsia" w:hAnsiTheme="minorEastAsia" w:eastAsiaTheme="minorEastAsia" w:cstheme="minorEastAsia"/>
                <w:color w:val="auto"/>
                <w:kern w:val="0"/>
                <w:szCs w:val="21"/>
                <w:highlight w:val="none"/>
              </w:rPr>
              <w:t>层为304发纹不锈钢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1253" w:type="dxa"/>
            <w:vMerge w:val="continue"/>
            <w:vAlign w:val="center"/>
          </w:tcPr>
          <w:p>
            <w:pPr>
              <w:tabs>
                <w:tab w:val="left" w:pos="0"/>
              </w:tabs>
              <w:jc w:val="center"/>
              <w:rPr>
                <w:rFonts w:asciiTheme="minorEastAsia" w:hAnsiTheme="minorEastAsia" w:eastAsiaTheme="minorEastAsia" w:cstheme="minorEastAsia"/>
                <w:color w:val="auto"/>
                <w:kern w:val="0"/>
                <w:szCs w:val="21"/>
                <w:highlight w:val="none"/>
              </w:rPr>
            </w:pPr>
          </w:p>
        </w:tc>
        <w:tc>
          <w:tcPr>
            <w:tcW w:w="1470"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门厅按钮及显示</w:t>
            </w:r>
          </w:p>
        </w:tc>
        <w:tc>
          <w:tcPr>
            <w:tcW w:w="5618" w:type="dxa"/>
            <w:vAlign w:val="center"/>
          </w:tcPr>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发纹不锈钢面板</w:t>
            </w:r>
          </w:p>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发纹不锈钢触摸式发光二极管背景照明的楼层按钮</w:t>
            </w:r>
          </w:p>
          <w:p>
            <w:pPr>
              <w:tabs>
                <w:tab w:val="left" w:pos="0"/>
              </w:tabs>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运行方向显示及层站4.3英寸以上液晶显示</w:t>
            </w:r>
          </w:p>
        </w:tc>
      </w:tr>
    </w:tbl>
    <w:p>
      <w:pPr>
        <w:snapToGrid w:val="0"/>
        <w:rPr>
          <w:rFonts w:cs="宋体" w:asciiTheme="minorEastAsia" w:hAnsiTheme="minorEastAsia" w:eastAsiaTheme="minorEastAsia"/>
          <w:color w:val="auto"/>
          <w:sz w:val="24"/>
          <w:highlight w:val="none"/>
        </w:rPr>
      </w:pPr>
    </w:p>
    <w:p>
      <w:pPr>
        <w:snapToGrid w:val="0"/>
        <w:rPr>
          <w:rFonts w:ascii="宋体" w:hAnsi="宋体" w:cs="宋体"/>
          <w:b/>
          <w:bCs/>
          <w:color w:val="auto"/>
          <w:kern w:val="0"/>
          <w:sz w:val="28"/>
          <w:szCs w:val="28"/>
          <w:highlight w:val="none"/>
        </w:rPr>
      </w:pPr>
      <w:r>
        <w:rPr>
          <w:rFonts w:hint="eastAsia" w:cs="宋体" w:asciiTheme="minorEastAsia" w:hAnsiTheme="minorEastAsia" w:eastAsiaTheme="minorEastAsia"/>
          <w:color w:val="auto"/>
          <w:sz w:val="24"/>
          <w:highlight w:val="none"/>
        </w:rPr>
        <w:t>（三）电梯系统要求</w:t>
      </w:r>
    </w:p>
    <w:tbl>
      <w:tblPr>
        <w:tblStyle w:val="62"/>
        <w:tblW w:w="8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exact"/>
          <w:jc w:val="center"/>
        </w:trPr>
        <w:tc>
          <w:tcPr>
            <w:tcW w:w="2156" w:type="dxa"/>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梯型要求</w:t>
            </w:r>
          </w:p>
        </w:tc>
        <w:tc>
          <w:tcPr>
            <w:tcW w:w="6240" w:type="dxa"/>
            <w:vAlign w:val="bottom"/>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要求提供投标品牌中技术先进且安全可靠、市场使用较成熟的梯型，符合相关技术标准规范和节能环保要求。</w:t>
            </w:r>
          </w:p>
          <w:p>
            <w:pPr>
              <w:tabs>
                <w:tab w:val="left" w:pos="0"/>
              </w:tabs>
              <w:spacing w:line="360" w:lineRule="auto"/>
              <w:jc w:val="center"/>
              <w:rPr>
                <w:rFonts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156" w:type="dxa"/>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控制系统</w:t>
            </w:r>
          </w:p>
        </w:tc>
        <w:tc>
          <w:tcPr>
            <w:tcW w:w="6240" w:type="dxa"/>
            <w:vAlign w:val="bottom"/>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采用全电脑集散模块化串行通讯网络控制系统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2156" w:type="dxa"/>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拖动系统</w:t>
            </w:r>
          </w:p>
        </w:tc>
        <w:tc>
          <w:tcPr>
            <w:tcW w:w="6240" w:type="dxa"/>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拖动系统采用VVVF控制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2156" w:type="dxa"/>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开门系统</w:t>
            </w:r>
          </w:p>
        </w:tc>
        <w:tc>
          <w:tcPr>
            <w:tcW w:w="6240" w:type="dxa"/>
            <w:vAlign w:val="bottom"/>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开门系统采用VVVF门机系统或者直流门机系统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156" w:type="dxa"/>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bCs/>
                <w:color w:val="auto"/>
                <w:kern w:val="0"/>
                <w:szCs w:val="21"/>
                <w:highlight w:val="none"/>
              </w:rPr>
              <w:t>曳引机</w:t>
            </w:r>
          </w:p>
        </w:tc>
        <w:tc>
          <w:tcPr>
            <w:tcW w:w="6240" w:type="dxa"/>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▲曳引机必须采用无齿轮曳引机</w:t>
            </w:r>
          </w:p>
        </w:tc>
      </w:tr>
    </w:tbl>
    <w:tbl>
      <w:tblPr>
        <w:tblStyle w:val="62"/>
        <w:tblpPr w:leftFromText="180" w:rightFromText="180" w:vertAnchor="text" w:horzAnchor="page" w:tblpX="1885" w:tblpY="436"/>
        <w:tblOverlap w:val="never"/>
        <w:tblW w:w="8355" w:type="dxa"/>
        <w:tblInd w:w="0" w:type="dxa"/>
        <w:tblLayout w:type="fixed"/>
        <w:tblCellMar>
          <w:top w:w="0" w:type="dxa"/>
          <w:left w:w="108" w:type="dxa"/>
          <w:bottom w:w="0" w:type="dxa"/>
          <w:right w:w="108" w:type="dxa"/>
        </w:tblCellMar>
      </w:tblPr>
      <w:tblGrid>
        <w:gridCol w:w="773"/>
        <w:gridCol w:w="1987"/>
        <w:gridCol w:w="5595"/>
      </w:tblGrid>
      <w:tr>
        <w:tblPrEx>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bookmarkStart w:id="31" w:name="_Toc249352455"/>
            <w:bookmarkEnd w:id="31"/>
            <w:bookmarkStart w:id="32" w:name="_Toc264897340"/>
            <w:bookmarkEnd w:id="32"/>
            <w:bookmarkStart w:id="33" w:name="_Toc248654052"/>
            <w:bookmarkEnd w:id="33"/>
            <w:bookmarkStart w:id="34" w:name="_Toc250360975"/>
            <w:bookmarkEnd w:id="34"/>
            <w:bookmarkStart w:id="35" w:name="_Toc286848075"/>
            <w:bookmarkEnd w:id="35"/>
            <w:r>
              <w:rPr>
                <w:rFonts w:hint="eastAsia" w:asciiTheme="minorEastAsia" w:hAnsiTheme="minorEastAsia" w:eastAsiaTheme="minorEastAsia" w:cstheme="minorEastAsia"/>
                <w:color w:val="auto"/>
                <w:kern w:val="0"/>
                <w:szCs w:val="21"/>
                <w:highlight w:val="none"/>
              </w:rPr>
              <w:t>序号</w:t>
            </w:r>
          </w:p>
        </w:tc>
        <w:tc>
          <w:tcPr>
            <w:tcW w:w="1987" w:type="dxa"/>
            <w:tcBorders>
              <w:top w:val="single" w:color="auto" w:sz="4" w:space="0"/>
              <w:left w:val="nil"/>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名称</w:t>
            </w:r>
          </w:p>
        </w:tc>
        <w:tc>
          <w:tcPr>
            <w:tcW w:w="5595" w:type="dxa"/>
            <w:tcBorders>
              <w:top w:val="single" w:color="auto" w:sz="4" w:space="0"/>
              <w:left w:val="nil"/>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要求</w:t>
            </w:r>
          </w:p>
        </w:tc>
      </w:tr>
      <w:tr>
        <w:tblPrEx>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p>
        </w:tc>
        <w:tc>
          <w:tcPr>
            <w:tcW w:w="1987" w:type="dxa"/>
            <w:tcBorders>
              <w:top w:val="single" w:color="auto" w:sz="4" w:space="0"/>
              <w:left w:val="nil"/>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电梯的水平振动、垂直振动加速度</w:t>
            </w:r>
          </w:p>
        </w:tc>
        <w:tc>
          <w:tcPr>
            <w:tcW w:w="5595" w:type="dxa"/>
            <w:tcBorders>
              <w:top w:val="single" w:color="auto" w:sz="4" w:space="0"/>
              <w:left w:val="nil"/>
              <w:bottom w:val="single" w:color="auto" w:sz="4" w:space="0"/>
              <w:right w:val="single" w:color="auto" w:sz="4" w:space="0"/>
            </w:tcBorders>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电梯轿厢运行时水平方向和垂直方向的振动加速度分别不应大于</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cm/s2和</w:t>
            </w:r>
            <w:r>
              <w:rPr>
                <w:rFonts w:hint="eastAsia" w:asciiTheme="minorEastAsia" w:hAnsiTheme="minorEastAsia" w:eastAsiaTheme="minorEastAsia" w:cstheme="minorEastAsia"/>
                <w:color w:val="auto"/>
                <w:kern w:val="0"/>
                <w:szCs w:val="21"/>
                <w:highlight w:val="none"/>
                <w:lang w:val="en-US" w:eastAsia="zh-CN"/>
              </w:rPr>
              <w:t>11</w:t>
            </w:r>
            <w:r>
              <w:rPr>
                <w:rFonts w:hint="eastAsia" w:asciiTheme="minorEastAsia" w:hAnsiTheme="minorEastAsia" w:eastAsiaTheme="minorEastAsia" w:cstheme="minorEastAsia"/>
                <w:color w:val="auto"/>
                <w:kern w:val="0"/>
                <w:szCs w:val="21"/>
                <w:highlight w:val="none"/>
              </w:rPr>
              <w:t>cm/s2</w:t>
            </w:r>
          </w:p>
        </w:tc>
      </w:tr>
      <w:tr>
        <w:tblPrEx>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1987" w:type="dxa"/>
            <w:tcBorders>
              <w:top w:val="single" w:color="auto" w:sz="4" w:space="0"/>
              <w:left w:val="nil"/>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起动加速度和制动减速度</w:t>
            </w:r>
          </w:p>
        </w:tc>
        <w:tc>
          <w:tcPr>
            <w:tcW w:w="5595" w:type="dxa"/>
            <w:tcBorders>
              <w:top w:val="single" w:color="auto" w:sz="4" w:space="0"/>
              <w:left w:val="nil"/>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电梯的起动加速度和制动减速度最大值均不得大于1.5m/s2</w:t>
            </w:r>
          </w:p>
        </w:tc>
      </w:tr>
      <w:tr>
        <w:tblPrEx>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p>
        </w:tc>
        <w:tc>
          <w:tcPr>
            <w:tcW w:w="1987" w:type="dxa"/>
            <w:tcBorders>
              <w:top w:val="single" w:color="auto" w:sz="4" w:space="0"/>
              <w:left w:val="nil"/>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噪音指数</w:t>
            </w:r>
          </w:p>
        </w:tc>
        <w:tc>
          <w:tcPr>
            <w:tcW w:w="5595" w:type="dxa"/>
            <w:tcBorders>
              <w:top w:val="single" w:color="auto" w:sz="4" w:space="0"/>
              <w:left w:val="nil"/>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轿内≤52dB（A）、开关门≤55 dB（A），机房≤70dB</w:t>
            </w:r>
          </w:p>
        </w:tc>
      </w:tr>
      <w:tr>
        <w:tblPrEx>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p>
        </w:tc>
        <w:tc>
          <w:tcPr>
            <w:tcW w:w="1987" w:type="dxa"/>
            <w:tcBorders>
              <w:top w:val="single" w:color="auto" w:sz="4" w:space="0"/>
              <w:left w:val="nil"/>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平层精度</w:t>
            </w:r>
          </w:p>
        </w:tc>
        <w:tc>
          <w:tcPr>
            <w:tcW w:w="5595" w:type="dxa"/>
            <w:tcBorders>
              <w:top w:val="single" w:color="auto" w:sz="4" w:space="0"/>
              <w:left w:val="nil"/>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在±3mm范围之内  </w:t>
            </w:r>
          </w:p>
        </w:tc>
      </w:tr>
      <w:tr>
        <w:tblPrEx>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w:t>
            </w:r>
          </w:p>
        </w:tc>
        <w:tc>
          <w:tcPr>
            <w:tcW w:w="1987" w:type="dxa"/>
            <w:tcBorders>
              <w:top w:val="single" w:color="auto" w:sz="4" w:space="0"/>
              <w:left w:val="nil"/>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平衡系数</w:t>
            </w:r>
          </w:p>
        </w:tc>
        <w:tc>
          <w:tcPr>
            <w:tcW w:w="5595" w:type="dxa"/>
            <w:tcBorders>
              <w:top w:val="single" w:color="auto" w:sz="4" w:space="0"/>
              <w:left w:val="nil"/>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▲在0.4～0.5之间   </w:t>
            </w:r>
          </w:p>
        </w:tc>
      </w:tr>
      <w:tr>
        <w:tblPrEx>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w:t>
            </w:r>
          </w:p>
        </w:tc>
        <w:tc>
          <w:tcPr>
            <w:tcW w:w="1987" w:type="dxa"/>
            <w:tcBorders>
              <w:top w:val="single" w:color="auto" w:sz="4" w:space="0"/>
              <w:left w:val="nil"/>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运行故障</w:t>
            </w:r>
          </w:p>
        </w:tc>
        <w:tc>
          <w:tcPr>
            <w:tcW w:w="5595" w:type="dxa"/>
            <w:tcBorders>
              <w:top w:val="single" w:color="auto" w:sz="4" w:space="0"/>
              <w:left w:val="nil"/>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电梯每起制动运行60000次中不应超过3次</w:t>
            </w:r>
          </w:p>
        </w:tc>
      </w:tr>
      <w:tr>
        <w:tblPrEx>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w:t>
            </w:r>
          </w:p>
        </w:tc>
        <w:tc>
          <w:tcPr>
            <w:tcW w:w="1987" w:type="dxa"/>
            <w:tcBorders>
              <w:top w:val="single" w:color="auto" w:sz="4" w:space="0"/>
              <w:left w:val="nil"/>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控制柜失效（故障）</w:t>
            </w:r>
          </w:p>
        </w:tc>
        <w:tc>
          <w:tcPr>
            <w:tcW w:w="5595" w:type="dxa"/>
            <w:tcBorders>
              <w:top w:val="single" w:color="auto" w:sz="4" w:space="0"/>
              <w:left w:val="nil"/>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电梯每起制动运行60000次中不应超过2次</w:t>
            </w:r>
          </w:p>
        </w:tc>
      </w:tr>
      <w:tr>
        <w:tblPrEx>
          <w:tblCellMar>
            <w:top w:w="0" w:type="dxa"/>
            <w:left w:w="108" w:type="dxa"/>
            <w:bottom w:w="0" w:type="dxa"/>
            <w:right w:w="108" w:type="dxa"/>
          </w:tblCellMar>
        </w:tblPrEx>
        <w:tc>
          <w:tcPr>
            <w:tcW w:w="8355" w:type="dxa"/>
            <w:gridSpan w:val="3"/>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rFonts w:asciiTheme="minorEastAsia" w:hAnsiTheme="minorEastAsia" w:eastAsiaTheme="minorEastAsia" w:cstheme="minorEastAsia"/>
                <w:color w:val="auto"/>
                <w:kern w:val="0"/>
                <w:szCs w:val="21"/>
                <w:highlight w:val="none"/>
              </w:rPr>
            </w:pPr>
            <w:r>
              <w:rPr>
                <w:rFonts w:hint="eastAsia" w:ascii="宋体" w:hAnsi="宋体" w:cs="宋体"/>
                <w:b w:val="0"/>
                <w:bCs w:val="0"/>
                <w:color w:val="auto"/>
                <w:kern w:val="0"/>
                <w:sz w:val="24"/>
                <w:highlight w:val="none"/>
                <w:lang w:val="en-US" w:eastAsia="zh-CN"/>
              </w:rPr>
              <w:t>响应文件</w:t>
            </w:r>
            <w:r>
              <w:rPr>
                <w:rFonts w:hint="eastAsia" w:ascii="宋体" w:hAnsi="宋体" w:cs="宋体"/>
                <w:b w:val="0"/>
                <w:bCs w:val="0"/>
                <w:color w:val="auto"/>
                <w:kern w:val="0"/>
                <w:sz w:val="24"/>
                <w:highlight w:val="none"/>
              </w:rPr>
              <w:t>须对以上技术指标要求作出如实准确的答复及承诺并加盖公章。</w:t>
            </w:r>
          </w:p>
        </w:tc>
      </w:tr>
    </w:tbl>
    <w:p>
      <w:pPr>
        <w:numPr>
          <w:ilvl w:val="0"/>
          <w:numId w:val="1"/>
        </w:numPr>
        <w:snapToGrid w:val="0"/>
        <w:rPr>
          <w:rFonts w:hAnsi="宋体" w:cs="宋体"/>
          <w:b/>
          <w:bCs/>
          <w:color w:val="auto"/>
          <w:kern w:val="0"/>
          <w:sz w:val="28"/>
          <w:szCs w:val="28"/>
          <w:highlight w:val="none"/>
        </w:rPr>
      </w:pPr>
      <w:r>
        <w:rPr>
          <w:rFonts w:hint="eastAsia" w:cs="宋体" w:asciiTheme="minorEastAsia" w:hAnsiTheme="minorEastAsia" w:eastAsiaTheme="minorEastAsia"/>
          <w:color w:val="auto"/>
          <w:sz w:val="24"/>
          <w:highlight w:val="none"/>
        </w:rPr>
        <w:t>电梯</w:t>
      </w:r>
      <w:r>
        <w:rPr>
          <w:rFonts w:hint="eastAsia" w:ascii="宋体" w:hAnsi="宋体" w:cs="宋体"/>
          <w:color w:val="auto"/>
          <w:kern w:val="0"/>
          <w:sz w:val="24"/>
          <w:highlight w:val="none"/>
        </w:rPr>
        <w:t>技术指标要求</w:t>
      </w:r>
    </w:p>
    <w:p>
      <w:pPr>
        <w:pStyle w:val="34"/>
        <w:spacing w:line="360" w:lineRule="auto"/>
        <w:outlineLvl w:val="2"/>
        <w:rPr>
          <w:rFonts w:hAnsi="宋体" w:cs="宋体"/>
          <w:b/>
          <w:bCs/>
          <w:snapToGrid/>
          <w:color w:val="auto"/>
          <w:kern w:val="0"/>
          <w:sz w:val="28"/>
          <w:szCs w:val="28"/>
          <w:highlight w:val="none"/>
        </w:rPr>
      </w:pPr>
    </w:p>
    <w:p>
      <w:pPr>
        <w:pStyle w:val="34"/>
        <w:spacing w:line="360" w:lineRule="auto"/>
        <w:outlineLvl w:val="2"/>
        <w:rPr>
          <w:rFonts w:hAnsi="宋体" w:cs="宋体"/>
          <w:b/>
          <w:bCs/>
          <w:snapToGrid/>
          <w:color w:val="auto"/>
          <w:kern w:val="0"/>
          <w:sz w:val="28"/>
          <w:szCs w:val="28"/>
          <w:highlight w:val="none"/>
        </w:rPr>
      </w:pPr>
      <w:r>
        <w:rPr>
          <w:rFonts w:hint="eastAsia" w:hAnsi="宋体" w:cs="宋体"/>
          <w:b/>
          <w:bCs/>
          <w:snapToGrid/>
          <w:color w:val="auto"/>
          <w:kern w:val="0"/>
          <w:sz w:val="28"/>
          <w:szCs w:val="28"/>
          <w:highlight w:val="none"/>
        </w:rPr>
        <w:t>三、招标需求</w:t>
      </w:r>
    </w:p>
    <w:p>
      <w:pPr>
        <w:tabs>
          <w:tab w:val="left" w:pos="0"/>
        </w:tabs>
        <w:spacing w:line="360" w:lineRule="auto"/>
        <w:ind w:firstLine="480"/>
        <w:rPr>
          <w:rFonts w:ascii="宋体" w:hAnsi="宋体" w:cs="宋体"/>
          <w:b/>
          <w:bCs/>
          <w:color w:val="auto"/>
          <w:kern w:val="0"/>
          <w:sz w:val="24"/>
          <w:highlight w:val="none"/>
        </w:rPr>
      </w:pPr>
      <w:r>
        <w:rPr>
          <w:rFonts w:hint="eastAsia" w:ascii="宋体" w:hAnsi="宋体" w:cs="宋体"/>
          <w:b/>
          <w:bCs/>
          <w:color w:val="auto"/>
          <w:kern w:val="0"/>
          <w:sz w:val="24"/>
          <w:highlight w:val="none"/>
        </w:rPr>
        <w:t>1、工作情况</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投标人提供的产品及服务必须满足技术先进、质量优良、供货及时、服务周到的总体要求，严格执行《杭州市电梯安全监察办法》的相关规定，运转顺利、正常、可靠。</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b/>
          <w:bCs/>
          <w:color w:val="auto"/>
          <w:kern w:val="0"/>
          <w:sz w:val="24"/>
          <w:highlight w:val="none"/>
        </w:rPr>
        <w:t>1.1可靠性要求</w:t>
      </w:r>
    </w:p>
    <w:p>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（1）要求连续工作每天20小时，全年365天。</w:t>
      </w:r>
    </w:p>
    <w:p>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（2）电梯的使用寿命不少于20年，在投入使用20年内，制造商能保证配件的供应。</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b/>
          <w:bCs/>
          <w:color w:val="auto"/>
          <w:kern w:val="0"/>
          <w:sz w:val="24"/>
          <w:highlight w:val="none"/>
        </w:rPr>
        <w:t>1.2操作方法</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所有电梯集选或并列运行。</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b/>
          <w:bCs/>
          <w:color w:val="auto"/>
          <w:kern w:val="0"/>
          <w:sz w:val="24"/>
          <w:highlight w:val="none"/>
        </w:rPr>
        <w:t>1.3电梯基本功能</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b w:val="0"/>
          <w:bCs w:val="0"/>
          <w:color w:val="auto"/>
          <w:kern w:val="0"/>
          <w:sz w:val="24"/>
          <w:highlight w:val="none"/>
          <w:lang w:val="en-US" w:eastAsia="zh-CN"/>
        </w:rPr>
        <w:t>响应文件</w:t>
      </w:r>
      <w:r>
        <w:rPr>
          <w:rFonts w:hint="eastAsia" w:ascii="宋体" w:hAnsi="宋体" w:cs="宋体"/>
          <w:b/>
          <w:bCs/>
          <w:color w:val="auto"/>
          <w:kern w:val="0"/>
          <w:sz w:val="24"/>
          <w:highlight w:val="none"/>
        </w:rPr>
        <w:t>必须</w:t>
      </w:r>
      <w:r>
        <w:rPr>
          <w:rFonts w:hint="eastAsia" w:ascii="宋体" w:hAnsi="宋体" w:cs="宋体"/>
          <w:b w:val="0"/>
          <w:bCs w:val="0"/>
          <w:color w:val="auto"/>
          <w:kern w:val="0"/>
          <w:sz w:val="24"/>
          <w:highlight w:val="none"/>
          <w:lang w:val="en-US" w:eastAsia="zh-CN"/>
        </w:rPr>
        <w:t>满足电梯</w:t>
      </w:r>
      <w:r>
        <w:rPr>
          <w:rFonts w:hint="eastAsia" w:ascii="宋体" w:hAnsi="宋体" w:cs="宋体"/>
          <w:color w:val="auto"/>
          <w:kern w:val="0"/>
          <w:sz w:val="24"/>
          <w:highlight w:val="none"/>
        </w:rPr>
        <w:t>具备</w:t>
      </w:r>
      <w:r>
        <w:rPr>
          <w:rFonts w:hint="eastAsia" w:ascii="宋体" w:hAnsi="宋体" w:cs="宋体"/>
          <w:b w:val="0"/>
          <w:bCs w:val="0"/>
          <w:color w:val="auto"/>
          <w:kern w:val="0"/>
          <w:sz w:val="24"/>
          <w:highlight w:val="none"/>
        </w:rPr>
        <w:t>以下</w:t>
      </w:r>
      <w:r>
        <w:rPr>
          <w:rFonts w:hint="eastAsia" w:ascii="宋体" w:hAnsi="宋体" w:cs="宋体"/>
          <w:color w:val="auto"/>
          <w:kern w:val="0"/>
          <w:sz w:val="24"/>
          <w:highlight w:val="none"/>
        </w:rPr>
        <w:t>基本功能</w:t>
      </w:r>
      <w:r>
        <w:rPr>
          <w:rFonts w:hint="eastAsia" w:ascii="宋体" w:hAnsi="宋体" w:cs="宋体"/>
          <w:color w:val="auto"/>
          <w:kern w:val="0"/>
          <w:sz w:val="24"/>
          <w:highlight w:val="none"/>
          <w:lang w:val="en-US" w:eastAsia="zh-CN"/>
        </w:rPr>
        <w:t>并对此</w:t>
      </w:r>
      <w:r>
        <w:rPr>
          <w:rFonts w:hint="eastAsia" w:ascii="宋体" w:hAnsi="宋体" w:cs="宋体"/>
          <w:b w:val="0"/>
          <w:bCs w:val="0"/>
          <w:color w:val="auto"/>
          <w:kern w:val="0"/>
          <w:sz w:val="24"/>
          <w:highlight w:val="none"/>
        </w:rPr>
        <w:t>作出如实准确承诺并加盖公章。</w:t>
      </w:r>
      <w:r>
        <w:rPr>
          <w:rFonts w:hint="eastAsia" w:ascii="宋体" w:hAnsi="宋体" w:cs="宋体"/>
          <w:color w:val="auto"/>
          <w:kern w:val="0"/>
          <w:sz w:val="24"/>
          <w:highlight w:val="none"/>
        </w:rPr>
        <w:t>（标准功能以所投产品的样本中所列功能为准）</w:t>
      </w:r>
    </w:p>
    <w:tbl>
      <w:tblPr>
        <w:tblStyle w:val="62"/>
        <w:tblW w:w="0" w:type="auto"/>
        <w:tblInd w:w="-4" w:type="dxa"/>
        <w:tblLayout w:type="fixed"/>
        <w:tblCellMar>
          <w:top w:w="0" w:type="dxa"/>
          <w:left w:w="108" w:type="dxa"/>
          <w:bottom w:w="0" w:type="dxa"/>
          <w:right w:w="108" w:type="dxa"/>
        </w:tblCellMar>
      </w:tblPr>
      <w:tblGrid>
        <w:gridCol w:w="861"/>
        <w:gridCol w:w="7538"/>
      </w:tblGrid>
      <w:tr>
        <w:tblPrEx>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序号</w:t>
            </w:r>
          </w:p>
        </w:tc>
        <w:tc>
          <w:tcPr>
            <w:tcW w:w="7538" w:type="dxa"/>
            <w:tcBorders>
              <w:top w:val="single" w:color="auto" w:sz="4" w:space="0"/>
              <w:left w:val="nil"/>
              <w:bottom w:val="single" w:color="auto" w:sz="4" w:space="0"/>
              <w:right w:val="single" w:color="auto" w:sz="4" w:space="0"/>
            </w:tcBorders>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▲基本功能描述</w:t>
            </w:r>
          </w:p>
        </w:tc>
      </w:tr>
      <w:tr>
        <w:tblPrEx>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p>
        </w:tc>
        <w:tc>
          <w:tcPr>
            <w:tcW w:w="7538" w:type="dxa"/>
            <w:tcBorders>
              <w:top w:val="single" w:color="auto" w:sz="4" w:space="0"/>
              <w:left w:val="nil"/>
              <w:bottom w:val="single" w:color="auto" w:sz="4" w:space="0"/>
              <w:right w:val="single" w:color="auto" w:sz="4" w:space="0"/>
            </w:tcBorders>
          </w:tcPr>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有司机操作</w:t>
            </w:r>
          </w:p>
        </w:tc>
      </w:tr>
      <w:tr>
        <w:tblPrEx>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7538" w:type="dxa"/>
            <w:tcBorders>
              <w:top w:val="single" w:color="auto" w:sz="4" w:space="0"/>
              <w:left w:val="nil"/>
              <w:bottom w:val="single" w:color="auto" w:sz="4" w:space="0"/>
              <w:right w:val="single" w:color="auto" w:sz="4" w:space="0"/>
            </w:tcBorders>
          </w:tcPr>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超重警告（轿箱内配有电子连续称重装置，精度1%，在轿厢内的操纵盘上装有声音警报装置）。当电梯超重时，不允许关门起动，门必须打开，并同时发出语音警报和文字显示，当超重现象消除时， 警报自动解除，电梯恢复正常运行。</w:t>
            </w:r>
          </w:p>
        </w:tc>
      </w:tr>
      <w:tr>
        <w:tblPrEx>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p>
        </w:tc>
        <w:tc>
          <w:tcPr>
            <w:tcW w:w="7538" w:type="dxa"/>
            <w:tcBorders>
              <w:top w:val="single" w:color="auto" w:sz="4" w:space="0"/>
              <w:left w:val="nil"/>
              <w:bottom w:val="single" w:color="auto" w:sz="4" w:space="0"/>
              <w:right w:val="single" w:color="auto" w:sz="4" w:space="0"/>
            </w:tcBorders>
          </w:tcPr>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报警铃（在轿厢内的操纵盘上装一按钮）。若事故发生，按下操纵盘上的警铃按钮，向控制中心和控制柜呼叫，在轿厢顶和一楼井道的铃声响起。</w:t>
            </w:r>
          </w:p>
        </w:tc>
      </w:tr>
      <w:tr>
        <w:tblPrEx>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p>
        </w:tc>
        <w:tc>
          <w:tcPr>
            <w:tcW w:w="7538" w:type="dxa"/>
            <w:tcBorders>
              <w:top w:val="single" w:color="auto" w:sz="4" w:space="0"/>
              <w:left w:val="nil"/>
              <w:bottom w:val="single" w:color="auto" w:sz="4" w:space="0"/>
              <w:right w:val="single" w:color="auto" w:sz="4" w:space="0"/>
            </w:tcBorders>
          </w:tcPr>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五方通讯：电梯机房、底坑、轿顶、管理中心和轿内之间能五方互通，按下轿厢中的紧急呼叫按钮能向机房和管理中心呼叫、通话。电梯中标人负责轿内、底坑、轿顶、机房、安全中心的对讲设备，负责五方通讯中的机房与管理中心内的接线及调试工作，并将费用计入投标价。电梯机房至管理中心的通讯管线的敷设均由采购单位委托的其它专业施工单位负责，其接线与系统调试由电梯中标人负责。</w:t>
            </w:r>
          </w:p>
        </w:tc>
      </w:tr>
      <w:tr>
        <w:tblPrEx>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w:t>
            </w:r>
          </w:p>
        </w:tc>
        <w:tc>
          <w:tcPr>
            <w:tcW w:w="7538" w:type="dxa"/>
            <w:tcBorders>
              <w:top w:val="single" w:color="auto" w:sz="4" w:space="0"/>
              <w:left w:val="nil"/>
              <w:bottom w:val="single" w:color="auto" w:sz="4" w:space="0"/>
              <w:right w:val="single" w:color="auto" w:sz="4" w:space="0"/>
            </w:tcBorders>
          </w:tcPr>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轿厢紧急电源：停电发生后，紧急照明灯及电扇自动打开保持通风，可持续照明时间不小于2小时，且照明可以保证对操纵盘按钮、报警装置的控制，恢复供电后自动关闭。</w:t>
            </w:r>
          </w:p>
        </w:tc>
      </w:tr>
      <w:tr>
        <w:tblPrEx>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w:t>
            </w:r>
          </w:p>
        </w:tc>
        <w:tc>
          <w:tcPr>
            <w:tcW w:w="7538" w:type="dxa"/>
            <w:tcBorders>
              <w:top w:val="single" w:color="auto" w:sz="4" w:space="0"/>
              <w:left w:val="nil"/>
              <w:bottom w:val="single" w:color="auto" w:sz="4" w:space="0"/>
              <w:right w:val="single" w:color="auto" w:sz="4" w:space="0"/>
            </w:tcBorders>
          </w:tcPr>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自动起停轿厢照明、通风装置：如果电梯停用超过设定的时间，自动关闭轿厢内的照明灯及通风装置。如遇召唤在轿门打开时，同时自动开启照明通风。通风装置应为低噪音。</w:t>
            </w:r>
          </w:p>
        </w:tc>
      </w:tr>
      <w:tr>
        <w:tblPrEx>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w:t>
            </w:r>
          </w:p>
        </w:tc>
        <w:tc>
          <w:tcPr>
            <w:tcW w:w="7538" w:type="dxa"/>
            <w:tcBorders>
              <w:top w:val="single" w:color="auto" w:sz="4" w:space="0"/>
              <w:left w:val="nil"/>
              <w:bottom w:val="single" w:color="auto" w:sz="4" w:space="0"/>
              <w:right w:val="single" w:color="auto" w:sz="4" w:space="0"/>
            </w:tcBorders>
          </w:tcPr>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监测要求：</w:t>
            </w:r>
          </w:p>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96333强行配置运行监控功能（网线敷设及流量由业主自理）</w:t>
            </w:r>
          </w:p>
        </w:tc>
      </w:tr>
      <w:tr>
        <w:tblPrEx>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w:t>
            </w:r>
          </w:p>
        </w:tc>
        <w:tc>
          <w:tcPr>
            <w:tcW w:w="7538" w:type="dxa"/>
            <w:tcBorders>
              <w:top w:val="single" w:color="auto" w:sz="4" w:space="0"/>
              <w:left w:val="nil"/>
              <w:bottom w:val="single" w:color="auto" w:sz="4" w:space="0"/>
              <w:right w:val="single" w:color="auto" w:sz="4" w:space="0"/>
            </w:tcBorders>
          </w:tcPr>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火险紧急返回</w:t>
            </w:r>
          </w:p>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1）假如火险发生，电梯接到消控中心发出的火警信号后自动回到设定层，电梯回到设定层后反馈给消控中心一个已到设定层的信号。</w:t>
            </w:r>
          </w:p>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2）供应商须提供一个对从安全中心传来信号可接收的条件。</w:t>
            </w:r>
          </w:p>
        </w:tc>
      </w:tr>
      <w:tr>
        <w:tblPrEx>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w:t>
            </w:r>
          </w:p>
        </w:tc>
        <w:tc>
          <w:tcPr>
            <w:tcW w:w="7538" w:type="dxa"/>
            <w:tcBorders>
              <w:top w:val="single" w:color="auto" w:sz="4" w:space="0"/>
              <w:left w:val="nil"/>
              <w:bottom w:val="single" w:color="auto" w:sz="4" w:space="0"/>
              <w:right w:val="single" w:color="auto" w:sz="4" w:space="0"/>
            </w:tcBorders>
          </w:tcPr>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控制柜内须设有运行次数计数器。</w:t>
            </w:r>
          </w:p>
        </w:tc>
      </w:tr>
      <w:tr>
        <w:tblPrEx>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w:t>
            </w:r>
          </w:p>
        </w:tc>
        <w:tc>
          <w:tcPr>
            <w:tcW w:w="7538" w:type="dxa"/>
            <w:tcBorders>
              <w:top w:val="single" w:color="auto" w:sz="4" w:space="0"/>
              <w:left w:val="nil"/>
              <w:bottom w:val="single" w:color="auto" w:sz="4" w:space="0"/>
              <w:right w:val="single" w:color="auto" w:sz="4" w:space="0"/>
            </w:tcBorders>
          </w:tcPr>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可以通过在控制柜的设定，取消某些楼层的停靠。</w:t>
            </w:r>
          </w:p>
        </w:tc>
      </w:tr>
      <w:tr>
        <w:tblPrEx>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w:t>
            </w:r>
          </w:p>
        </w:tc>
        <w:tc>
          <w:tcPr>
            <w:tcW w:w="7538" w:type="dxa"/>
            <w:tcBorders>
              <w:top w:val="single" w:color="auto" w:sz="4" w:space="0"/>
              <w:left w:val="nil"/>
              <w:bottom w:val="single" w:color="auto" w:sz="4" w:space="0"/>
              <w:right w:val="single" w:color="auto" w:sz="4" w:space="0"/>
            </w:tcBorders>
          </w:tcPr>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厅外层层显示：每层均有楼层显示、运行方向显示、故障显示和检修显示。</w:t>
            </w:r>
          </w:p>
        </w:tc>
      </w:tr>
      <w:tr>
        <w:tblPrEx>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w:t>
            </w:r>
          </w:p>
        </w:tc>
        <w:tc>
          <w:tcPr>
            <w:tcW w:w="7538" w:type="dxa"/>
            <w:tcBorders>
              <w:top w:val="single" w:color="auto" w:sz="4" w:space="0"/>
              <w:left w:val="nil"/>
              <w:bottom w:val="single" w:color="auto" w:sz="4" w:space="0"/>
              <w:right w:val="single" w:color="auto" w:sz="4" w:space="0"/>
            </w:tcBorders>
          </w:tcPr>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满载不停并在楼层显示器上显示满载。</w:t>
            </w:r>
          </w:p>
        </w:tc>
      </w:tr>
      <w:tr>
        <w:tblPrEx>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w:t>
            </w:r>
          </w:p>
        </w:tc>
        <w:tc>
          <w:tcPr>
            <w:tcW w:w="7538" w:type="dxa"/>
            <w:tcBorders>
              <w:top w:val="single" w:color="auto" w:sz="4" w:space="0"/>
              <w:left w:val="nil"/>
              <w:bottom w:val="single" w:color="auto" w:sz="4" w:space="0"/>
              <w:right w:val="single" w:color="auto" w:sz="4" w:space="0"/>
            </w:tcBorders>
          </w:tcPr>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基站关机</w:t>
            </w:r>
          </w:p>
        </w:tc>
      </w:tr>
      <w:tr>
        <w:tblPrEx>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w:t>
            </w:r>
          </w:p>
        </w:tc>
        <w:tc>
          <w:tcPr>
            <w:tcW w:w="7538" w:type="dxa"/>
            <w:tcBorders>
              <w:top w:val="single" w:color="auto" w:sz="4" w:space="0"/>
              <w:left w:val="nil"/>
              <w:bottom w:val="single" w:color="auto" w:sz="4" w:space="0"/>
              <w:right w:val="single" w:color="auto" w:sz="4" w:space="0"/>
            </w:tcBorders>
          </w:tcPr>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控制柜内故障自动检测、储存、显示功能。</w:t>
            </w:r>
          </w:p>
        </w:tc>
      </w:tr>
      <w:tr>
        <w:tblPrEx>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w:t>
            </w:r>
          </w:p>
        </w:tc>
        <w:tc>
          <w:tcPr>
            <w:tcW w:w="7538" w:type="dxa"/>
            <w:tcBorders>
              <w:top w:val="single" w:color="auto" w:sz="4" w:space="0"/>
              <w:left w:val="nil"/>
              <w:bottom w:val="single" w:color="auto" w:sz="4" w:space="0"/>
              <w:right w:val="single" w:color="auto" w:sz="4" w:space="0"/>
            </w:tcBorders>
          </w:tcPr>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故障时自动停靠站。</w:t>
            </w:r>
          </w:p>
        </w:tc>
      </w:tr>
      <w:tr>
        <w:tblPrEx>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w:t>
            </w:r>
          </w:p>
        </w:tc>
        <w:tc>
          <w:tcPr>
            <w:tcW w:w="7538" w:type="dxa"/>
            <w:tcBorders>
              <w:top w:val="single" w:color="auto" w:sz="4" w:space="0"/>
              <w:left w:val="nil"/>
              <w:bottom w:val="single" w:color="auto" w:sz="4" w:space="0"/>
              <w:right w:val="single" w:color="auto" w:sz="4" w:space="0"/>
            </w:tcBorders>
          </w:tcPr>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乘客电梯开门保护采用光幕保护，不小于79束红外光幕保护，光幕的覆盖范围为25mm-1800mm（从轿门地坎往上开始测量）。</w:t>
            </w:r>
          </w:p>
        </w:tc>
      </w:tr>
      <w:tr>
        <w:tblPrEx>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17</w:t>
            </w:r>
          </w:p>
        </w:tc>
        <w:tc>
          <w:tcPr>
            <w:tcW w:w="7538" w:type="dxa"/>
            <w:tcBorders>
              <w:top w:val="single" w:color="auto" w:sz="4" w:space="0"/>
              <w:left w:val="nil"/>
              <w:bottom w:val="single" w:color="auto" w:sz="4" w:space="0"/>
              <w:right w:val="single" w:color="auto" w:sz="4" w:space="0"/>
            </w:tcBorders>
          </w:tcPr>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轿内误召唤消除：如按错了轿内层站按钮，只要把同一按钮连按二次，就可取消召唤。</w:t>
            </w:r>
          </w:p>
        </w:tc>
      </w:tr>
      <w:tr>
        <w:tblPrEx>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18</w:t>
            </w:r>
          </w:p>
        </w:tc>
        <w:tc>
          <w:tcPr>
            <w:tcW w:w="7538" w:type="dxa"/>
            <w:tcBorders>
              <w:top w:val="single" w:color="auto" w:sz="4" w:space="0"/>
              <w:left w:val="nil"/>
              <w:bottom w:val="single" w:color="auto" w:sz="4" w:space="0"/>
              <w:right w:val="single" w:color="auto" w:sz="4" w:space="0"/>
            </w:tcBorders>
          </w:tcPr>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轿厢开关门保护：当电梯开门时间超过预定值时，电梯会强行关门而应答其他信号。当电梯强行关门几次未能关紧，电梯将打开轿门，停止运转，内外呼梯信号均被自动取消。</w:t>
            </w:r>
          </w:p>
        </w:tc>
      </w:tr>
      <w:tr>
        <w:tblPrEx>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19</w:t>
            </w:r>
          </w:p>
        </w:tc>
        <w:tc>
          <w:tcPr>
            <w:tcW w:w="7538" w:type="dxa"/>
            <w:tcBorders>
              <w:top w:val="single" w:color="auto" w:sz="4" w:space="0"/>
              <w:left w:val="nil"/>
              <w:bottom w:val="single" w:color="auto" w:sz="4" w:space="0"/>
              <w:right w:val="single" w:color="auto" w:sz="4" w:space="0"/>
            </w:tcBorders>
          </w:tcPr>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换层停靠：由于某种原因，电梯到达目的楼层后，门不能完全打开，电梯将会把门关闭，驶往最近的楼层。</w:t>
            </w:r>
          </w:p>
        </w:tc>
      </w:tr>
      <w:tr>
        <w:tblPrEx>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20</w:t>
            </w:r>
          </w:p>
        </w:tc>
        <w:tc>
          <w:tcPr>
            <w:tcW w:w="7538" w:type="dxa"/>
            <w:tcBorders>
              <w:top w:val="single" w:color="auto" w:sz="4" w:space="0"/>
              <w:left w:val="nil"/>
              <w:bottom w:val="single" w:color="auto" w:sz="4" w:space="0"/>
              <w:right w:val="single" w:color="auto" w:sz="4" w:space="0"/>
            </w:tcBorders>
          </w:tcPr>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消防梯需满足当发生火灾时，受消防控制中心指令或首层消防队员专用操作按钮控制进入消防状态的情况下，应达到：</w:t>
            </w:r>
          </w:p>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1、电梯如果正处于上行中，则立即在最近层停靠，不开门，然后返回首层站，并自动打开电梯门。</w:t>
            </w:r>
          </w:p>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2、如果电梯处于下行中，立即关门返回首层站，并自动打开电梯门。</w:t>
            </w:r>
          </w:p>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3、如果电梯已在首层，则立即打开电梯门进入消防员专用状态。</w:t>
            </w:r>
          </w:p>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4、各楼层的叫梯按钮失去作用，召唤切除。</w:t>
            </w:r>
          </w:p>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5、恢复轿厢内指令按钮功能，以便消防队员操作。</w:t>
            </w:r>
          </w:p>
          <w:p>
            <w:pPr>
              <w:tabs>
                <w:tab w:val="left" w:pos="0"/>
              </w:tabs>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6、关门按钮无自保持功能。</w:t>
            </w:r>
          </w:p>
        </w:tc>
      </w:tr>
    </w:tbl>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2、工作范围</w:t>
      </w:r>
    </w:p>
    <w:p>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2.1制造、安装及协调</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供应商需按本技术规格书的要求完成设备的设计、制造、运输、装卸、安装、产品保护、调试及试运行、技术培训、售后服务及质量技术监督部门验收等工作。</w:t>
      </w:r>
    </w:p>
    <w:p>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t>2.2提供的设备</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提供的电梯须包括以下工作服务但不仅限于以下：</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收到中标通知书后7天内，到现场实测电梯安装的位置、相关尺寸、配电位置和配电容量等，向采购人提供中标设备土建需要预留、预埋部件的位置及尺寸、轿箱平面图（此轿箱应符合预留井道要求）及能够正常安装的承诺等；</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（2）提供详细构造图、设备样本和使用操作说明书；</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（3）按采购人认可的设计方案和材料进行加工、制造、供货；</w:t>
      </w:r>
    </w:p>
    <w:p>
      <w:pPr>
        <w:snapToGrid w:val="0"/>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t>（4）运输：供应商负责设备运输至采购人装置地点所有环节的运输并负责卸货。</w:t>
      </w:r>
    </w:p>
    <w:p>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2.3土建预埋工作</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由中标人负责土建预埋工作。</w:t>
      </w:r>
    </w:p>
    <w:p>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2.4土建整改工作</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由中标人完成井道、机房、厅门等的土建整改工作。</w:t>
      </w:r>
    </w:p>
    <w:p>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2.5安装工作</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供应商需按采购人要求和认可负责设备就位、安装和调试及试运行，直至通过有关部门的验收。</w:t>
      </w:r>
    </w:p>
    <w:p>
      <w:pPr>
        <w:tabs>
          <w:tab w:val="left" w:pos="0"/>
        </w:tabs>
        <w:spacing w:line="360" w:lineRule="auto"/>
        <w:ind w:firstLine="480"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rPr>
        <w:t>本项目采用“交钥匙工程”方式，直至质量技术监督部门安全质量验收合格并获得验收证书。</w:t>
      </w:r>
      <w:r>
        <w:rPr>
          <w:rFonts w:hint="eastAsia" w:asciiTheme="minorEastAsia" w:hAnsiTheme="minorEastAsia" w:eastAsiaTheme="minorEastAsia" w:cstheme="minorEastAsia"/>
          <w:b/>
          <w:bCs/>
          <w:color w:val="auto"/>
          <w:kern w:val="0"/>
          <w:sz w:val="24"/>
          <w:highlight w:val="none"/>
        </w:rPr>
        <w:t>工作范围：除采购人提供安装所需的水电接口和设备存放场地以外，脚手架、井道照明、主机搁梁、设备开厢检验费、装卸费、设备就位、安装、调试、验收费、质保期内的工作及其他所需费用全部包括在投标报价内。如果中标人提供的电梯与实际的土建情况不符，均由中标人负责整改，但不得损坏主体结构，所有费用含在投标总价中而不做调整。</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（1）安装计划</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中标人须提供与工程建设总进度相适应的安装计划，并须由采购人认可。</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（2）安装期</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安装计划及进度由供应商和采购人共同协商后安排，但必须确保按采购人要求的日期验收通过，并移交采购人。</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（3）安装管理</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a.现场安装须符合国家的相关条例，服从采购人、总包单位和监理单位的管理及检查，供应商须派有工作经验的工程师负责安装监督，并需在安装期内提交他们的工作报告。采购人保留有变更人员的权力。</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b.</w:t>
      </w: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 w:val="24"/>
          <w:highlight w:val="none"/>
        </w:rPr>
        <w:t>安装单位须提供资质证明文件（特种设备安装改造维修许可证）及施工经历资料，投标文件中须明确负责此项目设备安装的队伍人员名单及工作经历、工作业绩，中标后经采购人审查认可后方可进行施工。</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c.如因供应商原因在安装期间出现安全事故，应由供应商承担由此而引起的全部损失。</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（4）沟槽与通道</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在墙壁、梁、地板或其它结构的所有沟槽和通道，必须与土建一起建造。结构建造完成后，任何在结构内的挖掘，都须在具体施工图中标明，并提交采购人认可。</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（5）设备的各个部件须防火（消防梯）、耐压、耐用、漏电保护，易清洗及易维修，并符合有关规定。</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（6）认可</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设备安装须经质量技术监督部门验收，直至质量技术监督部门安全质量验收合格并获得验收证书。</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（7）保证设备在起吊、运输过程中的安全。</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在安装期间，供应商负责安装中需要的起重、运输所需辅助设备，所有这些设备都须符合安全作业要求。</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（8）完工装潢</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在进入完工装潢之前，所有不需要特殊装潢并且是暴露的钢制件在表面进行除锈防腐处理，若是非暴露的零件、部件、机器等，可在制造时进行除锈、防腐蚀处理，其防腐蚀措施必须得到采购人的认可。</w:t>
      </w:r>
    </w:p>
    <w:p>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2.6测试和试运行</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（1）工具、材料、仪器设备和劳务人员</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供应商应派有五年以上工作经验的工程师在现场负责测试和调试，以检测其设计、制造、运行效果等。并提供所有测试和调试所需的工具、材料、仪器和劳务人员。</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（2）程序和表格</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供应商须在安装结束前2个星期，提交测试和调试方法及记录表格给采购人。</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（3）测试</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提供的电梯设备应在噪音、振动、设备可靠性、性能等方面需符合GB10058-88B标准中的优等品标准和相应的国际标准。</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部分或全部测试需根据实际情况在安装期内或后进行。</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（4）试运行</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设备试运行在有关部门及采购人人员的监督下进行。</w:t>
      </w:r>
    </w:p>
    <w:p>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2.7验收</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（1）产品保护</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工程完成后，供应商须负责全部设备的保护和清洁工作，直至设备验收合格并正常运行后为止。在安装过程中，如建筑结构或其它设备被损坏，供应商将有责任修理或赔偿损失。</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（2）验收合格条件</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①运行结果符合产品标准和技术规格书及合同要求。</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②在进行测试和验收运行过程中发生的故障已被消除并得到采购人的认可。</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③所有合同中规定的货物和材料都已提交。</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④设备在交由物主使用之前已通过质量技术监督管理部门的验收，并得到使用证书。</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⑤整套设备图纸及技术文件都已提交采购人并得到接受。</w:t>
      </w:r>
    </w:p>
    <w:p>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2.8售后服务</w:t>
      </w:r>
    </w:p>
    <w:p>
      <w:pPr>
        <w:tabs>
          <w:tab w:val="left" w:pos="0"/>
        </w:tabs>
        <w:spacing w:line="360" w:lineRule="auto"/>
        <w:ind w:firstLine="422"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Cs w:val="21"/>
          <w:highlight w:val="none"/>
        </w:rPr>
        <w:t>▲</w:t>
      </w:r>
      <w:r>
        <w:rPr>
          <w:rFonts w:hint="eastAsia" w:ascii="宋体" w:hAnsi="宋体" w:cs="宋体"/>
          <w:b/>
          <w:color w:val="auto"/>
          <w:sz w:val="24"/>
          <w:highlight w:val="none"/>
        </w:rPr>
        <w:t>（1）质保期：</w:t>
      </w:r>
      <w:r>
        <w:rPr>
          <w:rFonts w:hint="eastAsia" w:ascii="宋体" w:hAnsi="宋体" w:cs="宋体"/>
          <w:b/>
          <w:color w:val="auto"/>
          <w:sz w:val="24"/>
          <w:highlight w:val="none"/>
          <w:lang w:val="en-US" w:eastAsia="zh-CN"/>
        </w:rPr>
        <w:t>整梯</w:t>
      </w:r>
      <w:r>
        <w:rPr>
          <w:rFonts w:hint="eastAsia" w:ascii="宋体" w:hAnsi="宋体" w:cs="宋体"/>
          <w:b/>
          <w:color w:val="auto"/>
          <w:sz w:val="24"/>
          <w:highlight w:val="none"/>
        </w:rPr>
        <w:t>的质量保证期为全部产品安装调试完成，经技术监督部门验收合格且合同双方共同签署电梯验收合格证书之日起 24 个月。核心部件（门机、控制柜、主机、安全钳、限速器、缓冲器）不少于十年的质保期限，中标方提供设备的质量保证期为现场安装完毕，经有关部门验收合格并交付采购人使用之日起计算</w:t>
      </w:r>
      <w:r>
        <w:rPr>
          <w:rFonts w:hint="eastAsia" w:ascii="宋体" w:hAnsi="宋体" w:cs="宋体"/>
          <w:b/>
          <w:color w:val="auto"/>
          <w:sz w:val="24"/>
          <w:highlight w:val="none"/>
          <w:lang w:eastAsia="zh-CN"/>
        </w:rPr>
        <w:t>，</w:t>
      </w:r>
      <w:r>
        <w:rPr>
          <w:rFonts w:hint="eastAsia" w:ascii="宋体" w:hAnsi="宋体" w:cs="宋体"/>
          <w:b/>
          <w:color w:val="auto"/>
          <w:sz w:val="24"/>
          <w:highlight w:val="none"/>
        </w:rPr>
        <w:t>提供质保期承诺函并加盖公章</w:t>
      </w:r>
      <w:r>
        <w:rPr>
          <w:rFonts w:hint="eastAsia" w:ascii="宋体" w:hAnsi="宋体" w:cs="宋体"/>
          <w:b/>
          <w:color w:val="auto"/>
          <w:sz w:val="24"/>
          <w:highlight w:val="none"/>
          <w:lang w:eastAsia="zh-CN"/>
        </w:rPr>
        <w:t>。</w:t>
      </w:r>
      <w:r>
        <w:rPr>
          <w:rFonts w:hint="eastAsia" w:ascii="宋体" w:hAnsi="宋体" w:cs="宋体"/>
          <w:b/>
          <w:color w:val="auto"/>
          <w:sz w:val="24"/>
          <w:highlight w:val="none"/>
        </w:rPr>
        <w:t>在质保期内，因电梯的维修和保养所发生的一切费用，均由中标方承担。</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在杭州市内须设有安装维修服务网点，并具有安装维修资质，以处理所有的维修服务，需提供24小时服务，而且维修人员需在接到维修电话后0.5小时内赶到现场，提供不间断的服务直到结束。维修点需提供足够的备件以适应采购人维修要求。</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（3）供应商须对合同中规定的整套电梯提供至少交付使用后12个月的质保期及免费维修和保养，采购人接受并使用之日算起。</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（4）在质保期内的工作应包括对所有电梯每15天1次的常规检查、调整和润滑。具体的操作程序和内容须在投标时说明。</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（5）质保期内供应商须自行付费，负责修理和替换任何由于设备自身的质量问题造成的损坏及故障。</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（6）在缺陷保修结束时，必须由专业工程师对电梯进行另一次测试，任何故障须由供应商自费解决并取得采购人的同意。</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（7）每次故障修复后，供应商需一式两份报告给采购人，包括故障原因，解决措施，完成修理所费时间及恢复正常运行日期。</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（8）供应商须有能力在桐庐县提供长期技术服务。</w:t>
      </w:r>
    </w:p>
    <w:p>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2.9技术培训</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供应商须对采购人的技术操作人员4人（2人机械，2人电气）进行培训。</w:t>
      </w:r>
      <w:r>
        <w:rPr>
          <w:rFonts w:hint="eastAsia" w:asciiTheme="minorEastAsia" w:hAnsiTheme="minorEastAsia" w:eastAsiaTheme="minorEastAsia" w:cstheme="minorEastAsia"/>
          <w:b/>
          <w:bCs/>
          <w:color w:val="auto"/>
          <w:kern w:val="0"/>
          <w:sz w:val="24"/>
          <w:highlight w:val="none"/>
        </w:rPr>
        <w:t>供应商须在投标文件中提供详细的培训计划，包括培训内容、培训时间、培训费用等。</w:t>
      </w:r>
    </w:p>
    <w:p>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2.10检验和维修设备及工具</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(1)须免费提供足够的常用及专用检修设备。</w:t>
      </w:r>
      <w:r>
        <w:rPr>
          <w:rFonts w:hint="eastAsia" w:asciiTheme="minorEastAsia" w:hAnsiTheme="minorEastAsia" w:eastAsiaTheme="minorEastAsia" w:cstheme="minorEastAsia"/>
          <w:b/>
          <w:bCs/>
          <w:color w:val="auto"/>
          <w:kern w:val="0"/>
          <w:sz w:val="24"/>
          <w:highlight w:val="none"/>
        </w:rPr>
        <w:t>推荐的检修设备须在投标文件中注明。</w:t>
      </w:r>
      <w:r>
        <w:rPr>
          <w:rFonts w:hint="eastAsia" w:asciiTheme="minorEastAsia" w:hAnsiTheme="minorEastAsia" w:eastAsiaTheme="minorEastAsia" w:cstheme="minorEastAsia"/>
          <w:color w:val="auto"/>
          <w:kern w:val="0"/>
          <w:sz w:val="24"/>
          <w:highlight w:val="none"/>
        </w:rPr>
        <w:t>这些设备及工具不能在安装时使用。</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(2)所有测试需要的附件、零部件和中文操作维修手册应与检修设备一并免费提供。</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(3)所有检修设备使用的交流电应为50Hz、220V、单相、三线，并能在±7%的压差下正常运行。</w:t>
      </w:r>
    </w:p>
    <w:p>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2.11商标与铭牌</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供应商提供的设备，其铭牌、使用标记，警示标记都应表示清楚。</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2.12这份规格书只是对电梯一些原则性要求，并不是详尽的要求，供应商有责任对设计符合技术规范、标准负责。</w:t>
      </w:r>
    </w:p>
    <w:p>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3、总体要求</w:t>
      </w:r>
    </w:p>
    <w:p>
      <w:pPr>
        <w:tabs>
          <w:tab w:val="left" w:pos="0"/>
        </w:tabs>
        <w:spacing w:line="360" w:lineRule="auto"/>
        <w:ind w:firstLine="480" w:firstLineChars="200"/>
        <w:rPr>
          <w:color w:val="auto"/>
          <w:highlight w:val="none"/>
        </w:rPr>
      </w:pPr>
      <w:r>
        <w:rPr>
          <w:rFonts w:hint="eastAsia" w:asciiTheme="minorEastAsia" w:hAnsiTheme="minorEastAsia" w:eastAsiaTheme="minorEastAsia" w:cstheme="minorEastAsia"/>
          <w:color w:val="auto"/>
          <w:kern w:val="0"/>
          <w:sz w:val="24"/>
          <w:highlight w:val="none"/>
        </w:rPr>
        <w:t>所有提供设备的安装、调试、试车运作及验收通过时间需服从采购人的安排。如采购人因土建等其它原因，要求将交货期、安装调试期作适当调整的，供应商应无条件接受。</w:t>
      </w:r>
    </w:p>
    <w:p>
      <w:pPr>
        <w:tabs>
          <w:tab w:val="left" w:pos="0"/>
        </w:tabs>
        <w:spacing w:line="360" w:lineRule="auto"/>
        <w:ind w:firstLine="480"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rPr>
        <w:t>所有合同中提供的设备应能符合下列的环境条件，因此，当供应商提供设备时应考虑相应环境的条件，但不仅限于以下。</w:t>
      </w:r>
    </w:p>
    <w:p>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3.1适应性要求</w:t>
      </w:r>
    </w:p>
    <w:p>
      <w:pPr>
        <w:tabs>
          <w:tab w:val="left" w:pos="0"/>
        </w:tabs>
        <w:spacing w:line="360" w:lineRule="auto"/>
        <w:ind w:firstLine="480" w:firstLineChars="200"/>
        <w:rPr>
          <w:color w:val="auto"/>
          <w:highlight w:val="none"/>
        </w:rPr>
      </w:pPr>
      <w:r>
        <w:rPr>
          <w:rFonts w:hint="eastAsia" w:asciiTheme="minorEastAsia" w:hAnsiTheme="minorEastAsia" w:eastAsiaTheme="minorEastAsia" w:cstheme="minorEastAsia"/>
          <w:color w:val="auto"/>
          <w:kern w:val="0"/>
          <w:sz w:val="24"/>
          <w:highlight w:val="none"/>
        </w:rPr>
        <w:t>（1）室外环境温度：-10℃～40℃</w:t>
      </w:r>
    </w:p>
    <w:p>
      <w:pPr>
        <w:pStyle w:val="6"/>
        <w:spacing w:line="360" w:lineRule="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（2）电源条件</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所有提供的设备和元器件的安装须符合和适应下列条件，不包括在另行条文中的说明。</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电压：～380V，3相5线，50Hz；～220V，单相，50Hz；</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电压波动：±7%                    接地电阻要求：≤4欧姆</w:t>
      </w:r>
    </w:p>
    <w:p>
      <w:pPr>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3.2抗地震要求</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所有提供的设备，须适应6度地震烈度，建筑结构未受偏差影响前提下，能正常运行。</w:t>
      </w:r>
    </w:p>
    <w:p>
      <w:pPr>
        <w:pStyle w:val="6"/>
        <w:spacing w:line="360" w:lineRule="auto"/>
        <w:ind w:firstLine="482"/>
        <w:rPr>
          <w:rFonts w:asciiTheme="minorEastAsia" w:hAnsiTheme="minorEastAsia" w:eastAsiaTheme="minorEastAsia" w:cstheme="minorEastAsia"/>
          <w:b/>
          <w:bCs/>
          <w:color w:val="auto"/>
          <w:kern w:val="0"/>
          <w:highlight w:val="none"/>
        </w:rPr>
      </w:pPr>
      <w:r>
        <w:rPr>
          <w:rFonts w:hint="eastAsia"/>
          <w:b/>
          <w:bCs/>
          <w:color w:val="auto"/>
          <w:highlight w:val="none"/>
        </w:rPr>
        <w:t>3.3</w:t>
      </w:r>
      <w:r>
        <w:rPr>
          <w:rFonts w:hint="eastAsia" w:asciiTheme="minorEastAsia" w:hAnsiTheme="minorEastAsia" w:eastAsiaTheme="minorEastAsia" w:cstheme="minorEastAsia"/>
          <w:b/>
          <w:bCs/>
          <w:color w:val="auto"/>
          <w:kern w:val="0"/>
          <w:highlight w:val="none"/>
        </w:rPr>
        <w:t>产品标准和规范</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本招标文件成文时，下列所示标准和规范均有效。所有标准和规范都会被修订，供应商应达到下列标准和规范最新版本的要求。</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（1）中华人民共和国标准和国外标准</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由供应商提供的所有产品和服务须符合下列规范、条例及标准</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◆中华人民共和国的国家标准：《电梯工程施工质量验收规范》（GB50310-2002）</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◆中华人民共和国的国家标准：《电梯制造和安装安全规范》（GB7588-2003）</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◆中华人民共和国的国家标准：《电梯安装验收规范》（GB10060-93）</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◆中华人民共和国的国家标准：《电梯技术条件》(CB10058-93）</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◆中华人民共和国的国家标准：《电梯试验方法》（GB10059-97）</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◆中华人民共和国国家建设部“电梯手册”（JJ49-87）</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◆中华人民共和国的国家标准：《建筑工程施工质量验收统一标准》( GB50300-2001)</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◆中华人民共和国国家标准：《电梯安装工程质量检验评估标准》</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◆浙江省消防部门的条例及相关的中国国家消防规范</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◆电力供应部门的供电规章条例</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其他有关的中国规定，由采购人认可的其它国家的其它权威标准。</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供应商遵守不仅限于此规格书中的标准时，应向采购人及时解释清楚。以上性能参数如与土建图纸矛盾，以图纸为准，制造商发现问题，请及时通知采购人。</w:t>
      </w:r>
    </w:p>
    <w:p>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3.4制造监制和出厂检验</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设备制造期间，采购人有权在适当的时间到制造厂进行制造监制，在制造监制期间，制造商有责任提供有关设备包括各种数据，设备结构图和部件图的详细中文资料。但采购人监制并不解除制造商对所有产品在制造质量上应负的全部责任。</w:t>
      </w:r>
    </w:p>
    <w:p>
      <w:pPr>
        <w:pStyle w:val="6"/>
        <w:spacing w:line="360" w:lineRule="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在设备出厂之前，制造商须邀请采购人技术人员至制造厂家进行检验。主要部件和电气部件及总体工程的检验都应在工厂内结束。供应商须提供由采购人工程师认可的一整套检验标准和计划。所有检验应严格地按照认可的方式进行。供应商在投标文件中应把采购人赴工厂检验费用计入产品总价，该费用将包含于投标总价中。在检验结束后，供应商须提供必要的技术数据和图纸，并提交一份测试报告给采购人，但采购人的工厂检验并不解除制造商对所有产品在制造质量上应负的全部责任。</w:t>
      </w:r>
    </w:p>
    <w:p>
      <w:pPr>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3.5设备的防护、包装及运输</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（1）设备的防护及油漆</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设备内、外表面应洁净。投标人在投标时须提供设备的具体防护措施供采购人认可，并对此工作负责。油漆表面应光沾，无折皱和剥落。</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（2）所有设备应合理、有效包装，以使其有效防止各种损坏，如受潮、受热、剥落、腐蚀、变形等。</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对不油漆且易磨损的零件应涂上高熔点或脂肪酸或其他保护功能的油脂以得到保护，并得到妥善包装后固定。机组所有开口处应封闭保护起来，以防止在运输人搬运途中异物进入。电动机、控制中心、排气装置和机组的控制器等均应加保护罩。</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（4）随机的零部件、备品备件等散件应木箱包装。这些箱盒应适合于储存，储存年限应在包装上予以说明。</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（5）设备的包装费应包括在投标总价中，这些包装材料应属于采购人所有。</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在包装箱中，应附有产品合格证书（包括机组合格证、部件合格证、材料合格证等）、产品说明书、装箱单、易损件备件及专用工具清单，一套完整的经批准的图纸及有关技术文件资料。包装箱外面应注明数量、设备名称、编号、起吊位置、警示标志、外形尺寸、毛重等。所有文字应为中文或中、英文两种。以中文为准。</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（7）供应商应对设备的整个交货过程负责，包括运输、装卸、安装调试、装潢的安全。</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（8）随包装箱带的文件、资料应防潮密封，并放置在包装箱内明显处。</w:t>
      </w:r>
    </w:p>
    <w:p>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3.6到货验收</w:t>
      </w:r>
    </w:p>
    <w:p>
      <w:pPr>
        <w:pStyle w:val="6"/>
        <w:spacing w:line="360" w:lineRule="auto"/>
        <w:rPr>
          <w:color w:val="auto"/>
          <w:highlight w:val="none"/>
        </w:rPr>
      </w:pPr>
      <w:r>
        <w:rPr>
          <w:rFonts w:hint="eastAsia" w:asciiTheme="minorEastAsia" w:hAnsiTheme="minorEastAsia" w:eastAsiaTheme="minorEastAsia" w:cstheme="minorEastAsia"/>
          <w:color w:val="auto"/>
          <w:kern w:val="0"/>
          <w:highlight w:val="none"/>
        </w:rPr>
        <w:t>供应商应派员在所供设备到工地时进行到货验收。若发现任何损坏及质量问题，供应商应负责更换零件，并妥善处理直至采购人满意。此工作所发生费用应由供应商自行承担。</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在建设单位工地的临时存放场地由采购人负责协调落实，但供应商应负责看管。</w:t>
      </w:r>
    </w:p>
    <w:p>
      <w:pPr>
        <w:pStyle w:val="6"/>
        <w:spacing w:line="360" w:lineRule="auto"/>
        <w:ind w:firstLine="482"/>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3.7所需资料</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（1）按本招标文件要求提供投标所需技术资科。</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宋体" w:hAnsi="宋体" w:cs="宋体"/>
          <w:color w:val="auto"/>
          <w:kern w:val="0"/>
          <w:sz w:val="24"/>
          <w:highlight w:val="none"/>
        </w:rPr>
        <w:t>（2）</w:t>
      </w:r>
      <w:r>
        <w:rPr>
          <w:rFonts w:hint="eastAsia" w:asciiTheme="minorEastAsia" w:hAnsiTheme="minorEastAsia" w:eastAsiaTheme="minorEastAsia" w:cstheme="minorEastAsia"/>
          <w:color w:val="auto"/>
          <w:kern w:val="0"/>
          <w:sz w:val="24"/>
          <w:highlight w:val="none"/>
        </w:rPr>
        <w:t>采购人与中标人签订合同后，供应商须按建设进度要求提供下列资料：</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·布置方案图；</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·井道施工图；</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·电梯机房的施工图及对招标方的要求；</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·设备安装图（包括电气、系统安装线路图）；</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·电路电气控制图、系统原理图；</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·结构图；</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·接地方式；</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·设备安装、操作、维护手册或说明书（中文版）；</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·提供门锁、限速器，安全钳、缓冲器等主要安全装置的试验报告副本；</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·采购人认为有必要提供的其他文件和技术资料。</w:t>
      </w:r>
    </w:p>
    <w:p>
      <w:pPr>
        <w:pStyle w:val="6"/>
        <w:spacing w:line="360" w:lineRule="auto"/>
        <w:ind w:firstLine="482"/>
        <w:rPr>
          <w:b/>
          <w:bCs/>
          <w:color w:val="auto"/>
          <w:highlight w:val="none"/>
        </w:rPr>
      </w:pPr>
      <w:r>
        <w:rPr>
          <w:rFonts w:hint="eastAsia" w:asciiTheme="minorEastAsia" w:hAnsiTheme="minorEastAsia" w:eastAsiaTheme="minorEastAsia" w:cstheme="minorEastAsia"/>
          <w:b/>
          <w:bCs/>
          <w:color w:val="auto"/>
          <w:kern w:val="0"/>
          <w:highlight w:val="none"/>
        </w:rPr>
        <w:t>3.8设计图纸要求</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·图纸一式六份在接到中标通知书后七个工作日内需交采购人审查并认可；</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·如果有任何图纸未被认可，须由供应商按采购人要求做好修改，并再次送审直到认可。</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（1）图纸审查包括：</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①所有对土建的要求符合现有的实际情况，包括荷载、打孔位置和尺寸、预埋件、吊装预留孔、吊装荷载、通道、预埋沟地基和用于固定的一些细节等。所有对土建工程的要求须在中标通知书发出七天内送交采购人和采购人委托的设计研究院审查，以便审查有效。</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②主要设备和装置须按额定值、外形、尺寸、表面装饰、维修、更换、安装方法等方面加以阐明。</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③与其他设备系统的连接示意图及工作范围（例：消防系统、电气设备、弱电等）。</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④设备及装置的布置图、辅助线路图等等。所有设备、装置的线路图，都须用特殊的线标明，以防与其它线混同。</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⑤主要设备的交货程序，外形尺寸、重量和预留吊装位置和吊钩。</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⑥主要设备的电源负荷和通风降温要求。</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⑦应标明电梯机房的剖面以获得土建的认可。</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（2）供应商在接到任何有关土建或结构设计的变更通知，须根据变更提供详细土建图。</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（3）供应商须在完成合同范围的安装、调试验收完毕后，七天内提交所有相关的安装记录和工序验收记录并提交竣工图。所提交的竣工资料必须完整，符合总包单位的质量目标要求。</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（4）在培训期间，供应商须免费提供中文培训材料给采购人。</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（5）在正式交付运行前七天，供应商需提交包括竣工图、控制、操作和维护手册一式六份，以便于采购人和相关人员能预先对将要运行的设备和系统有所了解。每本手册应包括下列基本材料：</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·所有设备规格和详细操作说明。</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·系统和主要部件常见故障说明，包括零部件图和总图，说明书应包括备件清单、操作和维修方法。</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·例行维修保养项目和期限的建议。</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·紧急安全措施的建议。</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·紧急维修中心电话号码、地址，维修人员的电话号码。</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（6）在设备测试期间，供应商须提交一式6份各式报告给采购人。</w:t>
      </w:r>
    </w:p>
    <w:p>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3.9提供资料时间</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采购人须在合同签订后，制订出提交资料的进度表，此进度表应为采购人所认可，并应符合设计、制造、土建安装、调试等工程建设进度的需要。</w:t>
      </w:r>
    </w:p>
    <w:p>
      <w:pPr>
        <w:pStyle w:val="6"/>
        <w:spacing w:line="360" w:lineRule="auto"/>
        <w:ind w:firstLine="562"/>
        <w:rPr>
          <w:b/>
          <w:bCs/>
          <w:color w:val="auto"/>
          <w:sz w:val="28"/>
          <w:szCs w:val="28"/>
          <w:highlight w:val="none"/>
        </w:rPr>
      </w:pPr>
      <w:r>
        <w:rPr>
          <w:rFonts w:hint="eastAsia"/>
          <w:b/>
          <w:bCs/>
          <w:color w:val="auto"/>
          <w:sz w:val="28"/>
          <w:szCs w:val="28"/>
          <w:highlight w:val="none"/>
        </w:rPr>
        <w:t>六、商务需求</w:t>
      </w:r>
    </w:p>
    <w:p>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1、供货期要求</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bookmarkStart w:id="36" w:name="_Toc292355750"/>
      <w:bookmarkEnd w:id="36"/>
      <w:r>
        <w:rPr>
          <w:rFonts w:hint="eastAsia" w:asciiTheme="minorEastAsia" w:hAnsiTheme="minorEastAsia" w:eastAsiaTheme="minorEastAsia" w:cstheme="minorEastAsia"/>
          <w:color w:val="auto"/>
          <w:kern w:val="0"/>
          <w:sz w:val="24"/>
          <w:highlight w:val="none"/>
        </w:rPr>
        <w:t>本电梯项目的交货周期为20日历天，安装周期接到通知后20日历天，必须满足杭州市生态环境局桐庐分局旧梯改造项目对电梯的需求，中标人必须无条件服从采购人的指令，按要求无条件提供全新的符合本招标文件中所有要求的设备和按要求及时完成电梯的安装和调试。</w:t>
      </w:r>
    </w:p>
    <w:p>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bookmarkStart w:id="37" w:name="_Toc292355751"/>
      <w:bookmarkEnd w:id="37"/>
      <w:r>
        <w:rPr>
          <w:rFonts w:hint="eastAsia" w:asciiTheme="minorEastAsia" w:hAnsiTheme="minorEastAsia" w:eastAsiaTheme="minorEastAsia" w:cstheme="minorEastAsia"/>
          <w:b/>
          <w:bCs/>
          <w:color w:val="auto"/>
          <w:kern w:val="0"/>
          <w:sz w:val="24"/>
          <w:highlight w:val="none"/>
        </w:rPr>
        <w:t>2、付款方式</w:t>
      </w:r>
    </w:p>
    <w:p>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2.1设备款的支付</w:t>
      </w:r>
    </w:p>
    <w:p>
      <w:pPr>
        <w:numPr>
          <w:ilvl w:val="0"/>
          <w:numId w:val="2"/>
        </w:numPr>
        <w:tabs>
          <w:tab w:val="left" w:pos="0"/>
        </w:tabs>
        <w:spacing w:line="360" w:lineRule="auto"/>
        <w:ind w:firstLine="482" w:firstLineChars="200"/>
        <w:rPr>
          <w:rFonts w:hint="eastAsia" w:ascii="宋体" w:hAnsi="宋体" w:cs="仿宋"/>
          <w:b/>
          <w:bCs/>
          <w:color w:val="auto"/>
          <w:szCs w:val="21"/>
          <w:highlight w:val="none"/>
        </w:rPr>
      </w:pPr>
      <w:r>
        <w:rPr>
          <w:rFonts w:hint="eastAsia" w:cs="宋体" w:asciiTheme="minorEastAsia" w:hAnsiTheme="minorEastAsia" w:eastAsiaTheme="minorEastAsia"/>
          <w:b/>
          <w:bCs/>
          <w:color w:val="auto"/>
          <w:sz w:val="24"/>
          <w:highlight w:val="none"/>
        </w:rPr>
        <w:t>履约保证金</w:t>
      </w:r>
      <w:r>
        <w:rPr>
          <w:rFonts w:hint="eastAsia" w:cs="宋体" w:asciiTheme="minorEastAsia" w:hAnsiTheme="minorEastAsia" w:eastAsiaTheme="minorEastAsia"/>
          <w:b/>
          <w:bCs/>
          <w:color w:val="auto"/>
          <w:sz w:val="24"/>
          <w:highlight w:val="none"/>
          <w:lang w:eastAsia="zh-CN"/>
        </w:rPr>
        <w:t>：</w:t>
      </w:r>
      <w:r>
        <w:rPr>
          <w:rFonts w:hint="eastAsia" w:cs="宋体" w:asciiTheme="minorEastAsia" w:hAnsiTheme="minorEastAsia" w:eastAsiaTheme="minorEastAsia"/>
          <w:color w:val="auto"/>
          <w:sz w:val="24"/>
          <w:highlight w:val="none"/>
        </w:rPr>
        <w:t>本项目的履约保证金按合同总价的</w:t>
      </w:r>
      <w:r>
        <w:rPr>
          <w:rFonts w:hint="eastAsia" w:cs="宋体" w:asciiTheme="minorEastAsia" w:hAnsiTheme="minorEastAsia" w:eastAsiaTheme="minorEastAsia"/>
          <w:color w:val="auto"/>
          <w:sz w:val="24"/>
          <w:highlight w:val="none"/>
          <w:lang w:val="en-US" w:eastAsia="zh-CN"/>
        </w:rPr>
        <w:t>0.</w:t>
      </w:r>
      <w:r>
        <w:rPr>
          <w:rFonts w:hint="eastAsia" w:cs="宋体" w:asciiTheme="minorEastAsia" w:hAnsiTheme="minorEastAsia" w:eastAsiaTheme="minorEastAsia"/>
          <w:color w:val="auto"/>
          <w:sz w:val="24"/>
          <w:highlight w:val="none"/>
        </w:rPr>
        <w:t>1%收取，中标人在合同签订后5日内交付至指定账户</w:t>
      </w:r>
      <w:r>
        <w:rPr>
          <w:rFonts w:hint="eastAsia" w:cs="宋体" w:asciiTheme="minorEastAsia" w:hAnsiTheme="minorEastAsia" w:eastAsiaTheme="minorEastAsia"/>
          <w:color w:val="auto"/>
          <w:sz w:val="24"/>
          <w:highlight w:val="none"/>
          <w:lang w:val="en-US" w:eastAsia="zh-CN"/>
        </w:rPr>
        <w:t>,</w:t>
      </w:r>
      <w:r>
        <w:rPr>
          <w:rFonts w:hint="eastAsia" w:cs="宋体" w:asciiTheme="minorEastAsia" w:hAnsiTheme="minorEastAsia" w:eastAsiaTheme="minorEastAsia"/>
          <w:color w:val="auto"/>
          <w:sz w:val="24"/>
          <w:highlight w:val="none"/>
        </w:rPr>
        <w:t>履约期结束，采购人无息退还履约保证金。</w:t>
      </w:r>
      <w:r>
        <w:rPr>
          <w:rFonts w:hint="eastAsia" w:cs="宋体" w:asciiTheme="minorEastAsia" w:hAnsiTheme="minorEastAsia" w:eastAsiaTheme="minorEastAsia"/>
          <w:b/>
          <w:bCs/>
          <w:color w:val="auto"/>
          <w:sz w:val="24"/>
          <w:highlight w:val="none"/>
        </w:rPr>
        <w:t>（注：中标人向采购人提交银行、保险公司等金融机构出具的预付款保函或其他担保措施。）</w:t>
      </w:r>
    </w:p>
    <w:p>
      <w:pPr>
        <w:tabs>
          <w:tab w:val="left" w:pos="0"/>
        </w:tabs>
        <w:spacing w:line="360" w:lineRule="auto"/>
        <w:ind w:firstLine="480" w:firstLineChars="200"/>
        <w:rPr>
          <w:rFonts w:hint="eastAsia"/>
          <w:color w:val="auto"/>
          <w:highlight w:val="none"/>
        </w:rPr>
      </w:pP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w:t>
      </w:r>
      <w:r>
        <w:rPr>
          <w:rFonts w:hint="eastAsia" w:cs="宋体" w:asciiTheme="minorEastAsia" w:hAnsiTheme="minorEastAsia" w:eastAsiaTheme="minorEastAsia"/>
          <w:color w:val="auto"/>
          <w:sz w:val="24"/>
          <w:highlight w:val="none"/>
        </w:rPr>
        <w:t>合同签订之日起7日内</w:t>
      </w:r>
      <w:r>
        <w:rPr>
          <w:rFonts w:hint="eastAsia" w:cs="宋体" w:asciiTheme="minorEastAsia" w:hAnsiTheme="minorEastAsia" w:eastAsiaTheme="minorEastAsia"/>
          <w:color w:val="auto"/>
          <w:sz w:val="24"/>
          <w:highlight w:val="none"/>
          <w:lang w:val="en-US" w:eastAsia="zh-CN"/>
        </w:rPr>
        <w:t>,</w:t>
      </w:r>
      <w:r>
        <w:rPr>
          <w:rFonts w:hint="eastAsia" w:asciiTheme="minorEastAsia" w:hAnsiTheme="minorEastAsia" w:eastAsiaTheme="minorEastAsia" w:cstheme="minorEastAsia"/>
          <w:color w:val="auto"/>
          <w:kern w:val="0"/>
          <w:sz w:val="24"/>
          <w:highlight w:val="none"/>
        </w:rPr>
        <w:t>甲方支付设备总价</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0%的预付款。</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）所有设备安装调试完毕、通过有关部门验收合格后，并经审计部门审计后，甲方支付至设备结算总价的100%。</w:t>
      </w:r>
    </w:p>
    <w:p>
      <w:pPr>
        <w:tabs>
          <w:tab w:val="left" w:pos="0"/>
        </w:tabs>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2.2安装款的支付</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1)、在双方约定的安装开工日期前10个工作日，向乙方支付安装费总额的50%。如设备已经到达工地，且工地具备安装条件，乙方将在收款后的7天内进场安装。   </w:t>
      </w:r>
    </w:p>
    <w:p>
      <w:pPr>
        <w:tabs>
          <w:tab w:val="left" w:pos="0"/>
        </w:tabs>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2)、电梯安装调试完成，在通过当地负责特种设备安全监督管理的部门验收合格之日起15个工作日内，甲方按照合同要求向乙方支付剩余的50%安装费，乙方收到合同规定的款额后，甲、乙双方办理电梯移交手续。</w:t>
      </w:r>
    </w:p>
    <w:p>
      <w:pPr>
        <w:pStyle w:val="3"/>
        <w:rPr>
          <w:rFonts w:asciiTheme="minorEastAsia" w:hAnsiTheme="minorEastAsia" w:eastAsiaTheme="minorEastAsia" w:cstheme="minorEastAsia"/>
          <w:color w:val="auto"/>
          <w:kern w:val="0"/>
          <w:sz w:val="24"/>
          <w:szCs w:val="24"/>
          <w:highlight w:val="none"/>
          <w:lang w:val="en-US"/>
        </w:rPr>
      </w:pPr>
    </w:p>
    <w:p>
      <w:pPr>
        <w:rPr>
          <w:rFonts w:asciiTheme="minorEastAsia" w:hAnsiTheme="minorEastAsia" w:eastAsiaTheme="minorEastAsia" w:cstheme="minorEastAsia"/>
          <w:color w:val="auto"/>
          <w:kern w:val="0"/>
          <w:sz w:val="24"/>
          <w:highlight w:val="none"/>
        </w:rPr>
      </w:pPr>
    </w:p>
    <w:p>
      <w:pPr>
        <w:pStyle w:val="3"/>
        <w:rPr>
          <w:rFonts w:asciiTheme="minorEastAsia" w:hAnsiTheme="minorEastAsia" w:eastAsiaTheme="minorEastAsia" w:cstheme="minorEastAsia"/>
          <w:color w:val="auto"/>
          <w:kern w:val="0"/>
          <w:sz w:val="24"/>
          <w:szCs w:val="24"/>
          <w:highlight w:val="none"/>
          <w:lang w:val="en-US"/>
        </w:rPr>
      </w:pPr>
    </w:p>
    <w:p>
      <w:pPr>
        <w:rPr>
          <w:color w:val="auto"/>
          <w:highlight w:val="none"/>
        </w:rPr>
      </w:pPr>
    </w:p>
    <w:p>
      <w:pPr>
        <w:rPr>
          <w:rFonts w:ascii="宋体" w:hAnsi="宋体" w:cs="宋体"/>
          <w:b/>
          <w:color w:val="auto"/>
          <w:sz w:val="36"/>
          <w:szCs w:val="36"/>
          <w:highlight w:val="none"/>
        </w:rPr>
      </w:pPr>
    </w:p>
    <w:p>
      <w:pPr>
        <w:pStyle w:val="3"/>
        <w:rPr>
          <w:rFonts w:ascii="宋体" w:hAnsi="宋体" w:cs="宋体"/>
          <w:color w:val="auto"/>
          <w:sz w:val="36"/>
          <w:szCs w:val="36"/>
          <w:highlight w:val="none"/>
        </w:rPr>
      </w:pPr>
    </w:p>
    <w:p>
      <w:pPr>
        <w:pStyle w:val="2"/>
        <w:ind w:left="0" w:leftChars="0" w:firstLine="0" w:firstLineChars="0"/>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8" w:name="_Toc184308054"/>
      <w:bookmarkEnd w:id="38"/>
      <w:bookmarkStart w:id="39" w:name="_Toc184308075"/>
      <w:bookmarkEnd w:id="39"/>
      <w:bookmarkStart w:id="40" w:name="_Toc184312072"/>
      <w:bookmarkEnd w:id="40"/>
      <w:bookmarkStart w:id="41" w:name="_Toc184313304"/>
      <w:bookmarkEnd w:id="41"/>
      <w:bookmarkStart w:id="42" w:name="_Toc184308083"/>
      <w:bookmarkEnd w:id="42"/>
      <w:bookmarkStart w:id="43" w:name="_Toc184314475"/>
      <w:bookmarkEnd w:id="43"/>
      <w:bookmarkStart w:id="44" w:name="_Toc184314463"/>
      <w:bookmarkEnd w:id="44"/>
      <w:bookmarkStart w:id="45" w:name="_Toc184312103"/>
      <w:bookmarkEnd w:id="45"/>
      <w:bookmarkStart w:id="46" w:name="_Toc184312123"/>
      <w:bookmarkEnd w:id="46"/>
      <w:bookmarkStart w:id="47" w:name="_Toc184312098"/>
      <w:bookmarkEnd w:id="47"/>
      <w:bookmarkStart w:id="48" w:name="_Toc184314481"/>
      <w:bookmarkEnd w:id="48"/>
      <w:bookmarkStart w:id="49" w:name="_Toc184313299"/>
      <w:bookmarkEnd w:id="49"/>
      <w:bookmarkStart w:id="50" w:name="_Toc184310342"/>
      <w:bookmarkEnd w:id="50"/>
      <w:bookmarkStart w:id="51" w:name="_Toc184310291"/>
      <w:bookmarkEnd w:id="51"/>
      <w:bookmarkStart w:id="52" w:name="_Toc184312109"/>
      <w:bookmarkEnd w:id="52"/>
      <w:bookmarkStart w:id="53" w:name="_Toc184310343"/>
      <w:bookmarkEnd w:id="53"/>
      <w:bookmarkStart w:id="54" w:name="_Toc184314468"/>
      <w:bookmarkEnd w:id="54"/>
      <w:bookmarkStart w:id="55" w:name="_Toc184314439"/>
      <w:bookmarkEnd w:id="55"/>
      <w:bookmarkStart w:id="56" w:name="_Toc184310288"/>
      <w:bookmarkEnd w:id="56"/>
      <w:bookmarkStart w:id="57" w:name="_Toc184312131"/>
      <w:bookmarkEnd w:id="57"/>
      <w:bookmarkStart w:id="58" w:name="_Toc184308065"/>
      <w:bookmarkEnd w:id="58"/>
      <w:bookmarkStart w:id="59" w:name="_Toc184310315"/>
      <w:bookmarkEnd w:id="59"/>
      <w:bookmarkStart w:id="60" w:name="_Toc184308048"/>
      <w:bookmarkEnd w:id="60"/>
      <w:bookmarkStart w:id="61" w:name="_Toc184312121"/>
      <w:bookmarkEnd w:id="61"/>
      <w:bookmarkStart w:id="62" w:name="_Toc184312087"/>
      <w:bookmarkEnd w:id="62"/>
      <w:bookmarkStart w:id="63" w:name="_Toc184312097"/>
      <w:bookmarkEnd w:id="63"/>
      <w:bookmarkStart w:id="64" w:name="_Toc184314413"/>
      <w:bookmarkEnd w:id="64"/>
      <w:bookmarkStart w:id="65" w:name="_Toc184310338"/>
      <w:bookmarkEnd w:id="65"/>
      <w:bookmarkStart w:id="66" w:name="_Toc184312082"/>
      <w:bookmarkEnd w:id="66"/>
      <w:bookmarkStart w:id="67" w:name="_Toc184308103"/>
      <w:bookmarkEnd w:id="67"/>
      <w:bookmarkStart w:id="68" w:name="_Toc184313276"/>
      <w:bookmarkEnd w:id="68"/>
      <w:bookmarkStart w:id="69" w:name="_Toc184310332"/>
      <w:bookmarkEnd w:id="69"/>
      <w:bookmarkStart w:id="70" w:name="_Toc184308090"/>
      <w:bookmarkEnd w:id="70"/>
      <w:bookmarkStart w:id="71" w:name="_Toc184310281"/>
      <w:bookmarkEnd w:id="71"/>
      <w:bookmarkStart w:id="72" w:name="_Toc184308095"/>
      <w:bookmarkEnd w:id="72"/>
      <w:bookmarkStart w:id="73" w:name="_Toc184313307"/>
      <w:bookmarkEnd w:id="73"/>
      <w:bookmarkStart w:id="74" w:name="_Toc184314437"/>
      <w:bookmarkEnd w:id="74"/>
      <w:bookmarkStart w:id="75" w:name="_Toc184310302"/>
      <w:bookmarkEnd w:id="75"/>
      <w:bookmarkStart w:id="76" w:name="_Toc184313248"/>
      <w:bookmarkEnd w:id="76"/>
      <w:bookmarkStart w:id="77" w:name="_Toc184313281"/>
      <w:bookmarkEnd w:id="77"/>
      <w:bookmarkStart w:id="78" w:name="_Toc184312128"/>
      <w:bookmarkEnd w:id="78"/>
      <w:bookmarkStart w:id="79" w:name="_Toc184314422"/>
      <w:bookmarkEnd w:id="79"/>
      <w:bookmarkStart w:id="80" w:name="_Toc184314438"/>
      <w:bookmarkEnd w:id="80"/>
      <w:bookmarkStart w:id="81" w:name="_Toc184314466"/>
      <w:bookmarkEnd w:id="81"/>
      <w:bookmarkStart w:id="82" w:name="_Toc184310308"/>
      <w:bookmarkEnd w:id="82"/>
      <w:bookmarkStart w:id="83" w:name="_Toc184314476"/>
      <w:bookmarkEnd w:id="83"/>
      <w:bookmarkStart w:id="84" w:name="_Toc184313288"/>
      <w:bookmarkEnd w:id="84"/>
      <w:bookmarkStart w:id="85" w:name="_Toc184308084"/>
      <w:bookmarkEnd w:id="85"/>
      <w:bookmarkStart w:id="86" w:name="_Toc184313293"/>
      <w:bookmarkEnd w:id="86"/>
      <w:bookmarkStart w:id="87" w:name="_Toc184308043"/>
      <w:bookmarkEnd w:id="87"/>
      <w:bookmarkStart w:id="88" w:name="_Toc184313267"/>
      <w:bookmarkEnd w:id="88"/>
      <w:bookmarkStart w:id="89" w:name="_Toc184310307"/>
      <w:bookmarkEnd w:id="89"/>
      <w:bookmarkStart w:id="90" w:name="_Toc184310321"/>
      <w:bookmarkEnd w:id="90"/>
      <w:bookmarkStart w:id="91" w:name="_Toc184312124"/>
      <w:bookmarkEnd w:id="91"/>
      <w:bookmarkStart w:id="92" w:name="_Toc184310278"/>
      <w:bookmarkEnd w:id="92"/>
      <w:bookmarkStart w:id="93" w:name="_Toc184308092"/>
      <w:bookmarkEnd w:id="93"/>
      <w:bookmarkStart w:id="94" w:name="_Toc184313269"/>
      <w:bookmarkEnd w:id="94"/>
      <w:bookmarkStart w:id="95" w:name="_Toc184313279"/>
      <w:bookmarkEnd w:id="95"/>
      <w:bookmarkStart w:id="96" w:name="_Toc184308088"/>
      <w:bookmarkEnd w:id="96"/>
      <w:bookmarkStart w:id="97" w:name="_Toc184308055"/>
      <w:bookmarkEnd w:id="97"/>
      <w:bookmarkStart w:id="98" w:name="_Toc184313242"/>
      <w:bookmarkEnd w:id="98"/>
      <w:bookmarkStart w:id="99" w:name="_Toc184310340"/>
      <w:bookmarkEnd w:id="99"/>
      <w:bookmarkStart w:id="100" w:name="_Toc184308040"/>
      <w:bookmarkEnd w:id="100"/>
      <w:bookmarkStart w:id="101" w:name="_Toc184312130"/>
      <w:bookmarkEnd w:id="101"/>
      <w:bookmarkStart w:id="102" w:name="_Toc184313258"/>
      <w:bookmarkEnd w:id="102"/>
      <w:bookmarkStart w:id="103" w:name="_Toc184313253"/>
      <w:bookmarkEnd w:id="103"/>
      <w:bookmarkStart w:id="104" w:name="_Toc184313285"/>
      <w:bookmarkEnd w:id="104"/>
      <w:bookmarkStart w:id="105" w:name="_Toc184314425"/>
      <w:bookmarkEnd w:id="105"/>
      <w:bookmarkStart w:id="106" w:name="_Toc184314434"/>
      <w:bookmarkEnd w:id="106"/>
      <w:bookmarkStart w:id="107" w:name="_Toc184313309"/>
      <w:bookmarkEnd w:id="107"/>
      <w:bookmarkStart w:id="108" w:name="_Toc184314467"/>
      <w:bookmarkEnd w:id="108"/>
      <w:bookmarkStart w:id="109" w:name="_Toc184310331"/>
      <w:bookmarkEnd w:id="109"/>
      <w:bookmarkStart w:id="110" w:name="_Toc184314470"/>
      <w:bookmarkEnd w:id="110"/>
      <w:bookmarkStart w:id="111" w:name="_Toc184313245"/>
      <w:bookmarkEnd w:id="111"/>
      <w:bookmarkStart w:id="112" w:name="_Toc184314465"/>
      <w:bookmarkEnd w:id="112"/>
      <w:bookmarkStart w:id="113" w:name="_Toc184314446"/>
      <w:bookmarkEnd w:id="113"/>
      <w:bookmarkStart w:id="114" w:name="_Toc184313251"/>
      <w:bookmarkEnd w:id="114"/>
      <w:bookmarkStart w:id="115" w:name="_Toc184313310"/>
      <w:bookmarkEnd w:id="115"/>
      <w:bookmarkStart w:id="116" w:name="_Toc184310292"/>
      <w:bookmarkEnd w:id="116"/>
      <w:bookmarkStart w:id="117" w:name="_Toc184308049"/>
      <w:bookmarkEnd w:id="117"/>
      <w:bookmarkStart w:id="118" w:name="_Toc184312090"/>
      <w:bookmarkEnd w:id="118"/>
      <w:bookmarkStart w:id="119" w:name="_Toc184310294"/>
      <w:bookmarkEnd w:id="119"/>
      <w:bookmarkStart w:id="120" w:name="_Toc184310298"/>
      <w:bookmarkEnd w:id="120"/>
      <w:bookmarkStart w:id="121" w:name="_Toc184313278"/>
      <w:bookmarkEnd w:id="121"/>
      <w:bookmarkStart w:id="122" w:name="_Toc184310280"/>
      <w:bookmarkEnd w:id="122"/>
      <w:bookmarkStart w:id="123" w:name="_Toc184310313"/>
      <w:bookmarkEnd w:id="123"/>
      <w:bookmarkStart w:id="124" w:name="_Toc184313286"/>
      <w:bookmarkEnd w:id="124"/>
      <w:bookmarkStart w:id="125" w:name="_Toc184313270"/>
      <w:bookmarkEnd w:id="125"/>
      <w:bookmarkStart w:id="126" w:name="_Toc184308073"/>
      <w:bookmarkEnd w:id="126"/>
      <w:bookmarkStart w:id="127" w:name="_Toc184313292"/>
      <w:bookmarkEnd w:id="127"/>
      <w:bookmarkStart w:id="128" w:name="_Toc184310327"/>
      <w:bookmarkEnd w:id="128"/>
      <w:bookmarkStart w:id="129" w:name="_Toc184312069"/>
      <w:bookmarkEnd w:id="129"/>
      <w:bookmarkStart w:id="130" w:name="_Toc184308068"/>
      <w:bookmarkEnd w:id="130"/>
      <w:bookmarkStart w:id="131" w:name="_Toc184313289"/>
      <w:bookmarkEnd w:id="131"/>
      <w:bookmarkStart w:id="132" w:name="_Toc184308047"/>
      <w:bookmarkEnd w:id="132"/>
      <w:bookmarkStart w:id="133" w:name="_Toc184310339"/>
      <w:bookmarkEnd w:id="133"/>
      <w:bookmarkStart w:id="134" w:name="_Toc184312091"/>
      <w:bookmarkEnd w:id="134"/>
      <w:bookmarkStart w:id="135" w:name="_Toc184314479"/>
      <w:bookmarkEnd w:id="135"/>
      <w:bookmarkStart w:id="136" w:name="_Toc184314455"/>
      <w:bookmarkEnd w:id="136"/>
      <w:bookmarkStart w:id="137" w:name="_Toc184313290"/>
      <w:bookmarkEnd w:id="137"/>
      <w:bookmarkStart w:id="138" w:name="_Toc184308064"/>
      <w:bookmarkEnd w:id="138"/>
      <w:bookmarkStart w:id="139" w:name="_Toc184308046"/>
      <w:bookmarkEnd w:id="139"/>
      <w:bookmarkStart w:id="140" w:name="_Toc184308098"/>
      <w:bookmarkEnd w:id="140"/>
      <w:bookmarkStart w:id="141" w:name="_Toc184310305"/>
      <w:bookmarkEnd w:id="141"/>
      <w:bookmarkStart w:id="142" w:name="_Toc184312119"/>
      <w:bookmarkEnd w:id="142"/>
      <w:bookmarkStart w:id="143" w:name="_Toc184308077"/>
      <w:bookmarkEnd w:id="143"/>
      <w:bookmarkStart w:id="144" w:name="_Toc184310273"/>
      <w:bookmarkEnd w:id="144"/>
      <w:bookmarkStart w:id="145" w:name="_Toc184314443"/>
      <w:bookmarkEnd w:id="145"/>
      <w:bookmarkStart w:id="146" w:name="_Toc184312089"/>
      <w:bookmarkEnd w:id="146"/>
      <w:bookmarkStart w:id="147" w:name="_Toc184314452"/>
      <w:bookmarkEnd w:id="147"/>
      <w:bookmarkStart w:id="148" w:name="_Toc184314435"/>
      <w:bookmarkEnd w:id="148"/>
      <w:bookmarkStart w:id="149" w:name="_Toc184310309"/>
      <w:bookmarkEnd w:id="149"/>
      <w:bookmarkStart w:id="150" w:name="_Toc184314469"/>
      <w:bookmarkEnd w:id="150"/>
      <w:bookmarkStart w:id="151" w:name="_Toc184313271"/>
      <w:bookmarkEnd w:id="151"/>
      <w:bookmarkStart w:id="152" w:name="_Toc184314453"/>
      <w:bookmarkEnd w:id="152"/>
      <w:bookmarkStart w:id="153" w:name="_Toc184314430"/>
      <w:bookmarkEnd w:id="153"/>
      <w:bookmarkStart w:id="154" w:name="_Toc184308101"/>
      <w:bookmarkEnd w:id="154"/>
      <w:bookmarkStart w:id="155" w:name="_Toc184312094"/>
      <w:bookmarkEnd w:id="155"/>
      <w:bookmarkStart w:id="156" w:name="_Toc184314451"/>
      <w:bookmarkEnd w:id="156"/>
      <w:bookmarkStart w:id="157" w:name="_Toc184313252"/>
      <w:bookmarkEnd w:id="157"/>
      <w:bookmarkStart w:id="158" w:name="_Toc184314419"/>
      <w:bookmarkEnd w:id="158"/>
      <w:bookmarkStart w:id="159" w:name="_Toc184312075"/>
      <w:bookmarkEnd w:id="159"/>
      <w:bookmarkStart w:id="160" w:name="_Toc184308051"/>
      <w:bookmarkEnd w:id="160"/>
      <w:bookmarkStart w:id="161" w:name="_Toc184308078"/>
      <w:bookmarkEnd w:id="161"/>
      <w:bookmarkStart w:id="162" w:name="_Toc184314423"/>
      <w:bookmarkEnd w:id="162"/>
      <w:bookmarkStart w:id="163" w:name="_Toc184310286"/>
      <w:bookmarkEnd w:id="163"/>
      <w:bookmarkStart w:id="164" w:name="_Toc184308056"/>
      <w:bookmarkEnd w:id="164"/>
      <w:bookmarkStart w:id="165" w:name="_Toc184310317"/>
      <w:bookmarkEnd w:id="165"/>
      <w:bookmarkStart w:id="166" w:name="_Toc184312135"/>
      <w:bookmarkEnd w:id="166"/>
      <w:bookmarkStart w:id="167" w:name="_Toc184313247"/>
      <w:bookmarkEnd w:id="167"/>
      <w:bookmarkStart w:id="168" w:name="_Toc184313287"/>
      <w:bookmarkEnd w:id="168"/>
      <w:bookmarkStart w:id="169" w:name="_Toc184313284"/>
      <w:bookmarkEnd w:id="169"/>
      <w:bookmarkStart w:id="170" w:name="_Toc184312112"/>
      <w:bookmarkEnd w:id="170"/>
      <w:bookmarkStart w:id="171" w:name="_Toc184308058"/>
      <w:bookmarkEnd w:id="171"/>
      <w:bookmarkStart w:id="172" w:name="_Toc184312076"/>
      <w:bookmarkEnd w:id="172"/>
      <w:bookmarkStart w:id="173" w:name="_Toc184308104"/>
      <w:bookmarkEnd w:id="173"/>
      <w:bookmarkStart w:id="174" w:name="_Toc184310330"/>
      <w:bookmarkEnd w:id="174"/>
      <w:bookmarkStart w:id="175" w:name="_Toc184308072"/>
      <w:bookmarkEnd w:id="175"/>
      <w:bookmarkStart w:id="176" w:name="_Toc184313256"/>
      <w:bookmarkEnd w:id="176"/>
      <w:bookmarkStart w:id="177" w:name="_Toc184312137"/>
      <w:bookmarkEnd w:id="177"/>
      <w:bookmarkStart w:id="178" w:name="_Toc184308061"/>
      <w:bookmarkEnd w:id="178"/>
      <w:bookmarkStart w:id="179" w:name="_Toc184310325"/>
      <w:bookmarkEnd w:id="179"/>
      <w:bookmarkStart w:id="180" w:name="_Toc184314427"/>
      <w:bookmarkEnd w:id="180"/>
      <w:bookmarkStart w:id="181" w:name="_Toc184313298"/>
      <w:bookmarkEnd w:id="181"/>
      <w:bookmarkStart w:id="182" w:name="_Toc184308070"/>
      <w:bookmarkEnd w:id="182"/>
      <w:bookmarkStart w:id="183" w:name="_Toc184313300"/>
      <w:bookmarkEnd w:id="183"/>
      <w:bookmarkStart w:id="184" w:name="_Toc184308036"/>
      <w:bookmarkEnd w:id="184"/>
      <w:bookmarkStart w:id="185" w:name="_Toc184312114"/>
      <w:bookmarkEnd w:id="185"/>
      <w:bookmarkStart w:id="186" w:name="_Toc184312113"/>
      <w:bookmarkEnd w:id="186"/>
      <w:bookmarkStart w:id="187" w:name="_Toc184312133"/>
      <w:bookmarkEnd w:id="187"/>
      <w:bookmarkStart w:id="188" w:name="_Toc184312134"/>
      <w:bookmarkEnd w:id="188"/>
      <w:bookmarkStart w:id="189" w:name="_Toc184313240"/>
      <w:bookmarkEnd w:id="189"/>
      <w:bookmarkStart w:id="190" w:name="_Toc184310323"/>
      <w:bookmarkEnd w:id="190"/>
      <w:bookmarkStart w:id="191" w:name="_Toc184310318"/>
      <w:bookmarkEnd w:id="191"/>
      <w:bookmarkStart w:id="192" w:name="_Toc184308069"/>
      <w:bookmarkEnd w:id="192"/>
      <w:bookmarkStart w:id="193" w:name="_Toc184308037"/>
      <w:bookmarkEnd w:id="193"/>
      <w:bookmarkStart w:id="194" w:name="_Toc184314464"/>
      <w:bookmarkEnd w:id="194"/>
      <w:bookmarkStart w:id="195" w:name="_Toc184308080"/>
      <w:bookmarkEnd w:id="195"/>
      <w:bookmarkStart w:id="196" w:name="_Toc184312118"/>
      <w:bookmarkEnd w:id="196"/>
      <w:bookmarkStart w:id="197" w:name="_Toc184312125"/>
      <w:bookmarkEnd w:id="197"/>
      <w:bookmarkStart w:id="198" w:name="_Toc184313303"/>
      <w:bookmarkEnd w:id="198"/>
      <w:bookmarkStart w:id="199" w:name="_Toc184308086"/>
      <w:bookmarkEnd w:id="199"/>
      <w:bookmarkStart w:id="200" w:name="_Toc184314461"/>
      <w:bookmarkEnd w:id="200"/>
      <w:bookmarkStart w:id="201" w:name="_Toc184314456"/>
      <w:bookmarkEnd w:id="201"/>
      <w:bookmarkStart w:id="202" w:name="_Toc184314432"/>
      <w:bookmarkEnd w:id="202"/>
      <w:bookmarkStart w:id="203" w:name="_Toc184314436"/>
      <w:bookmarkEnd w:id="203"/>
      <w:bookmarkStart w:id="204" w:name="_Toc184313265"/>
      <w:bookmarkEnd w:id="204"/>
      <w:bookmarkStart w:id="205" w:name="_Toc184313268"/>
      <w:bookmarkEnd w:id="205"/>
      <w:bookmarkStart w:id="206" w:name="_Toc184310304"/>
      <w:bookmarkEnd w:id="206"/>
      <w:bookmarkStart w:id="207" w:name="_Toc184310296"/>
      <w:bookmarkEnd w:id="207"/>
      <w:bookmarkStart w:id="208" w:name="_Toc184312070"/>
      <w:bookmarkEnd w:id="208"/>
      <w:bookmarkStart w:id="209" w:name="_Toc184310275"/>
      <w:bookmarkEnd w:id="209"/>
      <w:bookmarkStart w:id="210" w:name="_Toc184310322"/>
      <w:bookmarkEnd w:id="210"/>
      <w:bookmarkStart w:id="211" w:name="_Toc184308053"/>
      <w:bookmarkEnd w:id="211"/>
      <w:bookmarkStart w:id="212" w:name="_Toc184310289"/>
      <w:bookmarkEnd w:id="212"/>
      <w:bookmarkStart w:id="213" w:name="_Toc184312079"/>
      <w:bookmarkEnd w:id="213"/>
      <w:bookmarkStart w:id="214" w:name="_Toc184313302"/>
      <w:bookmarkEnd w:id="214"/>
      <w:bookmarkStart w:id="215" w:name="_Toc184310336"/>
      <w:bookmarkEnd w:id="215"/>
      <w:bookmarkStart w:id="216" w:name="_Toc184308059"/>
      <w:bookmarkEnd w:id="216"/>
      <w:bookmarkStart w:id="217" w:name="_Toc184312126"/>
      <w:bookmarkEnd w:id="217"/>
      <w:bookmarkStart w:id="218" w:name="_Toc184313250"/>
      <w:bookmarkEnd w:id="218"/>
      <w:bookmarkStart w:id="219" w:name="_Toc184310316"/>
      <w:bookmarkEnd w:id="219"/>
      <w:bookmarkStart w:id="220" w:name="_Toc184308107"/>
      <w:bookmarkEnd w:id="220"/>
      <w:bookmarkStart w:id="221" w:name="_Toc184308085"/>
      <w:bookmarkEnd w:id="221"/>
      <w:bookmarkStart w:id="222" w:name="_Toc184310283"/>
      <w:bookmarkEnd w:id="222"/>
      <w:bookmarkStart w:id="223" w:name="_Toc184310335"/>
      <w:bookmarkEnd w:id="223"/>
      <w:bookmarkStart w:id="224" w:name="_Toc184312083"/>
      <w:bookmarkEnd w:id="224"/>
      <w:bookmarkStart w:id="225" w:name="_Toc184308071"/>
      <w:bookmarkEnd w:id="225"/>
      <w:bookmarkStart w:id="226" w:name="_Toc184312136"/>
      <w:bookmarkEnd w:id="226"/>
      <w:bookmarkStart w:id="227" w:name="_Toc184308102"/>
      <w:bookmarkEnd w:id="227"/>
      <w:bookmarkStart w:id="228" w:name="_Toc184314457"/>
      <w:bookmarkEnd w:id="228"/>
      <w:bookmarkStart w:id="229" w:name="_Toc184312122"/>
      <w:bookmarkEnd w:id="229"/>
      <w:bookmarkStart w:id="230" w:name="_Toc184308060"/>
      <w:bookmarkEnd w:id="230"/>
      <w:bookmarkStart w:id="231" w:name="_Toc184313301"/>
      <w:bookmarkEnd w:id="231"/>
      <w:bookmarkStart w:id="232" w:name="_Toc184313257"/>
      <w:bookmarkEnd w:id="232"/>
      <w:bookmarkStart w:id="233" w:name="_Toc184314424"/>
      <w:bookmarkEnd w:id="233"/>
      <w:bookmarkStart w:id="234" w:name="_Toc184308045"/>
      <w:bookmarkEnd w:id="234"/>
      <w:bookmarkStart w:id="235" w:name="_Toc184314445"/>
      <w:bookmarkEnd w:id="235"/>
      <w:bookmarkStart w:id="236" w:name="_Toc184308087"/>
      <w:bookmarkEnd w:id="236"/>
      <w:bookmarkStart w:id="237" w:name="_Toc184310303"/>
      <w:bookmarkEnd w:id="237"/>
      <w:bookmarkStart w:id="238" w:name="_Toc184312106"/>
      <w:bookmarkEnd w:id="238"/>
      <w:bookmarkStart w:id="239" w:name="_Toc184312116"/>
      <w:bookmarkEnd w:id="239"/>
      <w:bookmarkStart w:id="240" w:name="_Toc184313255"/>
      <w:bookmarkEnd w:id="240"/>
      <w:bookmarkStart w:id="241" w:name="_Toc184310301"/>
      <w:bookmarkEnd w:id="241"/>
      <w:bookmarkStart w:id="242" w:name="_Toc184312073"/>
      <w:bookmarkEnd w:id="242"/>
      <w:bookmarkStart w:id="243" w:name="_Toc184310333"/>
      <w:bookmarkEnd w:id="243"/>
      <w:bookmarkStart w:id="244" w:name="_Toc184314473"/>
      <w:bookmarkEnd w:id="244"/>
      <w:bookmarkStart w:id="245" w:name="_Toc184312096"/>
      <w:bookmarkEnd w:id="245"/>
      <w:bookmarkStart w:id="246" w:name="_Toc184308062"/>
      <w:bookmarkEnd w:id="246"/>
      <w:bookmarkStart w:id="247" w:name="_Toc184312093"/>
      <w:bookmarkEnd w:id="247"/>
      <w:bookmarkStart w:id="248" w:name="_Toc184312138"/>
      <w:bookmarkEnd w:id="248"/>
      <w:bookmarkStart w:id="249" w:name="_Toc184308093"/>
      <w:bookmarkEnd w:id="249"/>
      <w:bookmarkStart w:id="250" w:name="_Toc184314444"/>
      <w:bookmarkEnd w:id="250"/>
      <w:bookmarkStart w:id="251" w:name="_Toc184310311"/>
      <w:bookmarkEnd w:id="251"/>
      <w:bookmarkStart w:id="252" w:name="_Toc184310324"/>
      <w:bookmarkEnd w:id="252"/>
      <w:bookmarkStart w:id="253" w:name="_Toc184312086"/>
      <w:bookmarkEnd w:id="253"/>
      <w:bookmarkStart w:id="254" w:name="_Toc184310279"/>
      <w:bookmarkEnd w:id="254"/>
      <w:bookmarkStart w:id="255" w:name="_Toc184310290"/>
      <w:bookmarkEnd w:id="255"/>
      <w:bookmarkStart w:id="256" w:name="_Toc184313305"/>
      <w:bookmarkEnd w:id="256"/>
      <w:bookmarkStart w:id="257" w:name="_Toc184308097"/>
      <w:bookmarkEnd w:id="257"/>
      <w:bookmarkStart w:id="258" w:name="_Toc184308041"/>
      <w:bookmarkEnd w:id="258"/>
      <w:bookmarkStart w:id="259" w:name="_Toc184313296"/>
      <w:bookmarkEnd w:id="259"/>
      <w:bookmarkStart w:id="260" w:name="_Toc184314450"/>
      <w:bookmarkEnd w:id="260"/>
      <w:bookmarkStart w:id="261" w:name="_Toc184308099"/>
      <w:bookmarkEnd w:id="261"/>
      <w:bookmarkStart w:id="262" w:name="_Toc184314429"/>
      <w:bookmarkEnd w:id="262"/>
      <w:bookmarkStart w:id="263" w:name="_Toc184314414"/>
      <w:bookmarkEnd w:id="263"/>
      <w:bookmarkStart w:id="264" w:name="_Toc184313264"/>
      <w:bookmarkEnd w:id="264"/>
      <w:bookmarkStart w:id="265" w:name="_Toc184312081"/>
      <w:bookmarkEnd w:id="265"/>
      <w:bookmarkStart w:id="266" w:name="_Toc184313254"/>
      <w:bookmarkEnd w:id="266"/>
      <w:bookmarkStart w:id="267" w:name="_Toc184314431"/>
      <w:bookmarkEnd w:id="267"/>
      <w:bookmarkStart w:id="268" w:name="_Toc184313261"/>
      <w:bookmarkEnd w:id="268"/>
      <w:bookmarkStart w:id="269" w:name="_Toc184313239"/>
      <w:bookmarkEnd w:id="269"/>
      <w:bookmarkStart w:id="270" w:name="_Toc184308067"/>
      <w:bookmarkEnd w:id="270"/>
      <w:bookmarkStart w:id="271" w:name="_Toc184313243"/>
      <w:bookmarkEnd w:id="271"/>
      <w:bookmarkStart w:id="272" w:name="_Toc184312078"/>
      <w:bookmarkEnd w:id="272"/>
      <w:bookmarkStart w:id="273" w:name="_Toc184312139"/>
      <w:bookmarkEnd w:id="273"/>
      <w:bookmarkStart w:id="274" w:name="_Toc184313291"/>
      <w:bookmarkEnd w:id="274"/>
      <w:bookmarkStart w:id="275" w:name="_Toc184314442"/>
      <w:bookmarkEnd w:id="275"/>
      <w:bookmarkStart w:id="276" w:name="_Toc184308100"/>
      <w:bookmarkEnd w:id="276"/>
      <w:bookmarkStart w:id="277" w:name="_Toc184308094"/>
      <w:bookmarkEnd w:id="277"/>
      <w:bookmarkStart w:id="278" w:name="_Toc184314426"/>
      <w:bookmarkEnd w:id="278"/>
      <w:bookmarkStart w:id="279" w:name="_Toc184312129"/>
      <w:bookmarkEnd w:id="279"/>
      <w:bookmarkStart w:id="280" w:name="_Toc184313282"/>
      <w:bookmarkEnd w:id="280"/>
      <w:bookmarkStart w:id="281" w:name="_Toc184308039"/>
      <w:bookmarkEnd w:id="281"/>
      <w:bookmarkStart w:id="282" w:name="_Toc184314428"/>
      <w:bookmarkEnd w:id="282"/>
      <w:bookmarkStart w:id="283" w:name="_Toc184313273"/>
      <w:bookmarkEnd w:id="283"/>
      <w:bookmarkStart w:id="284" w:name="_Toc184314462"/>
      <w:bookmarkEnd w:id="284"/>
      <w:bookmarkStart w:id="285" w:name="_Toc184314411"/>
      <w:bookmarkEnd w:id="285"/>
      <w:bookmarkStart w:id="286" w:name="_Toc184313295"/>
      <w:bookmarkEnd w:id="286"/>
      <w:bookmarkStart w:id="287" w:name="_Toc184310314"/>
      <w:bookmarkEnd w:id="287"/>
      <w:bookmarkStart w:id="288" w:name="_Toc184308063"/>
      <w:bookmarkEnd w:id="288"/>
      <w:bookmarkStart w:id="289" w:name="_Toc184310329"/>
      <w:bookmarkEnd w:id="289"/>
      <w:bookmarkStart w:id="290" w:name="_Toc184314410"/>
      <w:bookmarkEnd w:id="290"/>
      <w:bookmarkStart w:id="291" w:name="_Toc184310320"/>
      <w:bookmarkEnd w:id="291"/>
      <w:bookmarkStart w:id="292" w:name="_Toc184312111"/>
      <w:bookmarkEnd w:id="292"/>
      <w:bookmarkStart w:id="293" w:name="_Toc184314447"/>
      <w:bookmarkEnd w:id="293"/>
      <w:bookmarkStart w:id="294" w:name="_Toc184314472"/>
      <w:bookmarkEnd w:id="294"/>
      <w:bookmarkStart w:id="295" w:name="_Toc184310319"/>
      <w:bookmarkEnd w:id="295"/>
      <w:bookmarkStart w:id="296" w:name="_Toc184310293"/>
      <w:bookmarkEnd w:id="296"/>
      <w:bookmarkStart w:id="297" w:name="_Toc184312074"/>
      <w:bookmarkEnd w:id="297"/>
      <w:bookmarkStart w:id="298" w:name="_Toc184312071"/>
      <w:bookmarkEnd w:id="298"/>
      <w:bookmarkStart w:id="299" w:name="_Toc184308106"/>
      <w:bookmarkEnd w:id="299"/>
      <w:bookmarkStart w:id="300" w:name="_Toc184312127"/>
      <w:bookmarkEnd w:id="300"/>
      <w:bookmarkStart w:id="301" w:name="_Toc184310334"/>
      <w:bookmarkEnd w:id="301"/>
      <w:bookmarkStart w:id="302" w:name="_Toc184314415"/>
      <w:bookmarkEnd w:id="302"/>
      <w:bookmarkStart w:id="303" w:name="_Toc184314441"/>
      <w:bookmarkEnd w:id="303"/>
      <w:bookmarkStart w:id="304" w:name="_Toc184313280"/>
      <w:bookmarkEnd w:id="304"/>
      <w:bookmarkStart w:id="305" w:name="_Toc184313244"/>
      <w:bookmarkEnd w:id="305"/>
      <w:bookmarkStart w:id="306" w:name="_Toc184313306"/>
      <w:bookmarkEnd w:id="306"/>
      <w:bookmarkStart w:id="307" w:name="_Toc184308042"/>
      <w:bookmarkEnd w:id="307"/>
      <w:bookmarkStart w:id="308" w:name="_Toc184314448"/>
      <w:bookmarkEnd w:id="308"/>
      <w:bookmarkStart w:id="309" w:name="_Toc184313262"/>
      <w:bookmarkEnd w:id="309"/>
      <w:bookmarkStart w:id="310" w:name="_Toc184312085"/>
      <w:bookmarkEnd w:id="310"/>
      <w:bookmarkStart w:id="311" w:name="_Toc184308044"/>
      <w:bookmarkEnd w:id="311"/>
      <w:bookmarkStart w:id="312" w:name="_Toc184310285"/>
      <w:bookmarkEnd w:id="312"/>
      <w:bookmarkStart w:id="313" w:name="_Toc184314474"/>
      <w:bookmarkEnd w:id="313"/>
      <w:bookmarkStart w:id="314" w:name="_Toc184312092"/>
      <w:bookmarkEnd w:id="314"/>
      <w:bookmarkStart w:id="315" w:name="_Toc184310328"/>
      <w:bookmarkEnd w:id="315"/>
      <w:bookmarkStart w:id="316" w:name="_Toc184313238"/>
      <w:bookmarkEnd w:id="316"/>
      <w:bookmarkStart w:id="317" w:name="_Toc184312084"/>
      <w:bookmarkEnd w:id="317"/>
      <w:bookmarkStart w:id="318" w:name="_Toc184310310"/>
      <w:bookmarkEnd w:id="318"/>
      <w:bookmarkStart w:id="319" w:name="_Toc184314449"/>
      <w:bookmarkEnd w:id="319"/>
      <w:bookmarkStart w:id="320" w:name="_Toc184308050"/>
      <w:bookmarkEnd w:id="320"/>
      <w:bookmarkStart w:id="321" w:name="_Toc184310284"/>
      <w:bookmarkEnd w:id="321"/>
      <w:bookmarkStart w:id="322" w:name="_Toc184310295"/>
      <w:bookmarkEnd w:id="322"/>
      <w:bookmarkStart w:id="323" w:name="_Toc184310272"/>
      <w:bookmarkEnd w:id="323"/>
      <w:bookmarkStart w:id="324" w:name="_Toc184312110"/>
      <w:bookmarkEnd w:id="324"/>
      <w:bookmarkStart w:id="325" w:name="_Toc184310277"/>
      <w:bookmarkEnd w:id="325"/>
      <w:bookmarkStart w:id="326" w:name="_Toc184312104"/>
      <w:bookmarkEnd w:id="326"/>
      <w:bookmarkStart w:id="327" w:name="_Toc184312077"/>
      <w:bookmarkEnd w:id="327"/>
      <w:bookmarkStart w:id="328" w:name="_Toc184314418"/>
      <w:bookmarkEnd w:id="328"/>
      <w:bookmarkStart w:id="329" w:name="_Toc184314420"/>
      <w:bookmarkEnd w:id="329"/>
      <w:bookmarkStart w:id="330" w:name="_Toc184310312"/>
      <w:bookmarkEnd w:id="330"/>
      <w:bookmarkStart w:id="331" w:name="_Toc184310300"/>
      <w:bookmarkEnd w:id="331"/>
      <w:bookmarkStart w:id="332" w:name="_Toc184310337"/>
      <w:bookmarkEnd w:id="332"/>
      <w:bookmarkStart w:id="333" w:name="_Toc184312067"/>
      <w:bookmarkEnd w:id="333"/>
      <w:bookmarkStart w:id="334" w:name="_Toc184313259"/>
      <w:bookmarkEnd w:id="334"/>
      <w:bookmarkStart w:id="335" w:name="_Toc184308066"/>
      <w:bookmarkEnd w:id="335"/>
      <w:bookmarkStart w:id="336" w:name="_Toc184310299"/>
      <w:bookmarkEnd w:id="336"/>
      <w:bookmarkStart w:id="337" w:name="_Toc184312102"/>
      <w:bookmarkEnd w:id="337"/>
      <w:bookmarkStart w:id="338" w:name="_Toc184312080"/>
      <w:bookmarkEnd w:id="338"/>
      <w:bookmarkStart w:id="339" w:name="_Toc184308082"/>
      <w:bookmarkEnd w:id="339"/>
      <w:bookmarkStart w:id="340" w:name="_Toc184313283"/>
      <w:bookmarkEnd w:id="340"/>
      <w:bookmarkStart w:id="341" w:name="_Toc184312117"/>
      <w:bookmarkEnd w:id="341"/>
      <w:bookmarkStart w:id="342" w:name="_Toc184308091"/>
      <w:bookmarkEnd w:id="342"/>
      <w:bookmarkStart w:id="343" w:name="_Toc184310306"/>
      <w:bookmarkEnd w:id="343"/>
      <w:bookmarkStart w:id="344" w:name="_Toc184313263"/>
      <w:bookmarkEnd w:id="344"/>
      <w:bookmarkStart w:id="345" w:name="_Toc184314440"/>
      <w:bookmarkEnd w:id="345"/>
      <w:bookmarkStart w:id="346" w:name="_Toc184313272"/>
      <w:bookmarkEnd w:id="346"/>
      <w:bookmarkStart w:id="347" w:name="_Toc184314421"/>
      <w:bookmarkEnd w:id="347"/>
      <w:bookmarkStart w:id="348" w:name="_Toc184312101"/>
      <w:bookmarkEnd w:id="348"/>
      <w:bookmarkStart w:id="349" w:name="_Toc184314482"/>
      <w:bookmarkEnd w:id="349"/>
      <w:bookmarkStart w:id="350" w:name="_Toc184310274"/>
      <w:bookmarkEnd w:id="350"/>
      <w:bookmarkStart w:id="351" w:name="_Toc184312120"/>
      <w:bookmarkEnd w:id="351"/>
      <w:bookmarkStart w:id="352" w:name="_Toc184313249"/>
      <w:bookmarkEnd w:id="352"/>
      <w:bookmarkStart w:id="353" w:name="_Toc184314454"/>
      <w:bookmarkEnd w:id="353"/>
      <w:bookmarkStart w:id="354" w:name="_Toc184314433"/>
      <w:bookmarkEnd w:id="354"/>
      <w:bookmarkStart w:id="355" w:name="_Toc184314480"/>
      <w:bookmarkEnd w:id="355"/>
      <w:bookmarkStart w:id="356" w:name="_Toc184312088"/>
      <w:bookmarkEnd w:id="356"/>
      <w:bookmarkStart w:id="357" w:name="_Toc184314412"/>
      <w:bookmarkEnd w:id="357"/>
      <w:bookmarkStart w:id="358" w:name="_Toc184313277"/>
      <w:bookmarkEnd w:id="358"/>
      <w:bookmarkStart w:id="359" w:name="_Toc184314460"/>
      <w:bookmarkEnd w:id="359"/>
      <w:bookmarkStart w:id="360" w:name="_Toc184308038"/>
      <w:bookmarkEnd w:id="360"/>
      <w:bookmarkStart w:id="361" w:name="_Toc184308079"/>
      <w:bookmarkEnd w:id="361"/>
      <w:bookmarkStart w:id="362" w:name="_Toc184308108"/>
      <w:bookmarkEnd w:id="362"/>
      <w:bookmarkStart w:id="363" w:name="_Toc184313266"/>
      <w:bookmarkEnd w:id="363"/>
      <w:bookmarkStart w:id="364" w:name="_Toc184312107"/>
      <w:bookmarkEnd w:id="364"/>
      <w:bookmarkStart w:id="365" w:name="_Toc184312115"/>
      <w:bookmarkEnd w:id="365"/>
      <w:bookmarkStart w:id="366" w:name="_Toc184314458"/>
      <w:bookmarkEnd w:id="366"/>
      <w:bookmarkStart w:id="367" w:name="_Toc184312068"/>
      <w:bookmarkEnd w:id="367"/>
      <w:bookmarkStart w:id="368" w:name="_Toc184313297"/>
      <w:bookmarkEnd w:id="368"/>
      <w:bookmarkStart w:id="369" w:name="_Toc184310326"/>
      <w:bookmarkEnd w:id="369"/>
      <w:bookmarkStart w:id="370" w:name="_Toc184308081"/>
      <w:bookmarkEnd w:id="370"/>
      <w:bookmarkStart w:id="371" w:name="_Toc184314459"/>
      <w:bookmarkEnd w:id="371"/>
      <w:bookmarkStart w:id="372" w:name="_Toc184312100"/>
      <w:bookmarkEnd w:id="372"/>
      <w:bookmarkStart w:id="373" w:name="_Toc184312105"/>
      <w:bookmarkEnd w:id="373"/>
      <w:bookmarkStart w:id="374" w:name="_Toc184314477"/>
      <w:bookmarkEnd w:id="374"/>
      <w:bookmarkStart w:id="375" w:name="_Toc184312132"/>
      <w:bookmarkEnd w:id="375"/>
      <w:bookmarkStart w:id="376" w:name="_Toc184313246"/>
      <w:bookmarkEnd w:id="376"/>
      <w:bookmarkStart w:id="377" w:name="_Toc184308052"/>
      <w:bookmarkEnd w:id="377"/>
      <w:bookmarkStart w:id="378" w:name="_Toc184312095"/>
      <w:bookmarkEnd w:id="378"/>
      <w:bookmarkStart w:id="379" w:name="_Toc184310276"/>
      <w:bookmarkEnd w:id="379"/>
      <w:bookmarkStart w:id="380" w:name="_Toc184310287"/>
      <w:bookmarkEnd w:id="380"/>
      <w:bookmarkStart w:id="381" w:name="_Toc184314471"/>
      <w:bookmarkEnd w:id="381"/>
      <w:bookmarkStart w:id="382" w:name="_Toc184313274"/>
      <w:bookmarkEnd w:id="382"/>
      <w:bookmarkStart w:id="383" w:name="_Toc184313294"/>
      <w:bookmarkEnd w:id="383"/>
      <w:bookmarkStart w:id="384" w:name="_Toc184313241"/>
      <w:bookmarkEnd w:id="384"/>
      <w:bookmarkStart w:id="385" w:name="_Toc184314417"/>
      <w:bookmarkEnd w:id="385"/>
      <w:bookmarkStart w:id="386" w:name="_Toc184314416"/>
      <w:bookmarkEnd w:id="386"/>
      <w:bookmarkStart w:id="387" w:name="_Toc184308057"/>
      <w:bookmarkEnd w:id="387"/>
      <w:bookmarkStart w:id="388" w:name="_Toc184310344"/>
      <w:bookmarkEnd w:id="388"/>
      <w:bookmarkStart w:id="389" w:name="_Toc184313260"/>
      <w:bookmarkEnd w:id="389"/>
      <w:bookmarkStart w:id="390" w:name="_Toc184310341"/>
      <w:bookmarkEnd w:id="390"/>
      <w:bookmarkStart w:id="391" w:name="_Toc184308074"/>
      <w:bookmarkEnd w:id="391"/>
      <w:bookmarkStart w:id="392" w:name="_Toc184314478"/>
      <w:bookmarkEnd w:id="392"/>
      <w:bookmarkStart w:id="393" w:name="_Toc184308076"/>
      <w:bookmarkEnd w:id="393"/>
      <w:bookmarkStart w:id="394" w:name="_Toc184313275"/>
      <w:bookmarkEnd w:id="394"/>
      <w:bookmarkStart w:id="395" w:name="_Toc184312099"/>
      <w:bookmarkEnd w:id="395"/>
      <w:bookmarkStart w:id="396" w:name="_Toc184313308"/>
      <w:bookmarkEnd w:id="396"/>
      <w:bookmarkStart w:id="397" w:name="_Toc184308105"/>
      <w:bookmarkEnd w:id="397"/>
      <w:bookmarkStart w:id="398" w:name="_Toc184310282"/>
      <w:bookmarkEnd w:id="398"/>
      <w:bookmarkStart w:id="399" w:name="_Toc184312108"/>
      <w:bookmarkEnd w:id="399"/>
      <w:bookmarkStart w:id="400" w:name="_Toc184310297"/>
      <w:bookmarkEnd w:id="400"/>
      <w:bookmarkStart w:id="401" w:name="_Toc184308096"/>
      <w:bookmarkEnd w:id="401"/>
      <w:bookmarkStart w:id="402" w:name="_Toc184308089"/>
      <w:bookmarkEnd w:id="40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86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
        <w:gridCol w:w="5587"/>
        <w:gridCol w:w="450"/>
        <w:gridCol w:w="551"/>
        <w:gridCol w:w="1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jc w:val="center"/>
        </w:trPr>
        <w:tc>
          <w:tcPr>
            <w:tcW w:w="36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序号</w:t>
            </w:r>
          </w:p>
        </w:tc>
        <w:tc>
          <w:tcPr>
            <w:tcW w:w="5587"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ind w:firstLine="420" w:firstLineChars="200"/>
              <w:jc w:val="center"/>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评标标准</w:t>
            </w:r>
          </w:p>
        </w:tc>
        <w:tc>
          <w:tcPr>
            <w:tcW w:w="450"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权重</w:t>
            </w:r>
          </w:p>
        </w:tc>
        <w:tc>
          <w:tcPr>
            <w:tcW w:w="551"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主/客观分属性</w:t>
            </w:r>
          </w:p>
        </w:tc>
        <w:tc>
          <w:tcPr>
            <w:tcW w:w="1662"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left"/>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投标文件中评标标准相应的商务技术资料目录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jc w:val="center"/>
        </w:trPr>
        <w:tc>
          <w:tcPr>
            <w:tcW w:w="36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1</w:t>
            </w:r>
          </w:p>
        </w:tc>
        <w:tc>
          <w:tcPr>
            <w:tcW w:w="5587" w:type="dxa"/>
            <w:tcBorders>
              <w:top w:val="single" w:color="000000" w:sz="4" w:space="0"/>
              <w:left w:val="single" w:color="000000" w:sz="4" w:space="0"/>
              <w:bottom w:val="single" w:color="000000" w:sz="4" w:space="0"/>
              <w:right w:val="single" w:color="000000" w:sz="4" w:space="0"/>
            </w:tcBorders>
          </w:tcPr>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投标产品的电梯基本参数表、技术指标参数、配置要求、基本功能要求和其他功能要求满足采购人的要求</w:t>
            </w:r>
            <w:r>
              <w:rPr>
                <w:rFonts w:hint="eastAsia" w:asciiTheme="minorEastAsia" w:hAnsiTheme="minorEastAsia" w:eastAsiaTheme="minorEastAsia" w:cstheme="minorEastAsia"/>
                <w:kern w:val="0"/>
                <w:szCs w:val="21"/>
                <w:highlight w:val="none"/>
              </w:rPr>
              <w:t>的</w:t>
            </w:r>
            <w:r>
              <w:rPr>
                <w:rFonts w:hint="eastAsia" w:asciiTheme="minorEastAsia" w:hAnsiTheme="minorEastAsia" w:eastAsiaTheme="minorEastAsia" w:cstheme="minorEastAsia"/>
                <w:kern w:val="0"/>
                <w:szCs w:val="21"/>
                <w:highlight w:val="none"/>
                <w:lang w:val="zh-CN"/>
              </w:rPr>
              <w:t>，</w:t>
            </w:r>
            <w:r>
              <w:rPr>
                <w:rFonts w:hint="eastAsia" w:asciiTheme="minorEastAsia" w:hAnsiTheme="minorEastAsia" w:eastAsiaTheme="minorEastAsia" w:cstheme="minorEastAsia"/>
                <w:kern w:val="0"/>
                <w:szCs w:val="21"/>
                <w:highlight w:val="none"/>
              </w:rPr>
              <w:t>得12分，实质性参数负偏离作无效标处理，非实质性参数负偏离每一项扣2分，扣完为止。</w:t>
            </w:r>
          </w:p>
        </w:tc>
        <w:tc>
          <w:tcPr>
            <w:tcW w:w="450"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1</w:t>
            </w:r>
            <w:r>
              <w:rPr>
                <w:rFonts w:hint="eastAsia" w:asciiTheme="minorEastAsia" w:hAnsiTheme="minorEastAsia" w:eastAsiaTheme="minorEastAsia" w:cstheme="minorEastAsia"/>
                <w:kern w:val="0"/>
                <w:szCs w:val="21"/>
                <w:highlight w:val="none"/>
              </w:rPr>
              <w:t>2</w:t>
            </w:r>
          </w:p>
        </w:tc>
        <w:tc>
          <w:tcPr>
            <w:tcW w:w="551" w:type="dxa"/>
            <w:vMerge w:val="restart"/>
            <w:tcBorders>
              <w:top w:val="single" w:color="000000" w:sz="4" w:space="0"/>
              <w:left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客观</w:t>
            </w:r>
          </w:p>
          <w:p>
            <w:pPr>
              <w:tabs>
                <w:tab w:val="left" w:pos="0"/>
              </w:tabs>
              <w:spacing w:line="360" w:lineRule="auto"/>
              <w:jc w:val="center"/>
              <w:rPr>
                <w:rFonts w:asciiTheme="minorEastAsia" w:hAnsiTheme="minorEastAsia" w:eastAsiaTheme="minorEastAsia" w:cstheme="minorEastAsia"/>
                <w:kern w:val="0"/>
                <w:szCs w:val="21"/>
                <w:highlight w:val="none"/>
              </w:rPr>
            </w:pPr>
          </w:p>
        </w:tc>
        <w:tc>
          <w:tcPr>
            <w:tcW w:w="1662" w:type="dxa"/>
            <w:vMerge w:val="restart"/>
            <w:tcBorders>
              <w:top w:val="single" w:color="000000" w:sz="4" w:space="0"/>
              <w:left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（一）</w:t>
            </w:r>
          </w:p>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 w:val="22"/>
                <w:szCs w:val="22"/>
                <w:highlight w:val="none"/>
              </w:rPr>
              <w:t>投标设计方案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36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w:t>
            </w:r>
          </w:p>
        </w:tc>
        <w:tc>
          <w:tcPr>
            <w:tcW w:w="5587" w:type="dxa"/>
            <w:tcBorders>
              <w:top w:val="single" w:color="000000" w:sz="4" w:space="0"/>
              <w:left w:val="single" w:color="000000" w:sz="4" w:space="0"/>
              <w:bottom w:val="single" w:color="000000" w:sz="4" w:space="0"/>
              <w:right w:val="single" w:color="000000" w:sz="4" w:space="0"/>
            </w:tcBorders>
          </w:tcPr>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所投产品</w:t>
            </w:r>
            <w:r>
              <w:rPr>
                <w:rFonts w:hint="eastAsia" w:asciiTheme="minorEastAsia" w:hAnsiTheme="minorEastAsia" w:eastAsiaTheme="minorEastAsia" w:cstheme="minorEastAsia"/>
                <w:b/>
                <w:bCs/>
                <w:kern w:val="0"/>
                <w:szCs w:val="21"/>
                <w:highlight w:val="none"/>
                <w:lang w:val="zh-CN"/>
              </w:rPr>
              <w:t>曳引机</w:t>
            </w:r>
            <w:r>
              <w:rPr>
                <w:rFonts w:hint="eastAsia" w:asciiTheme="minorEastAsia" w:hAnsiTheme="minorEastAsia" w:eastAsiaTheme="minorEastAsia" w:cstheme="minorEastAsia"/>
                <w:kern w:val="0"/>
                <w:szCs w:val="21"/>
                <w:highlight w:val="none"/>
                <w:lang w:val="zh-CN"/>
              </w:rPr>
              <w:t>采用原厂原品牌得</w:t>
            </w: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zh-CN"/>
              </w:rPr>
              <w:t>.0分，其他得</w:t>
            </w:r>
            <w:r>
              <w:rPr>
                <w:rFonts w:hint="eastAsia" w:asciiTheme="minorEastAsia" w:hAnsiTheme="minorEastAsia" w:eastAsiaTheme="minorEastAsia" w:cstheme="minorEastAsia"/>
                <w:kern w:val="0"/>
                <w:szCs w:val="21"/>
                <w:highlight w:val="none"/>
              </w:rPr>
              <w:t>0</w:t>
            </w:r>
            <w:r>
              <w:rPr>
                <w:rFonts w:hint="eastAsia" w:asciiTheme="minorEastAsia" w:hAnsiTheme="minorEastAsia" w:eastAsiaTheme="minorEastAsia" w:cstheme="minorEastAsia"/>
                <w:kern w:val="0"/>
                <w:szCs w:val="21"/>
                <w:highlight w:val="none"/>
                <w:lang w:val="zh-CN"/>
              </w:rPr>
              <w:t>.</w:t>
            </w:r>
            <w:r>
              <w:rPr>
                <w:rFonts w:hint="eastAsia" w:asciiTheme="minorEastAsia" w:hAnsiTheme="minorEastAsia" w:eastAsiaTheme="minorEastAsia" w:cstheme="minorEastAsia"/>
                <w:kern w:val="0"/>
                <w:szCs w:val="21"/>
                <w:highlight w:val="none"/>
              </w:rPr>
              <w:t>5</w:t>
            </w:r>
            <w:r>
              <w:rPr>
                <w:rFonts w:hint="eastAsia" w:asciiTheme="minorEastAsia" w:hAnsiTheme="minorEastAsia" w:eastAsiaTheme="minorEastAsia" w:cstheme="minorEastAsia"/>
                <w:kern w:val="0"/>
                <w:szCs w:val="21"/>
                <w:highlight w:val="none"/>
                <w:lang w:val="zh-CN"/>
              </w:rPr>
              <w:t>分</w:t>
            </w:r>
          </w:p>
        </w:tc>
        <w:tc>
          <w:tcPr>
            <w:tcW w:w="450"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p>
        </w:tc>
        <w:tc>
          <w:tcPr>
            <w:tcW w:w="551" w:type="dxa"/>
            <w:vMerge w:val="continue"/>
            <w:tcBorders>
              <w:left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p>
        </w:tc>
        <w:tc>
          <w:tcPr>
            <w:tcW w:w="1662" w:type="dxa"/>
            <w:vMerge w:val="continue"/>
            <w:tcBorders>
              <w:left w:val="single" w:color="000000" w:sz="4" w:space="0"/>
              <w:right w:val="single" w:color="000000" w:sz="4" w:space="0"/>
            </w:tcBorders>
            <w:vAlign w:val="center"/>
          </w:tcPr>
          <w:p>
            <w:pPr>
              <w:tabs>
                <w:tab w:val="left" w:pos="0"/>
              </w:tabs>
              <w:spacing w:line="360" w:lineRule="auto"/>
              <w:ind w:firstLine="420" w:firstLineChars="200"/>
              <w:jc w:val="center"/>
              <w:rPr>
                <w:rFonts w:asciiTheme="minorEastAsia" w:hAnsiTheme="minorEastAsia" w:eastAsiaTheme="minorEastAsia" w:cstheme="minorEastAsia"/>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jc w:val="center"/>
        </w:trPr>
        <w:tc>
          <w:tcPr>
            <w:tcW w:w="36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3</w:t>
            </w:r>
          </w:p>
        </w:tc>
        <w:tc>
          <w:tcPr>
            <w:tcW w:w="5587" w:type="dxa"/>
            <w:tcBorders>
              <w:top w:val="single" w:color="000000" w:sz="4" w:space="0"/>
              <w:left w:val="single" w:color="000000" w:sz="4" w:space="0"/>
              <w:bottom w:val="single" w:color="000000" w:sz="4" w:space="0"/>
              <w:right w:val="single" w:color="000000" w:sz="4" w:space="0"/>
            </w:tcBorders>
          </w:tcPr>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①所投产品</w:t>
            </w:r>
            <w:r>
              <w:rPr>
                <w:rFonts w:hint="eastAsia" w:asciiTheme="minorEastAsia" w:hAnsiTheme="minorEastAsia" w:eastAsiaTheme="minorEastAsia" w:cstheme="minorEastAsia"/>
                <w:b/>
                <w:bCs/>
                <w:kern w:val="0"/>
                <w:szCs w:val="21"/>
                <w:highlight w:val="none"/>
                <w:lang w:val="zh-CN"/>
              </w:rPr>
              <w:t>控制柜</w:t>
            </w:r>
            <w:r>
              <w:rPr>
                <w:rFonts w:hint="eastAsia" w:asciiTheme="minorEastAsia" w:hAnsiTheme="minorEastAsia" w:eastAsiaTheme="minorEastAsia" w:cstheme="minorEastAsia"/>
                <w:kern w:val="0"/>
                <w:szCs w:val="21"/>
                <w:highlight w:val="none"/>
                <w:lang w:val="zh-CN"/>
              </w:rPr>
              <w:t>采用原厂原品牌得</w:t>
            </w: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zh-CN"/>
              </w:rPr>
              <w:t>.0分，其他得</w:t>
            </w:r>
            <w:r>
              <w:rPr>
                <w:rFonts w:hint="eastAsia" w:asciiTheme="minorEastAsia" w:hAnsiTheme="minorEastAsia" w:eastAsiaTheme="minorEastAsia" w:cstheme="minorEastAsia"/>
                <w:kern w:val="0"/>
                <w:szCs w:val="21"/>
                <w:highlight w:val="none"/>
              </w:rPr>
              <w:t>0</w:t>
            </w:r>
            <w:r>
              <w:rPr>
                <w:rFonts w:hint="eastAsia" w:asciiTheme="minorEastAsia" w:hAnsiTheme="minorEastAsia" w:eastAsiaTheme="minorEastAsia" w:cstheme="minorEastAsia"/>
                <w:kern w:val="0"/>
                <w:szCs w:val="21"/>
                <w:highlight w:val="none"/>
                <w:lang w:val="zh-CN"/>
              </w:rPr>
              <w:t>.</w:t>
            </w:r>
            <w:r>
              <w:rPr>
                <w:rFonts w:hint="eastAsia" w:asciiTheme="minorEastAsia" w:hAnsiTheme="minorEastAsia" w:eastAsiaTheme="minorEastAsia" w:cstheme="minorEastAsia"/>
                <w:kern w:val="0"/>
                <w:szCs w:val="21"/>
                <w:highlight w:val="none"/>
              </w:rPr>
              <w:t>5</w:t>
            </w:r>
            <w:r>
              <w:rPr>
                <w:rFonts w:hint="eastAsia" w:asciiTheme="minorEastAsia" w:hAnsiTheme="minorEastAsia" w:eastAsiaTheme="minorEastAsia" w:cstheme="minorEastAsia"/>
                <w:kern w:val="0"/>
                <w:szCs w:val="21"/>
                <w:highlight w:val="none"/>
                <w:lang w:val="zh-CN"/>
              </w:rPr>
              <w:t>分。</w:t>
            </w:r>
          </w:p>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②控制柜供电电源电压在380V±15%（57V）范围内时，仍可保证轿厢运行速度正常，仍可保证电梯加减速度正常，仍可保证电梯运行噪音符合国标，满足要求得</w:t>
            </w:r>
            <w:r>
              <w:rPr>
                <w:rFonts w:hint="eastAsia" w:asciiTheme="minorEastAsia" w:hAnsiTheme="minorEastAsia" w:eastAsiaTheme="minorEastAsia" w:cstheme="minorEastAsia"/>
                <w:kern w:val="0"/>
                <w:szCs w:val="21"/>
                <w:highlight w:val="none"/>
                <w:lang w:val="en-US" w:eastAsia="zh-CN"/>
              </w:rPr>
              <w:t>3</w:t>
            </w:r>
            <w:r>
              <w:rPr>
                <w:rFonts w:hint="eastAsia" w:asciiTheme="minorEastAsia" w:hAnsiTheme="minorEastAsia" w:eastAsiaTheme="minorEastAsia" w:cstheme="minorEastAsia"/>
                <w:kern w:val="0"/>
                <w:szCs w:val="21"/>
                <w:highlight w:val="none"/>
                <w:lang w:val="zh-CN"/>
              </w:rPr>
              <w:t>分。</w:t>
            </w:r>
          </w:p>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rPr>
              <w:t>注：</w:t>
            </w:r>
            <w:r>
              <w:rPr>
                <w:rFonts w:hint="eastAsia" w:asciiTheme="minorEastAsia" w:hAnsiTheme="minorEastAsia" w:eastAsiaTheme="minorEastAsia" w:cstheme="minorEastAsia"/>
                <w:kern w:val="0"/>
                <w:szCs w:val="21"/>
                <w:highlight w:val="none"/>
                <w:lang w:val="zh-CN"/>
              </w:rPr>
              <w:t>需提供国家电梯质量监督监测中心出具的运行检验报告</w:t>
            </w:r>
            <w:r>
              <w:rPr>
                <w:rFonts w:hint="eastAsia" w:asciiTheme="minorEastAsia" w:hAnsiTheme="minorEastAsia" w:eastAsiaTheme="minorEastAsia" w:cstheme="minorEastAsia"/>
                <w:kern w:val="0"/>
                <w:szCs w:val="21"/>
                <w:highlight w:val="none"/>
              </w:rPr>
              <w:t>扫描件或</w:t>
            </w:r>
            <w:r>
              <w:rPr>
                <w:rFonts w:hint="eastAsia" w:asciiTheme="minorEastAsia" w:hAnsiTheme="minorEastAsia" w:eastAsiaTheme="minorEastAsia" w:cstheme="minorEastAsia"/>
                <w:kern w:val="0"/>
                <w:szCs w:val="21"/>
                <w:highlight w:val="none"/>
                <w:lang w:val="zh-CN"/>
              </w:rPr>
              <w:t>复印件</w:t>
            </w:r>
            <w:r>
              <w:rPr>
                <w:rFonts w:hint="eastAsia" w:asciiTheme="minorEastAsia" w:hAnsiTheme="minorEastAsia" w:eastAsiaTheme="minorEastAsia" w:cstheme="minorEastAsia"/>
                <w:kern w:val="0"/>
                <w:szCs w:val="21"/>
                <w:highlight w:val="none"/>
              </w:rPr>
              <w:t>并加盖公章</w:t>
            </w:r>
            <w:r>
              <w:rPr>
                <w:rFonts w:hint="eastAsia" w:asciiTheme="minorEastAsia" w:hAnsiTheme="minorEastAsia" w:eastAsiaTheme="minorEastAsia" w:cstheme="minorEastAsia"/>
                <w:kern w:val="0"/>
                <w:szCs w:val="21"/>
                <w:highlight w:val="none"/>
                <w:lang w:val="zh-CN"/>
              </w:rPr>
              <w:t>，未提供不得分。</w:t>
            </w:r>
          </w:p>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③控制柜需进行过EMC电磁兼容测试，测试依据标准为：EN12015:2020;EN12016:2013，满足要求得</w:t>
            </w: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zh-CN"/>
              </w:rPr>
              <w:t>分。</w:t>
            </w:r>
          </w:p>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rPr>
              <w:t>注：</w:t>
            </w:r>
            <w:r>
              <w:rPr>
                <w:rFonts w:hint="eastAsia" w:asciiTheme="minorEastAsia" w:hAnsiTheme="minorEastAsia" w:eastAsiaTheme="minorEastAsia" w:cstheme="minorEastAsia"/>
                <w:kern w:val="0"/>
                <w:szCs w:val="21"/>
                <w:highlight w:val="none"/>
                <w:lang w:val="zh-CN"/>
              </w:rPr>
              <w:t>需提供TUV等权威机构提供的检测证书报告</w:t>
            </w:r>
            <w:r>
              <w:rPr>
                <w:rFonts w:hint="eastAsia" w:asciiTheme="minorEastAsia" w:hAnsiTheme="minorEastAsia" w:eastAsiaTheme="minorEastAsia" w:cstheme="minorEastAsia"/>
                <w:kern w:val="0"/>
                <w:szCs w:val="21"/>
                <w:highlight w:val="none"/>
              </w:rPr>
              <w:t>扫描件或</w:t>
            </w:r>
            <w:r>
              <w:rPr>
                <w:rFonts w:hint="eastAsia" w:asciiTheme="minorEastAsia" w:hAnsiTheme="minorEastAsia" w:eastAsiaTheme="minorEastAsia" w:cstheme="minorEastAsia"/>
                <w:kern w:val="0"/>
                <w:szCs w:val="21"/>
                <w:highlight w:val="none"/>
                <w:lang w:val="zh-CN"/>
              </w:rPr>
              <w:t>复印件</w:t>
            </w:r>
            <w:r>
              <w:rPr>
                <w:rFonts w:hint="eastAsia" w:asciiTheme="minorEastAsia" w:hAnsiTheme="minorEastAsia" w:eastAsiaTheme="minorEastAsia" w:cstheme="minorEastAsia"/>
                <w:kern w:val="0"/>
                <w:szCs w:val="21"/>
                <w:highlight w:val="none"/>
              </w:rPr>
              <w:t>并加盖公章</w:t>
            </w:r>
            <w:r>
              <w:rPr>
                <w:rFonts w:hint="eastAsia" w:asciiTheme="minorEastAsia" w:hAnsiTheme="minorEastAsia" w:eastAsiaTheme="minorEastAsia" w:cstheme="minorEastAsia"/>
                <w:kern w:val="0"/>
                <w:szCs w:val="21"/>
                <w:highlight w:val="none"/>
                <w:lang w:val="zh-CN"/>
              </w:rPr>
              <w:t>，不满足或者不提供证书（报告）不得分。</w:t>
            </w:r>
          </w:p>
        </w:tc>
        <w:tc>
          <w:tcPr>
            <w:tcW w:w="450"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5</w:t>
            </w:r>
          </w:p>
        </w:tc>
        <w:tc>
          <w:tcPr>
            <w:tcW w:w="551" w:type="dxa"/>
            <w:vMerge w:val="continue"/>
            <w:tcBorders>
              <w:left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p>
        </w:tc>
        <w:tc>
          <w:tcPr>
            <w:tcW w:w="1662" w:type="dxa"/>
            <w:vMerge w:val="continue"/>
            <w:tcBorders>
              <w:left w:val="single" w:color="000000" w:sz="4" w:space="0"/>
              <w:right w:val="single" w:color="000000" w:sz="4" w:space="0"/>
            </w:tcBorders>
            <w:vAlign w:val="center"/>
          </w:tcPr>
          <w:p>
            <w:pPr>
              <w:tabs>
                <w:tab w:val="left" w:pos="0"/>
              </w:tabs>
              <w:spacing w:line="360" w:lineRule="auto"/>
              <w:ind w:firstLine="420" w:firstLineChars="200"/>
              <w:jc w:val="center"/>
              <w:rPr>
                <w:rFonts w:asciiTheme="minorEastAsia" w:hAnsiTheme="minorEastAsia" w:eastAsiaTheme="minorEastAsia" w:cstheme="minorEastAsia"/>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jc w:val="center"/>
        </w:trPr>
        <w:tc>
          <w:tcPr>
            <w:tcW w:w="36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4</w:t>
            </w:r>
          </w:p>
        </w:tc>
        <w:tc>
          <w:tcPr>
            <w:tcW w:w="5587" w:type="dxa"/>
            <w:tcBorders>
              <w:top w:val="single" w:color="000000" w:sz="4" w:space="0"/>
              <w:left w:val="single" w:color="000000" w:sz="4" w:space="0"/>
              <w:bottom w:val="single" w:color="000000" w:sz="4" w:space="0"/>
              <w:right w:val="single" w:color="000000" w:sz="4" w:space="0"/>
            </w:tcBorders>
          </w:tcPr>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①所投产品</w:t>
            </w:r>
            <w:r>
              <w:rPr>
                <w:rFonts w:hint="eastAsia" w:asciiTheme="minorEastAsia" w:hAnsiTheme="minorEastAsia" w:eastAsiaTheme="minorEastAsia" w:cstheme="minorEastAsia"/>
                <w:b/>
                <w:bCs/>
                <w:kern w:val="0"/>
                <w:szCs w:val="21"/>
                <w:highlight w:val="none"/>
                <w:lang w:val="zh-CN"/>
              </w:rPr>
              <w:t>门机</w:t>
            </w:r>
            <w:r>
              <w:rPr>
                <w:rFonts w:hint="eastAsia" w:asciiTheme="minorEastAsia" w:hAnsiTheme="minorEastAsia" w:eastAsiaTheme="minorEastAsia" w:cstheme="minorEastAsia"/>
                <w:kern w:val="0"/>
                <w:szCs w:val="21"/>
                <w:highlight w:val="none"/>
                <w:lang w:val="zh-CN"/>
              </w:rPr>
              <w:t>采用原厂原品牌得</w:t>
            </w: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zh-CN"/>
              </w:rPr>
              <w:t>.0分，其他得</w:t>
            </w:r>
            <w:r>
              <w:rPr>
                <w:rFonts w:hint="eastAsia" w:asciiTheme="minorEastAsia" w:hAnsiTheme="minorEastAsia" w:eastAsiaTheme="minorEastAsia" w:cstheme="minorEastAsia"/>
                <w:kern w:val="0"/>
                <w:szCs w:val="21"/>
                <w:highlight w:val="none"/>
              </w:rPr>
              <w:t>0</w:t>
            </w:r>
            <w:r>
              <w:rPr>
                <w:rFonts w:hint="eastAsia" w:asciiTheme="minorEastAsia" w:hAnsiTheme="minorEastAsia" w:eastAsiaTheme="minorEastAsia" w:cstheme="minorEastAsia"/>
                <w:kern w:val="0"/>
                <w:szCs w:val="21"/>
                <w:highlight w:val="none"/>
                <w:lang w:val="zh-CN"/>
              </w:rPr>
              <w:t>.</w:t>
            </w:r>
            <w:r>
              <w:rPr>
                <w:rFonts w:hint="eastAsia" w:asciiTheme="minorEastAsia" w:hAnsiTheme="minorEastAsia" w:eastAsiaTheme="minorEastAsia" w:cstheme="minorEastAsia"/>
                <w:kern w:val="0"/>
                <w:szCs w:val="21"/>
                <w:highlight w:val="none"/>
              </w:rPr>
              <w:t>5</w:t>
            </w:r>
            <w:r>
              <w:rPr>
                <w:rFonts w:hint="eastAsia" w:asciiTheme="minorEastAsia" w:hAnsiTheme="minorEastAsia" w:eastAsiaTheme="minorEastAsia" w:cstheme="minorEastAsia"/>
                <w:kern w:val="0"/>
                <w:szCs w:val="21"/>
                <w:highlight w:val="none"/>
                <w:lang w:val="zh-CN"/>
              </w:rPr>
              <w:t>分。</w:t>
            </w:r>
          </w:p>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②门机具有先进性、稳定性，满足开关门噪音≤52dB（A）得</w:t>
            </w:r>
            <w:r>
              <w:rPr>
                <w:rFonts w:hint="eastAsia" w:asciiTheme="minorEastAsia" w:hAnsiTheme="minorEastAsia" w:eastAsiaTheme="minorEastAsia" w:cstheme="minorEastAsia"/>
                <w:kern w:val="0"/>
                <w:szCs w:val="21"/>
                <w:highlight w:val="none"/>
              </w:rPr>
              <w:t>2</w:t>
            </w:r>
            <w:r>
              <w:rPr>
                <w:rFonts w:hint="eastAsia" w:asciiTheme="minorEastAsia" w:hAnsiTheme="minorEastAsia" w:eastAsiaTheme="minorEastAsia" w:cstheme="minorEastAsia"/>
                <w:kern w:val="0"/>
                <w:szCs w:val="21"/>
                <w:highlight w:val="none"/>
                <w:lang w:val="zh-CN"/>
              </w:rPr>
              <w:t>.0分，其他不得分。</w:t>
            </w:r>
          </w:p>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提供权威机构提供检测的报告</w:t>
            </w:r>
            <w:r>
              <w:rPr>
                <w:rFonts w:hint="eastAsia" w:asciiTheme="minorEastAsia" w:hAnsiTheme="minorEastAsia" w:eastAsiaTheme="minorEastAsia" w:cstheme="minorEastAsia"/>
                <w:kern w:val="0"/>
                <w:szCs w:val="21"/>
                <w:highlight w:val="none"/>
              </w:rPr>
              <w:t>扫描件或</w:t>
            </w:r>
            <w:r>
              <w:rPr>
                <w:rFonts w:hint="eastAsia" w:asciiTheme="minorEastAsia" w:hAnsiTheme="minorEastAsia" w:eastAsiaTheme="minorEastAsia" w:cstheme="minorEastAsia"/>
                <w:kern w:val="0"/>
                <w:szCs w:val="21"/>
                <w:highlight w:val="none"/>
                <w:lang w:val="zh-CN"/>
              </w:rPr>
              <w:t>复印件</w:t>
            </w:r>
            <w:r>
              <w:rPr>
                <w:rFonts w:hint="eastAsia" w:asciiTheme="minorEastAsia" w:hAnsiTheme="minorEastAsia" w:eastAsiaTheme="minorEastAsia" w:cstheme="minorEastAsia"/>
                <w:kern w:val="0"/>
                <w:szCs w:val="21"/>
                <w:highlight w:val="none"/>
              </w:rPr>
              <w:t>并加盖公章</w:t>
            </w:r>
            <w:r>
              <w:rPr>
                <w:rFonts w:hint="eastAsia" w:asciiTheme="minorEastAsia" w:hAnsiTheme="minorEastAsia" w:eastAsiaTheme="minorEastAsia" w:cstheme="minorEastAsia"/>
                <w:kern w:val="0"/>
                <w:szCs w:val="21"/>
                <w:highlight w:val="none"/>
                <w:lang w:val="zh-CN"/>
              </w:rPr>
              <w:t>。</w:t>
            </w:r>
          </w:p>
        </w:tc>
        <w:tc>
          <w:tcPr>
            <w:tcW w:w="450"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3</w:t>
            </w:r>
          </w:p>
        </w:tc>
        <w:tc>
          <w:tcPr>
            <w:tcW w:w="551" w:type="dxa"/>
            <w:vMerge w:val="continue"/>
            <w:tcBorders>
              <w:left w:val="single" w:color="000000" w:sz="4" w:space="0"/>
              <w:right w:val="single" w:color="000000" w:sz="4" w:space="0"/>
            </w:tcBorders>
            <w:vAlign w:val="center"/>
          </w:tcPr>
          <w:p>
            <w:pPr>
              <w:tabs>
                <w:tab w:val="left" w:pos="0"/>
              </w:tabs>
              <w:spacing w:line="360" w:lineRule="auto"/>
              <w:ind w:firstLine="420" w:firstLineChars="200"/>
              <w:jc w:val="center"/>
              <w:rPr>
                <w:rFonts w:asciiTheme="minorEastAsia" w:hAnsiTheme="minorEastAsia" w:eastAsiaTheme="minorEastAsia" w:cstheme="minorEastAsia"/>
                <w:kern w:val="0"/>
                <w:szCs w:val="21"/>
                <w:highlight w:val="none"/>
              </w:rPr>
            </w:pPr>
          </w:p>
        </w:tc>
        <w:tc>
          <w:tcPr>
            <w:tcW w:w="1662" w:type="dxa"/>
            <w:vMerge w:val="continue"/>
            <w:tcBorders>
              <w:left w:val="single" w:color="000000" w:sz="4" w:space="0"/>
              <w:right w:val="single" w:color="000000" w:sz="4" w:space="0"/>
            </w:tcBorders>
            <w:vAlign w:val="center"/>
          </w:tcPr>
          <w:p>
            <w:pPr>
              <w:tabs>
                <w:tab w:val="left" w:pos="0"/>
              </w:tabs>
              <w:spacing w:line="360" w:lineRule="auto"/>
              <w:ind w:firstLine="420" w:firstLineChars="200"/>
              <w:jc w:val="center"/>
              <w:rPr>
                <w:rFonts w:asciiTheme="minorEastAsia" w:hAnsiTheme="minorEastAsia" w:eastAsiaTheme="minorEastAsia" w:cstheme="minorEastAsia"/>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36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5</w:t>
            </w:r>
          </w:p>
        </w:tc>
        <w:tc>
          <w:tcPr>
            <w:tcW w:w="5587" w:type="dxa"/>
            <w:tcBorders>
              <w:top w:val="single" w:color="000000" w:sz="4" w:space="0"/>
              <w:left w:val="single" w:color="000000" w:sz="4" w:space="0"/>
              <w:bottom w:val="single" w:color="000000" w:sz="4" w:space="0"/>
              <w:right w:val="single" w:color="000000" w:sz="4" w:space="0"/>
            </w:tcBorders>
          </w:tcPr>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b/>
                <w:bCs/>
                <w:kern w:val="0"/>
                <w:szCs w:val="21"/>
                <w:highlight w:val="none"/>
                <w:lang w:val="zh-CN"/>
              </w:rPr>
              <w:t>光幕外壳</w:t>
            </w:r>
            <w:r>
              <w:rPr>
                <w:rFonts w:hint="eastAsia" w:asciiTheme="minorEastAsia" w:hAnsiTheme="minorEastAsia" w:eastAsiaTheme="minorEastAsia" w:cstheme="minorEastAsia"/>
                <w:kern w:val="0"/>
                <w:szCs w:val="21"/>
                <w:highlight w:val="none"/>
                <w:lang w:val="zh-CN"/>
              </w:rPr>
              <w:t>防护等级IP65及以上且光幕≥154束的得</w:t>
            </w:r>
            <w:r>
              <w:rPr>
                <w:rFonts w:hint="eastAsia" w:asciiTheme="minorEastAsia" w:hAnsiTheme="minorEastAsia" w:eastAsiaTheme="minorEastAsia" w:cstheme="minorEastAsia"/>
                <w:kern w:val="0"/>
                <w:szCs w:val="21"/>
                <w:highlight w:val="none"/>
              </w:rPr>
              <w:t>3</w:t>
            </w:r>
            <w:r>
              <w:rPr>
                <w:rFonts w:hint="eastAsia" w:asciiTheme="minorEastAsia" w:hAnsiTheme="minorEastAsia" w:eastAsiaTheme="minorEastAsia" w:cstheme="minorEastAsia"/>
                <w:kern w:val="0"/>
                <w:szCs w:val="21"/>
                <w:highlight w:val="none"/>
                <w:lang w:val="zh-CN"/>
              </w:rPr>
              <w:t>.0分，154＜光束≥128束得1.0分，其它不得分。</w:t>
            </w:r>
          </w:p>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提供第三方权威机构检验报告</w:t>
            </w:r>
            <w:r>
              <w:rPr>
                <w:rFonts w:hint="eastAsia" w:asciiTheme="minorEastAsia" w:hAnsiTheme="minorEastAsia" w:eastAsiaTheme="minorEastAsia" w:cstheme="minorEastAsia"/>
                <w:kern w:val="0"/>
                <w:szCs w:val="21"/>
                <w:highlight w:val="none"/>
              </w:rPr>
              <w:t>扫描件或</w:t>
            </w:r>
            <w:r>
              <w:rPr>
                <w:rFonts w:hint="eastAsia" w:asciiTheme="minorEastAsia" w:hAnsiTheme="minorEastAsia" w:eastAsiaTheme="minorEastAsia" w:cstheme="minorEastAsia"/>
                <w:kern w:val="0"/>
                <w:szCs w:val="21"/>
                <w:highlight w:val="none"/>
                <w:lang w:val="zh-CN"/>
              </w:rPr>
              <w:t>复印件</w:t>
            </w:r>
            <w:r>
              <w:rPr>
                <w:rFonts w:hint="eastAsia" w:asciiTheme="minorEastAsia" w:hAnsiTheme="minorEastAsia" w:eastAsiaTheme="minorEastAsia" w:cstheme="minorEastAsia"/>
                <w:kern w:val="0"/>
                <w:szCs w:val="21"/>
                <w:highlight w:val="none"/>
              </w:rPr>
              <w:t>并加盖公章。</w:t>
            </w:r>
          </w:p>
        </w:tc>
        <w:tc>
          <w:tcPr>
            <w:tcW w:w="450"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3</w:t>
            </w:r>
          </w:p>
        </w:tc>
        <w:tc>
          <w:tcPr>
            <w:tcW w:w="551" w:type="dxa"/>
            <w:vMerge w:val="continue"/>
            <w:tcBorders>
              <w:left w:val="single" w:color="000000" w:sz="4" w:space="0"/>
              <w:right w:val="single" w:color="000000" w:sz="4" w:space="0"/>
            </w:tcBorders>
            <w:vAlign w:val="center"/>
          </w:tcPr>
          <w:p>
            <w:pPr>
              <w:tabs>
                <w:tab w:val="left" w:pos="0"/>
              </w:tabs>
              <w:spacing w:line="360" w:lineRule="auto"/>
              <w:ind w:firstLine="420" w:firstLineChars="200"/>
              <w:jc w:val="center"/>
              <w:rPr>
                <w:rFonts w:asciiTheme="minorEastAsia" w:hAnsiTheme="minorEastAsia" w:eastAsiaTheme="minorEastAsia" w:cstheme="minorEastAsia"/>
                <w:kern w:val="0"/>
                <w:szCs w:val="21"/>
                <w:highlight w:val="none"/>
              </w:rPr>
            </w:pPr>
          </w:p>
        </w:tc>
        <w:tc>
          <w:tcPr>
            <w:tcW w:w="1662" w:type="dxa"/>
            <w:vMerge w:val="continue"/>
            <w:tcBorders>
              <w:left w:val="single" w:color="000000" w:sz="4" w:space="0"/>
              <w:right w:val="single" w:color="000000" w:sz="4" w:space="0"/>
            </w:tcBorders>
            <w:vAlign w:val="center"/>
          </w:tcPr>
          <w:p>
            <w:pPr>
              <w:tabs>
                <w:tab w:val="left" w:pos="0"/>
              </w:tabs>
              <w:spacing w:line="360" w:lineRule="auto"/>
              <w:ind w:firstLine="420" w:firstLineChars="200"/>
              <w:jc w:val="center"/>
              <w:rPr>
                <w:rFonts w:asciiTheme="minorEastAsia" w:hAnsiTheme="minorEastAsia" w:eastAsiaTheme="minorEastAsia" w:cstheme="minorEastAsia"/>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rPr>
              <w:t>6</w:t>
            </w:r>
          </w:p>
        </w:tc>
        <w:tc>
          <w:tcPr>
            <w:tcW w:w="5587" w:type="dxa"/>
            <w:tcBorders>
              <w:top w:val="single" w:color="000000" w:sz="4" w:space="0"/>
              <w:left w:val="single" w:color="000000" w:sz="4" w:space="0"/>
              <w:bottom w:val="single" w:color="000000" w:sz="4" w:space="0"/>
              <w:right w:val="single" w:color="000000" w:sz="4" w:space="0"/>
            </w:tcBorders>
          </w:tcPr>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本次所投产品的安全部件(如安全钳、限速器、缓冲器等)性能指标、先进程度、使用寿命、响应招标文件程度、部件来源等打分。</w:t>
            </w:r>
          </w:p>
        </w:tc>
        <w:tc>
          <w:tcPr>
            <w:tcW w:w="450"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2</w:t>
            </w:r>
          </w:p>
        </w:tc>
        <w:tc>
          <w:tcPr>
            <w:tcW w:w="551" w:type="dxa"/>
            <w:vMerge w:val="continue"/>
            <w:tcBorders>
              <w:left w:val="single" w:color="000000" w:sz="4" w:space="0"/>
              <w:right w:val="single" w:color="000000" w:sz="4" w:space="0"/>
            </w:tcBorders>
            <w:vAlign w:val="center"/>
          </w:tcPr>
          <w:p>
            <w:pPr>
              <w:tabs>
                <w:tab w:val="left" w:pos="0"/>
              </w:tabs>
              <w:spacing w:line="360" w:lineRule="auto"/>
              <w:ind w:firstLine="420" w:firstLineChars="200"/>
              <w:jc w:val="center"/>
              <w:rPr>
                <w:rFonts w:asciiTheme="minorEastAsia" w:hAnsiTheme="minorEastAsia" w:eastAsiaTheme="minorEastAsia" w:cstheme="minorEastAsia"/>
                <w:kern w:val="0"/>
                <w:szCs w:val="21"/>
                <w:highlight w:val="none"/>
                <w:lang w:val="zh-CN"/>
              </w:rPr>
            </w:pPr>
          </w:p>
        </w:tc>
        <w:tc>
          <w:tcPr>
            <w:tcW w:w="1662" w:type="dxa"/>
            <w:vMerge w:val="continue"/>
            <w:tcBorders>
              <w:left w:val="single" w:color="000000" w:sz="4" w:space="0"/>
              <w:right w:val="single" w:color="000000" w:sz="4" w:space="0"/>
            </w:tcBorders>
            <w:vAlign w:val="center"/>
          </w:tcPr>
          <w:p>
            <w:pPr>
              <w:tabs>
                <w:tab w:val="left" w:pos="0"/>
              </w:tabs>
              <w:spacing w:line="360" w:lineRule="auto"/>
              <w:ind w:firstLine="420" w:firstLineChars="200"/>
              <w:jc w:val="center"/>
              <w:rPr>
                <w:rFonts w:asciiTheme="minorEastAsia" w:hAnsiTheme="minorEastAsia" w:eastAsiaTheme="minorEastAsia" w:cstheme="minorEastAsia"/>
                <w:kern w:val="0"/>
                <w:szCs w:val="21"/>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6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rPr>
              <w:t>7</w:t>
            </w:r>
          </w:p>
        </w:tc>
        <w:tc>
          <w:tcPr>
            <w:tcW w:w="5587" w:type="dxa"/>
            <w:tcBorders>
              <w:top w:val="single" w:color="000000" w:sz="4" w:space="0"/>
              <w:left w:val="single" w:color="000000" w:sz="4" w:space="0"/>
              <w:bottom w:val="single" w:color="000000" w:sz="4" w:space="0"/>
              <w:right w:val="single" w:color="000000" w:sz="4" w:space="0"/>
            </w:tcBorders>
          </w:tcPr>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rPr>
              <w:t>需响应</w:t>
            </w:r>
            <w:r>
              <w:rPr>
                <w:rFonts w:hint="eastAsia" w:asciiTheme="minorEastAsia" w:hAnsiTheme="minorEastAsia" w:eastAsiaTheme="minorEastAsia" w:cstheme="minorEastAsia"/>
                <w:kern w:val="0"/>
                <w:szCs w:val="21"/>
                <w:highlight w:val="none"/>
                <w:lang w:val="zh-CN"/>
              </w:rPr>
              <w:t>电梯每起制动60000次中失效故障及控制柜失效故障的次数，承诺</w:t>
            </w:r>
            <w:r>
              <w:rPr>
                <w:rFonts w:hint="eastAsia" w:asciiTheme="minorEastAsia" w:hAnsiTheme="minorEastAsia" w:eastAsiaTheme="minorEastAsia" w:cstheme="minorEastAsia"/>
                <w:b/>
                <w:bCs/>
                <w:kern w:val="0"/>
                <w:szCs w:val="21"/>
                <w:highlight w:val="none"/>
                <w:lang w:val="zh-CN"/>
              </w:rPr>
              <w:t>故障次数</w:t>
            </w:r>
            <w:r>
              <w:rPr>
                <w:rFonts w:hint="eastAsia" w:asciiTheme="minorEastAsia" w:hAnsiTheme="minorEastAsia" w:eastAsiaTheme="minorEastAsia" w:cstheme="minorEastAsia"/>
                <w:kern w:val="0"/>
                <w:szCs w:val="21"/>
                <w:highlight w:val="none"/>
                <w:lang w:val="zh-CN"/>
              </w:rPr>
              <w:t>为5次以下的得1分，否则不得分，</w:t>
            </w:r>
            <w:r>
              <w:rPr>
                <w:rFonts w:hint="eastAsia" w:asciiTheme="minorEastAsia" w:hAnsiTheme="minorEastAsia" w:eastAsiaTheme="minorEastAsia" w:cstheme="minorEastAsia"/>
                <w:kern w:val="0"/>
                <w:szCs w:val="21"/>
                <w:highlight w:val="none"/>
              </w:rPr>
              <w:t>提供承诺函并加盖公章</w:t>
            </w:r>
            <w:r>
              <w:rPr>
                <w:rFonts w:hint="eastAsia" w:asciiTheme="minorEastAsia" w:hAnsiTheme="minorEastAsia" w:eastAsiaTheme="minorEastAsia" w:cstheme="minorEastAsia"/>
                <w:kern w:val="0"/>
                <w:szCs w:val="21"/>
                <w:highlight w:val="none"/>
                <w:lang w:val="zh-CN"/>
              </w:rPr>
              <w:t>。</w:t>
            </w:r>
          </w:p>
          <w:p>
            <w:pPr>
              <w:tabs>
                <w:tab w:val="left" w:pos="0"/>
              </w:tabs>
              <w:spacing w:line="360" w:lineRule="auto"/>
              <w:rPr>
                <w:rFonts w:asciiTheme="minorEastAsia" w:hAnsiTheme="minorEastAsia" w:eastAsiaTheme="minorEastAsia" w:cstheme="minorEastAsia"/>
                <w:b/>
                <w:bCs/>
                <w:kern w:val="0"/>
                <w:szCs w:val="21"/>
                <w:highlight w:val="none"/>
                <w:lang w:val="zh-CN"/>
              </w:rPr>
            </w:pPr>
            <w:r>
              <w:rPr>
                <w:rFonts w:hint="eastAsia" w:asciiTheme="minorEastAsia" w:hAnsiTheme="minorEastAsia" w:eastAsiaTheme="minorEastAsia" w:cstheme="minorEastAsia"/>
                <w:b/>
                <w:bCs/>
                <w:kern w:val="0"/>
                <w:szCs w:val="21"/>
                <w:highlight w:val="none"/>
                <w:lang w:val="zh-CN"/>
              </w:rPr>
              <w:t>噪音指数：</w:t>
            </w:r>
          </w:p>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1）轿内≤5</w:t>
            </w:r>
            <w:r>
              <w:rPr>
                <w:rFonts w:hint="eastAsia" w:asciiTheme="minorEastAsia" w:hAnsiTheme="minorEastAsia" w:eastAsiaTheme="minorEastAsia" w:cstheme="minorEastAsia"/>
                <w:kern w:val="0"/>
                <w:szCs w:val="21"/>
                <w:highlight w:val="none"/>
                <w:lang w:val="en-US" w:eastAsia="zh-CN"/>
              </w:rPr>
              <w:t>0</w:t>
            </w:r>
            <w:r>
              <w:rPr>
                <w:rFonts w:hint="eastAsia" w:asciiTheme="minorEastAsia" w:hAnsiTheme="minorEastAsia" w:eastAsiaTheme="minorEastAsia" w:cstheme="minorEastAsia"/>
                <w:kern w:val="0"/>
                <w:szCs w:val="21"/>
                <w:highlight w:val="none"/>
                <w:lang w:val="zh-CN"/>
              </w:rPr>
              <w:t>dB（A）、开关门≤5</w:t>
            </w:r>
            <w:r>
              <w:rPr>
                <w:rFonts w:hint="eastAsia" w:asciiTheme="minorEastAsia" w:hAnsiTheme="minorEastAsia" w:eastAsiaTheme="minorEastAsia" w:cstheme="minorEastAsia"/>
                <w:kern w:val="0"/>
                <w:szCs w:val="21"/>
                <w:highlight w:val="none"/>
                <w:lang w:val="en-US" w:eastAsia="zh-CN"/>
              </w:rPr>
              <w:t>0</w:t>
            </w:r>
            <w:r>
              <w:rPr>
                <w:rFonts w:hint="eastAsia" w:asciiTheme="minorEastAsia" w:hAnsiTheme="minorEastAsia" w:eastAsiaTheme="minorEastAsia" w:cstheme="minorEastAsia"/>
                <w:kern w:val="0"/>
                <w:szCs w:val="21"/>
                <w:highlight w:val="none"/>
                <w:lang w:val="zh-CN"/>
              </w:rPr>
              <w:t>dB（A）；</w:t>
            </w:r>
          </w:p>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2）振动加速度指数：水平≤0.0</w:t>
            </w:r>
            <w:r>
              <w:rPr>
                <w:rFonts w:hint="eastAsia" w:asciiTheme="minorEastAsia" w:hAnsiTheme="minorEastAsia" w:eastAsiaTheme="minorEastAsia" w:cstheme="minorEastAsia"/>
                <w:kern w:val="0"/>
                <w:szCs w:val="21"/>
                <w:highlight w:val="none"/>
              </w:rPr>
              <w:t>78</w:t>
            </w:r>
            <w:r>
              <w:rPr>
                <w:rFonts w:hint="eastAsia" w:asciiTheme="minorEastAsia" w:hAnsiTheme="minorEastAsia" w:eastAsiaTheme="minorEastAsia" w:cstheme="minorEastAsia"/>
                <w:kern w:val="0"/>
                <w:szCs w:val="21"/>
                <w:highlight w:val="none"/>
                <w:lang w:val="zh-CN"/>
              </w:rPr>
              <w:t>m/s2，垂直≤0.</w:t>
            </w:r>
            <w:r>
              <w:rPr>
                <w:rFonts w:hint="eastAsia" w:asciiTheme="minorEastAsia" w:hAnsiTheme="minorEastAsia" w:eastAsiaTheme="minorEastAsia" w:cstheme="minorEastAsia"/>
                <w:kern w:val="0"/>
                <w:szCs w:val="21"/>
                <w:highlight w:val="none"/>
              </w:rPr>
              <w:t>098</w:t>
            </w:r>
            <w:r>
              <w:rPr>
                <w:rFonts w:hint="eastAsia" w:asciiTheme="minorEastAsia" w:hAnsiTheme="minorEastAsia" w:eastAsiaTheme="minorEastAsia" w:cstheme="minorEastAsia"/>
                <w:kern w:val="0"/>
                <w:szCs w:val="21"/>
                <w:highlight w:val="none"/>
                <w:lang w:val="zh-CN"/>
              </w:rPr>
              <w:t>m/s2；</w:t>
            </w:r>
          </w:p>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3）平层精度≦±3mm之内；</w:t>
            </w:r>
          </w:p>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三项指标全部满足的得</w:t>
            </w:r>
            <w:r>
              <w:rPr>
                <w:rFonts w:hint="eastAsia" w:asciiTheme="minorEastAsia" w:hAnsiTheme="minorEastAsia" w:eastAsiaTheme="minorEastAsia" w:cstheme="minorEastAsia"/>
                <w:kern w:val="0"/>
                <w:szCs w:val="21"/>
                <w:highlight w:val="none"/>
                <w:lang w:val="en-US" w:eastAsia="zh-CN"/>
              </w:rPr>
              <w:t>4</w:t>
            </w:r>
            <w:r>
              <w:rPr>
                <w:rFonts w:hint="eastAsia" w:asciiTheme="minorEastAsia" w:hAnsiTheme="minorEastAsia" w:eastAsiaTheme="minorEastAsia" w:cstheme="minorEastAsia"/>
                <w:kern w:val="0"/>
                <w:szCs w:val="21"/>
                <w:highlight w:val="none"/>
                <w:lang w:val="zh-CN"/>
              </w:rPr>
              <w:t>分，</w:t>
            </w:r>
            <w:r>
              <w:rPr>
                <w:rFonts w:hint="eastAsia" w:asciiTheme="minorEastAsia" w:hAnsiTheme="minorEastAsia" w:eastAsiaTheme="minorEastAsia" w:cstheme="minorEastAsia"/>
                <w:kern w:val="0"/>
                <w:szCs w:val="21"/>
                <w:highlight w:val="none"/>
              </w:rPr>
              <w:t>否则</w:t>
            </w:r>
            <w:r>
              <w:rPr>
                <w:rFonts w:hint="eastAsia" w:asciiTheme="minorEastAsia" w:hAnsiTheme="minorEastAsia" w:eastAsiaTheme="minorEastAsia" w:cstheme="minorEastAsia"/>
                <w:kern w:val="0"/>
                <w:szCs w:val="21"/>
                <w:highlight w:val="none"/>
                <w:lang w:val="zh-CN"/>
              </w:rPr>
              <w:t>不得分。</w:t>
            </w:r>
          </w:p>
          <w:p>
            <w:pPr>
              <w:tabs>
                <w:tab w:val="left" w:pos="0"/>
              </w:tabs>
              <w:spacing w:line="360" w:lineRule="auto"/>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注：</w:t>
            </w:r>
            <w:r>
              <w:rPr>
                <w:rFonts w:hint="eastAsia" w:asciiTheme="minorEastAsia" w:hAnsiTheme="minorEastAsia" w:eastAsiaTheme="minorEastAsia" w:cstheme="minorEastAsia"/>
                <w:kern w:val="0"/>
                <w:szCs w:val="21"/>
                <w:highlight w:val="none"/>
                <w:lang w:val="zh-CN"/>
              </w:rPr>
              <w:t>提供在有效期内</w:t>
            </w:r>
            <w:r>
              <w:rPr>
                <w:rFonts w:hint="eastAsia" w:asciiTheme="minorEastAsia" w:hAnsiTheme="minorEastAsia" w:eastAsiaTheme="minorEastAsia" w:cstheme="minorEastAsia"/>
                <w:kern w:val="0"/>
                <w:szCs w:val="21"/>
                <w:highlight w:val="none"/>
              </w:rPr>
              <w:t>的</w:t>
            </w:r>
            <w:r>
              <w:rPr>
                <w:rFonts w:hint="eastAsia" w:asciiTheme="minorEastAsia" w:hAnsiTheme="minorEastAsia" w:eastAsiaTheme="minorEastAsia" w:cstheme="minorEastAsia"/>
                <w:kern w:val="0"/>
                <w:szCs w:val="21"/>
                <w:highlight w:val="none"/>
                <w:lang w:val="zh-CN"/>
              </w:rPr>
              <w:t>整机型式试验报告</w:t>
            </w:r>
            <w:r>
              <w:rPr>
                <w:rFonts w:hint="eastAsia" w:asciiTheme="minorEastAsia" w:hAnsiTheme="minorEastAsia" w:eastAsiaTheme="minorEastAsia" w:cstheme="minorEastAsia"/>
                <w:kern w:val="0"/>
                <w:szCs w:val="21"/>
                <w:highlight w:val="none"/>
              </w:rPr>
              <w:t>扫描件或</w:t>
            </w:r>
            <w:r>
              <w:rPr>
                <w:rFonts w:hint="eastAsia" w:asciiTheme="minorEastAsia" w:hAnsiTheme="minorEastAsia" w:eastAsiaTheme="minorEastAsia" w:cstheme="minorEastAsia"/>
                <w:kern w:val="0"/>
                <w:szCs w:val="21"/>
                <w:highlight w:val="none"/>
                <w:lang w:val="zh-CN"/>
              </w:rPr>
              <w:t>复印件</w:t>
            </w:r>
            <w:r>
              <w:rPr>
                <w:rFonts w:hint="eastAsia" w:asciiTheme="minorEastAsia" w:hAnsiTheme="minorEastAsia" w:eastAsiaTheme="minorEastAsia" w:cstheme="minorEastAsia"/>
                <w:kern w:val="0"/>
                <w:szCs w:val="21"/>
                <w:highlight w:val="none"/>
              </w:rPr>
              <w:t>并加盖公章。</w:t>
            </w:r>
          </w:p>
        </w:tc>
        <w:tc>
          <w:tcPr>
            <w:tcW w:w="450"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5</w:t>
            </w:r>
          </w:p>
        </w:tc>
        <w:tc>
          <w:tcPr>
            <w:tcW w:w="551" w:type="dxa"/>
            <w:vMerge w:val="continue"/>
            <w:tcBorders>
              <w:left w:val="single" w:color="000000" w:sz="4" w:space="0"/>
              <w:right w:val="single" w:color="000000" w:sz="4" w:space="0"/>
            </w:tcBorders>
            <w:vAlign w:val="center"/>
          </w:tcPr>
          <w:p>
            <w:pPr>
              <w:tabs>
                <w:tab w:val="left" w:pos="0"/>
              </w:tabs>
              <w:spacing w:line="360" w:lineRule="auto"/>
              <w:ind w:firstLine="420" w:firstLineChars="200"/>
              <w:jc w:val="center"/>
              <w:rPr>
                <w:rFonts w:asciiTheme="minorEastAsia" w:hAnsiTheme="minorEastAsia" w:eastAsiaTheme="minorEastAsia" w:cstheme="minorEastAsia"/>
                <w:kern w:val="0"/>
                <w:szCs w:val="21"/>
                <w:highlight w:val="none"/>
                <w:lang w:val="zh-CN"/>
              </w:rPr>
            </w:pPr>
          </w:p>
        </w:tc>
        <w:tc>
          <w:tcPr>
            <w:tcW w:w="1662" w:type="dxa"/>
            <w:vMerge w:val="continue"/>
            <w:tcBorders>
              <w:left w:val="single" w:color="000000" w:sz="4" w:space="0"/>
              <w:right w:val="single" w:color="000000" w:sz="4" w:space="0"/>
            </w:tcBorders>
            <w:vAlign w:val="center"/>
          </w:tcPr>
          <w:p>
            <w:pPr>
              <w:tabs>
                <w:tab w:val="left" w:pos="0"/>
              </w:tabs>
              <w:spacing w:line="360" w:lineRule="auto"/>
              <w:ind w:firstLine="420" w:firstLineChars="200"/>
              <w:jc w:val="center"/>
              <w:rPr>
                <w:rFonts w:asciiTheme="minorEastAsia" w:hAnsiTheme="minorEastAsia" w:eastAsiaTheme="minorEastAsia" w:cstheme="minorEastAsia"/>
                <w:kern w:val="0"/>
                <w:szCs w:val="21"/>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jc w:val="center"/>
        </w:trPr>
        <w:tc>
          <w:tcPr>
            <w:tcW w:w="36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rPr>
              <w:t>8</w:t>
            </w:r>
          </w:p>
        </w:tc>
        <w:tc>
          <w:tcPr>
            <w:tcW w:w="5587" w:type="dxa"/>
            <w:tcBorders>
              <w:top w:val="single" w:color="000000" w:sz="4" w:space="0"/>
              <w:left w:val="single" w:color="000000" w:sz="4" w:space="0"/>
              <w:bottom w:val="single" w:color="000000" w:sz="4" w:space="0"/>
              <w:right w:val="single" w:color="000000" w:sz="4" w:space="0"/>
            </w:tcBorders>
            <w:vAlign w:val="center"/>
          </w:tcPr>
          <w:p>
            <w:pPr>
              <w:pStyle w:val="20"/>
              <w:rPr>
                <w:rFonts w:hint="eastAsia"/>
                <w:highlight w:val="none"/>
              </w:rPr>
            </w:pPr>
            <w:r>
              <w:rPr>
                <w:rFonts w:hint="eastAsia"/>
                <w:highlight w:val="none"/>
              </w:rPr>
              <w:t>电梯钢丝绳为复合钢带，提供复合钢带安全等效评价报告得</w:t>
            </w:r>
            <w:r>
              <w:rPr>
                <w:rFonts w:hint="eastAsia"/>
                <w:highlight w:val="none"/>
                <w:lang w:val="en-US" w:eastAsia="zh-CN"/>
              </w:rPr>
              <w:t>5</w:t>
            </w:r>
            <w:r>
              <w:rPr>
                <w:rFonts w:hint="eastAsia"/>
                <w:highlight w:val="none"/>
              </w:rPr>
              <w:t>分，其余不得分。</w:t>
            </w:r>
          </w:p>
          <w:p>
            <w:pPr>
              <w:pStyle w:val="20"/>
              <w:rPr>
                <w:rFonts w:asciiTheme="minorEastAsia" w:hAnsiTheme="minorEastAsia" w:eastAsiaTheme="minorEastAsia" w:cstheme="minorEastAsia"/>
                <w:kern w:val="0"/>
                <w:szCs w:val="21"/>
                <w:highlight w:val="none"/>
                <w:lang w:val="zh-CN"/>
              </w:rPr>
            </w:pPr>
            <w:r>
              <w:rPr>
                <w:rFonts w:hint="eastAsia"/>
                <w:highlight w:val="none"/>
              </w:rPr>
              <w:t>注：提供复合钢带安全等效评价报告扫描件或复印件并加盖公章。</w:t>
            </w:r>
          </w:p>
        </w:tc>
        <w:tc>
          <w:tcPr>
            <w:tcW w:w="450"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hint="eastAsia" w:asciiTheme="minorEastAsia" w:hAnsiTheme="minorEastAsia" w:eastAsiaTheme="minorEastAsia" w:cstheme="minorEastAsia"/>
                <w:kern w:val="0"/>
                <w:szCs w:val="21"/>
                <w:highlight w:val="none"/>
                <w:lang w:val="zh-CN" w:eastAsia="zh-CN"/>
              </w:rPr>
            </w:pPr>
            <w:r>
              <w:rPr>
                <w:rFonts w:hint="eastAsia" w:asciiTheme="minorEastAsia" w:hAnsiTheme="minorEastAsia" w:eastAsiaTheme="minorEastAsia" w:cstheme="minorEastAsia"/>
                <w:kern w:val="0"/>
                <w:szCs w:val="21"/>
                <w:highlight w:val="none"/>
                <w:lang w:val="en-US" w:eastAsia="zh-CN"/>
              </w:rPr>
              <w:t>5</w:t>
            </w:r>
          </w:p>
        </w:tc>
        <w:tc>
          <w:tcPr>
            <w:tcW w:w="551" w:type="dxa"/>
            <w:vMerge w:val="continue"/>
            <w:tcBorders>
              <w:left w:val="single" w:color="000000" w:sz="4" w:space="0"/>
              <w:bottom w:val="single" w:color="000000" w:sz="4" w:space="0"/>
              <w:right w:val="single" w:color="000000" w:sz="4" w:space="0"/>
            </w:tcBorders>
            <w:vAlign w:val="center"/>
          </w:tcPr>
          <w:p>
            <w:pPr>
              <w:tabs>
                <w:tab w:val="left" w:pos="0"/>
              </w:tabs>
              <w:spacing w:line="360" w:lineRule="auto"/>
              <w:ind w:firstLine="420" w:firstLineChars="200"/>
              <w:jc w:val="center"/>
              <w:rPr>
                <w:rFonts w:asciiTheme="minorEastAsia" w:hAnsiTheme="minorEastAsia" w:eastAsiaTheme="minorEastAsia" w:cstheme="minorEastAsia"/>
                <w:kern w:val="0"/>
                <w:szCs w:val="21"/>
                <w:highlight w:val="none"/>
                <w:lang w:val="zh-CN"/>
              </w:rPr>
            </w:pPr>
          </w:p>
        </w:tc>
        <w:tc>
          <w:tcPr>
            <w:tcW w:w="1662" w:type="dxa"/>
            <w:vMerge w:val="continue"/>
            <w:tcBorders>
              <w:left w:val="single" w:color="000000" w:sz="4" w:space="0"/>
              <w:bottom w:val="single" w:color="000000" w:sz="4" w:space="0"/>
              <w:right w:val="single" w:color="000000" w:sz="4" w:space="0"/>
            </w:tcBorders>
            <w:vAlign w:val="center"/>
          </w:tcPr>
          <w:p>
            <w:pPr>
              <w:tabs>
                <w:tab w:val="left" w:pos="0"/>
              </w:tabs>
              <w:spacing w:line="360" w:lineRule="auto"/>
              <w:ind w:firstLine="420" w:firstLineChars="200"/>
              <w:jc w:val="center"/>
              <w:rPr>
                <w:rFonts w:asciiTheme="minorEastAsia" w:hAnsiTheme="minorEastAsia" w:eastAsiaTheme="minorEastAsia" w:cstheme="minorEastAsia"/>
                <w:kern w:val="0"/>
                <w:szCs w:val="21"/>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jc w:val="center"/>
        </w:trPr>
        <w:tc>
          <w:tcPr>
            <w:tcW w:w="36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9</w:t>
            </w:r>
          </w:p>
        </w:tc>
        <w:tc>
          <w:tcPr>
            <w:tcW w:w="5587" w:type="dxa"/>
            <w:tcBorders>
              <w:top w:val="single" w:color="000000" w:sz="4" w:space="0"/>
              <w:left w:val="single" w:color="000000" w:sz="4" w:space="0"/>
              <w:bottom w:val="single" w:color="000000" w:sz="4" w:space="0"/>
              <w:right w:val="single" w:color="000000" w:sz="4" w:space="0"/>
            </w:tcBorders>
          </w:tcPr>
          <w:p>
            <w:pPr>
              <w:tabs>
                <w:tab w:val="left" w:pos="0"/>
              </w:tabs>
              <w:spacing w:line="360" w:lineRule="auto"/>
              <w:rPr>
                <w:rFonts w:asciiTheme="minorEastAsia" w:hAnsiTheme="minorEastAsia" w:eastAsiaTheme="minorEastAsia" w:cstheme="minorEastAsia"/>
                <w:kern w:val="0"/>
                <w:szCs w:val="21"/>
                <w:highlight w:val="none"/>
              </w:rPr>
            </w:pPr>
            <w:r>
              <w:rPr>
                <w:rFonts w:hint="eastAsia"/>
                <w:highlight w:val="none"/>
                <w:lang w:val="zh-CN"/>
              </w:rPr>
              <w:t>本次所投产品的安装辅助材料、配件、附件、专用工具的完整性、合理性和可操作性，随机特殊工具和备品备件的完整性、合理性等，备品备件价格的合理性。</w:t>
            </w:r>
          </w:p>
        </w:tc>
        <w:tc>
          <w:tcPr>
            <w:tcW w:w="450"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val="en-US" w:eastAsia="zh-CN"/>
              </w:rPr>
              <w:t>2</w:t>
            </w:r>
          </w:p>
        </w:tc>
        <w:tc>
          <w:tcPr>
            <w:tcW w:w="551"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主观</w:t>
            </w:r>
          </w:p>
        </w:tc>
        <w:tc>
          <w:tcPr>
            <w:tcW w:w="1662"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（二）</w:t>
            </w:r>
          </w:p>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组织实施方案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jc w:val="center"/>
        </w:trPr>
        <w:tc>
          <w:tcPr>
            <w:tcW w:w="36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10</w:t>
            </w:r>
          </w:p>
        </w:tc>
        <w:tc>
          <w:tcPr>
            <w:tcW w:w="5587" w:type="dxa"/>
            <w:tcBorders>
              <w:top w:val="single" w:color="000000" w:sz="4" w:space="0"/>
              <w:left w:val="single" w:color="000000" w:sz="4" w:space="0"/>
              <w:bottom w:val="single" w:color="000000" w:sz="4" w:space="0"/>
              <w:right w:val="single" w:color="000000" w:sz="4" w:space="0"/>
            </w:tcBorders>
          </w:tcPr>
          <w:p>
            <w:pPr>
              <w:tabs>
                <w:tab w:val="left" w:pos="0"/>
              </w:tabs>
              <w:spacing w:line="360" w:lineRule="auto"/>
              <w:jc w:val="left"/>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针对本项目的合理化</w:t>
            </w:r>
            <w:r>
              <w:rPr>
                <w:rFonts w:hint="eastAsia" w:asciiTheme="minorEastAsia" w:hAnsiTheme="minorEastAsia" w:eastAsiaTheme="minorEastAsia" w:cstheme="minorEastAsia"/>
                <w:kern w:val="0"/>
                <w:szCs w:val="21"/>
                <w:highlight w:val="none"/>
              </w:rPr>
              <w:t>配合方案</w:t>
            </w:r>
            <w:r>
              <w:rPr>
                <w:rFonts w:hint="eastAsia" w:asciiTheme="minorEastAsia" w:hAnsiTheme="minorEastAsia" w:eastAsiaTheme="minorEastAsia" w:cstheme="minorEastAsia"/>
                <w:kern w:val="0"/>
                <w:szCs w:val="21"/>
                <w:highlight w:val="none"/>
                <w:lang w:val="zh-CN"/>
              </w:rPr>
              <w:t>：</w:t>
            </w:r>
            <w:r>
              <w:rPr>
                <w:rFonts w:hint="eastAsia"/>
                <w:highlight w:val="none"/>
                <w:lang w:val="zh-CN"/>
              </w:rPr>
              <w:t>结合现有场地，并按照GB7588(电梯制造与安装安全规范）国家标准进行合理设计，提供整体设计效果图。对效果图整体布局规范性、合理性进行打分，未提供不得分。</w:t>
            </w:r>
          </w:p>
        </w:tc>
        <w:tc>
          <w:tcPr>
            <w:tcW w:w="450"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val="en-US" w:eastAsia="zh-CN"/>
              </w:rPr>
              <w:t>3</w:t>
            </w:r>
          </w:p>
        </w:tc>
        <w:tc>
          <w:tcPr>
            <w:tcW w:w="551"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主观</w:t>
            </w:r>
          </w:p>
        </w:tc>
        <w:tc>
          <w:tcPr>
            <w:tcW w:w="1662"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（三）</w:t>
            </w:r>
          </w:p>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安装设计方案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9" w:hRule="atLeast"/>
          <w:jc w:val="center"/>
        </w:trPr>
        <w:tc>
          <w:tcPr>
            <w:tcW w:w="36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11</w:t>
            </w:r>
          </w:p>
        </w:tc>
        <w:tc>
          <w:tcPr>
            <w:tcW w:w="5587" w:type="dxa"/>
            <w:tcBorders>
              <w:top w:val="single" w:color="000000" w:sz="4" w:space="0"/>
              <w:left w:val="single" w:color="000000" w:sz="4" w:space="0"/>
              <w:bottom w:val="single" w:color="000000" w:sz="4" w:space="0"/>
              <w:right w:val="single" w:color="000000" w:sz="4" w:space="0"/>
            </w:tcBorders>
          </w:tcPr>
          <w:p>
            <w:pPr>
              <w:tabs>
                <w:tab w:val="left" w:pos="0"/>
              </w:tabs>
              <w:spacing w:line="360" w:lineRule="auto"/>
              <w:rPr>
                <w:rFonts w:hint="eastAsia"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投标人或制造商2018年以来在市级电梯维保单位星级评定结果的通报中，连续五次获得过五星级得4分，得过四次的五星得2分，连续三次得五星的得1分，其余不得分。</w:t>
            </w:r>
          </w:p>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投标文件中须提供星级评定相关证明材料，否则不得分。同一年度不同地区仅算一次。</w:t>
            </w:r>
          </w:p>
        </w:tc>
        <w:tc>
          <w:tcPr>
            <w:tcW w:w="450"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rPr>
              <w:t>4</w:t>
            </w:r>
          </w:p>
        </w:tc>
        <w:tc>
          <w:tcPr>
            <w:tcW w:w="551" w:type="dxa"/>
            <w:tcBorders>
              <w:top w:val="single" w:color="000000" w:sz="4" w:space="0"/>
              <w:left w:val="single" w:color="000000" w:sz="4" w:space="0"/>
              <w:right w:val="single" w:color="000000" w:sz="4" w:space="0"/>
            </w:tcBorders>
            <w:vAlign w:val="center"/>
          </w:tcPr>
          <w:p>
            <w:pPr>
              <w:jc w:val="center"/>
              <w:rPr>
                <w:highlight w:val="none"/>
              </w:rPr>
            </w:pPr>
            <w:r>
              <w:rPr>
                <w:rFonts w:hint="eastAsia"/>
                <w:highlight w:val="none"/>
              </w:rPr>
              <w:t>客观</w:t>
            </w:r>
          </w:p>
        </w:tc>
        <w:tc>
          <w:tcPr>
            <w:tcW w:w="1662" w:type="dxa"/>
            <w:tcBorders>
              <w:top w:val="single" w:color="000000" w:sz="4" w:space="0"/>
              <w:left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（四）</w:t>
            </w:r>
          </w:p>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品牌维保制造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12</w:t>
            </w:r>
          </w:p>
        </w:tc>
        <w:tc>
          <w:tcPr>
            <w:tcW w:w="5587"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根据投标品牌制造商2021年</w:t>
            </w:r>
            <w:r>
              <w:rPr>
                <w:rFonts w:hint="eastAsia" w:asciiTheme="minorEastAsia" w:hAnsiTheme="minorEastAsia" w:eastAsiaTheme="minorEastAsia" w:cstheme="minorEastAsia"/>
                <w:kern w:val="0"/>
                <w:szCs w:val="21"/>
                <w:highlight w:val="none"/>
              </w:rPr>
              <w:t>以来（近三年任一年份）</w:t>
            </w:r>
            <w:r>
              <w:rPr>
                <w:rFonts w:hint="eastAsia"/>
                <w:highlight w:val="none"/>
                <w:lang w:eastAsia="zh-CN"/>
              </w:rPr>
              <w:t>市级或以上</w:t>
            </w:r>
            <w:r>
              <w:rPr>
                <w:rFonts w:hint="eastAsia" w:asciiTheme="minorEastAsia" w:hAnsiTheme="minorEastAsia" w:eastAsiaTheme="minorEastAsia" w:cstheme="minorEastAsia"/>
                <w:kern w:val="0"/>
                <w:szCs w:val="21"/>
                <w:highlight w:val="none"/>
                <w:lang w:val="zh-CN"/>
              </w:rPr>
              <w:t>96333电梯应急救援站的数量进行打分：</w:t>
            </w:r>
          </w:p>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电梯应急救援站的个数≥2</w:t>
            </w:r>
            <w:r>
              <w:rPr>
                <w:rFonts w:hint="eastAsia" w:asciiTheme="minorEastAsia" w:hAnsiTheme="minorEastAsia" w:eastAsiaTheme="minorEastAsia" w:cstheme="minorEastAsia"/>
                <w:kern w:val="0"/>
                <w:szCs w:val="21"/>
                <w:highlight w:val="none"/>
              </w:rPr>
              <w:t>5</w:t>
            </w:r>
            <w:r>
              <w:rPr>
                <w:rFonts w:hint="eastAsia" w:asciiTheme="minorEastAsia" w:hAnsiTheme="minorEastAsia" w:eastAsiaTheme="minorEastAsia" w:cstheme="minorEastAsia"/>
                <w:kern w:val="0"/>
                <w:szCs w:val="21"/>
                <w:highlight w:val="none"/>
                <w:lang w:val="zh-CN"/>
              </w:rPr>
              <w:t>个，得</w:t>
            </w:r>
            <w:r>
              <w:rPr>
                <w:rFonts w:hint="eastAsia" w:asciiTheme="minorEastAsia" w:hAnsiTheme="minorEastAsia" w:eastAsiaTheme="minorEastAsia" w:cstheme="minorEastAsia"/>
                <w:kern w:val="0"/>
                <w:szCs w:val="21"/>
                <w:highlight w:val="none"/>
                <w:lang w:val="en-US" w:eastAsia="zh-CN"/>
              </w:rPr>
              <w:t>3</w:t>
            </w:r>
            <w:r>
              <w:rPr>
                <w:rFonts w:hint="eastAsia" w:asciiTheme="minorEastAsia" w:hAnsiTheme="minorEastAsia" w:eastAsiaTheme="minorEastAsia" w:cstheme="minorEastAsia"/>
                <w:kern w:val="0"/>
                <w:szCs w:val="21"/>
                <w:highlight w:val="none"/>
                <w:lang w:val="zh-CN"/>
              </w:rPr>
              <w:t>.0分；25个＞电梯应急救援站的个数≥20个，得2.0分；20个＞电梯应急救援站的个数≥15个，得1.0分；其余不得分。</w:t>
            </w:r>
          </w:p>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rPr>
              <w:t>注</w:t>
            </w:r>
            <w:r>
              <w:rPr>
                <w:rFonts w:hint="eastAsia" w:asciiTheme="minorEastAsia" w:hAnsiTheme="minorEastAsia" w:eastAsiaTheme="minorEastAsia" w:cstheme="minorEastAsia"/>
                <w:kern w:val="0"/>
                <w:szCs w:val="21"/>
                <w:highlight w:val="none"/>
                <w:lang w:val="zh-CN"/>
              </w:rPr>
              <w:t>：</w:t>
            </w:r>
            <w:r>
              <w:rPr>
                <w:rFonts w:hint="eastAsia" w:asciiTheme="minorEastAsia" w:hAnsiTheme="minorEastAsia" w:eastAsiaTheme="minorEastAsia" w:cstheme="minorEastAsia"/>
                <w:kern w:val="0"/>
                <w:szCs w:val="21"/>
                <w:highlight w:val="none"/>
              </w:rPr>
              <w:t>需提供</w:t>
            </w:r>
            <w:r>
              <w:rPr>
                <w:rFonts w:hint="eastAsia" w:asciiTheme="minorEastAsia" w:hAnsiTheme="minorEastAsia" w:eastAsiaTheme="minorEastAsia" w:cstheme="minorEastAsia"/>
                <w:kern w:val="0"/>
                <w:szCs w:val="21"/>
                <w:highlight w:val="none"/>
                <w:lang w:val="zh-CN"/>
              </w:rPr>
              <w:t>特种设备应急处置中心</w:t>
            </w:r>
            <w:r>
              <w:rPr>
                <w:rFonts w:hint="eastAsia" w:asciiTheme="minorEastAsia" w:hAnsiTheme="minorEastAsia" w:eastAsiaTheme="minorEastAsia" w:cstheme="minorEastAsia"/>
                <w:kern w:val="0"/>
                <w:szCs w:val="21"/>
                <w:highlight w:val="none"/>
                <w:lang w:val="en-US" w:eastAsia="zh-CN"/>
              </w:rPr>
              <w:t>明确</w:t>
            </w:r>
            <w:r>
              <w:rPr>
                <w:rFonts w:hint="eastAsia" w:asciiTheme="minorEastAsia" w:hAnsiTheme="minorEastAsia" w:eastAsiaTheme="minorEastAsia" w:cstheme="minorEastAsia"/>
                <w:kern w:val="0"/>
                <w:szCs w:val="21"/>
                <w:highlight w:val="none"/>
                <w:lang w:val="zh-CN"/>
              </w:rPr>
              <w:t>的96333电梯应急救援站点名单</w:t>
            </w:r>
            <w:r>
              <w:rPr>
                <w:rFonts w:hint="eastAsia" w:asciiTheme="minorEastAsia" w:hAnsiTheme="minorEastAsia" w:eastAsiaTheme="minorEastAsia" w:cstheme="minorEastAsia"/>
                <w:kern w:val="0"/>
                <w:szCs w:val="21"/>
                <w:highlight w:val="none"/>
                <w:lang w:val="en-US" w:eastAsia="zh-CN"/>
              </w:rPr>
              <w:t>并加盖公章</w:t>
            </w:r>
            <w:r>
              <w:rPr>
                <w:rFonts w:hint="eastAsia" w:asciiTheme="minorEastAsia" w:hAnsiTheme="minorEastAsia" w:eastAsiaTheme="minorEastAsia" w:cstheme="minorEastAsia"/>
                <w:kern w:val="0"/>
                <w:szCs w:val="21"/>
                <w:highlight w:val="none"/>
                <w:lang w:val="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spacing w:line="360" w:lineRule="auto"/>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val="en-US" w:eastAsia="zh-CN"/>
              </w:rPr>
              <w:t>3</w:t>
            </w:r>
          </w:p>
        </w:tc>
        <w:tc>
          <w:tcPr>
            <w:tcW w:w="551" w:type="dxa"/>
            <w:tcBorders>
              <w:left w:val="single" w:color="000000" w:sz="4" w:space="0"/>
              <w:bottom w:val="single" w:color="000000" w:sz="4" w:space="0"/>
              <w:right w:val="single" w:color="000000" w:sz="4" w:space="0"/>
            </w:tcBorders>
            <w:shd w:val="clear" w:color="auto" w:fill="auto"/>
            <w:vAlign w:val="center"/>
          </w:tcPr>
          <w:p>
            <w:pPr>
              <w:tabs>
                <w:tab w:val="left" w:pos="0"/>
              </w:tabs>
              <w:spacing w:line="360" w:lineRule="auto"/>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客观</w:t>
            </w:r>
          </w:p>
        </w:tc>
        <w:tc>
          <w:tcPr>
            <w:tcW w:w="1662" w:type="dxa"/>
            <w:vMerge w:val="restart"/>
            <w:tcBorders>
              <w:left w:val="single" w:color="000000" w:sz="4" w:space="0"/>
              <w:right w:val="single" w:color="000000" w:sz="4" w:space="0"/>
            </w:tcBorders>
            <w:shd w:val="clear" w:color="auto" w:fill="auto"/>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（五）</w:t>
            </w:r>
          </w:p>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售后服务方案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36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3</w:t>
            </w:r>
          </w:p>
        </w:tc>
        <w:tc>
          <w:tcPr>
            <w:tcW w:w="5587" w:type="dxa"/>
            <w:tcBorders>
              <w:top w:val="single" w:color="000000" w:sz="4" w:space="0"/>
              <w:left w:val="single" w:color="000000" w:sz="4" w:space="0"/>
              <w:bottom w:val="single" w:color="000000" w:sz="4" w:space="0"/>
              <w:right w:val="single" w:color="000000" w:sz="4" w:space="0"/>
            </w:tcBorders>
          </w:tcPr>
          <w:p>
            <w:pPr>
              <w:widowControl/>
              <w:spacing w:line="440" w:lineRule="exact"/>
              <w:rPr>
                <w:highlight w:val="none"/>
                <w:lang w:val="zh-CN"/>
              </w:rPr>
            </w:pPr>
            <w:r>
              <w:rPr>
                <w:rFonts w:hint="eastAsia"/>
                <w:highlight w:val="none"/>
                <w:lang w:val="zh-CN"/>
              </w:rPr>
              <w:t>①核心部件（门机、控制柜、主机、安全钳、限速器、缓冲器）不少于十年的质保期限</w:t>
            </w:r>
            <w:r>
              <w:rPr>
                <w:rFonts w:hint="eastAsia"/>
                <w:highlight w:val="none"/>
                <w:lang w:val="zh-CN" w:eastAsia="zh-CN"/>
              </w:rPr>
              <w:t>，每延长</w:t>
            </w:r>
            <w:r>
              <w:rPr>
                <w:rFonts w:hint="eastAsia"/>
                <w:highlight w:val="none"/>
                <w:lang w:val="en-US" w:eastAsia="zh-CN"/>
              </w:rPr>
              <w:t>一年</w:t>
            </w:r>
            <w:r>
              <w:rPr>
                <w:rFonts w:hint="eastAsia"/>
                <w:highlight w:val="none"/>
                <w:lang w:val="zh-CN" w:eastAsia="zh-CN"/>
              </w:rPr>
              <w:t>加1分，最高加</w:t>
            </w:r>
            <w:r>
              <w:rPr>
                <w:rFonts w:hint="eastAsia"/>
                <w:highlight w:val="none"/>
                <w:lang w:val="en-US" w:eastAsia="zh-CN"/>
              </w:rPr>
              <w:t>2</w:t>
            </w:r>
            <w:r>
              <w:rPr>
                <w:rFonts w:hint="eastAsia"/>
                <w:highlight w:val="none"/>
                <w:lang w:val="zh-CN" w:eastAsia="zh-CN"/>
              </w:rPr>
              <w:t>分；</w:t>
            </w:r>
            <w:r>
              <w:rPr>
                <w:rFonts w:hint="eastAsia"/>
                <w:highlight w:val="none"/>
              </w:rPr>
              <w:t>需提供质保期承诺函并加盖公章</w:t>
            </w:r>
            <w:r>
              <w:rPr>
                <w:rFonts w:hint="eastAsia"/>
                <w:highlight w:val="none"/>
                <w:lang w:val="en-US" w:eastAsia="zh-CN"/>
              </w:rPr>
              <w:t>，否则不得分</w:t>
            </w:r>
            <w:r>
              <w:rPr>
                <w:rFonts w:hint="eastAsia"/>
                <w:highlight w:val="none"/>
                <w:lang w:val="zh-CN"/>
              </w:rPr>
              <w:t>；</w:t>
            </w:r>
            <w:r>
              <w:rPr>
                <w:rFonts w:hint="eastAsia"/>
                <w:highlight w:val="none"/>
              </w:rPr>
              <w:t>（2分）</w:t>
            </w:r>
          </w:p>
          <w:p>
            <w:pPr>
              <w:widowControl/>
              <w:spacing w:line="440" w:lineRule="exact"/>
              <w:rPr>
                <w:highlight w:val="none"/>
                <w:lang w:val="zh-CN"/>
              </w:rPr>
            </w:pPr>
            <w:r>
              <w:rPr>
                <w:rFonts w:hint="eastAsia"/>
                <w:highlight w:val="none"/>
                <w:lang w:val="zh-CN"/>
              </w:rPr>
              <w:t>②投标人或制造商提供的售后维护机构和人员等情况，具有较强的专业技术队伍，能提供快速的售后服务响应；</w:t>
            </w:r>
            <w:r>
              <w:rPr>
                <w:rFonts w:hint="eastAsia"/>
                <w:highlight w:val="none"/>
              </w:rPr>
              <w:t>（2分）</w:t>
            </w:r>
          </w:p>
          <w:p>
            <w:pPr>
              <w:widowControl/>
              <w:spacing w:line="440" w:lineRule="exact"/>
              <w:rPr>
                <w:highlight w:val="none"/>
                <w:lang w:val="zh-CN"/>
              </w:rPr>
            </w:pPr>
            <w:r>
              <w:rPr>
                <w:rFonts w:hint="eastAsia"/>
                <w:highlight w:val="none"/>
                <w:lang w:val="zh-CN"/>
              </w:rPr>
              <w:t>③维修点提供足够的备件以适应维修需求，承诺提供24小时服务；</w:t>
            </w:r>
            <w:r>
              <w:rPr>
                <w:rFonts w:hint="eastAsia"/>
                <w:highlight w:val="none"/>
              </w:rPr>
              <w:t>（2分）</w:t>
            </w:r>
          </w:p>
          <w:p>
            <w:pPr>
              <w:widowControl/>
              <w:spacing w:line="440" w:lineRule="exact"/>
              <w:rPr>
                <w:highlight w:val="none"/>
                <w:lang w:val="zh-CN"/>
              </w:rPr>
            </w:pPr>
            <w:r>
              <w:rPr>
                <w:rFonts w:hint="eastAsia"/>
                <w:highlight w:val="none"/>
                <w:lang w:val="zh-CN"/>
              </w:rPr>
              <w:t>④在质保期内，如发生故障，事故和困人事件，承诺维修人员接到通知后，小于等于20分钟内赶到现场进行维修或处理得2分，小于等于30分钟得1分。</w:t>
            </w:r>
            <w:r>
              <w:rPr>
                <w:rFonts w:hint="eastAsia"/>
                <w:highlight w:val="none"/>
              </w:rPr>
              <w:t>（2分）</w:t>
            </w:r>
          </w:p>
          <w:p>
            <w:pPr>
              <w:widowControl/>
              <w:spacing w:line="440" w:lineRule="exact"/>
              <w:rPr>
                <w:highlight w:val="none"/>
              </w:rPr>
            </w:pPr>
            <w:r>
              <w:rPr>
                <w:rFonts w:hint="eastAsia"/>
                <w:highlight w:val="none"/>
                <w:lang w:val="zh-CN"/>
              </w:rPr>
              <w:t>⑤一般性的故障承诺在2小时内排除，重大故障在24小时内修复；如超过24小时仍未修复，维修单位必须派员不间断维修，直至修复为止。</w:t>
            </w:r>
            <w:r>
              <w:rPr>
                <w:rFonts w:hint="eastAsia"/>
                <w:highlight w:val="none"/>
              </w:rPr>
              <w:t>（2分）</w:t>
            </w:r>
          </w:p>
        </w:tc>
        <w:tc>
          <w:tcPr>
            <w:tcW w:w="450"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10</w:t>
            </w:r>
          </w:p>
        </w:tc>
        <w:tc>
          <w:tcPr>
            <w:tcW w:w="551"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主观</w:t>
            </w:r>
          </w:p>
        </w:tc>
        <w:tc>
          <w:tcPr>
            <w:tcW w:w="1662" w:type="dxa"/>
            <w:vMerge w:val="continue"/>
            <w:tcBorders>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36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4</w:t>
            </w:r>
          </w:p>
        </w:tc>
        <w:tc>
          <w:tcPr>
            <w:tcW w:w="5587" w:type="dxa"/>
            <w:tcBorders>
              <w:top w:val="single" w:color="000000" w:sz="4" w:space="0"/>
              <w:left w:val="single" w:color="000000" w:sz="4" w:space="0"/>
              <w:bottom w:val="single" w:color="000000" w:sz="4" w:space="0"/>
              <w:right w:val="single" w:color="000000" w:sz="4" w:space="0"/>
            </w:tcBorders>
          </w:tcPr>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制造商获中国合格评定国家认可委员会CNAS实验室认证的测试合格项目数，≥</w:t>
            </w:r>
            <w:r>
              <w:rPr>
                <w:rFonts w:hint="eastAsia" w:asciiTheme="minorEastAsia" w:hAnsiTheme="minorEastAsia" w:eastAsiaTheme="minorEastAsia" w:cstheme="minorEastAsia"/>
                <w:kern w:val="0"/>
                <w:szCs w:val="21"/>
                <w:highlight w:val="none"/>
              </w:rPr>
              <w:t>5</w:t>
            </w:r>
            <w:r>
              <w:rPr>
                <w:rFonts w:hint="eastAsia" w:asciiTheme="minorEastAsia" w:hAnsiTheme="minorEastAsia" w:eastAsiaTheme="minorEastAsia" w:cstheme="minorEastAsia"/>
                <w:kern w:val="0"/>
                <w:szCs w:val="21"/>
                <w:highlight w:val="none"/>
                <w:lang w:val="zh-CN"/>
              </w:rPr>
              <w:t>0项得</w:t>
            </w:r>
            <w:r>
              <w:rPr>
                <w:rFonts w:hint="eastAsia" w:asciiTheme="minorEastAsia" w:hAnsiTheme="minorEastAsia" w:eastAsiaTheme="minorEastAsia" w:cstheme="minorEastAsia"/>
                <w:kern w:val="0"/>
                <w:szCs w:val="21"/>
                <w:highlight w:val="none"/>
                <w:lang w:val="en-US" w:eastAsia="zh-CN"/>
              </w:rPr>
              <w:t>5</w:t>
            </w:r>
            <w:r>
              <w:rPr>
                <w:rFonts w:hint="eastAsia" w:asciiTheme="minorEastAsia" w:hAnsiTheme="minorEastAsia" w:eastAsiaTheme="minorEastAsia" w:cstheme="minorEastAsia"/>
                <w:kern w:val="0"/>
                <w:szCs w:val="21"/>
                <w:highlight w:val="none"/>
              </w:rPr>
              <w:t>.</w:t>
            </w:r>
            <w:r>
              <w:rPr>
                <w:rFonts w:hint="eastAsia" w:asciiTheme="minorEastAsia" w:hAnsiTheme="minorEastAsia" w:eastAsiaTheme="minorEastAsia" w:cstheme="minorEastAsia"/>
                <w:kern w:val="0"/>
                <w:szCs w:val="21"/>
                <w:highlight w:val="none"/>
                <w:lang w:val="zh-CN"/>
              </w:rPr>
              <w:t>0分，≥</w:t>
            </w:r>
            <w:r>
              <w:rPr>
                <w:rFonts w:hint="eastAsia" w:asciiTheme="minorEastAsia" w:hAnsiTheme="minorEastAsia" w:eastAsiaTheme="minorEastAsia" w:cstheme="minorEastAsia"/>
                <w:kern w:val="0"/>
                <w:szCs w:val="21"/>
                <w:highlight w:val="none"/>
              </w:rPr>
              <w:t>30</w:t>
            </w:r>
            <w:r>
              <w:rPr>
                <w:rFonts w:hint="eastAsia" w:asciiTheme="minorEastAsia" w:hAnsiTheme="minorEastAsia" w:eastAsiaTheme="minorEastAsia" w:cstheme="minorEastAsia"/>
                <w:kern w:val="0"/>
                <w:szCs w:val="21"/>
                <w:highlight w:val="none"/>
                <w:lang w:val="zh-CN"/>
              </w:rPr>
              <w:t>项得</w:t>
            </w:r>
            <w:r>
              <w:rPr>
                <w:rFonts w:hint="eastAsia" w:asciiTheme="minorEastAsia" w:hAnsiTheme="minorEastAsia" w:eastAsiaTheme="minorEastAsia" w:cstheme="minorEastAsia"/>
                <w:kern w:val="0"/>
                <w:szCs w:val="21"/>
                <w:highlight w:val="none"/>
                <w:lang w:val="en-US" w:eastAsia="zh-CN"/>
              </w:rPr>
              <w:t>2</w:t>
            </w:r>
            <w:r>
              <w:rPr>
                <w:rFonts w:hint="eastAsia" w:asciiTheme="minorEastAsia" w:hAnsiTheme="minorEastAsia" w:eastAsiaTheme="minorEastAsia" w:cstheme="minorEastAsia"/>
                <w:kern w:val="0"/>
                <w:szCs w:val="21"/>
                <w:highlight w:val="none"/>
                <w:lang w:val="zh-CN"/>
              </w:rPr>
              <w:t>.0分，≥10项得0.5分，否则不得分。</w:t>
            </w:r>
          </w:p>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注：</w:t>
            </w:r>
            <w:r>
              <w:rPr>
                <w:rFonts w:hint="eastAsia" w:asciiTheme="minorEastAsia" w:hAnsiTheme="minorEastAsia" w:eastAsiaTheme="minorEastAsia" w:cstheme="minorEastAsia"/>
                <w:kern w:val="0"/>
                <w:szCs w:val="21"/>
                <w:highlight w:val="none"/>
              </w:rPr>
              <w:t>需提供</w:t>
            </w:r>
            <w:r>
              <w:rPr>
                <w:rFonts w:hint="eastAsia" w:asciiTheme="minorEastAsia" w:hAnsiTheme="minorEastAsia" w:eastAsiaTheme="minorEastAsia" w:cstheme="minorEastAsia"/>
                <w:kern w:val="0"/>
                <w:szCs w:val="21"/>
                <w:highlight w:val="none"/>
                <w:lang w:val="zh-CN"/>
              </w:rPr>
              <w:t>CNAS实验室认证</w:t>
            </w:r>
            <w:r>
              <w:rPr>
                <w:rFonts w:hint="eastAsia" w:asciiTheme="minorEastAsia" w:hAnsiTheme="minorEastAsia" w:eastAsiaTheme="minorEastAsia" w:cstheme="minorEastAsia"/>
                <w:kern w:val="0"/>
                <w:szCs w:val="21"/>
                <w:highlight w:val="none"/>
              </w:rPr>
              <w:t>合格证明并加盖公章</w:t>
            </w:r>
            <w:r>
              <w:rPr>
                <w:rFonts w:hint="eastAsia" w:asciiTheme="minorEastAsia" w:hAnsiTheme="minorEastAsia" w:eastAsiaTheme="minorEastAsia" w:cstheme="minorEastAsia"/>
                <w:kern w:val="0"/>
                <w:szCs w:val="21"/>
                <w:highlight w:val="none"/>
                <w:lang w:val="zh-CN"/>
              </w:rPr>
              <w:t>。</w:t>
            </w:r>
          </w:p>
        </w:tc>
        <w:tc>
          <w:tcPr>
            <w:tcW w:w="450"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val="en-US" w:eastAsia="zh-CN"/>
              </w:rPr>
              <w:t>5</w:t>
            </w:r>
          </w:p>
        </w:tc>
        <w:tc>
          <w:tcPr>
            <w:tcW w:w="551" w:type="dxa"/>
            <w:vMerge w:val="restart"/>
            <w:tcBorders>
              <w:top w:val="single" w:color="000000" w:sz="4" w:space="0"/>
              <w:left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highlight w:val="none"/>
              </w:rPr>
              <w:t>客观</w:t>
            </w:r>
          </w:p>
        </w:tc>
        <w:tc>
          <w:tcPr>
            <w:tcW w:w="1662" w:type="dxa"/>
            <w:vMerge w:val="restart"/>
            <w:tcBorders>
              <w:top w:val="single" w:color="000000" w:sz="4" w:space="0"/>
              <w:left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r>
              <w:rPr>
                <w:rFonts w:hint="eastAsia" w:asciiTheme="minorEastAsia" w:hAnsiTheme="minorEastAsia" w:eastAsiaTheme="minorEastAsia" w:cstheme="minorEastAsia"/>
                <w:kern w:val="0"/>
                <w:szCs w:val="21"/>
                <w:highlight w:val="none"/>
                <w:lang w:val="en-US" w:eastAsia="zh-CN"/>
              </w:rPr>
              <w:t>六</w:t>
            </w:r>
            <w:r>
              <w:rPr>
                <w:rFonts w:hint="eastAsia" w:asciiTheme="minorEastAsia" w:hAnsiTheme="minorEastAsia" w:eastAsiaTheme="minorEastAsia" w:cstheme="minorEastAsia"/>
                <w:kern w:val="0"/>
                <w:szCs w:val="21"/>
                <w:highlight w:val="none"/>
              </w:rPr>
              <w:t>）</w:t>
            </w:r>
          </w:p>
          <w:p>
            <w:pPr>
              <w:tabs>
                <w:tab w:val="left" w:pos="0"/>
              </w:tabs>
              <w:spacing w:line="360" w:lineRule="auto"/>
              <w:jc w:val="center"/>
              <w:rPr>
                <w:rFonts w:asciiTheme="minorEastAsia" w:hAnsiTheme="minorEastAsia" w:eastAsiaTheme="minorEastAsia" w:cstheme="minorEastAsia"/>
                <w:kern w:val="0"/>
                <w:szCs w:val="21"/>
                <w:highlight w:val="none"/>
              </w:rPr>
            </w:pPr>
            <w:r>
              <w:rPr>
                <w:rFonts w:asciiTheme="minorEastAsia" w:hAnsiTheme="minorEastAsia" w:eastAsiaTheme="minorEastAsia" w:cstheme="minorEastAsia"/>
                <w:kern w:val="0"/>
                <w:szCs w:val="21"/>
                <w:highlight w:val="none"/>
              </w:rPr>
              <w:t>投标人管理体系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jc w:val="center"/>
        </w:trPr>
        <w:tc>
          <w:tcPr>
            <w:tcW w:w="36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val="zh-CN"/>
              </w:rPr>
              <w:t>1</w:t>
            </w:r>
            <w:r>
              <w:rPr>
                <w:rFonts w:hint="eastAsia" w:asciiTheme="minorEastAsia" w:hAnsiTheme="minorEastAsia" w:eastAsiaTheme="minorEastAsia" w:cstheme="minorEastAsia"/>
                <w:kern w:val="0"/>
                <w:szCs w:val="21"/>
                <w:highlight w:val="none"/>
                <w:lang w:val="en-US" w:eastAsia="zh-CN"/>
              </w:rPr>
              <w:t>5</w:t>
            </w:r>
          </w:p>
        </w:tc>
        <w:tc>
          <w:tcPr>
            <w:tcW w:w="5587" w:type="dxa"/>
            <w:tcBorders>
              <w:top w:val="single" w:color="000000" w:sz="4" w:space="0"/>
              <w:left w:val="single" w:color="000000" w:sz="4" w:space="0"/>
              <w:bottom w:val="single" w:color="000000" w:sz="4" w:space="0"/>
              <w:right w:val="single" w:color="000000" w:sz="4" w:space="0"/>
            </w:tcBorders>
          </w:tcPr>
          <w:p>
            <w:pPr>
              <w:widowControl/>
              <w:spacing w:line="360" w:lineRule="auto"/>
              <w:rPr>
                <w:highlight w:val="none"/>
                <w:lang w:val="zh-CN"/>
              </w:rPr>
            </w:pPr>
            <w:r>
              <w:rPr>
                <w:rFonts w:hint="eastAsia"/>
                <w:highlight w:val="none"/>
                <w:lang w:val="zh-CN"/>
              </w:rPr>
              <w:t>投标人或投标产品制造商认证情况 ：</w:t>
            </w:r>
          </w:p>
          <w:p>
            <w:pPr>
              <w:widowControl/>
              <w:spacing w:line="360" w:lineRule="auto"/>
              <w:rPr>
                <w:highlight w:val="none"/>
                <w:lang w:val="zh-CN"/>
              </w:rPr>
            </w:pPr>
            <w:r>
              <w:rPr>
                <w:rFonts w:hint="eastAsia"/>
                <w:highlight w:val="none"/>
                <w:lang w:val="zh-CN"/>
              </w:rPr>
              <w:t>具有有效期内的质量管理体系认证证书的得 1 分；</w:t>
            </w:r>
          </w:p>
          <w:p>
            <w:pPr>
              <w:widowControl/>
              <w:spacing w:line="360" w:lineRule="auto"/>
              <w:rPr>
                <w:highlight w:val="none"/>
                <w:lang w:val="zh-CN"/>
              </w:rPr>
            </w:pPr>
            <w:r>
              <w:rPr>
                <w:rFonts w:hint="eastAsia"/>
                <w:highlight w:val="none"/>
                <w:lang w:val="zh-CN"/>
              </w:rPr>
              <w:t>具有有效期内的环境管理体系认证证书的得 1 分；</w:t>
            </w:r>
          </w:p>
          <w:p>
            <w:pPr>
              <w:widowControl/>
              <w:spacing w:line="360" w:lineRule="auto"/>
              <w:rPr>
                <w:highlight w:val="none"/>
                <w:lang w:val="zh-CN"/>
              </w:rPr>
            </w:pPr>
            <w:r>
              <w:rPr>
                <w:rFonts w:hint="eastAsia"/>
                <w:highlight w:val="none"/>
                <w:lang w:val="zh-CN"/>
              </w:rPr>
              <w:t>具有有效期内的职业健康安全管理体系认证证书的得 1分。</w:t>
            </w:r>
          </w:p>
          <w:p>
            <w:pPr>
              <w:widowControl/>
              <w:spacing w:line="360" w:lineRule="auto"/>
              <w:rPr>
                <w:highlight w:val="none"/>
                <w:lang w:val="zh-CN"/>
              </w:rPr>
            </w:pPr>
            <w:r>
              <w:rPr>
                <w:rFonts w:hint="eastAsia"/>
                <w:highlight w:val="none"/>
                <w:lang w:val="zh-CN"/>
              </w:rPr>
              <w:t>具有有效期内的知识产权管理体系认证证书的得 1 分。</w:t>
            </w:r>
          </w:p>
          <w:p>
            <w:pPr>
              <w:pStyle w:val="3"/>
              <w:spacing w:line="360" w:lineRule="auto"/>
              <w:rPr>
                <w:highlight w:val="none"/>
                <w:lang w:val="en-US"/>
              </w:rPr>
            </w:pPr>
            <w:r>
              <w:rPr>
                <w:rFonts w:hint="eastAsia" w:ascii="Times New Roman" w:hAnsi="Times New Roman" w:eastAsia="宋体"/>
                <w:b w:val="0"/>
                <w:bCs w:val="0"/>
                <w:sz w:val="21"/>
                <w:szCs w:val="24"/>
                <w:highlight w:val="none"/>
              </w:rPr>
              <w:t>注：提供单位有效期内的的认证证书复印件加盖公章。</w:t>
            </w:r>
          </w:p>
        </w:tc>
        <w:tc>
          <w:tcPr>
            <w:tcW w:w="450"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val="en-US" w:eastAsia="zh-CN"/>
              </w:rPr>
              <w:t>4</w:t>
            </w:r>
          </w:p>
        </w:tc>
        <w:tc>
          <w:tcPr>
            <w:tcW w:w="551" w:type="dxa"/>
            <w:vMerge w:val="continue"/>
            <w:tcBorders>
              <w:left w:val="single" w:color="000000" w:sz="4" w:space="0"/>
              <w:bottom w:val="single" w:color="000000" w:sz="4" w:space="0"/>
              <w:right w:val="single" w:color="000000" w:sz="4" w:space="0"/>
            </w:tcBorders>
            <w:vAlign w:val="center"/>
          </w:tcPr>
          <w:p>
            <w:pPr>
              <w:tabs>
                <w:tab w:val="left" w:pos="0"/>
              </w:tabs>
              <w:spacing w:line="360" w:lineRule="auto"/>
              <w:ind w:firstLine="420" w:firstLineChars="200"/>
              <w:jc w:val="center"/>
              <w:rPr>
                <w:rFonts w:asciiTheme="minorEastAsia" w:hAnsiTheme="minorEastAsia" w:eastAsiaTheme="minorEastAsia" w:cstheme="minorEastAsia"/>
                <w:kern w:val="0"/>
                <w:szCs w:val="21"/>
                <w:highlight w:val="none"/>
              </w:rPr>
            </w:pPr>
          </w:p>
        </w:tc>
        <w:tc>
          <w:tcPr>
            <w:tcW w:w="1662" w:type="dxa"/>
            <w:vMerge w:val="continue"/>
            <w:tcBorders>
              <w:left w:val="single" w:color="000000" w:sz="4" w:space="0"/>
              <w:bottom w:val="single" w:color="000000" w:sz="4" w:space="0"/>
              <w:right w:val="single" w:color="000000" w:sz="4" w:space="0"/>
            </w:tcBorders>
            <w:vAlign w:val="center"/>
          </w:tcPr>
          <w:p>
            <w:pPr>
              <w:tabs>
                <w:tab w:val="left" w:pos="0"/>
              </w:tabs>
              <w:spacing w:line="360" w:lineRule="auto"/>
              <w:ind w:firstLine="420" w:firstLineChars="200"/>
              <w:jc w:val="center"/>
              <w:rPr>
                <w:rFonts w:asciiTheme="minorEastAsia" w:hAnsiTheme="minorEastAsia" w:eastAsiaTheme="minorEastAsia" w:cstheme="minorEastAsia"/>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jc w:val="center"/>
        </w:trPr>
        <w:tc>
          <w:tcPr>
            <w:tcW w:w="36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val="zh-CN"/>
              </w:rPr>
              <w:t>1</w:t>
            </w:r>
            <w:r>
              <w:rPr>
                <w:rFonts w:hint="eastAsia" w:asciiTheme="minorEastAsia" w:hAnsiTheme="minorEastAsia" w:eastAsiaTheme="minorEastAsia" w:cstheme="minorEastAsia"/>
                <w:kern w:val="0"/>
                <w:szCs w:val="21"/>
                <w:highlight w:val="none"/>
                <w:lang w:val="en-US" w:eastAsia="zh-CN"/>
              </w:rPr>
              <w:t>6</w:t>
            </w:r>
          </w:p>
        </w:tc>
        <w:tc>
          <w:tcPr>
            <w:tcW w:w="5587" w:type="dxa"/>
            <w:tcBorders>
              <w:top w:val="single" w:color="000000" w:sz="4" w:space="0"/>
              <w:left w:val="single" w:color="000000" w:sz="4" w:space="0"/>
              <w:bottom w:val="single" w:color="000000" w:sz="4" w:space="0"/>
              <w:right w:val="single" w:color="000000" w:sz="4" w:space="0"/>
            </w:tcBorders>
          </w:tcPr>
          <w:p>
            <w:pPr>
              <w:tabs>
                <w:tab w:val="left" w:pos="0"/>
              </w:tabs>
              <w:spacing w:line="360" w:lineRule="auto"/>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近五年（自2017年10月1日以来）</w:t>
            </w:r>
            <w:r>
              <w:rPr>
                <w:rFonts w:hint="eastAsia" w:asciiTheme="minorEastAsia" w:hAnsiTheme="minorEastAsia" w:eastAsiaTheme="minorEastAsia" w:cstheme="minorEastAsia"/>
                <w:kern w:val="0"/>
                <w:szCs w:val="21"/>
                <w:highlight w:val="none"/>
              </w:rPr>
              <w:t>类似</w:t>
            </w:r>
            <w:r>
              <w:rPr>
                <w:rFonts w:hint="eastAsia" w:asciiTheme="minorEastAsia" w:hAnsiTheme="minorEastAsia" w:eastAsiaTheme="minorEastAsia" w:cstheme="minorEastAsia"/>
                <w:kern w:val="0"/>
                <w:szCs w:val="21"/>
                <w:highlight w:val="none"/>
                <w:lang w:val="zh-CN"/>
              </w:rPr>
              <w:t>项目供货合同的业绩，</w:t>
            </w:r>
            <w:r>
              <w:rPr>
                <w:rFonts w:hint="eastAsia" w:asciiTheme="minorEastAsia" w:hAnsiTheme="minorEastAsia" w:eastAsiaTheme="minorEastAsia" w:cstheme="minorEastAsia"/>
                <w:kern w:val="0"/>
                <w:szCs w:val="21"/>
                <w:highlight w:val="none"/>
              </w:rPr>
              <w:t>提供一个得1分</w:t>
            </w:r>
            <w:r>
              <w:rPr>
                <w:rFonts w:hint="eastAsia" w:asciiTheme="minorEastAsia" w:hAnsiTheme="minorEastAsia" w:eastAsiaTheme="minorEastAsia" w:cstheme="minorEastAsia"/>
                <w:kern w:val="0"/>
                <w:szCs w:val="21"/>
                <w:highlight w:val="none"/>
                <w:lang w:val="zh-CN"/>
              </w:rPr>
              <w:t>，</w:t>
            </w:r>
            <w:r>
              <w:rPr>
                <w:rFonts w:hint="eastAsia" w:asciiTheme="minorEastAsia" w:hAnsiTheme="minorEastAsia" w:eastAsiaTheme="minorEastAsia" w:cstheme="minorEastAsia"/>
                <w:kern w:val="0"/>
                <w:szCs w:val="21"/>
                <w:highlight w:val="none"/>
              </w:rPr>
              <w:t>最高得</w:t>
            </w:r>
            <w:r>
              <w:rPr>
                <w:rFonts w:hint="eastAsia" w:asciiTheme="minorEastAsia" w:hAnsiTheme="minorEastAsia" w:eastAsiaTheme="minorEastAsia" w:cstheme="minorEastAsia"/>
                <w:kern w:val="0"/>
                <w:szCs w:val="21"/>
                <w:highlight w:val="none"/>
                <w:lang w:val="en-US" w:eastAsia="zh-CN"/>
              </w:rPr>
              <w:t>3</w:t>
            </w:r>
            <w:r>
              <w:rPr>
                <w:rFonts w:hint="eastAsia" w:asciiTheme="minorEastAsia" w:hAnsiTheme="minorEastAsia" w:eastAsiaTheme="minorEastAsia" w:cstheme="minorEastAsia"/>
                <w:kern w:val="0"/>
                <w:szCs w:val="21"/>
                <w:highlight w:val="none"/>
              </w:rPr>
              <w:t>分，</w:t>
            </w:r>
            <w:r>
              <w:rPr>
                <w:rFonts w:hint="eastAsia" w:asciiTheme="minorEastAsia" w:hAnsiTheme="minorEastAsia" w:eastAsiaTheme="minorEastAsia" w:cstheme="minorEastAsia"/>
                <w:kern w:val="0"/>
                <w:szCs w:val="21"/>
                <w:highlight w:val="none"/>
                <w:lang w:val="zh-CN"/>
              </w:rPr>
              <w:t>其余不得分。</w:t>
            </w:r>
            <w:r>
              <w:rPr>
                <w:rFonts w:hint="eastAsia" w:asciiTheme="minorEastAsia" w:hAnsiTheme="minorEastAsia" w:eastAsiaTheme="minorEastAsia" w:cstheme="minorEastAsia"/>
                <w:kern w:val="0"/>
                <w:szCs w:val="21"/>
                <w:highlight w:val="none"/>
              </w:rPr>
              <w:t>注</w:t>
            </w:r>
            <w:r>
              <w:rPr>
                <w:rFonts w:hint="eastAsia" w:asciiTheme="minorEastAsia" w:hAnsiTheme="minorEastAsia" w:eastAsiaTheme="minorEastAsia" w:cstheme="minorEastAsia"/>
                <w:kern w:val="0"/>
                <w:szCs w:val="21"/>
                <w:highlight w:val="none"/>
                <w:lang w:val="zh-CN"/>
              </w:rPr>
              <w:t>：</w:t>
            </w:r>
            <w:r>
              <w:rPr>
                <w:rFonts w:hint="eastAsia" w:asciiTheme="minorEastAsia" w:hAnsiTheme="minorEastAsia" w:eastAsiaTheme="minorEastAsia" w:cstheme="minorEastAsia"/>
                <w:kern w:val="0"/>
                <w:szCs w:val="21"/>
                <w:highlight w:val="none"/>
              </w:rPr>
              <w:t>需</w:t>
            </w:r>
            <w:r>
              <w:rPr>
                <w:rFonts w:hint="eastAsia" w:asciiTheme="minorEastAsia" w:hAnsiTheme="minorEastAsia" w:eastAsiaTheme="minorEastAsia" w:cstheme="minorEastAsia"/>
                <w:kern w:val="0"/>
                <w:szCs w:val="21"/>
                <w:highlight w:val="none"/>
                <w:lang w:val="zh-CN"/>
              </w:rPr>
              <w:t>同时提供与本次投标电梯同品牌中标通知书、合同复印件</w:t>
            </w:r>
            <w:r>
              <w:rPr>
                <w:rFonts w:hint="eastAsia" w:asciiTheme="minorEastAsia" w:hAnsiTheme="minorEastAsia" w:eastAsiaTheme="minorEastAsia" w:cstheme="minorEastAsia"/>
                <w:kern w:val="0"/>
                <w:szCs w:val="21"/>
                <w:highlight w:val="none"/>
              </w:rPr>
              <w:t>或扫描件并</w:t>
            </w:r>
            <w:r>
              <w:rPr>
                <w:rFonts w:hint="eastAsia" w:asciiTheme="minorEastAsia" w:hAnsiTheme="minorEastAsia" w:eastAsiaTheme="minorEastAsia" w:cstheme="minorEastAsia"/>
                <w:kern w:val="0"/>
                <w:szCs w:val="21"/>
                <w:highlight w:val="none"/>
                <w:lang w:val="zh-CN"/>
              </w:rPr>
              <w:t>加盖公章。</w:t>
            </w:r>
          </w:p>
        </w:tc>
        <w:tc>
          <w:tcPr>
            <w:tcW w:w="450"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val="en-US" w:eastAsia="zh-CN"/>
              </w:rPr>
              <w:t>3</w:t>
            </w:r>
          </w:p>
        </w:tc>
        <w:tc>
          <w:tcPr>
            <w:tcW w:w="551"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lang w:val="zh-CN"/>
              </w:rPr>
            </w:pPr>
            <w:r>
              <w:rPr>
                <w:rFonts w:hint="eastAsia"/>
                <w:highlight w:val="none"/>
              </w:rPr>
              <w:t>客观</w:t>
            </w:r>
          </w:p>
        </w:tc>
        <w:tc>
          <w:tcPr>
            <w:tcW w:w="1662"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r>
              <w:rPr>
                <w:rFonts w:hint="eastAsia" w:asciiTheme="minorEastAsia" w:hAnsiTheme="minorEastAsia" w:eastAsiaTheme="minorEastAsia" w:cstheme="minorEastAsia"/>
                <w:kern w:val="0"/>
                <w:szCs w:val="21"/>
                <w:highlight w:val="none"/>
                <w:lang w:val="en-US" w:eastAsia="zh-CN"/>
              </w:rPr>
              <w:t>七</w:t>
            </w:r>
            <w:r>
              <w:rPr>
                <w:rFonts w:hint="eastAsia" w:asciiTheme="minorEastAsia" w:hAnsiTheme="minorEastAsia" w:eastAsiaTheme="minorEastAsia" w:cstheme="minorEastAsia"/>
                <w:kern w:val="0"/>
                <w:szCs w:val="21"/>
                <w:highlight w:val="none"/>
              </w:rPr>
              <w:t>）</w:t>
            </w:r>
          </w:p>
          <w:p>
            <w:pPr>
              <w:tabs>
                <w:tab w:val="left" w:pos="0"/>
              </w:tabs>
              <w:spacing w:line="360" w:lineRule="auto"/>
              <w:jc w:val="center"/>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rPr>
              <w:t>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jc w:val="center"/>
        </w:trPr>
        <w:tc>
          <w:tcPr>
            <w:tcW w:w="36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rPr>
              <w:t>1</w:t>
            </w:r>
            <w:r>
              <w:rPr>
                <w:rFonts w:hint="eastAsia" w:asciiTheme="minorEastAsia" w:hAnsiTheme="minorEastAsia" w:eastAsiaTheme="minorEastAsia" w:cstheme="minorEastAsia"/>
                <w:kern w:val="0"/>
                <w:szCs w:val="21"/>
                <w:highlight w:val="none"/>
                <w:lang w:val="en-US" w:eastAsia="zh-CN"/>
              </w:rPr>
              <w:t>7</w:t>
            </w:r>
          </w:p>
        </w:tc>
        <w:tc>
          <w:tcPr>
            <w:tcW w:w="5587" w:type="dxa"/>
            <w:tcBorders>
              <w:top w:val="single" w:color="000000" w:sz="4" w:space="0"/>
              <w:left w:val="single" w:color="000000" w:sz="4" w:space="0"/>
              <w:bottom w:val="single" w:color="000000" w:sz="4" w:space="0"/>
              <w:right w:val="single" w:color="000000" w:sz="4" w:space="0"/>
            </w:tcBorders>
          </w:tcPr>
          <w:p>
            <w:pPr>
              <w:tabs>
                <w:tab w:val="left" w:pos="0"/>
              </w:tabs>
              <w:spacing w:line="360" w:lineRule="auto"/>
              <w:ind w:firstLine="420" w:firstLineChars="200"/>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有效投标报价的最低价作为评标基准价，其最低报价为满分；按［投标报价得分=（评标基准价/投标报价）*</w:t>
            </w:r>
            <w:r>
              <w:rPr>
                <w:rFonts w:hint="eastAsia" w:asciiTheme="minorEastAsia" w:hAnsiTheme="minorEastAsia" w:eastAsiaTheme="minorEastAsia" w:cstheme="minorEastAsia"/>
                <w:kern w:val="0"/>
                <w:szCs w:val="21"/>
                <w:highlight w:val="none"/>
                <w:lang w:val="en-US" w:eastAsia="zh-CN"/>
              </w:rPr>
              <w:t>30</w:t>
            </w:r>
            <w:r>
              <w:rPr>
                <w:rFonts w:hint="eastAsia" w:asciiTheme="minorEastAsia" w:hAnsiTheme="minorEastAsia" w:eastAsiaTheme="minorEastAsia" w:cstheme="minorEastAsia"/>
                <w:kern w:val="0"/>
                <w:szCs w:val="21"/>
                <w:highlight w:val="none"/>
                <w:lang w:val="zh-CN"/>
              </w:rPr>
              <w:t>］的计算公式计算。</w:t>
            </w:r>
          </w:p>
          <w:p>
            <w:pPr>
              <w:tabs>
                <w:tab w:val="left" w:pos="0"/>
              </w:tabs>
              <w:spacing w:line="360" w:lineRule="auto"/>
              <w:ind w:firstLine="420" w:firstLineChars="200"/>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评标过程中，不得去掉报价中的最高报价和最低报价。</w:t>
            </w:r>
          </w:p>
          <w:p>
            <w:pPr>
              <w:tabs>
                <w:tab w:val="left" w:pos="0"/>
              </w:tabs>
              <w:spacing w:line="360" w:lineRule="auto"/>
              <w:ind w:firstLine="420" w:firstLineChars="200"/>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因落实政府采购政策需要进行价格调整的，以调整后的价格计算评标基准价和投标报价。</w:t>
            </w:r>
          </w:p>
        </w:tc>
        <w:tc>
          <w:tcPr>
            <w:tcW w:w="450"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hint="default"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lang w:val="en-US" w:eastAsia="zh-CN"/>
              </w:rPr>
              <w:t>30</w:t>
            </w:r>
          </w:p>
        </w:tc>
        <w:tc>
          <w:tcPr>
            <w:tcW w:w="551"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1662"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r>
    </w:tbl>
    <w:p>
      <w:pPr>
        <w:rPr>
          <w:color w:val="auto"/>
          <w:highlight w:val="none"/>
        </w:rPr>
      </w:pPr>
    </w:p>
    <w:p>
      <w:pPr>
        <w:snapToGrid w:val="0"/>
        <w:spacing w:line="360" w:lineRule="auto"/>
        <w:rPr>
          <w:color w:val="auto"/>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hint="default" w:ascii="宋体" w:hAnsi="宋体" w:eastAsia="宋体" w:cs="宋体"/>
          <w:color w:val="auto"/>
          <w:kern w:val="0"/>
          <w:sz w:val="24"/>
          <w:highlight w:val="none"/>
          <w:lang w:val="en-US" w:eastAsia="zh-CN"/>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r>
        <w:rPr>
          <w:rFonts w:hint="eastAsia" w:ascii="宋体" w:hAnsi="宋体" w:cs="宋体"/>
          <w:color w:val="auto"/>
          <w:kern w:val="0"/>
          <w:sz w:val="24"/>
          <w:highlight w:val="none"/>
          <w:lang w:val="en-US" w:eastAsia="zh-CN"/>
        </w:rPr>
        <w:t>本项目推荐一名中标候选人。</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6"/>
        <w:snapToGrid w:val="0"/>
        <w:spacing w:line="360" w:lineRule="auto"/>
        <w:rPr>
          <w:rFonts w:cs="宋体"/>
          <w:color w:val="auto"/>
          <w:highlight w:val="none"/>
        </w:rPr>
      </w:pPr>
      <w:r>
        <w:rPr>
          <w:rFonts w:hint="eastAsia" w:cs="宋体"/>
          <w:color w:val="auto"/>
          <w:highlight w:val="none"/>
        </w:rPr>
        <w:t>5.4因重大变故，采购任务取消的。</w:t>
      </w:r>
    </w:p>
    <w:p>
      <w:pPr>
        <w:pStyle w:val="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6"/>
        <w:snapToGrid w:val="0"/>
        <w:spacing w:line="360" w:lineRule="auto"/>
        <w:ind w:firstLine="0" w:firstLineChars="0"/>
        <w:rPr>
          <w:rFonts w:cs="宋体"/>
          <w:color w:val="auto"/>
          <w:highlight w:val="none"/>
        </w:rPr>
      </w:pPr>
    </w:p>
    <w:bookmarkEnd w:id="30"/>
    <w:p>
      <w:pPr>
        <w:spacing w:line="360" w:lineRule="auto"/>
        <w:ind w:left="720" w:leftChars="343" w:firstLine="1084" w:firstLineChars="300"/>
        <w:outlineLvl w:val="0"/>
        <w:rPr>
          <w:rFonts w:ascii="宋体" w:hAnsi="宋体" w:cs="宋体"/>
          <w:b/>
          <w:color w:val="auto"/>
          <w:sz w:val="36"/>
          <w:szCs w:val="36"/>
          <w:highlight w:val="none"/>
        </w:rPr>
      </w:pPr>
      <w:bookmarkStart w:id="403" w:name="第五部分"/>
      <w:bookmarkStart w:id="404"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pPr>
        <w:pStyle w:val="699"/>
        <w:rPr>
          <w:rFonts w:ascii="宋体" w:hAnsi="宋体" w:cs="宋体"/>
          <w:color w:val="auto"/>
          <w:szCs w:val="24"/>
          <w:highlight w:val="none"/>
        </w:rPr>
      </w:pPr>
    </w:p>
    <w:p>
      <w:pPr>
        <w:pStyle w:val="699"/>
        <w:rPr>
          <w:rFonts w:ascii="宋体" w:hAnsi="宋体" w:cs="宋体"/>
          <w:color w:val="auto"/>
          <w:szCs w:val="24"/>
          <w:highlight w:val="none"/>
        </w:rPr>
      </w:pPr>
    </w:p>
    <w:p>
      <w:pPr>
        <w:pStyle w:val="699"/>
        <w:jc w:val="center"/>
        <w:rPr>
          <w:rFonts w:ascii="宋体" w:hAnsi="宋体" w:cs="宋体"/>
          <w:color w:val="auto"/>
          <w:szCs w:val="24"/>
          <w:highlight w:val="none"/>
        </w:rPr>
      </w:pPr>
    </w:p>
    <w:p>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699"/>
        <w:rPr>
          <w:rFonts w:ascii="宋体" w:hAnsi="宋体" w:cs="宋体"/>
          <w:color w:val="auto"/>
          <w:szCs w:val="24"/>
          <w:highlight w:val="none"/>
        </w:rPr>
      </w:pPr>
    </w:p>
    <w:p>
      <w:pPr>
        <w:pStyle w:val="699"/>
        <w:rPr>
          <w:rFonts w:ascii="宋体" w:hAnsi="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6"/>
        <w:spacing w:before="120" w:line="22" w:lineRule="atLeast"/>
        <w:rPr>
          <w:rFonts w:ascii="宋体" w:hAnsi="宋体" w:eastAsia="宋体" w:cs="宋体"/>
          <w:color w:val="auto"/>
          <w:szCs w:val="24"/>
          <w:highlight w:val="none"/>
        </w:rPr>
      </w:pPr>
    </w:p>
    <w:p>
      <w:pPr>
        <w:pStyle w:val="596"/>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b/>
          <w:color w:val="auto"/>
          <w:sz w:val="24"/>
          <w:highlight w:val="none"/>
        </w:rPr>
      </w:pPr>
      <w:bookmarkStart w:id="405" w:name="_Toc24059"/>
      <w:bookmarkStart w:id="406" w:name="_Toc2232"/>
      <w:bookmarkStart w:id="407" w:name="_Toc3029"/>
      <w:r>
        <w:rPr>
          <w:rFonts w:hint="eastAsia" w:ascii="宋体" w:hAnsi="宋体" w:cs="宋体"/>
          <w:b/>
          <w:color w:val="auto"/>
          <w:sz w:val="24"/>
          <w:highlight w:val="none"/>
        </w:rPr>
        <w:t>1.1 合同组成部分</w:t>
      </w:r>
      <w:bookmarkEnd w:id="405"/>
      <w:bookmarkEnd w:id="406"/>
      <w:bookmarkEnd w:id="40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ascii="宋体" w:hAnsi="宋体" w:cs="宋体"/>
          <w:b/>
          <w:color w:val="auto"/>
          <w:sz w:val="24"/>
          <w:highlight w:val="none"/>
        </w:rPr>
      </w:pPr>
      <w:bookmarkStart w:id="408" w:name="_Toc24300"/>
      <w:bookmarkStart w:id="409" w:name="_Toc27126"/>
      <w:bookmarkStart w:id="410" w:name="_Toc21295"/>
      <w:r>
        <w:rPr>
          <w:rFonts w:hint="eastAsia" w:ascii="宋体" w:hAnsi="宋体" w:cs="宋体"/>
          <w:b/>
          <w:color w:val="auto"/>
          <w:sz w:val="24"/>
          <w:highlight w:val="none"/>
        </w:rPr>
        <w:t>1.2 货物</w:t>
      </w:r>
      <w:bookmarkEnd w:id="408"/>
      <w:bookmarkEnd w:id="409"/>
      <w:bookmarkEnd w:id="410"/>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pPr>
        <w:spacing w:line="560" w:lineRule="exact"/>
        <w:ind w:firstLine="482" w:firstLineChars="200"/>
        <w:outlineLvl w:val="0"/>
        <w:rPr>
          <w:rFonts w:ascii="宋体" w:hAnsi="宋体" w:cs="宋体"/>
          <w:b/>
          <w:color w:val="auto"/>
          <w:sz w:val="24"/>
          <w:highlight w:val="none"/>
        </w:rPr>
      </w:pPr>
      <w:bookmarkStart w:id="411" w:name="_Toc21631"/>
      <w:bookmarkStart w:id="412" w:name="_Toc21551"/>
      <w:bookmarkStart w:id="413" w:name="_Toc23292"/>
      <w:r>
        <w:rPr>
          <w:rFonts w:hint="eastAsia" w:ascii="宋体" w:hAnsi="宋体" w:cs="宋体"/>
          <w:b/>
          <w:color w:val="auto"/>
          <w:sz w:val="24"/>
          <w:highlight w:val="none"/>
        </w:rPr>
        <w:t>1.3 价款</w:t>
      </w:r>
      <w:bookmarkEnd w:id="411"/>
      <w:bookmarkEnd w:id="412"/>
      <w:bookmarkEnd w:id="41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bl>
    <w:p>
      <w:pPr>
        <w:pStyle w:val="957"/>
        <w:spacing w:before="0" w:beforeAutospacing="0" w:after="0" w:afterAutospacing="0" w:line="360" w:lineRule="auto"/>
        <w:ind w:firstLine="480"/>
        <w:rPr>
          <w:b/>
          <w:color w:val="auto"/>
          <w:highlight w:val="none"/>
        </w:rPr>
      </w:pPr>
      <w:bookmarkStart w:id="414" w:name="_Toc1814"/>
      <w:bookmarkStart w:id="415" w:name="_Toc22618"/>
      <w:bookmarkStart w:id="416" w:name="_Toc10340"/>
      <w:r>
        <w:rPr>
          <w:rFonts w:hint="eastAsia"/>
          <w:b/>
          <w:color w:val="auto"/>
          <w:highlight w:val="none"/>
        </w:rPr>
        <w:t>1.4履约保证金</w:t>
      </w:r>
    </w:p>
    <w:p>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3"/>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4"/>
      <w:bookmarkEnd w:id="415"/>
      <w:bookmarkEnd w:id="416"/>
      <w:r>
        <w:rPr>
          <w:rFonts w:hint="eastAsia" w:ascii="宋体" w:hAnsi="宋体" w:cs="宋体"/>
          <w:b/>
          <w:color w:val="auto"/>
          <w:sz w:val="24"/>
          <w:highlight w:val="none"/>
        </w:rPr>
        <w:t>预付款</w:t>
      </w:r>
    </w:p>
    <w:p>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7" w:name="_Toc19304"/>
      <w:bookmarkStart w:id="418" w:name="_Toc32071"/>
      <w:bookmarkStart w:id="419" w:name="_Toc2846"/>
      <w:r>
        <w:rPr>
          <w:rFonts w:hint="eastAsia" w:ascii="宋体" w:hAnsi="宋体" w:cs="宋体"/>
          <w:b/>
          <w:color w:val="auto"/>
          <w:sz w:val="24"/>
          <w:highlight w:val="none"/>
        </w:rPr>
        <w:t>1.7货物交付期限、地点和方式</w:t>
      </w:r>
      <w:bookmarkEnd w:id="417"/>
      <w:bookmarkEnd w:id="418"/>
      <w:bookmarkEnd w:id="419"/>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20" w:name="_Toc27250"/>
      <w:bookmarkStart w:id="421" w:name="_Toc21423"/>
      <w:bookmarkStart w:id="422" w:name="_Toc19554"/>
      <w:r>
        <w:rPr>
          <w:rFonts w:hint="eastAsia" w:ascii="宋体" w:hAnsi="宋体" w:cs="宋体"/>
          <w:b/>
          <w:color w:val="auto"/>
          <w:sz w:val="24"/>
          <w:highlight w:val="none"/>
        </w:rPr>
        <w:t>1.8违约责任</w:t>
      </w:r>
      <w:bookmarkEnd w:id="420"/>
      <w:bookmarkEnd w:id="421"/>
      <w:bookmarkEnd w:id="42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23" w:name="_Toc15583"/>
      <w:bookmarkStart w:id="424" w:name="_Toc28375"/>
      <w:bookmarkStart w:id="425" w:name="_Toc16021"/>
      <w:r>
        <w:rPr>
          <w:rFonts w:hint="eastAsia" w:ascii="宋体" w:hAnsi="宋体" w:cs="宋体"/>
          <w:b/>
          <w:color w:val="auto"/>
          <w:sz w:val="24"/>
          <w:highlight w:val="none"/>
        </w:rPr>
        <w:t>1.9合同争议的解决</w:t>
      </w:r>
      <w:bookmarkEnd w:id="423"/>
      <w:bookmarkEnd w:id="424"/>
      <w:bookmarkEnd w:id="425"/>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26" w:name="_Toc11173"/>
      <w:bookmarkStart w:id="427" w:name="_Toc15322"/>
      <w:bookmarkStart w:id="428" w:name="_Toc7245"/>
      <w:r>
        <w:rPr>
          <w:rFonts w:hint="eastAsia" w:ascii="宋体" w:hAnsi="宋体" w:cs="宋体"/>
          <w:b/>
          <w:color w:val="auto"/>
          <w:sz w:val="24"/>
          <w:highlight w:val="none"/>
        </w:rPr>
        <w:t>2.0 合同生效</w:t>
      </w:r>
      <w:bookmarkEnd w:id="426"/>
      <w:bookmarkEnd w:id="427"/>
      <w:bookmarkEnd w:id="428"/>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pStyle w:val="3"/>
        <w:rPr>
          <w:rFonts w:ascii="宋体" w:hAnsi="宋体" w:cs="宋体"/>
          <w:color w:val="auto"/>
          <w:sz w:val="24"/>
          <w:highlight w:val="none"/>
        </w:rPr>
      </w:pPr>
    </w:p>
    <w:p>
      <w:pPr>
        <w:rPr>
          <w:rFonts w:ascii="宋体" w:hAnsi="宋体" w:cs="宋体"/>
          <w:color w:val="auto"/>
          <w:sz w:val="24"/>
          <w:highlight w:val="none"/>
        </w:rPr>
      </w:pPr>
    </w:p>
    <w:p>
      <w:pPr>
        <w:pStyle w:val="3"/>
        <w:rPr>
          <w:rFonts w:ascii="宋体" w:hAnsi="宋体" w:cs="宋体"/>
          <w:color w:val="auto"/>
          <w:sz w:val="24"/>
          <w:highlight w:val="none"/>
        </w:rPr>
      </w:pPr>
    </w:p>
    <w:p>
      <w:pPr>
        <w:rPr>
          <w:rFonts w:ascii="宋体" w:hAnsi="宋体" w:cs="宋体"/>
          <w:color w:val="auto"/>
          <w:sz w:val="24"/>
          <w:highlight w:val="none"/>
        </w:rPr>
      </w:pPr>
    </w:p>
    <w:p>
      <w:pPr>
        <w:pStyle w:val="3"/>
        <w:rPr>
          <w:rFonts w:ascii="宋体" w:hAnsi="宋体" w:cs="宋体"/>
          <w:color w:val="auto"/>
          <w:sz w:val="24"/>
          <w:highlight w:val="none"/>
        </w:rPr>
      </w:pPr>
    </w:p>
    <w:p>
      <w:pPr>
        <w:rPr>
          <w:rFonts w:ascii="宋体" w:hAnsi="宋体" w:cs="宋体"/>
          <w:color w:val="auto"/>
          <w:sz w:val="24"/>
          <w:highlight w:val="none"/>
        </w:rPr>
      </w:pPr>
    </w:p>
    <w:p>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pPr>
        <w:spacing w:line="560" w:lineRule="exact"/>
        <w:ind w:firstLine="482" w:firstLineChars="200"/>
        <w:outlineLvl w:val="0"/>
        <w:rPr>
          <w:rFonts w:ascii="宋体" w:hAnsi="宋体" w:cs="宋体"/>
          <w:b/>
          <w:color w:val="auto"/>
          <w:sz w:val="24"/>
          <w:highlight w:val="none"/>
        </w:rPr>
      </w:pPr>
      <w:bookmarkStart w:id="429" w:name="_Ref467379101"/>
      <w:bookmarkStart w:id="430" w:name="_Ref467379094"/>
      <w:bookmarkStart w:id="431" w:name="_Ref467378463"/>
      <w:bookmarkStart w:id="432" w:name="_Ref467379225"/>
      <w:bookmarkStart w:id="433" w:name="_Toc259093669"/>
      <w:bookmarkStart w:id="434" w:name="_Toc16917"/>
      <w:bookmarkStart w:id="435" w:name="_Ref467378404"/>
      <w:bookmarkStart w:id="436" w:name="_Toc19614"/>
      <w:bookmarkStart w:id="437" w:name="_Ref467379109"/>
      <w:bookmarkStart w:id="438" w:name="_Ref467379214"/>
      <w:bookmarkStart w:id="439" w:name="_Ref467379205"/>
      <w:bookmarkStart w:id="440" w:name="_Ref467378499"/>
      <w:bookmarkStart w:id="441" w:name="_Toc279701240"/>
      <w:bookmarkStart w:id="442" w:name="_Toc28763"/>
      <w:bookmarkStart w:id="443" w:name="_Ref467379195"/>
      <w:bookmarkStart w:id="444" w:name="_Toc487900349"/>
      <w:r>
        <w:rPr>
          <w:rFonts w:hint="eastAsia" w:ascii="宋体" w:hAnsi="宋体" w:cs="宋体"/>
          <w:b/>
          <w:color w:val="auto"/>
          <w:sz w:val="24"/>
          <w:highlight w:val="none"/>
        </w:rPr>
        <w:t>2.1 定义</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highlight w:val="none"/>
        </w:rPr>
      </w:pPr>
      <w:bookmarkStart w:id="445" w:name="_Ref467378840"/>
      <w:r>
        <w:rPr>
          <w:rFonts w:hint="eastAsia" w:ascii="宋体" w:hAnsi="宋体" w:cs="宋体"/>
          <w:color w:val="auto"/>
          <w:sz w:val="24"/>
          <w:highlight w:val="none"/>
        </w:rPr>
        <w:t>2.1.4 “甲方”系指与中标或成交供应商签署合同的采购人</w:t>
      </w:r>
      <w:bookmarkEnd w:id="445"/>
      <w:r>
        <w:rPr>
          <w:rFonts w:hint="eastAsia" w:ascii="宋体" w:hAnsi="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bookmarkStart w:id="446" w:name="_Ref467379400"/>
      <w:r>
        <w:rPr>
          <w:rFonts w:hint="eastAsia" w:ascii="宋体" w:hAnsi="宋体" w:cs="宋体"/>
          <w:color w:val="auto"/>
          <w:sz w:val="24"/>
          <w:highlight w:val="none"/>
        </w:rPr>
        <w:t>2.1.5 “乙方”系指根据合同约定交付货物的中标或成交供应商</w:t>
      </w:r>
      <w:bookmarkEnd w:id="446"/>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bookmarkStart w:id="447" w:name="_Ref467379436"/>
      <w:r>
        <w:rPr>
          <w:rFonts w:hint="eastAsia" w:ascii="宋体" w:hAnsi="宋体" w:cs="宋体"/>
          <w:color w:val="auto"/>
          <w:sz w:val="24"/>
          <w:highlight w:val="none"/>
        </w:rPr>
        <w:t>2.1.6 “现场”系指合同约定货物将要运至或者安装的地点。</w:t>
      </w:r>
      <w:bookmarkEnd w:id="447"/>
    </w:p>
    <w:p>
      <w:pPr>
        <w:spacing w:line="560" w:lineRule="exact"/>
        <w:ind w:firstLine="482" w:firstLineChars="200"/>
        <w:outlineLvl w:val="0"/>
        <w:rPr>
          <w:rFonts w:ascii="宋体" w:hAnsi="宋体" w:cs="宋体"/>
          <w:b/>
          <w:color w:val="auto"/>
          <w:sz w:val="24"/>
          <w:highlight w:val="none"/>
        </w:rPr>
      </w:pPr>
      <w:bookmarkStart w:id="448" w:name="_Toc259093670"/>
      <w:bookmarkStart w:id="449" w:name="_Toc279701241"/>
      <w:bookmarkStart w:id="450" w:name="_Toc27635"/>
      <w:bookmarkStart w:id="451" w:name="_Toc32504"/>
      <w:bookmarkStart w:id="452" w:name="_Toc487900350"/>
      <w:bookmarkStart w:id="453" w:name="_Toc13336"/>
      <w:r>
        <w:rPr>
          <w:rFonts w:hint="eastAsia" w:ascii="宋体" w:hAnsi="宋体" w:cs="宋体"/>
          <w:b/>
          <w:color w:val="auto"/>
          <w:sz w:val="24"/>
          <w:highlight w:val="none"/>
        </w:rPr>
        <w:t>2.2 技术规范</w:t>
      </w:r>
      <w:bookmarkEnd w:id="448"/>
      <w:bookmarkEnd w:id="449"/>
      <w:bookmarkEnd w:id="450"/>
      <w:bookmarkEnd w:id="451"/>
      <w:bookmarkEnd w:id="452"/>
      <w:bookmarkEnd w:id="45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54" w:name="_Toc279701242"/>
      <w:bookmarkStart w:id="455" w:name="_Toc259093671"/>
      <w:bookmarkStart w:id="456" w:name="_Toc27853"/>
      <w:bookmarkStart w:id="457" w:name="_Toc9829"/>
      <w:bookmarkStart w:id="458" w:name="_Toc31634"/>
      <w:bookmarkStart w:id="459" w:name="_Toc487900351"/>
      <w:r>
        <w:rPr>
          <w:rFonts w:hint="eastAsia" w:ascii="宋体" w:hAnsi="宋体" w:cs="宋体"/>
          <w:b/>
          <w:color w:val="auto"/>
          <w:sz w:val="24"/>
          <w:highlight w:val="none"/>
        </w:rPr>
        <w:t>2.3 知识产权</w:t>
      </w:r>
      <w:bookmarkEnd w:id="454"/>
      <w:bookmarkEnd w:id="455"/>
      <w:bookmarkEnd w:id="456"/>
      <w:bookmarkEnd w:id="457"/>
      <w:bookmarkEnd w:id="458"/>
      <w:bookmarkEnd w:id="45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60" w:name="_Toc11932"/>
      <w:bookmarkStart w:id="461" w:name="_Toc4194"/>
      <w:bookmarkStart w:id="462" w:name="_Toc29149"/>
      <w:r>
        <w:rPr>
          <w:rFonts w:hint="eastAsia" w:ascii="宋体" w:hAnsi="宋体" w:cs="宋体"/>
          <w:b/>
          <w:color w:val="auto"/>
          <w:sz w:val="24"/>
          <w:highlight w:val="none"/>
        </w:rPr>
        <w:t>2.4 包装和装运</w:t>
      </w:r>
      <w:bookmarkEnd w:id="460"/>
      <w:bookmarkEnd w:id="461"/>
      <w:bookmarkEnd w:id="46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63" w:name="_Ref467379542"/>
      <w:bookmarkStart w:id="464" w:name="_Ref467378591"/>
      <w:bookmarkStart w:id="465" w:name="_Ref467378541"/>
      <w:bookmarkStart w:id="466" w:name="_Toc279701245"/>
      <w:bookmarkStart w:id="467" w:name="_Ref467379527"/>
      <w:bookmarkStart w:id="468" w:name="_Toc487900354"/>
      <w:bookmarkStart w:id="469" w:name="_Ref467379536"/>
      <w:bookmarkStart w:id="470" w:name="_Toc259093674"/>
      <w:bookmarkStart w:id="471" w:name="_Toc30272"/>
      <w:bookmarkStart w:id="472" w:name="_Toc19074"/>
      <w:bookmarkStart w:id="473" w:name="_Toc26182"/>
      <w:r>
        <w:rPr>
          <w:rFonts w:hint="eastAsia" w:ascii="宋体" w:hAnsi="宋体" w:cs="宋体"/>
          <w:b/>
          <w:color w:val="auto"/>
          <w:sz w:val="24"/>
          <w:highlight w:val="none"/>
        </w:rPr>
        <w:t>2.</w:t>
      </w:r>
      <w:bookmarkEnd w:id="463"/>
      <w:bookmarkEnd w:id="464"/>
      <w:bookmarkEnd w:id="465"/>
      <w:bookmarkEnd w:id="466"/>
      <w:bookmarkEnd w:id="467"/>
      <w:bookmarkEnd w:id="468"/>
      <w:bookmarkEnd w:id="469"/>
      <w:bookmarkEnd w:id="470"/>
      <w:r>
        <w:rPr>
          <w:rFonts w:hint="eastAsia" w:ascii="宋体" w:hAnsi="宋体" w:cs="宋体"/>
          <w:b/>
          <w:color w:val="auto"/>
          <w:sz w:val="24"/>
          <w:highlight w:val="none"/>
        </w:rPr>
        <w:t>5 履约检查和问题反馈</w:t>
      </w:r>
      <w:bookmarkEnd w:id="471"/>
      <w:bookmarkEnd w:id="472"/>
      <w:bookmarkEnd w:id="473"/>
    </w:p>
    <w:p>
      <w:pPr>
        <w:spacing w:line="560" w:lineRule="exact"/>
        <w:ind w:firstLine="480" w:firstLineChars="200"/>
        <w:rPr>
          <w:rFonts w:ascii="宋体" w:hAnsi="宋体" w:cs="宋体"/>
          <w:color w:val="auto"/>
          <w:sz w:val="24"/>
          <w:highlight w:val="none"/>
        </w:rPr>
      </w:pPr>
      <w:bookmarkStart w:id="474" w:name="_Ref467379657"/>
      <w:r>
        <w:rPr>
          <w:rFonts w:hint="eastAsia" w:ascii="宋体" w:hAnsi="宋体" w:cs="宋体"/>
          <w:color w:val="auto"/>
          <w:sz w:val="24"/>
          <w:highlight w:val="none"/>
        </w:rPr>
        <w:t>2.5.1</w:t>
      </w:r>
      <w:bookmarkEnd w:id="474"/>
      <w:bookmarkStart w:id="475" w:name="_Toc186431854"/>
      <w:bookmarkStart w:id="476" w:name="_Ref467379793"/>
      <w:bookmarkStart w:id="477" w:name="_Ref467379807"/>
      <w:bookmarkStart w:id="478" w:name="_Toc487900357"/>
      <w:bookmarkStart w:id="479" w:name="_Toc259093676"/>
      <w:bookmarkStart w:id="480" w:name="_Toc27970124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75"/>
      <w:bookmarkStart w:id="481" w:name="_Toc186431855"/>
      <w:r>
        <w:rPr>
          <w:rFonts w:hint="eastAsia" w:ascii="宋体" w:hAnsi="宋体" w:cs="宋体"/>
          <w:color w:val="auto"/>
          <w:sz w:val="24"/>
          <w:highlight w:val="none"/>
        </w:rPr>
        <w:t>。</w:t>
      </w:r>
    </w:p>
    <w:bookmarkEnd w:id="476"/>
    <w:bookmarkEnd w:id="477"/>
    <w:bookmarkEnd w:id="478"/>
    <w:bookmarkEnd w:id="479"/>
    <w:bookmarkEnd w:id="480"/>
    <w:bookmarkEnd w:id="481"/>
    <w:p>
      <w:pPr>
        <w:spacing w:line="560" w:lineRule="exact"/>
        <w:ind w:firstLine="482" w:firstLineChars="200"/>
        <w:outlineLvl w:val="0"/>
        <w:rPr>
          <w:rFonts w:ascii="宋体" w:hAnsi="宋体" w:cs="宋体"/>
          <w:b/>
          <w:color w:val="auto"/>
          <w:sz w:val="24"/>
          <w:highlight w:val="none"/>
        </w:rPr>
      </w:pPr>
      <w:bookmarkStart w:id="482" w:name="_Toc259093677"/>
      <w:bookmarkStart w:id="483" w:name="_Toc279701248"/>
      <w:bookmarkStart w:id="484" w:name="_Ref467379863"/>
      <w:bookmarkStart w:id="485" w:name="_Ref467379852"/>
      <w:bookmarkStart w:id="486" w:name="_Toc487900358"/>
      <w:bookmarkStart w:id="487" w:name="_Ref467379923"/>
      <w:bookmarkStart w:id="488" w:name="_Toc16110"/>
      <w:bookmarkStart w:id="489" w:name="_Toc3225"/>
      <w:bookmarkStart w:id="490" w:name="_Toc774"/>
      <w:r>
        <w:rPr>
          <w:rFonts w:hint="eastAsia" w:ascii="宋体" w:hAnsi="宋体" w:cs="宋体"/>
          <w:b/>
          <w:color w:val="auto"/>
          <w:sz w:val="24"/>
          <w:highlight w:val="none"/>
        </w:rPr>
        <w:t>2.6 技术资料</w:t>
      </w:r>
      <w:bookmarkEnd w:id="482"/>
      <w:bookmarkEnd w:id="483"/>
      <w:bookmarkEnd w:id="484"/>
      <w:bookmarkEnd w:id="485"/>
      <w:bookmarkEnd w:id="486"/>
      <w:bookmarkEnd w:id="487"/>
      <w:r>
        <w:rPr>
          <w:rFonts w:hint="eastAsia" w:ascii="宋体" w:hAnsi="宋体" w:cs="宋体"/>
          <w:b/>
          <w:color w:val="auto"/>
          <w:sz w:val="24"/>
          <w:highlight w:val="none"/>
        </w:rPr>
        <w:t>和保密义务</w:t>
      </w:r>
      <w:bookmarkEnd w:id="488"/>
      <w:bookmarkEnd w:id="489"/>
      <w:bookmarkEnd w:id="49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91" w:name="_Toc7860"/>
      <w:r>
        <w:rPr>
          <w:rFonts w:hint="eastAsia" w:ascii="宋体" w:hAnsi="宋体" w:cs="宋体"/>
          <w:b/>
          <w:color w:val="auto"/>
          <w:sz w:val="24"/>
          <w:highlight w:val="none"/>
        </w:rPr>
        <w:t>2.7 质量保证</w:t>
      </w:r>
      <w:bookmarkEnd w:id="49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92" w:name="_Toc17244"/>
      <w:bookmarkStart w:id="493" w:name="_Toc259093681"/>
      <w:bookmarkStart w:id="494" w:name="_Toc487900362"/>
      <w:bookmarkStart w:id="495" w:name="_Toc279701252"/>
      <w:r>
        <w:rPr>
          <w:rFonts w:hint="eastAsia" w:ascii="宋体" w:hAnsi="宋体" w:cs="宋体"/>
          <w:b/>
          <w:color w:val="auto"/>
          <w:sz w:val="24"/>
          <w:highlight w:val="none"/>
        </w:rPr>
        <w:t>2.8 货物的风险负担</w:t>
      </w:r>
      <w:bookmarkEnd w:id="492"/>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96" w:name="_Toc14055"/>
      <w:r>
        <w:rPr>
          <w:rFonts w:hint="eastAsia" w:ascii="宋体" w:hAnsi="宋体" w:cs="宋体"/>
          <w:b/>
          <w:color w:val="auto"/>
          <w:sz w:val="24"/>
          <w:highlight w:val="none"/>
        </w:rPr>
        <w:t>2.9 延迟交货</w:t>
      </w:r>
      <w:bookmarkEnd w:id="493"/>
      <w:bookmarkEnd w:id="494"/>
      <w:bookmarkEnd w:id="495"/>
      <w:bookmarkEnd w:id="496"/>
    </w:p>
    <w:p>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highlight w:val="none"/>
        </w:rPr>
      </w:pPr>
      <w:bookmarkStart w:id="497" w:name="_Toc7502"/>
      <w:bookmarkStart w:id="498" w:name="_Toc279701254"/>
      <w:bookmarkStart w:id="499" w:name="_Toc487900364"/>
      <w:bookmarkStart w:id="500" w:name="_Toc259093683"/>
      <w:bookmarkStart w:id="501" w:name="_Ref467378121"/>
      <w:r>
        <w:rPr>
          <w:rFonts w:hint="eastAsia" w:ascii="宋体" w:hAnsi="宋体" w:cs="宋体"/>
          <w:b/>
          <w:color w:val="auto"/>
          <w:sz w:val="24"/>
          <w:highlight w:val="none"/>
        </w:rPr>
        <w:t>2.10 合同变更</w:t>
      </w:r>
      <w:bookmarkEnd w:id="49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2" w:name="_Toc279701259"/>
      <w:bookmarkStart w:id="503" w:name="_Toc487900369"/>
      <w:bookmarkStart w:id="504" w:name="_Toc259093688"/>
    </w:p>
    <w:p>
      <w:pPr>
        <w:spacing w:line="560" w:lineRule="exact"/>
        <w:ind w:firstLine="482" w:firstLineChars="200"/>
        <w:outlineLvl w:val="0"/>
        <w:rPr>
          <w:rFonts w:ascii="宋体" w:hAnsi="宋体" w:cs="宋体"/>
          <w:b/>
          <w:color w:val="auto"/>
          <w:sz w:val="24"/>
          <w:highlight w:val="none"/>
        </w:rPr>
      </w:pPr>
      <w:bookmarkStart w:id="505" w:name="_Toc15237"/>
      <w:bookmarkStart w:id="506" w:name="_Toc10366"/>
      <w:bookmarkStart w:id="507" w:name="_Toc22955"/>
      <w:r>
        <w:rPr>
          <w:rFonts w:hint="eastAsia" w:ascii="宋体" w:hAnsi="宋体" w:cs="宋体"/>
          <w:b/>
          <w:color w:val="auto"/>
          <w:sz w:val="24"/>
          <w:highlight w:val="none"/>
        </w:rPr>
        <w:t>2.11 合同转让</w:t>
      </w:r>
      <w:bookmarkEnd w:id="502"/>
      <w:bookmarkEnd w:id="503"/>
      <w:bookmarkEnd w:id="504"/>
      <w:r>
        <w:rPr>
          <w:rFonts w:hint="eastAsia" w:ascii="宋体" w:hAnsi="宋体" w:cs="宋体"/>
          <w:b/>
          <w:color w:val="auto"/>
          <w:sz w:val="24"/>
          <w:highlight w:val="none"/>
        </w:rPr>
        <w:t>和分包</w:t>
      </w:r>
      <w:bookmarkEnd w:id="505"/>
      <w:bookmarkEnd w:id="506"/>
      <w:bookmarkEnd w:id="50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bookmarkStart w:id="508" w:name="_Toc14066"/>
      <w:bookmarkStart w:id="509" w:name="_Toc13566"/>
      <w:bookmarkStart w:id="510" w:name="_Toc16508"/>
      <w:r>
        <w:rPr>
          <w:rFonts w:hint="eastAsia" w:ascii="宋体" w:hAnsi="宋体" w:cs="宋体"/>
          <w:b/>
          <w:color w:val="auto"/>
          <w:sz w:val="24"/>
          <w:highlight w:val="none"/>
        </w:rPr>
        <w:t>2.12 不可抗力</w:t>
      </w:r>
      <w:bookmarkEnd w:id="508"/>
      <w:bookmarkEnd w:id="509"/>
      <w:bookmarkEnd w:id="51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511" w:name="_Toc259093684"/>
      <w:bookmarkStart w:id="512" w:name="_Toc689"/>
      <w:bookmarkStart w:id="513" w:name="_Toc30676"/>
      <w:bookmarkStart w:id="514" w:name="_Toc279701255"/>
      <w:bookmarkStart w:id="515" w:name="_Toc6969"/>
      <w:bookmarkStart w:id="516" w:name="_Toc487900365"/>
      <w:r>
        <w:rPr>
          <w:rFonts w:hint="eastAsia" w:ascii="宋体" w:hAnsi="宋体" w:cs="宋体"/>
          <w:b/>
          <w:color w:val="auto"/>
          <w:sz w:val="24"/>
          <w:highlight w:val="none"/>
        </w:rPr>
        <w:t>2.13 税费</w:t>
      </w:r>
      <w:bookmarkEnd w:id="511"/>
      <w:bookmarkEnd w:id="512"/>
      <w:bookmarkEnd w:id="513"/>
      <w:bookmarkEnd w:id="514"/>
      <w:bookmarkEnd w:id="515"/>
      <w:bookmarkEnd w:id="51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bookmarkStart w:id="517" w:name="_Toc8298"/>
      <w:bookmarkStart w:id="518" w:name="_Toc259093687"/>
      <w:bookmarkStart w:id="519" w:name="_Toc487900368"/>
      <w:bookmarkStart w:id="520" w:name="_Toc16959"/>
      <w:bookmarkStart w:id="521" w:name="_Toc279701258"/>
      <w:bookmarkStart w:id="522" w:name="_Toc7102"/>
      <w:r>
        <w:rPr>
          <w:rFonts w:hint="eastAsia" w:ascii="宋体" w:hAnsi="宋体" w:cs="宋体"/>
          <w:b/>
          <w:color w:val="auto"/>
          <w:sz w:val="24"/>
          <w:highlight w:val="none"/>
        </w:rPr>
        <w:t>2.14乙方破产</w:t>
      </w:r>
      <w:bookmarkEnd w:id="517"/>
      <w:bookmarkEnd w:id="518"/>
      <w:bookmarkEnd w:id="519"/>
      <w:bookmarkEnd w:id="520"/>
      <w:bookmarkEnd w:id="521"/>
      <w:bookmarkEnd w:id="52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523" w:name="_Toc15387"/>
      <w:bookmarkStart w:id="524" w:name="_Toc29333"/>
      <w:bookmarkStart w:id="525" w:name="_Toc6134"/>
      <w:r>
        <w:rPr>
          <w:rFonts w:hint="eastAsia" w:ascii="宋体" w:hAnsi="宋体" w:cs="宋体"/>
          <w:b/>
          <w:color w:val="auto"/>
          <w:sz w:val="24"/>
          <w:highlight w:val="none"/>
        </w:rPr>
        <w:t>2.15 合同中止、终止</w:t>
      </w:r>
      <w:bookmarkEnd w:id="523"/>
      <w:bookmarkEnd w:id="524"/>
      <w:bookmarkEnd w:id="52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526" w:name="_Toc1125"/>
      <w:bookmarkStart w:id="527" w:name="_Toc6596"/>
      <w:bookmarkStart w:id="528" w:name="_Toc14563"/>
      <w:r>
        <w:rPr>
          <w:rFonts w:hint="eastAsia" w:ascii="宋体" w:hAnsi="宋体" w:cs="宋体"/>
          <w:b/>
          <w:color w:val="auto"/>
          <w:sz w:val="24"/>
          <w:highlight w:val="none"/>
        </w:rPr>
        <w:t>2.16检验和验收</w:t>
      </w:r>
      <w:bookmarkEnd w:id="526"/>
      <w:bookmarkEnd w:id="527"/>
      <w:bookmarkEnd w:id="528"/>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8"/>
    <w:bookmarkEnd w:id="499"/>
    <w:bookmarkEnd w:id="500"/>
    <w:bookmarkEnd w:id="501"/>
    <w:p>
      <w:pPr>
        <w:spacing w:line="560" w:lineRule="exact"/>
        <w:ind w:firstLine="482" w:firstLineChars="200"/>
        <w:outlineLvl w:val="0"/>
        <w:rPr>
          <w:rFonts w:ascii="宋体" w:hAnsi="宋体" w:cs="宋体"/>
          <w:b/>
          <w:color w:val="auto"/>
          <w:sz w:val="24"/>
          <w:highlight w:val="none"/>
        </w:rPr>
      </w:pPr>
      <w:bookmarkStart w:id="529" w:name="_Toc487900371"/>
      <w:bookmarkStart w:id="530" w:name="_Toc259093690"/>
      <w:bookmarkStart w:id="531" w:name="_Toc279701261"/>
      <w:bookmarkStart w:id="532" w:name="_Toc25182"/>
      <w:bookmarkStart w:id="533" w:name="_Toc19604"/>
      <w:bookmarkStart w:id="534" w:name="_Toc11284"/>
      <w:r>
        <w:rPr>
          <w:rFonts w:hint="eastAsia" w:ascii="宋体" w:hAnsi="宋体" w:cs="宋体"/>
          <w:b/>
          <w:color w:val="auto"/>
          <w:sz w:val="24"/>
          <w:highlight w:val="none"/>
        </w:rPr>
        <w:t>2.17 通知</w:t>
      </w:r>
      <w:bookmarkEnd w:id="529"/>
      <w:bookmarkEnd w:id="530"/>
      <w:bookmarkEnd w:id="531"/>
      <w:r>
        <w:rPr>
          <w:rFonts w:hint="eastAsia" w:ascii="宋体" w:hAnsi="宋体" w:cs="宋体"/>
          <w:b/>
          <w:color w:val="auto"/>
          <w:sz w:val="24"/>
          <w:highlight w:val="none"/>
        </w:rPr>
        <w:t>和送达</w:t>
      </w:r>
      <w:bookmarkEnd w:id="532"/>
      <w:bookmarkEnd w:id="533"/>
      <w:bookmarkEnd w:id="534"/>
    </w:p>
    <w:p>
      <w:pPr>
        <w:spacing w:line="560" w:lineRule="exact"/>
        <w:ind w:firstLine="480" w:firstLineChars="200"/>
        <w:rPr>
          <w:rFonts w:ascii="宋体" w:hAnsi="宋体" w:cs="宋体"/>
          <w:color w:val="auto"/>
          <w:sz w:val="24"/>
          <w:highlight w:val="none"/>
        </w:rPr>
      </w:pPr>
      <w:bookmarkStart w:id="535" w:name="_Toc3135"/>
      <w:bookmarkStart w:id="536" w:name="_Toc6698"/>
      <w:bookmarkStart w:id="537" w:name="_Toc279701262"/>
      <w:bookmarkStart w:id="538" w:name="_Toc487900372"/>
      <w:bookmarkStart w:id="539" w:name="_Toc25909369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35"/>
      <w:bookmarkEnd w:id="536"/>
    </w:p>
    <w:p>
      <w:pPr>
        <w:spacing w:line="560" w:lineRule="exact"/>
        <w:ind w:firstLine="480" w:firstLineChars="200"/>
        <w:rPr>
          <w:rFonts w:ascii="宋体" w:hAnsi="宋体" w:cs="宋体"/>
          <w:color w:val="auto"/>
          <w:sz w:val="24"/>
          <w:highlight w:val="none"/>
        </w:rPr>
      </w:pPr>
      <w:bookmarkStart w:id="540" w:name="_Toc23294"/>
      <w:bookmarkStart w:id="541"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0"/>
      <w:bookmarkEnd w:id="541"/>
    </w:p>
    <w:p>
      <w:pPr>
        <w:spacing w:line="560" w:lineRule="exact"/>
        <w:ind w:firstLine="482" w:firstLineChars="200"/>
        <w:outlineLvl w:val="0"/>
        <w:rPr>
          <w:rFonts w:ascii="宋体" w:hAnsi="宋体" w:cs="宋体"/>
          <w:b/>
          <w:color w:val="auto"/>
          <w:sz w:val="24"/>
          <w:highlight w:val="none"/>
        </w:rPr>
      </w:pPr>
      <w:bookmarkStart w:id="542" w:name="_Toc18540"/>
      <w:bookmarkStart w:id="543" w:name="_Toc30599"/>
      <w:bookmarkStart w:id="544" w:name="_Toc4355"/>
      <w:r>
        <w:rPr>
          <w:rFonts w:hint="eastAsia" w:ascii="宋体" w:hAnsi="宋体" w:cs="宋体"/>
          <w:b/>
          <w:color w:val="auto"/>
          <w:sz w:val="24"/>
          <w:highlight w:val="none"/>
        </w:rPr>
        <w:t>2.18 计量单位</w:t>
      </w:r>
      <w:bookmarkEnd w:id="537"/>
      <w:bookmarkEnd w:id="538"/>
      <w:bookmarkEnd w:id="539"/>
      <w:bookmarkEnd w:id="542"/>
      <w:bookmarkEnd w:id="543"/>
      <w:bookmarkEnd w:id="54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highlight w:val="none"/>
        </w:rPr>
      </w:pPr>
      <w:bookmarkStart w:id="545" w:name="_Toc279701263"/>
      <w:bookmarkStart w:id="546" w:name="_Toc10330"/>
      <w:bookmarkStart w:id="547" w:name="_Toc18567"/>
      <w:bookmarkStart w:id="548" w:name="_Toc12773"/>
      <w:bookmarkStart w:id="549" w:name="_Toc259093692"/>
      <w:bookmarkStart w:id="550" w:name="_Toc487900373"/>
      <w:r>
        <w:rPr>
          <w:rFonts w:hint="eastAsia" w:ascii="宋体" w:hAnsi="宋体" w:cs="宋体"/>
          <w:b/>
          <w:color w:val="auto"/>
          <w:sz w:val="24"/>
          <w:highlight w:val="none"/>
        </w:rPr>
        <w:t>2.19 合同使用的文字和适用的法律</w:t>
      </w:r>
      <w:bookmarkEnd w:id="545"/>
      <w:bookmarkEnd w:id="546"/>
      <w:bookmarkEnd w:id="547"/>
      <w:bookmarkEnd w:id="548"/>
      <w:bookmarkEnd w:id="549"/>
      <w:bookmarkEnd w:id="55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pacing w:line="560" w:lineRule="exact"/>
        <w:ind w:firstLine="482" w:firstLineChars="200"/>
        <w:outlineLvl w:val="0"/>
        <w:rPr>
          <w:rFonts w:ascii="宋体" w:hAnsi="宋体" w:cs="宋体"/>
          <w:b/>
          <w:color w:val="auto"/>
          <w:sz w:val="24"/>
          <w:highlight w:val="none"/>
        </w:rPr>
      </w:pPr>
      <w:bookmarkStart w:id="551" w:name="_Toc19890"/>
      <w:bookmarkStart w:id="552" w:name="_Toc6885"/>
      <w:bookmarkStart w:id="553" w:name="_Toc14001"/>
      <w:r>
        <w:rPr>
          <w:rFonts w:hint="eastAsia" w:ascii="宋体" w:hAnsi="宋体" w:cs="宋体"/>
          <w:b/>
          <w:color w:val="auto"/>
          <w:sz w:val="24"/>
          <w:highlight w:val="none"/>
        </w:rPr>
        <w:t>2.20 合同份数</w:t>
      </w:r>
      <w:bookmarkEnd w:id="551"/>
      <w:bookmarkEnd w:id="552"/>
      <w:bookmarkEnd w:id="55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pStyle w:val="3"/>
        <w:rPr>
          <w:color w:val="auto"/>
          <w:highlight w:val="none"/>
        </w:rPr>
      </w:pPr>
    </w:p>
    <w:p>
      <w:pPr>
        <w:rPr>
          <w:color w:val="auto"/>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3"/>
      <w:r>
        <w:rPr>
          <w:rFonts w:hint="eastAsia" w:ascii="宋体" w:hAnsi="宋体" w:cs="宋体"/>
          <w:b/>
          <w:color w:val="auto"/>
          <w:sz w:val="36"/>
          <w:szCs w:val="20"/>
          <w:highlight w:val="none"/>
        </w:rPr>
        <w:t xml:space="preserve"> </w:t>
      </w:r>
      <w:bookmarkEnd w:id="40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3"/>
        <w:rPr>
          <w:color w:val="auto"/>
          <w:highlight w:val="none"/>
          <w:lang w:val="en-US"/>
        </w:rPr>
      </w:pPr>
    </w:p>
    <w:p>
      <w:pPr>
        <w:rPr>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55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54"/>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3"/>
        <w:rPr>
          <w:color w:val="auto"/>
          <w:highlight w:val="none"/>
          <w:lang w:val="en-US"/>
        </w:rPr>
      </w:pPr>
    </w:p>
    <w:p>
      <w:pPr>
        <w:rPr>
          <w:color w:val="auto"/>
          <w:highlight w:val="none"/>
        </w:rPr>
      </w:pPr>
    </w:p>
    <w:p>
      <w:pPr>
        <w:pStyle w:val="3"/>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Theme="minorEastAsia" w:hAnsiTheme="minorEastAsia" w:eastAsiaTheme="minorEastAsia" w:cstheme="minorEastAsia"/>
                <w:color w:val="auto"/>
                <w:kern w:val="0"/>
                <w:szCs w:val="21"/>
                <w:highlight w:val="none"/>
              </w:rPr>
              <w:t>有机房乘客电梯</w:t>
            </w:r>
          </w:p>
        </w:tc>
        <w:tc>
          <w:tcPr>
            <w:tcW w:w="1843" w:type="dxa"/>
            <w:vAlign w:val="center"/>
          </w:tcPr>
          <w:p>
            <w:pPr>
              <w:snapToGrid w:val="0"/>
              <w:spacing w:line="360" w:lineRule="auto"/>
              <w:jc w:val="center"/>
              <w:rPr>
                <w:rFonts w:ascii="宋体" w:hAnsi="宋体" w:cs="宋体"/>
                <w:color w:val="auto"/>
                <w:sz w:val="24"/>
                <w:highlight w:val="none"/>
              </w:rPr>
            </w:pPr>
            <w:bookmarkStart w:id="565" w:name="_GoBack"/>
            <w:bookmarkEnd w:id="565"/>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55" w:name="_Hlk101259491"/>
      <w:r>
        <w:rPr>
          <w:rFonts w:hint="eastAsia" w:ascii="宋体" w:hAnsi="宋体" w:eastAsia="宋体" w:cs="宋体"/>
          <w:color w:val="auto"/>
          <w:sz w:val="32"/>
          <w:szCs w:val="32"/>
          <w:highlight w:val="none"/>
        </w:rPr>
        <w:t>（如果有）</w:t>
      </w:r>
      <w:bookmarkEnd w:id="555"/>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56" w:name="_Toc465665161"/>
      <w:r>
        <w:rPr>
          <w:rFonts w:hint="eastAsia" w:ascii="宋体" w:hAnsi="宋体" w:cs="宋体"/>
          <w:color w:val="auto"/>
          <w:highlight w:val="none"/>
        </w:rPr>
        <w:t>附件</w:t>
      </w:r>
      <w:bookmarkEnd w:id="556"/>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57" w:name="OLE_LINK13"/>
      <w:bookmarkStart w:id="558" w:name="OLE_LINK14"/>
      <w:r>
        <w:rPr>
          <w:rFonts w:hint="eastAsia" w:ascii="宋体" w:hAnsi="宋体" w:cs="宋体"/>
          <w:b/>
          <w:color w:val="auto"/>
          <w:spacing w:val="6"/>
          <w:sz w:val="32"/>
          <w:szCs w:val="32"/>
          <w:highlight w:val="none"/>
        </w:rPr>
        <w:t>残疾人福利性单位声明函</w:t>
      </w:r>
    </w:p>
    <w:bookmarkEnd w:id="557"/>
    <w:bookmarkEnd w:id="558"/>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55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9"/>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6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60"/>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1" w:name="_Toc131845147"/>
    <w:bookmarkStart w:id="562" w:name="_Toc91899912"/>
    <w:bookmarkStart w:id="563" w:name="_Toc36110187"/>
    <w:bookmarkStart w:id="564" w:name="_Toc164085800"/>
    <w:r>
      <w:rPr>
        <w:rFonts w:hint="eastAsia" w:ascii="仿宋_GB2312" w:eastAsia="仿宋_GB2312"/>
        <w:kern w:val="0"/>
        <w:szCs w:val="21"/>
      </w:rPr>
      <w:t xml:space="preserve"> 页</w:t>
    </w:r>
    <w:bookmarkEnd w:id="561"/>
    <w:bookmarkEnd w:id="562"/>
    <w:bookmarkEnd w:id="563"/>
    <w:bookmarkEnd w:id="56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15B69"/>
    <w:multiLevelType w:val="singleLevel"/>
    <w:tmpl w:val="DF315B69"/>
    <w:lvl w:ilvl="0" w:tentative="0">
      <w:start w:val="4"/>
      <w:numFmt w:val="chineseCounting"/>
      <w:suff w:val="nothing"/>
      <w:lvlText w:val="（%1）"/>
      <w:lvlJc w:val="left"/>
      <w:rPr>
        <w:rFonts w:hint="eastAsia"/>
      </w:rPr>
    </w:lvl>
  </w:abstractNum>
  <w:abstractNum w:abstractNumId="1">
    <w:nsid w:val="FCA005EE"/>
    <w:multiLevelType w:val="singleLevel"/>
    <w:tmpl w:val="FCA005EE"/>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jliNDQ0ZmY5YjkzZDI5YmE2NjlkMmViNTBkZ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58"/>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0F"/>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08F0"/>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7E5DFE"/>
    <w:rsid w:val="07983EDE"/>
    <w:rsid w:val="07CF10F2"/>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6416A"/>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4C178A"/>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52BD6"/>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9F4B44"/>
    <w:rsid w:val="16A8729C"/>
    <w:rsid w:val="16B33777"/>
    <w:rsid w:val="16BC70A7"/>
    <w:rsid w:val="16C6339E"/>
    <w:rsid w:val="172F2D79"/>
    <w:rsid w:val="17557BEF"/>
    <w:rsid w:val="17D349C1"/>
    <w:rsid w:val="18244F26"/>
    <w:rsid w:val="182C5F8C"/>
    <w:rsid w:val="1830729E"/>
    <w:rsid w:val="1870062C"/>
    <w:rsid w:val="18817102"/>
    <w:rsid w:val="18830A15"/>
    <w:rsid w:val="18852B28"/>
    <w:rsid w:val="188B5321"/>
    <w:rsid w:val="19932372"/>
    <w:rsid w:val="19A20DD5"/>
    <w:rsid w:val="19AE03F1"/>
    <w:rsid w:val="19E57CFB"/>
    <w:rsid w:val="1A071A03"/>
    <w:rsid w:val="1A16380C"/>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EFE63AC"/>
    <w:rsid w:val="1F0A0FF3"/>
    <w:rsid w:val="1F5771FF"/>
    <w:rsid w:val="1FD52574"/>
    <w:rsid w:val="1FE868A9"/>
    <w:rsid w:val="20034907"/>
    <w:rsid w:val="20173E4B"/>
    <w:rsid w:val="204E48BC"/>
    <w:rsid w:val="208921B3"/>
    <w:rsid w:val="20973DEB"/>
    <w:rsid w:val="20B26522"/>
    <w:rsid w:val="20B44310"/>
    <w:rsid w:val="20C14E71"/>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63D85"/>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B932F3"/>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D627E9"/>
    <w:rsid w:val="33EB55CD"/>
    <w:rsid w:val="33EC4C02"/>
    <w:rsid w:val="340D2360"/>
    <w:rsid w:val="3410665D"/>
    <w:rsid w:val="34211214"/>
    <w:rsid w:val="342E63AB"/>
    <w:rsid w:val="343C3130"/>
    <w:rsid w:val="34950E68"/>
    <w:rsid w:val="34986E94"/>
    <w:rsid w:val="34AF62C9"/>
    <w:rsid w:val="34CB4388"/>
    <w:rsid w:val="34FA6E12"/>
    <w:rsid w:val="354D7158"/>
    <w:rsid w:val="358D5588"/>
    <w:rsid w:val="363A3B40"/>
    <w:rsid w:val="365302AE"/>
    <w:rsid w:val="36607A0A"/>
    <w:rsid w:val="366C4438"/>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80461F"/>
    <w:rsid w:val="3B8D6508"/>
    <w:rsid w:val="3B976654"/>
    <w:rsid w:val="3BC01EFC"/>
    <w:rsid w:val="3BCA786A"/>
    <w:rsid w:val="3BD31E2F"/>
    <w:rsid w:val="3BF15831"/>
    <w:rsid w:val="3C105946"/>
    <w:rsid w:val="3C452AE9"/>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9327D2"/>
    <w:rsid w:val="41D01505"/>
    <w:rsid w:val="42474939"/>
    <w:rsid w:val="424C3C57"/>
    <w:rsid w:val="42613FF3"/>
    <w:rsid w:val="42660D96"/>
    <w:rsid w:val="428667D2"/>
    <w:rsid w:val="42CD1CE0"/>
    <w:rsid w:val="42E1381E"/>
    <w:rsid w:val="42ED6459"/>
    <w:rsid w:val="42FE58DD"/>
    <w:rsid w:val="43174B3D"/>
    <w:rsid w:val="431C5968"/>
    <w:rsid w:val="434B790E"/>
    <w:rsid w:val="4360274F"/>
    <w:rsid w:val="43977AB6"/>
    <w:rsid w:val="43A3342B"/>
    <w:rsid w:val="43C77C27"/>
    <w:rsid w:val="43DE09EE"/>
    <w:rsid w:val="44002FAD"/>
    <w:rsid w:val="449101DD"/>
    <w:rsid w:val="449910D6"/>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151E33"/>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9B3644"/>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27023A"/>
    <w:rsid w:val="4F47354A"/>
    <w:rsid w:val="4F911C54"/>
    <w:rsid w:val="4F9A0126"/>
    <w:rsid w:val="4FE625E0"/>
    <w:rsid w:val="5021480F"/>
    <w:rsid w:val="50962ECB"/>
    <w:rsid w:val="50A42E38"/>
    <w:rsid w:val="50A4577F"/>
    <w:rsid w:val="50AF4CDE"/>
    <w:rsid w:val="50B73D1F"/>
    <w:rsid w:val="50BD5BC9"/>
    <w:rsid w:val="50C11EEE"/>
    <w:rsid w:val="50E97CFC"/>
    <w:rsid w:val="50FA4028"/>
    <w:rsid w:val="510D65B7"/>
    <w:rsid w:val="511157AB"/>
    <w:rsid w:val="51402AE5"/>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FC1C9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E85E60"/>
    <w:rsid w:val="59F80043"/>
    <w:rsid w:val="59FA590E"/>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B5D48"/>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779F7"/>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1B2B08"/>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A64F39"/>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548F7"/>
    <w:rsid w:val="7AD05746"/>
    <w:rsid w:val="7B257FFD"/>
    <w:rsid w:val="7B343476"/>
    <w:rsid w:val="7B5A2978"/>
    <w:rsid w:val="7B5A7E4C"/>
    <w:rsid w:val="7B667AF9"/>
    <w:rsid w:val="7B7468F8"/>
    <w:rsid w:val="7BEE0103"/>
    <w:rsid w:val="7C0A0FE4"/>
    <w:rsid w:val="7C254906"/>
    <w:rsid w:val="7C590818"/>
    <w:rsid w:val="7C741AA9"/>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0"/>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1"/>
    <w:link w:val="262"/>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8"/>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3"/>
    <w:qFormat/>
    <w:uiPriority w:val="0"/>
    <w:rPr>
      <w:b/>
      <w:bCs/>
    </w:rPr>
  </w:style>
  <w:style w:type="paragraph" w:styleId="61">
    <w:name w:val="Body Text First Indent 2"/>
    <w:basedOn w:val="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7"/>
    <w:qFormat/>
    <w:uiPriority w:val="0"/>
    <w:rPr>
      <w:rFonts w:ascii="宋体"/>
      <w:kern w:val="2"/>
      <w:sz w:val="24"/>
      <w:szCs w:val="21"/>
      <w:lang w:val="zh-CN"/>
    </w:rPr>
  </w:style>
  <w:style w:type="character" w:customStyle="1" w:styleId="179">
    <w:name w:val="标题 9 字符"/>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0"/>
    <w:qFormat/>
    <w:uiPriority w:val="0"/>
    <w:rPr>
      <w:b/>
      <w:bCs/>
      <w:kern w:val="2"/>
      <w:sz w:val="24"/>
      <w:szCs w:val="24"/>
    </w:rPr>
  </w:style>
  <w:style w:type="character" w:customStyle="1" w:styleId="305">
    <w:name w:val="正文文本缩进 2 字符"/>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25"/>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0"/>
    <w:qFormat/>
    <w:uiPriority w:val="0"/>
    <w:rPr>
      <w:kern w:val="2"/>
      <w:sz w:val="21"/>
      <w:szCs w:val="24"/>
    </w:rPr>
  </w:style>
  <w:style w:type="character" w:customStyle="1" w:styleId="342">
    <w:name w:val="签名 字符"/>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40993</Words>
  <Characters>43333</Characters>
  <Lines>368</Lines>
  <Paragraphs>103</Paragraphs>
  <TotalTime>0</TotalTime>
  <ScaleCrop>false</ScaleCrop>
  <LinksUpToDate>false</LinksUpToDate>
  <CharactersWithSpaces>48595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范瑶</cp:lastModifiedBy>
  <cp:lastPrinted>2023-11-14T07:18:00Z</cp:lastPrinted>
  <dcterms:modified xsi:type="dcterms:W3CDTF">2023-11-29T09:06:39Z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CE2A43304BEA421691140843E925F1C7_13</vt:lpwstr>
  </property>
</Properties>
</file>