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rPr>
          <w:rFonts w:ascii="宋体" w:hAnsi="宋体" w:cs="宋体"/>
          <w:sz w:val="48"/>
          <w:szCs w:val="48"/>
        </w:rPr>
      </w:pPr>
    </w:p>
    <w:p>
      <w:pPr>
        <w:adjustRightInd/>
        <w:spacing w:line="360" w:lineRule="auto"/>
        <w:jc w:val="center"/>
        <w:rPr>
          <w:rFonts w:ascii="宋体" w:hAnsi="宋体" w:cs="宋体"/>
          <w:b/>
          <w:bCs/>
          <w:color w:val="000000"/>
          <w:sz w:val="48"/>
          <w:szCs w:val="48"/>
        </w:rPr>
      </w:pPr>
      <w:r>
        <w:rPr>
          <w:rFonts w:hint="eastAsia" w:ascii="宋体" w:hAnsi="宋体" w:cs="宋体"/>
          <w:b/>
          <w:bCs/>
          <w:sz w:val="48"/>
          <w:szCs w:val="48"/>
        </w:rPr>
        <w:t>2024-2026年</w:t>
      </w:r>
      <w:r>
        <w:rPr>
          <w:rFonts w:hint="eastAsia" w:ascii="宋体" w:hAnsi="宋体" w:cs="宋体"/>
          <w:b/>
          <w:bCs/>
          <w:color w:val="000000"/>
          <w:sz w:val="48"/>
          <w:szCs w:val="48"/>
        </w:rPr>
        <w:t>度桐庐县农村生活污水处理</w:t>
      </w:r>
    </w:p>
    <w:p>
      <w:pPr>
        <w:adjustRightInd/>
        <w:spacing w:line="360" w:lineRule="auto"/>
        <w:jc w:val="center"/>
        <w:rPr>
          <w:rFonts w:ascii="宋体" w:hAnsi="宋体" w:cs="宋体"/>
          <w:b/>
          <w:bCs/>
          <w:color w:val="000000"/>
          <w:sz w:val="52"/>
          <w:szCs w:val="52"/>
        </w:rPr>
      </w:pPr>
      <w:r>
        <w:rPr>
          <w:rFonts w:hint="eastAsia" w:ascii="宋体" w:hAnsi="宋体" w:cs="宋体"/>
          <w:b/>
          <w:bCs/>
          <w:color w:val="000000"/>
          <w:sz w:val="48"/>
          <w:szCs w:val="48"/>
        </w:rPr>
        <w:t>设施运行维护项目</w:t>
      </w:r>
    </w:p>
    <w:p>
      <w:pPr>
        <w:adjustRightInd/>
        <w:spacing w:line="360" w:lineRule="auto"/>
        <w:jc w:val="center"/>
        <w:rPr>
          <w:rFonts w:ascii="宋体" w:hAnsi="宋体" w:cs="宋体"/>
          <w:sz w:val="48"/>
          <w:szCs w:val="48"/>
        </w:rPr>
      </w:pPr>
      <w:r>
        <w:rPr>
          <w:rFonts w:hint="eastAsia" w:ascii="宋体" w:hAnsi="宋体" w:cs="宋体"/>
          <w:sz w:val="48"/>
          <w:szCs w:val="48"/>
        </w:rPr>
        <w:t>招标文件</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采购编号:（HZLKTLCG-2023-30）</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600" w:lineRule="auto"/>
        <w:jc w:val="center"/>
        <w:rPr>
          <w:rFonts w:ascii="宋体" w:hAnsi="宋体" w:cs="宋体"/>
          <w:sz w:val="32"/>
          <w:szCs w:val="32"/>
        </w:rPr>
      </w:pPr>
      <w:r>
        <w:rPr>
          <w:rFonts w:hint="eastAsia" w:ascii="宋体" w:hAnsi="宋体" w:cs="宋体"/>
          <w:sz w:val="32"/>
          <w:szCs w:val="32"/>
        </w:rPr>
        <w:t>采购人：桐庐县城乡建设管理处</w:t>
      </w:r>
    </w:p>
    <w:p>
      <w:pPr>
        <w:spacing w:line="600" w:lineRule="auto"/>
        <w:jc w:val="center"/>
        <w:rPr>
          <w:rFonts w:ascii="宋体" w:hAnsi="宋体" w:cs="宋体"/>
          <w:bCs/>
          <w:sz w:val="32"/>
          <w:szCs w:val="32"/>
        </w:rPr>
      </w:pPr>
      <w:r>
        <w:rPr>
          <w:rFonts w:hint="eastAsia" w:ascii="宋体" w:hAnsi="宋体" w:cs="宋体"/>
          <w:bCs/>
          <w:sz w:val="32"/>
          <w:szCs w:val="32"/>
        </w:rPr>
        <w:t>采购代理机构：杭州龙魁工程管理有限公司</w:t>
      </w:r>
    </w:p>
    <w:p>
      <w:pPr>
        <w:snapToGrid w:val="0"/>
        <w:spacing w:line="600" w:lineRule="auto"/>
        <w:jc w:val="center"/>
        <w:rPr>
          <w:rFonts w:ascii="宋体" w:hAnsi="宋体" w:cs="宋体"/>
          <w:bCs/>
          <w:sz w:val="32"/>
          <w:szCs w:val="32"/>
        </w:rPr>
      </w:pPr>
      <w:r>
        <w:rPr>
          <w:rFonts w:hint="eastAsia" w:ascii="宋体" w:hAnsi="宋体" w:cs="宋体"/>
          <w:bCs/>
          <w:sz w:val="32"/>
          <w:szCs w:val="32"/>
        </w:rPr>
        <w:t>2023年11月</w:t>
      </w:r>
    </w:p>
    <w:p>
      <w:pPr>
        <w:rPr>
          <w:rFonts w:ascii="宋体" w:hAnsi="宋体" w:cs="宋体"/>
          <w:sz w:val="32"/>
          <w:szCs w:val="32"/>
        </w:rPr>
      </w:pPr>
    </w:p>
    <w:p>
      <w:pPr>
        <w:rPr>
          <w:rFonts w:ascii="宋体" w:hAnsi="宋体" w:cs="宋体"/>
          <w:bCs/>
          <w:sz w:val="32"/>
          <w:szCs w:val="32"/>
        </w:rPr>
      </w:pPr>
    </w:p>
    <w:p>
      <w:pPr>
        <w:spacing w:line="360" w:lineRule="auto"/>
        <w:rPr>
          <w:rFonts w:ascii="宋体" w:hAnsi="宋体" w:cs="宋体"/>
          <w:b/>
          <w:sz w:val="48"/>
          <w:szCs w:val="48"/>
        </w:rPr>
      </w:pPr>
    </w:p>
    <w:p>
      <w:pPr>
        <w:pStyle w:val="9"/>
        <w:sectPr>
          <w:headerReference r:id="rId4" w:type="first"/>
          <w:footerReference r:id="rId6" w:type="first"/>
          <w:headerReference r:id="rId3" w:type="default"/>
          <w:footerReference r:id="rId5" w:type="default"/>
          <w:pgSz w:w="11906" w:h="16838"/>
          <w:pgMar w:top="1440" w:right="1418" w:bottom="1440" w:left="1418" w:header="851" w:footer="992" w:gutter="0"/>
          <w:pgNumType w:start="1"/>
          <w:cols w:space="0" w:num="1"/>
          <w:titlePg/>
          <w:docGrid w:linePitch="312" w:charSpace="0"/>
        </w:sectPr>
      </w:pPr>
    </w:p>
    <w:p/>
    <w:p>
      <w:pPr>
        <w:spacing w:line="360" w:lineRule="auto"/>
        <w:jc w:val="center"/>
        <w:rPr>
          <w:rFonts w:ascii="宋体" w:hAnsi="宋体" w:cs="宋体"/>
          <w:b/>
          <w:sz w:val="48"/>
          <w:szCs w:val="48"/>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adjustRightInd/>
        <w:spacing w:line="360" w:lineRule="auto"/>
        <w:outlineLvl w:val="0"/>
        <w:rPr>
          <w:rFonts w:ascii="宋体" w:hAnsi="宋体" w:cs="宋体"/>
          <w:b/>
          <w:sz w:val="36"/>
          <w:szCs w:val="20"/>
        </w:rPr>
      </w:pPr>
      <w:bookmarkStart w:id="0" w:name="_Hlt74707423"/>
      <w:bookmarkEnd w:id="0"/>
      <w:bookmarkStart w:id="1" w:name="_Hlt74728647"/>
      <w:bookmarkEnd w:id="1"/>
      <w:bookmarkStart w:id="2" w:name="_Hlt74649545"/>
      <w:bookmarkEnd w:id="2"/>
      <w:bookmarkStart w:id="3" w:name="_Hlt91233176"/>
      <w:bookmarkEnd w:id="3"/>
      <w:bookmarkStart w:id="4" w:name="_Hlt74729822"/>
      <w:bookmarkEnd w:id="4"/>
      <w:bookmarkStart w:id="5" w:name="第二部分"/>
      <w:bookmarkStart w:id="6" w:name="_Toc91899870"/>
      <w:bookmarkStart w:id="7" w:name="_Toc91899871"/>
    </w:p>
    <w:p>
      <w:pPr>
        <w:pStyle w:val="16"/>
        <w:sectPr>
          <w:footerReference r:id="rId8" w:type="first"/>
          <w:footerReference r:id="rId7" w:type="default"/>
          <w:pgSz w:w="11906" w:h="16838"/>
          <w:pgMar w:top="1440" w:right="1418" w:bottom="1440" w:left="1418" w:header="851" w:footer="992" w:gutter="0"/>
          <w:pgNumType w:start="1"/>
          <w:cols w:space="0" w:num="1"/>
          <w:titlePg/>
          <w:docGrid w:linePitch="312" w:charSpace="0"/>
        </w:sectPr>
      </w:pP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440" w:lineRule="exact"/>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440" w:lineRule="exact"/>
        <w:ind w:firstLine="480" w:firstLineChars="200"/>
        <w:rPr>
          <w:rFonts w:ascii="宋体" w:hAnsi="宋体" w:cs="宋体"/>
          <w:sz w:val="24"/>
          <w:u w:val="single"/>
        </w:rPr>
      </w:pPr>
      <w:r>
        <w:rPr>
          <w:rFonts w:hint="eastAsia" w:ascii="宋体" w:hAnsi="宋体" w:cs="宋体"/>
          <w:sz w:val="24"/>
          <w:u w:val="single"/>
        </w:rPr>
        <w:t>2024-2026年度桐庐县农村生活污水处理设施运行维护项目</w:t>
      </w:r>
      <w:r>
        <w:rPr>
          <w:rFonts w:hint="eastAsia" w:ascii="宋体" w:hAnsi="宋体" w:cs="宋体"/>
          <w:sz w:val="24"/>
        </w:rPr>
        <w:t>的潜在投标人应在政采云平台（</w:t>
      </w:r>
      <w:r>
        <w:fldChar w:fldCharType="begin"/>
      </w:r>
      <w:r>
        <w:instrText xml:space="preserve"> HYPERLINK "https://www.zcygov.cn/）获取（下载）招标文件，并于2022年%20%20%20月%20%20%20日%20点%20分" </w:instrText>
      </w:r>
      <w:r>
        <w:fldChar w:fldCharType="separate"/>
      </w:r>
      <w:r>
        <w:rPr>
          <w:rStyle w:val="25"/>
          <w:rFonts w:hint="eastAsia" w:ascii="宋体" w:hAnsi="宋体" w:eastAsia="宋体" w:cs="宋体"/>
          <w:kern w:val="2"/>
          <w:sz w:val="24"/>
          <w:szCs w:val="24"/>
        </w:rPr>
        <w:t>https://www.zcygov.cn/）获取（下载）招标文件，并于</w:t>
      </w:r>
      <w:r>
        <w:rPr>
          <w:rFonts w:hint="eastAsia" w:ascii="宋体" w:hAnsi="宋体" w:cs="宋体"/>
          <w:sz w:val="24"/>
          <w:u w:val="single"/>
        </w:rPr>
        <w:t>2023年12月</w:t>
      </w:r>
      <w:r>
        <w:rPr>
          <w:rFonts w:hint="eastAsia" w:ascii="宋体" w:hAnsi="宋体" w:cs="宋体"/>
          <w:sz w:val="24"/>
          <w:u w:val="single"/>
          <w:lang w:val="en-US" w:eastAsia="zh-CN"/>
        </w:rPr>
        <w:t>21</w:t>
      </w:r>
      <w:r>
        <w:rPr>
          <w:rFonts w:hint="eastAsia" w:ascii="宋体" w:hAnsi="宋体" w:cs="宋体"/>
          <w:sz w:val="24"/>
          <w:u w:val="single"/>
        </w:rPr>
        <w:t>日09点</w:t>
      </w:r>
      <w:r>
        <w:rPr>
          <w:rFonts w:hint="eastAsia" w:ascii="宋体" w:hAnsi="宋体" w:cs="宋体"/>
          <w:sz w:val="24"/>
          <w:u w:val="single"/>
          <w:lang w:val="en-US" w:eastAsia="zh-CN"/>
        </w:rPr>
        <w:t>0</w:t>
      </w:r>
      <w:r>
        <w:rPr>
          <w:rFonts w:hint="eastAsia" w:ascii="宋体" w:hAnsi="宋体" w:cs="宋体"/>
          <w:sz w:val="24"/>
          <w:u w:val="single"/>
        </w:rPr>
        <w:t>0分</w:t>
      </w:r>
      <w:r>
        <w:rPr>
          <w:rFonts w:hint="eastAsia" w:ascii="宋体" w:hAnsi="宋体" w:cs="宋体"/>
          <w:sz w:val="24"/>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440" w:lineRule="exact"/>
        <w:rPr>
          <w:rFonts w:ascii="宋体" w:hAnsi="宋体" w:cs="宋体"/>
          <w:b/>
          <w:sz w:val="24"/>
        </w:rPr>
      </w:pPr>
      <w:r>
        <w:rPr>
          <w:rFonts w:hint="eastAsia" w:ascii="宋体" w:hAnsi="宋体" w:cs="宋体"/>
          <w:b/>
          <w:sz w:val="24"/>
        </w:rPr>
        <w:t xml:space="preserve">一、项目基本情况                                            </w:t>
      </w:r>
    </w:p>
    <w:p>
      <w:pPr>
        <w:spacing w:line="440" w:lineRule="exact"/>
        <w:ind w:firstLine="472" w:firstLineChars="196"/>
        <w:rPr>
          <w:rFonts w:ascii="宋体" w:hAnsi="宋体" w:cs="宋体"/>
          <w:sz w:val="24"/>
        </w:rPr>
      </w:pPr>
      <w:r>
        <w:rPr>
          <w:rFonts w:hint="eastAsia" w:ascii="宋体" w:hAnsi="宋体" w:cs="宋体"/>
          <w:b/>
          <w:sz w:val="24"/>
        </w:rPr>
        <w:t>项目编号：</w:t>
      </w:r>
      <w:r>
        <w:rPr>
          <w:rFonts w:hint="eastAsia" w:ascii="宋体" w:hAnsi="宋体" w:cs="宋体"/>
          <w:sz w:val="24"/>
        </w:rPr>
        <w:t>HZLKTLCG-2023-30</w:t>
      </w:r>
    </w:p>
    <w:p>
      <w:pPr>
        <w:spacing w:line="440" w:lineRule="exact"/>
        <w:rPr>
          <w:rFonts w:ascii="宋体" w:hAnsi="宋体" w:cs="宋体"/>
          <w:sz w:val="24"/>
        </w:rPr>
      </w:pPr>
      <w:r>
        <w:rPr>
          <w:rFonts w:hint="eastAsia" w:ascii="宋体" w:hAnsi="宋体" w:cs="宋体"/>
          <w:b/>
          <w:sz w:val="24"/>
        </w:rPr>
        <w:t xml:space="preserve">    项目名称：</w:t>
      </w:r>
      <w:r>
        <w:rPr>
          <w:rFonts w:hint="eastAsia" w:ascii="宋体" w:hAnsi="宋体" w:cs="宋体"/>
          <w:sz w:val="24"/>
        </w:rPr>
        <w:t>2024-2026年度桐庐县农村生活污水处理设施运行维护项目</w:t>
      </w:r>
    </w:p>
    <w:p>
      <w:pPr>
        <w:spacing w:line="440" w:lineRule="exact"/>
        <w:ind w:firstLine="482" w:firstLineChars="200"/>
        <w:rPr>
          <w:rFonts w:ascii="宋体" w:hAnsi="宋体" w:cs="宋体"/>
          <w:bCs/>
          <w:sz w:val="24"/>
        </w:rPr>
      </w:pPr>
      <w:r>
        <w:rPr>
          <w:rFonts w:hint="eastAsia" w:ascii="宋体" w:hAnsi="宋体" w:cs="宋体"/>
          <w:b/>
          <w:sz w:val="24"/>
        </w:rPr>
        <w:t>预算金额（元）：</w:t>
      </w:r>
      <w:r>
        <w:rPr>
          <w:rFonts w:hint="eastAsia" w:ascii="宋体" w:hAnsi="宋体" w:cs="宋体"/>
          <w:bCs/>
          <w:color w:val="auto"/>
          <w:sz w:val="24"/>
          <w:lang w:val="en-US" w:eastAsia="zh-CN"/>
        </w:rPr>
        <w:t>10000000</w:t>
      </w:r>
    </w:p>
    <w:p>
      <w:pPr>
        <w:spacing w:line="440" w:lineRule="exact"/>
        <w:ind w:firstLine="482" w:firstLineChars="200"/>
        <w:rPr>
          <w:rFonts w:ascii="宋体" w:hAnsi="宋体" w:cs="宋体"/>
          <w:sz w:val="24"/>
        </w:rPr>
      </w:pPr>
      <w:r>
        <w:rPr>
          <w:rFonts w:hint="eastAsia" w:ascii="宋体" w:hAnsi="宋体" w:cs="宋体"/>
          <w:b/>
          <w:sz w:val="24"/>
        </w:rPr>
        <w:t>最高限价（元）：</w:t>
      </w:r>
      <w:r>
        <w:rPr>
          <w:rFonts w:hint="eastAsia" w:ascii="宋体" w:hAnsi="宋体" w:cs="宋体"/>
          <w:bCs/>
          <w:sz w:val="24"/>
        </w:rPr>
        <w:t>标项一:2211600元；标项二:1316160元；标项三: 2202720元；标项四:1547400元；标项五:2487840元。</w:t>
      </w:r>
    </w:p>
    <w:tbl>
      <w:tblPr>
        <w:tblStyle w:val="21"/>
        <w:tblW w:w="10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4574"/>
        <w:gridCol w:w="850"/>
        <w:gridCol w:w="770"/>
        <w:gridCol w:w="1350"/>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r>
              <w:rPr>
                <w:rFonts w:hint="eastAsia" w:ascii="宋体" w:hAnsi="宋体" w:cs="宋体"/>
                <w:b/>
                <w:sz w:val="24"/>
              </w:rPr>
              <w:t>标项</w:t>
            </w:r>
          </w:p>
        </w:tc>
        <w:tc>
          <w:tcPr>
            <w:tcW w:w="45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r>
              <w:rPr>
                <w:rFonts w:hint="eastAsia" w:ascii="宋体" w:hAnsi="宋体" w:cs="宋体"/>
                <w:b/>
                <w:sz w:val="24"/>
              </w:rPr>
              <w:t>采购标项名称</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r>
              <w:rPr>
                <w:rFonts w:hint="eastAsia" w:ascii="宋体" w:hAnsi="宋体" w:cs="宋体"/>
                <w:b/>
                <w:sz w:val="24"/>
              </w:rPr>
              <w:t>数量</w:t>
            </w:r>
          </w:p>
        </w:tc>
        <w:tc>
          <w:tcPr>
            <w:tcW w:w="7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r>
              <w:rPr>
                <w:rFonts w:hint="eastAsia" w:ascii="宋体" w:hAnsi="宋体" w:cs="宋体"/>
                <w:b/>
                <w:sz w:val="24"/>
              </w:rPr>
              <w:t>单位</w:t>
            </w:r>
          </w:p>
        </w:tc>
        <w:tc>
          <w:tcPr>
            <w:tcW w:w="13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r>
              <w:rPr>
                <w:rFonts w:hint="eastAsia" w:ascii="宋体" w:hAnsi="宋体" w:cs="宋体"/>
                <w:b/>
                <w:sz w:val="24"/>
              </w:rPr>
              <w:t>一年最高限价（元）</w:t>
            </w:r>
          </w:p>
        </w:tc>
        <w:tc>
          <w:tcPr>
            <w:tcW w:w="15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4"/>
              </w:rPr>
            </w:pPr>
            <w:r>
              <w:rPr>
                <w:rFonts w:hint="eastAsia" w:ascii="宋体" w:hAnsi="宋体" w:cs="宋体"/>
                <w:b/>
                <w:sz w:val="24"/>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12" w:type="dxa"/>
            <w:tcBorders>
              <w:left w:val="single" w:color="auto" w:sz="4" w:space="0"/>
              <w:right w:val="single" w:color="auto" w:sz="4" w:space="0"/>
            </w:tcBorders>
            <w:vAlign w:val="center"/>
          </w:tcPr>
          <w:p>
            <w:pPr>
              <w:widowControl/>
              <w:spacing w:line="440" w:lineRule="exact"/>
              <w:jc w:val="left"/>
              <w:rPr>
                <w:rFonts w:ascii="宋体" w:hAnsi="宋体" w:cs="宋体"/>
                <w:kern w:val="0"/>
                <w:sz w:val="24"/>
              </w:rPr>
            </w:pPr>
            <w:r>
              <w:rPr>
                <w:rFonts w:hint="eastAsia" w:ascii="宋体" w:hAnsi="宋体" w:cs="宋体"/>
                <w:kern w:val="0"/>
                <w:sz w:val="24"/>
              </w:rPr>
              <w:t>标项一</w:t>
            </w:r>
          </w:p>
        </w:tc>
        <w:tc>
          <w:tcPr>
            <w:tcW w:w="457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4"/>
                <w:lang w:val="zh-CN"/>
              </w:rPr>
            </w:pPr>
            <w:r>
              <w:rPr>
                <w:rFonts w:hint="eastAsia" w:ascii="宋体" w:hAnsi="宋体" w:cs="宋体"/>
                <w:kern w:val="0"/>
                <w:sz w:val="24"/>
              </w:rPr>
              <w:t>2024-2026年度桐庐县农村生活污水处理设施运行维护项目（标项一）-江南片区</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w:t>
            </w:r>
          </w:p>
        </w:tc>
        <w:tc>
          <w:tcPr>
            <w:tcW w:w="7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项</w:t>
            </w:r>
          </w:p>
        </w:tc>
        <w:tc>
          <w:tcPr>
            <w:tcW w:w="1350" w:type="dxa"/>
            <w:tcBorders>
              <w:left w:val="single" w:color="auto" w:sz="4" w:space="0"/>
              <w:right w:val="single" w:color="auto" w:sz="4" w:space="0"/>
            </w:tcBorders>
            <w:vAlign w:val="center"/>
          </w:tcPr>
          <w:p>
            <w:pPr>
              <w:widowControl/>
              <w:spacing w:line="440" w:lineRule="exact"/>
              <w:jc w:val="center"/>
              <w:rPr>
                <w:rFonts w:ascii="宋体" w:hAnsi="宋体" w:cs="宋体"/>
                <w:sz w:val="24"/>
              </w:rPr>
            </w:pPr>
            <w:r>
              <w:rPr>
                <w:rFonts w:hint="eastAsia" w:ascii="宋体" w:hAnsi="宋体" w:cs="宋体"/>
                <w:sz w:val="24"/>
              </w:rPr>
              <w:t>2211600</w:t>
            </w:r>
          </w:p>
        </w:tc>
        <w:tc>
          <w:tcPr>
            <w:tcW w:w="15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lang w:val="zh-CN"/>
              </w:rPr>
            </w:pPr>
            <w:r>
              <w:rPr>
                <w:rFonts w:hint="eastAsia" w:ascii="宋体" w:hAnsi="宋体" w:cs="宋体"/>
                <w:sz w:val="24"/>
                <w:lang w:val="zh-CN"/>
              </w:rPr>
              <w:t>详见招标</w:t>
            </w:r>
          </w:p>
          <w:p>
            <w:pPr>
              <w:widowControl/>
              <w:spacing w:line="440" w:lineRule="exact"/>
              <w:jc w:val="center"/>
              <w:rPr>
                <w:rFonts w:ascii="宋体" w:hAnsi="宋体" w:cs="宋体"/>
                <w:kern w:val="0"/>
                <w:sz w:val="24"/>
              </w:rPr>
            </w:pPr>
            <w:r>
              <w:rPr>
                <w:rFonts w:hint="eastAsia" w:ascii="宋体" w:hAnsi="宋体" w:cs="宋体"/>
                <w:sz w:val="24"/>
                <w:lang w:val="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12" w:type="dxa"/>
            <w:tcBorders>
              <w:left w:val="single" w:color="auto" w:sz="4" w:space="0"/>
              <w:right w:val="single" w:color="auto" w:sz="4" w:space="0"/>
            </w:tcBorders>
            <w:vAlign w:val="center"/>
          </w:tcPr>
          <w:p>
            <w:pPr>
              <w:widowControl/>
              <w:spacing w:line="440" w:lineRule="exact"/>
              <w:jc w:val="left"/>
              <w:rPr>
                <w:rFonts w:ascii="宋体" w:hAnsi="宋体" w:cs="宋体"/>
                <w:kern w:val="0"/>
                <w:sz w:val="24"/>
              </w:rPr>
            </w:pPr>
            <w:r>
              <w:rPr>
                <w:rFonts w:hint="eastAsia" w:ascii="宋体" w:hAnsi="宋体" w:cs="宋体"/>
                <w:kern w:val="0"/>
                <w:sz w:val="24"/>
              </w:rPr>
              <w:t>标项二</w:t>
            </w:r>
          </w:p>
        </w:tc>
        <w:tc>
          <w:tcPr>
            <w:tcW w:w="457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4"/>
                <w:lang w:val="zh-CN"/>
              </w:rPr>
            </w:pPr>
            <w:r>
              <w:rPr>
                <w:rFonts w:hint="eastAsia" w:ascii="宋体" w:hAnsi="宋体" w:cs="宋体"/>
                <w:kern w:val="0"/>
                <w:sz w:val="24"/>
              </w:rPr>
              <w:t>2024-2026年度桐庐县农村生活污水处理设施运行维护项目（标项二）-瑶琳片区</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w:t>
            </w:r>
          </w:p>
        </w:tc>
        <w:tc>
          <w:tcPr>
            <w:tcW w:w="7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项</w:t>
            </w:r>
          </w:p>
        </w:tc>
        <w:tc>
          <w:tcPr>
            <w:tcW w:w="1350" w:type="dxa"/>
            <w:tcBorders>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1316160</w:t>
            </w:r>
          </w:p>
        </w:tc>
        <w:tc>
          <w:tcPr>
            <w:tcW w:w="15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lang w:val="zh-CN"/>
              </w:rPr>
            </w:pPr>
            <w:r>
              <w:rPr>
                <w:rFonts w:hint="eastAsia" w:ascii="宋体" w:hAnsi="宋体" w:cs="宋体"/>
                <w:sz w:val="24"/>
                <w:lang w:val="zh-CN"/>
              </w:rPr>
              <w:t>详见招标</w:t>
            </w:r>
          </w:p>
          <w:p>
            <w:pPr>
              <w:widowControl/>
              <w:spacing w:line="440" w:lineRule="exact"/>
              <w:jc w:val="center"/>
              <w:rPr>
                <w:rFonts w:ascii="宋体" w:hAnsi="宋体" w:cs="宋体"/>
                <w:kern w:val="0"/>
                <w:sz w:val="24"/>
              </w:rPr>
            </w:pPr>
            <w:r>
              <w:rPr>
                <w:rFonts w:hint="eastAsia" w:ascii="宋体" w:hAnsi="宋体" w:cs="宋体"/>
                <w:sz w:val="24"/>
                <w:lang w:val="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12" w:type="dxa"/>
            <w:tcBorders>
              <w:left w:val="single" w:color="auto" w:sz="4" w:space="0"/>
              <w:right w:val="single" w:color="auto" w:sz="4" w:space="0"/>
            </w:tcBorders>
            <w:vAlign w:val="center"/>
          </w:tcPr>
          <w:p>
            <w:pPr>
              <w:widowControl/>
              <w:spacing w:line="440" w:lineRule="exact"/>
              <w:jc w:val="left"/>
              <w:rPr>
                <w:rFonts w:ascii="宋体" w:hAnsi="宋体" w:cs="宋体"/>
                <w:kern w:val="0"/>
                <w:sz w:val="24"/>
              </w:rPr>
            </w:pPr>
            <w:r>
              <w:rPr>
                <w:rFonts w:hint="eastAsia" w:ascii="宋体" w:hAnsi="宋体" w:cs="宋体"/>
                <w:kern w:val="0"/>
                <w:sz w:val="24"/>
              </w:rPr>
              <w:t>标项三</w:t>
            </w:r>
          </w:p>
        </w:tc>
        <w:tc>
          <w:tcPr>
            <w:tcW w:w="457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4"/>
                <w:lang w:val="zh-CN"/>
              </w:rPr>
            </w:pPr>
            <w:r>
              <w:rPr>
                <w:rFonts w:hint="eastAsia" w:ascii="宋体" w:hAnsi="宋体" w:cs="宋体"/>
                <w:kern w:val="0"/>
                <w:sz w:val="24"/>
              </w:rPr>
              <w:t>2024-2026年度桐庐县农村生活污水处理设施运行维护项目（标项三）-分水片区</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w:t>
            </w:r>
          </w:p>
        </w:tc>
        <w:tc>
          <w:tcPr>
            <w:tcW w:w="7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项</w:t>
            </w:r>
          </w:p>
        </w:tc>
        <w:tc>
          <w:tcPr>
            <w:tcW w:w="1350" w:type="dxa"/>
            <w:tcBorders>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2202720</w:t>
            </w:r>
          </w:p>
        </w:tc>
        <w:tc>
          <w:tcPr>
            <w:tcW w:w="15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lang w:val="zh-CN"/>
              </w:rPr>
            </w:pPr>
            <w:r>
              <w:rPr>
                <w:rFonts w:hint="eastAsia" w:ascii="宋体" w:hAnsi="宋体" w:cs="宋体"/>
                <w:sz w:val="24"/>
                <w:lang w:val="zh-CN"/>
              </w:rPr>
              <w:t>详见招标</w:t>
            </w:r>
          </w:p>
          <w:p>
            <w:pPr>
              <w:widowControl/>
              <w:spacing w:line="440" w:lineRule="exact"/>
              <w:jc w:val="center"/>
              <w:rPr>
                <w:rFonts w:ascii="宋体" w:hAnsi="宋体" w:cs="宋体"/>
                <w:kern w:val="0"/>
                <w:sz w:val="24"/>
              </w:rPr>
            </w:pPr>
            <w:r>
              <w:rPr>
                <w:rFonts w:hint="eastAsia" w:ascii="宋体" w:hAnsi="宋体" w:cs="宋体"/>
                <w:sz w:val="24"/>
                <w:lang w:val="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12" w:type="dxa"/>
            <w:tcBorders>
              <w:left w:val="single" w:color="auto" w:sz="4" w:space="0"/>
              <w:right w:val="single" w:color="auto" w:sz="4" w:space="0"/>
            </w:tcBorders>
            <w:vAlign w:val="center"/>
          </w:tcPr>
          <w:p>
            <w:pPr>
              <w:widowControl/>
              <w:spacing w:line="440" w:lineRule="exact"/>
              <w:jc w:val="left"/>
              <w:rPr>
                <w:rFonts w:ascii="宋体" w:hAnsi="宋体" w:cs="宋体"/>
                <w:kern w:val="0"/>
                <w:sz w:val="24"/>
              </w:rPr>
            </w:pPr>
            <w:r>
              <w:rPr>
                <w:rFonts w:hint="eastAsia" w:ascii="宋体" w:hAnsi="宋体" w:cs="宋体"/>
                <w:kern w:val="0"/>
                <w:sz w:val="24"/>
              </w:rPr>
              <w:t>标项四</w:t>
            </w:r>
          </w:p>
        </w:tc>
        <w:tc>
          <w:tcPr>
            <w:tcW w:w="457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4"/>
                <w:lang w:val="zh-CN"/>
              </w:rPr>
            </w:pPr>
            <w:r>
              <w:rPr>
                <w:rFonts w:hint="eastAsia" w:ascii="宋体" w:hAnsi="宋体" w:cs="宋体"/>
                <w:kern w:val="0"/>
                <w:sz w:val="24"/>
              </w:rPr>
              <w:t>2024-2026年度桐庐县农村生活污水处理设施运行维护项目（标项四）-桐君片区</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w:t>
            </w:r>
          </w:p>
        </w:tc>
        <w:tc>
          <w:tcPr>
            <w:tcW w:w="7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项</w:t>
            </w:r>
          </w:p>
        </w:tc>
        <w:tc>
          <w:tcPr>
            <w:tcW w:w="1350" w:type="dxa"/>
            <w:tcBorders>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1547400</w:t>
            </w:r>
          </w:p>
        </w:tc>
        <w:tc>
          <w:tcPr>
            <w:tcW w:w="15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lang w:val="zh-CN"/>
              </w:rPr>
            </w:pPr>
            <w:r>
              <w:rPr>
                <w:rFonts w:hint="eastAsia" w:ascii="宋体" w:hAnsi="宋体" w:cs="宋体"/>
                <w:sz w:val="24"/>
                <w:lang w:val="zh-CN"/>
              </w:rPr>
              <w:t>详见招标</w:t>
            </w:r>
          </w:p>
          <w:p>
            <w:pPr>
              <w:widowControl/>
              <w:spacing w:line="440" w:lineRule="exact"/>
              <w:jc w:val="center"/>
              <w:rPr>
                <w:rFonts w:ascii="宋体" w:hAnsi="宋体" w:cs="宋体"/>
                <w:kern w:val="0"/>
                <w:sz w:val="24"/>
              </w:rPr>
            </w:pPr>
            <w:r>
              <w:rPr>
                <w:rFonts w:hint="eastAsia" w:ascii="宋体" w:hAnsi="宋体" w:cs="宋体"/>
                <w:sz w:val="24"/>
                <w:lang w:val="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12" w:type="dxa"/>
            <w:tcBorders>
              <w:left w:val="single" w:color="auto" w:sz="4" w:space="0"/>
              <w:right w:val="single" w:color="auto" w:sz="4" w:space="0"/>
            </w:tcBorders>
            <w:vAlign w:val="center"/>
          </w:tcPr>
          <w:p>
            <w:pPr>
              <w:widowControl/>
              <w:spacing w:line="440" w:lineRule="exact"/>
              <w:jc w:val="left"/>
              <w:rPr>
                <w:rFonts w:ascii="宋体" w:hAnsi="宋体" w:cs="宋体"/>
                <w:kern w:val="0"/>
                <w:sz w:val="24"/>
              </w:rPr>
            </w:pPr>
            <w:r>
              <w:rPr>
                <w:rFonts w:hint="eastAsia" w:ascii="宋体" w:hAnsi="宋体" w:cs="宋体"/>
                <w:kern w:val="0"/>
                <w:sz w:val="24"/>
              </w:rPr>
              <w:t>标项五</w:t>
            </w:r>
          </w:p>
        </w:tc>
        <w:tc>
          <w:tcPr>
            <w:tcW w:w="457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4"/>
                <w:lang w:val="zh-CN"/>
              </w:rPr>
            </w:pPr>
            <w:r>
              <w:rPr>
                <w:rFonts w:hint="eastAsia" w:ascii="宋体" w:hAnsi="宋体" w:cs="宋体"/>
                <w:kern w:val="0"/>
                <w:sz w:val="24"/>
              </w:rPr>
              <w:t>2024-2026年度桐庐县农村生活污水处理设施运行维护项目（标项五）-横村片区</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w:t>
            </w:r>
          </w:p>
        </w:tc>
        <w:tc>
          <w:tcPr>
            <w:tcW w:w="7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项</w:t>
            </w:r>
          </w:p>
        </w:tc>
        <w:tc>
          <w:tcPr>
            <w:tcW w:w="1350" w:type="dxa"/>
            <w:tcBorders>
              <w:left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2487840</w:t>
            </w:r>
          </w:p>
        </w:tc>
        <w:tc>
          <w:tcPr>
            <w:tcW w:w="15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lang w:val="zh-CN"/>
              </w:rPr>
            </w:pPr>
            <w:r>
              <w:rPr>
                <w:rFonts w:hint="eastAsia" w:ascii="宋体" w:hAnsi="宋体" w:cs="宋体"/>
                <w:sz w:val="24"/>
                <w:lang w:val="zh-CN"/>
              </w:rPr>
              <w:t>详见招标</w:t>
            </w:r>
          </w:p>
          <w:p>
            <w:pPr>
              <w:widowControl/>
              <w:spacing w:line="440" w:lineRule="exact"/>
              <w:jc w:val="center"/>
              <w:rPr>
                <w:rFonts w:ascii="宋体" w:hAnsi="宋体" w:cs="宋体"/>
                <w:kern w:val="0"/>
                <w:sz w:val="24"/>
              </w:rPr>
            </w:pPr>
            <w:r>
              <w:rPr>
                <w:rFonts w:hint="eastAsia" w:ascii="宋体" w:hAnsi="宋体" w:cs="宋体"/>
                <w:sz w:val="24"/>
                <w:lang w:val="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0107" w:type="dxa"/>
            <w:gridSpan w:val="6"/>
            <w:tcBorders>
              <w:left w:val="single" w:color="auto" w:sz="4" w:space="0"/>
              <w:bottom w:val="single" w:color="auto" w:sz="4" w:space="0"/>
              <w:right w:val="single" w:color="auto" w:sz="4" w:space="0"/>
            </w:tcBorders>
            <w:vAlign w:val="center"/>
          </w:tcPr>
          <w:p>
            <w:pPr>
              <w:spacing w:line="440" w:lineRule="exact"/>
              <w:ind w:firstLine="482" w:firstLineChars="200"/>
              <w:rPr>
                <w:rFonts w:ascii="宋体" w:hAnsi="宋体" w:cs="宋体"/>
                <w:sz w:val="24"/>
              </w:rPr>
            </w:pPr>
            <w:r>
              <w:rPr>
                <w:rFonts w:hint="eastAsia" w:ascii="Arial" w:hAnsi="宋体" w:cs="Arial"/>
                <w:b/>
                <w:sz w:val="24"/>
              </w:rPr>
              <w:t>本项目共分五个标项，按标项一至标项五顺序开标，每个投标人最多可中二个标项。已中二个标项的供应商不得作为其余标项的有效投标人。</w:t>
            </w:r>
          </w:p>
        </w:tc>
      </w:tr>
    </w:tbl>
    <w:p>
      <w:pPr>
        <w:pStyle w:val="8"/>
        <w:spacing w:line="440" w:lineRule="exact"/>
        <w:ind w:firstLine="480"/>
        <w:rPr>
          <w:rFonts w:hAnsi="宋体" w:cs="宋体"/>
          <w:bCs/>
          <w:color w:val="auto"/>
          <w:kern w:val="2"/>
          <w:sz w:val="24"/>
          <w:szCs w:val="24"/>
        </w:rPr>
      </w:pPr>
      <w:r>
        <w:rPr>
          <w:rFonts w:hint="eastAsia" w:hAnsi="宋体" w:cs="宋体"/>
          <w:b/>
          <w:color w:val="auto"/>
          <w:sz w:val="24"/>
        </w:rPr>
        <w:t>采购需求：</w:t>
      </w:r>
      <w:r>
        <w:rPr>
          <w:rFonts w:hint="eastAsia" w:hAnsi="宋体" w:cs="宋体"/>
          <w:bCs/>
          <w:sz w:val="24"/>
        </w:rPr>
        <w:t>详见招标文件第三部分采购需求。</w:t>
      </w:r>
    </w:p>
    <w:p>
      <w:pPr>
        <w:pStyle w:val="8"/>
        <w:spacing w:line="440" w:lineRule="exact"/>
        <w:ind w:firstLine="480"/>
        <w:rPr>
          <w:rFonts w:hAnsi="宋体" w:cs="宋体"/>
          <w:b/>
          <w:color w:val="auto"/>
          <w:sz w:val="24"/>
        </w:rPr>
      </w:pPr>
      <w:r>
        <w:rPr>
          <w:rFonts w:hint="eastAsia" w:hAnsi="宋体" w:cs="宋体"/>
          <w:b/>
          <w:color w:val="auto"/>
          <w:sz w:val="24"/>
        </w:rPr>
        <w:t>合同履约期限：</w:t>
      </w:r>
    </w:p>
    <w:p>
      <w:pPr>
        <w:pStyle w:val="8"/>
        <w:spacing w:line="440" w:lineRule="exact"/>
        <w:ind w:firstLine="480"/>
        <w:rPr>
          <w:rFonts w:hint="eastAsia" w:hAnsi="宋体" w:cs="宋体"/>
          <w:bCs/>
          <w:color w:val="auto"/>
          <w:sz w:val="24"/>
        </w:rPr>
      </w:pPr>
      <w:r>
        <w:rPr>
          <w:rFonts w:hint="eastAsia" w:hAnsi="宋体" w:cs="宋体"/>
          <w:bCs/>
          <w:color w:val="auto"/>
          <w:sz w:val="24"/>
        </w:rPr>
        <w:t>1、本次服务招标有效期为三年。</w:t>
      </w:r>
    </w:p>
    <w:p>
      <w:pPr>
        <w:pStyle w:val="8"/>
        <w:spacing w:line="440" w:lineRule="exact"/>
        <w:ind w:firstLine="480"/>
        <w:rPr>
          <w:rFonts w:hint="eastAsia" w:hAnsi="宋体" w:cs="宋体"/>
          <w:bCs/>
          <w:color w:val="auto"/>
          <w:sz w:val="24"/>
        </w:rPr>
      </w:pPr>
      <w:r>
        <w:rPr>
          <w:rFonts w:hint="eastAsia" w:hAnsi="宋体" w:cs="宋体"/>
          <w:bCs/>
          <w:color w:val="auto"/>
          <w:sz w:val="24"/>
        </w:rPr>
        <w:t>2、本次招标实行一年一考核一签合同的办法，年度合同期满后，考核分在80分（含）以上的，采购人根据考核结果与中标供应商续签下一年合同，续签次数≤2次且合同价款不予调整（按中标价）。（考核办法详见《桐庐县农村生活污水处理设施运维考核办法》，以采购人发布的最新考核办法为准。）</w:t>
      </w:r>
    </w:p>
    <w:p>
      <w:pPr>
        <w:pStyle w:val="8"/>
        <w:spacing w:line="440" w:lineRule="exact"/>
        <w:ind w:firstLine="480"/>
        <w:rPr>
          <w:rFonts w:hint="eastAsia" w:hAnsi="宋体" w:cs="宋体"/>
          <w:bCs/>
          <w:color w:val="auto"/>
          <w:sz w:val="24"/>
        </w:rPr>
      </w:pPr>
      <w:r>
        <w:rPr>
          <w:rFonts w:hint="eastAsia" w:hAnsi="宋体" w:cs="宋体"/>
          <w:bCs/>
          <w:color w:val="auto"/>
          <w:sz w:val="24"/>
        </w:rPr>
        <w:t>3、本次招标预算金额为一年服务期的运行维护费用。</w:t>
      </w:r>
    </w:p>
    <w:p>
      <w:pPr>
        <w:pStyle w:val="8"/>
        <w:spacing w:line="440" w:lineRule="exact"/>
        <w:ind w:firstLine="480"/>
        <w:rPr>
          <w:rFonts w:hint="eastAsia" w:hAnsi="宋体" w:cs="宋体"/>
          <w:bCs/>
          <w:color w:val="auto"/>
          <w:sz w:val="24"/>
        </w:rPr>
      </w:pPr>
      <w:r>
        <w:rPr>
          <w:rFonts w:hint="eastAsia" w:hAnsi="宋体" w:cs="宋体"/>
          <w:bCs/>
          <w:color w:val="auto"/>
          <w:sz w:val="24"/>
        </w:rPr>
        <w:t>4、一年合同期满因采购人未获得县财政预算批复，采购人应提前30天书面通知供应商，合同到期终止不再延续。</w:t>
      </w:r>
    </w:p>
    <w:p>
      <w:pPr>
        <w:pStyle w:val="8"/>
        <w:spacing w:line="440" w:lineRule="exact"/>
        <w:ind w:firstLine="480"/>
        <w:rPr>
          <w:rFonts w:hint="eastAsia" w:hAnsi="宋体" w:cs="宋体"/>
          <w:bCs/>
          <w:color w:val="auto"/>
          <w:sz w:val="24"/>
        </w:rPr>
      </w:pPr>
      <w:r>
        <w:rPr>
          <w:rFonts w:hint="eastAsia" w:hAnsi="宋体" w:cs="宋体"/>
          <w:bCs/>
          <w:color w:val="auto"/>
          <w:sz w:val="24"/>
        </w:rPr>
        <w:t>5、所有处理设施完成移交之日起合同生效。</w:t>
      </w:r>
    </w:p>
    <w:p>
      <w:pPr>
        <w:pStyle w:val="8"/>
        <w:spacing w:line="440" w:lineRule="exact"/>
        <w:ind w:firstLine="480"/>
        <w:rPr>
          <w:rFonts w:hAnsi="宋体" w:cs="宋体"/>
          <w:b/>
          <w:color w:val="auto"/>
          <w:sz w:val="24"/>
        </w:rPr>
      </w:pPr>
      <w:r>
        <w:rPr>
          <w:rFonts w:hint="eastAsia" w:hAnsi="宋体" w:cs="宋体"/>
          <w:b/>
          <w:color w:val="auto"/>
          <w:sz w:val="24"/>
        </w:rPr>
        <w:t>本项目接受联合体投标：</w:t>
      </w:r>
      <w:r>
        <w:rPr>
          <w:rFonts w:hint="eastAsia" w:ascii="MS Gothic" w:hAnsi="MS Gothic" w:cs="宋体"/>
          <w:color w:val="auto"/>
          <w:sz w:val="24"/>
        </w:rPr>
        <w:t>☐</w:t>
      </w:r>
      <w:r>
        <w:rPr>
          <w:rFonts w:hint="eastAsia" w:hAnsi="宋体" w:cs="宋体"/>
          <w:b/>
          <w:color w:val="auto"/>
          <w:sz w:val="24"/>
        </w:rPr>
        <w:t>是，</w:t>
      </w:r>
      <w:r>
        <w:rPr>
          <w:rFonts w:ascii="Wingdings" w:hAnsi="Wingdings" w:cs="宋体"/>
          <w:color w:val="auto"/>
          <w:sz w:val="24"/>
        </w:rPr>
        <w:t></w:t>
      </w:r>
      <w:r>
        <w:rPr>
          <w:rFonts w:hint="eastAsia" w:hAnsi="宋体" w:cs="宋体"/>
          <w:b/>
          <w:color w:val="auto"/>
          <w:sz w:val="24"/>
        </w:rPr>
        <w:t>否</w:t>
      </w:r>
      <w:r>
        <w:rPr>
          <w:rFonts w:hint="eastAsia" w:hAnsi="宋体" w:cs="宋体"/>
          <w:color w:val="auto"/>
          <w:kern w:val="0"/>
          <w:sz w:val="24"/>
        </w:rPr>
        <w:t>。</w:t>
      </w:r>
    </w:p>
    <w:p>
      <w:pPr>
        <w:spacing w:line="440" w:lineRule="exact"/>
        <w:rPr>
          <w:rFonts w:ascii="宋体" w:hAnsi="宋体" w:cs="宋体"/>
          <w:b/>
          <w:sz w:val="24"/>
        </w:rPr>
      </w:pPr>
      <w:r>
        <w:rPr>
          <w:rFonts w:hint="eastAsia" w:ascii="宋体" w:hAnsi="宋体" w:cs="宋体"/>
          <w:b/>
          <w:sz w:val="24"/>
        </w:rPr>
        <w:t>二、申请人的资格要求：</w:t>
      </w:r>
    </w:p>
    <w:p>
      <w:pPr>
        <w:spacing w:line="440" w:lineRule="exact"/>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440" w:lineRule="exact"/>
        <w:ind w:firstLine="480" w:firstLineChars="200"/>
        <w:rPr>
          <w:rFonts w:ascii="宋体" w:hAnsi="宋体" w:cs="宋体"/>
          <w:snapToGrid w:val="0"/>
          <w:kern w:val="28"/>
          <w:sz w:val="24"/>
          <w:szCs w:val="20"/>
        </w:rPr>
      </w:pPr>
      <w:r>
        <w:rPr>
          <w:rFonts w:hint="eastAsia" w:ascii="宋体" w:hAnsi="宋体" w:cs="宋体"/>
          <w:snapToGrid w:val="0"/>
          <w:kern w:val="28"/>
          <w:sz w:val="24"/>
          <w:szCs w:val="20"/>
        </w:rPr>
        <w:t>2.落实政府采购政策需满足的资格要求：</w:t>
      </w:r>
    </w:p>
    <w:p>
      <w:pPr>
        <w:spacing w:line="440" w:lineRule="exact"/>
        <w:ind w:firstLine="480" w:firstLineChars="200"/>
        <w:rPr>
          <w:rFonts w:ascii="宋体" w:hAnsi="宋体" w:cs="宋体"/>
          <w:sz w:val="24"/>
        </w:rPr>
      </w:pPr>
      <w:r>
        <w:rPr>
          <w:rFonts w:ascii="Wingdings" w:hAnsi="Wingdings" w:cs="宋体"/>
          <w:sz w:val="24"/>
        </w:rPr>
        <w:t></w:t>
      </w:r>
      <w:r>
        <w:rPr>
          <w:rFonts w:hint="eastAsia" w:ascii="宋体" w:hAnsi="宋体" w:cs="宋体"/>
          <w:sz w:val="24"/>
        </w:rPr>
        <w:t>无；</w:t>
      </w:r>
    </w:p>
    <w:p>
      <w:pPr>
        <w:spacing w:line="440" w:lineRule="exact"/>
        <w:ind w:firstLine="480" w:firstLineChars="200"/>
        <w:rPr>
          <w:rFonts w:ascii="宋体" w:hAnsi="宋体" w:cs="宋体"/>
          <w:sz w:val="24"/>
        </w:rPr>
      </w:pPr>
      <w:r>
        <w:rPr>
          <w:rFonts w:hint="eastAsia" w:ascii="MS Gothic" w:hAnsi="MS Gothic" w:cs="宋体"/>
          <w:sz w:val="24"/>
        </w:rPr>
        <w:t>☐</w:t>
      </w:r>
      <w:r>
        <w:rPr>
          <w:rFonts w:hint="eastAsia" w:ascii="宋体" w:hAnsi="宋体" w:cs="宋体"/>
          <w:sz w:val="24"/>
        </w:rPr>
        <w:t>专门面向中小企业</w:t>
      </w:r>
    </w:p>
    <w:p>
      <w:pPr>
        <w:spacing w:line="440" w:lineRule="exact"/>
        <w:ind w:firstLine="480" w:firstLineChars="200"/>
        <w:rPr>
          <w:rFonts w:ascii="宋体" w:hAnsi="宋体" w:cs="宋体"/>
          <w:sz w:val="24"/>
        </w:rPr>
      </w:pPr>
      <w:r>
        <w:rPr>
          <w:rFonts w:hint="eastAsia" w:ascii="MS Gothic" w:hAnsi="MS Gothic" w:cs="宋体"/>
          <w:sz w:val="24"/>
        </w:rPr>
        <w:t>☐</w:t>
      </w:r>
      <w:r>
        <w:rPr>
          <w:rFonts w:hint="eastAsia" w:ascii="宋体" w:hAnsi="宋体" w:cs="宋体"/>
          <w:sz w:val="24"/>
        </w:rPr>
        <w:t>货物全部由符合政策要求的中小企业制造，提供中小企业声明函；</w:t>
      </w:r>
    </w:p>
    <w:p>
      <w:pPr>
        <w:spacing w:line="440" w:lineRule="exact"/>
        <w:ind w:firstLine="480" w:firstLineChars="200"/>
        <w:rPr>
          <w:rFonts w:ascii="宋体" w:hAnsi="宋体" w:cs="宋体"/>
          <w:sz w:val="24"/>
        </w:rPr>
      </w:pPr>
      <w:r>
        <w:rPr>
          <w:rFonts w:hint="eastAsia" w:ascii="MS Gothic" w:hAnsi="MS Gothic" w:cs="宋体"/>
          <w:sz w:val="24"/>
        </w:rPr>
        <w:t>☐</w:t>
      </w:r>
      <w:r>
        <w:rPr>
          <w:rFonts w:hint="eastAsia" w:ascii="宋体" w:hAnsi="宋体" w:cs="宋体"/>
          <w:sz w:val="24"/>
        </w:rPr>
        <w:t>货物全部由符合政策要求的小微企业制造，提供中小企业声明函；</w:t>
      </w:r>
    </w:p>
    <w:p>
      <w:pPr>
        <w:spacing w:line="440" w:lineRule="exact"/>
        <w:ind w:firstLine="480" w:firstLineChars="200"/>
        <w:rPr>
          <w:rFonts w:ascii="宋体" w:hAnsi="宋体" w:cs="宋体"/>
          <w:sz w:val="24"/>
        </w:rPr>
      </w:pPr>
      <w:r>
        <w:rPr>
          <w:rFonts w:hint="eastAsia" w:ascii="MS Gothic" w:hAnsi="MS Gothic" w:cs="宋体"/>
          <w:sz w:val="24"/>
        </w:rPr>
        <w:t>☐</w:t>
      </w:r>
      <w:r>
        <w:rPr>
          <w:rFonts w:hint="eastAsia" w:ascii="宋体" w:hAnsi="宋体" w:cs="宋体"/>
          <w:sz w:val="24"/>
        </w:rPr>
        <w:t>服务全部由符合政策要求的中小企业承接，提供中小企业声明函；</w:t>
      </w:r>
    </w:p>
    <w:p>
      <w:pPr>
        <w:spacing w:line="440" w:lineRule="exact"/>
        <w:ind w:firstLine="480" w:firstLineChars="200"/>
      </w:pPr>
      <w:r>
        <w:rPr>
          <w:rFonts w:hint="eastAsia" w:ascii="MS Gothic" w:hAnsi="MS Gothic" w:cs="宋体"/>
          <w:sz w:val="24"/>
        </w:rPr>
        <w:t>☐</w:t>
      </w:r>
      <w:r>
        <w:rPr>
          <w:rFonts w:hint="eastAsia" w:ascii="宋体" w:hAnsi="宋体" w:cs="宋体"/>
          <w:sz w:val="24"/>
        </w:rPr>
        <w:t>服务全部由符合政策要求的小微企业承接，提供中小企业声明函；</w:t>
      </w:r>
    </w:p>
    <w:p>
      <w:pPr>
        <w:spacing w:line="440" w:lineRule="exact"/>
        <w:ind w:firstLine="480" w:firstLineChars="200"/>
        <w:rPr>
          <w:rFonts w:ascii="宋体" w:hAnsi="宋体" w:cs="宋体"/>
          <w:sz w:val="24"/>
        </w:rPr>
      </w:pPr>
      <w:r>
        <w:rPr>
          <w:rFonts w:hint="eastAsia" w:ascii="MS Gothic" w:hAnsi="MS Gothic" w:cs="宋体"/>
          <w:sz w:val="24"/>
        </w:rPr>
        <w:t>☐</w:t>
      </w:r>
      <w:r>
        <w:rPr>
          <w:rFonts w:hint="eastAsia" w:ascii="宋体" w:hAnsi="宋体" w:cs="宋体"/>
          <w:sz w:val="24"/>
        </w:rPr>
        <w:t>要求以联合体形式参加，提供联合协议和中小企业声明函，联合协议中中小企业合同金额应当达到%，小微企业合同金额应当达到%;</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p>
      <w:pPr>
        <w:spacing w:line="440" w:lineRule="exact"/>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要求合同分包，提供分包意向协议和中小企业声明函，分包意向协议中中小企业合同金额应当达到% ，小微企业合同金额应当达到% ;</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snapToGrid w:val="0"/>
        <w:spacing w:line="440" w:lineRule="exact"/>
        <w:ind w:firstLine="480" w:firstLineChars="200"/>
        <w:rPr>
          <w:rFonts w:ascii="宋体" w:hAnsi="宋体" w:cs="宋体"/>
          <w:b/>
          <w:bCs/>
          <w:color w:val="FF0000"/>
          <w:sz w:val="24"/>
        </w:rPr>
      </w:pPr>
      <w:r>
        <w:rPr>
          <w:rFonts w:hint="eastAsia" w:ascii="宋体" w:hAnsi="宋体" w:cs="宋体"/>
          <w:sz w:val="24"/>
        </w:rPr>
        <w:t>3.本项目的特定资格要求：无。</w:t>
      </w:r>
    </w:p>
    <w:p>
      <w:pPr>
        <w:snapToGrid w:val="0"/>
        <w:spacing w:line="440" w:lineRule="exact"/>
        <w:ind w:firstLine="480" w:firstLineChars="200"/>
        <w:rPr>
          <w:rFonts w:ascii="宋体" w:hAnsi="宋体" w:cs="宋体"/>
          <w:b/>
          <w:sz w:val="24"/>
        </w:rPr>
      </w:pPr>
      <w:r>
        <w:rPr>
          <w:rFonts w:hint="eastAsia" w:ascii="宋体" w:hAnsi="宋体" w:cs="宋体"/>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440" w:lineRule="exact"/>
        <w:rPr>
          <w:rFonts w:ascii="宋体" w:hAnsi="宋体" w:cs="宋体"/>
          <w:b/>
          <w:sz w:val="24"/>
        </w:rPr>
      </w:pPr>
      <w:r>
        <w:rPr>
          <w:rFonts w:hint="eastAsia" w:ascii="宋体" w:hAnsi="宋体" w:cs="宋体"/>
          <w:b/>
          <w:sz w:val="24"/>
        </w:rPr>
        <w:t xml:space="preserve">三、获取招标文件 </w:t>
      </w:r>
    </w:p>
    <w:p>
      <w:pPr>
        <w:spacing w:line="440" w:lineRule="exact"/>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w:t>
      </w:r>
      <w:r>
        <w:rPr>
          <w:rFonts w:hint="eastAsia" w:ascii="宋体" w:hAnsi="宋体" w:cs="宋体"/>
          <w:sz w:val="24"/>
          <w:highlight w:val="yellow"/>
        </w:rPr>
        <w:t>至</w:t>
      </w:r>
      <w:r>
        <w:rPr>
          <w:rFonts w:hint="eastAsia" w:ascii="宋体" w:hAnsi="宋体" w:cs="宋体"/>
          <w:sz w:val="24"/>
          <w:highlight w:val="yellow"/>
          <w:u w:val="single"/>
        </w:rPr>
        <w:t>2023年12月</w:t>
      </w:r>
      <w:r>
        <w:rPr>
          <w:rFonts w:hint="eastAsia" w:ascii="宋体" w:hAnsi="宋体" w:cs="宋体"/>
          <w:sz w:val="24"/>
          <w:highlight w:val="yellow"/>
          <w:u w:val="single"/>
          <w:lang w:val="en-US" w:eastAsia="zh-CN"/>
        </w:rPr>
        <w:t>21</w:t>
      </w:r>
      <w:r>
        <w:rPr>
          <w:rFonts w:hint="eastAsia" w:ascii="宋体" w:hAnsi="宋体" w:cs="宋体"/>
          <w:sz w:val="24"/>
          <w:highlight w:val="yellow"/>
          <w:u w:val="single"/>
        </w:rPr>
        <w:t>日</w:t>
      </w:r>
      <w:r>
        <w:rPr>
          <w:rFonts w:hint="eastAsia" w:ascii="宋体" w:hAnsi="宋体" w:cs="宋体"/>
          <w:sz w:val="24"/>
        </w:rPr>
        <w:t>，每天上午00:00至12:00 ，下午12:00至23:59（北京时间，线上获取法定节假日均可，线下获取文件法定节假日除外）</w:t>
      </w:r>
    </w:p>
    <w:p>
      <w:pPr>
        <w:spacing w:line="440" w:lineRule="exact"/>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440" w:lineRule="exact"/>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440" w:lineRule="exact"/>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440" w:lineRule="exact"/>
        <w:rPr>
          <w:rFonts w:ascii="宋体" w:hAnsi="宋体" w:cs="宋体"/>
          <w:b/>
          <w:sz w:val="24"/>
        </w:rPr>
      </w:pPr>
      <w:r>
        <w:rPr>
          <w:rFonts w:hint="eastAsia" w:ascii="宋体" w:hAnsi="宋体" w:cs="宋体"/>
          <w:b/>
          <w:sz w:val="24"/>
        </w:rPr>
        <w:t>四、提交投标文件截止时间、开标时间和地点</w:t>
      </w:r>
    </w:p>
    <w:p>
      <w:pPr>
        <w:spacing w:line="440" w:lineRule="exact"/>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highlight w:val="yellow"/>
          <w:u w:val="single"/>
        </w:rPr>
        <w:t>2023年12月</w:t>
      </w:r>
      <w:r>
        <w:rPr>
          <w:rFonts w:hint="eastAsia" w:ascii="宋体" w:hAnsi="宋体" w:cs="宋体"/>
          <w:sz w:val="24"/>
          <w:highlight w:val="yellow"/>
          <w:u w:val="single"/>
          <w:lang w:val="en-US" w:eastAsia="zh-CN"/>
        </w:rPr>
        <w:t>21</w:t>
      </w:r>
      <w:r>
        <w:rPr>
          <w:rFonts w:hint="eastAsia" w:ascii="宋体" w:hAnsi="宋体" w:cs="宋体"/>
          <w:sz w:val="24"/>
          <w:highlight w:val="yellow"/>
          <w:u w:val="single"/>
        </w:rPr>
        <w:t>日09点</w:t>
      </w:r>
      <w:r>
        <w:rPr>
          <w:rFonts w:hint="eastAsia" w:ascii="宋体" w:hAnsi="宋体" w:cs="宋体"/>
          <w:sz w:val="24"/>
          <w:highlight w:val="yellow"/>
          <w:u w:val="single"/>
          <w:lang w:val="en-US" w:eastAsia="zh-CN"/>
        </w:rPr>
        <w:t>0</w:t>
      </w:r>
      <w:r>
        <w:rPr>
          <w:rFonts w:hint="eastAsia" w:ascii="宋体" w:hAnsi="宋体" w:cs="宋体"/>
          <w:sz w:val="24"/>
          <w:highlight w:val="yellow"/>
          <w:u w:val="single"/>
        </w:rPr>
        <w:t>0分</w:t>
      </w:r>
      <w:r>
        <w:rPr>
          <w:rFonts w:hint="eastAsia" w:ascii="宋体" w:hAnsi="宋体" w:cs="宋体"/>
          <w:sz w:val="24"/>
        </w:rPr>
        <w:t>（北京时间）</w:t>
      </w:r>
    </w:p>
    <w:p>
      <w:pPr>
        <w:spacing w:line="440" w:lineRule="exact"/>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440" w:lineRule="exact"/>
        <w:ind w:firstLine="482" w:firstLineChars="200"/>
        <w:rPr>
          <w:rFonts w:ascii="宋体" w:hAnsi="宋体" w:cs="宋体"/>
          <w:sz w:val="24"/>
          <w:u w:val="single"/>
        </w:rPr>
      </w:pPr>
      <w:r>
        <w:rPr>
          <w:rFonts w:hint="eastAsia" w:ascii="宋体" w:hAnsi="宋体" w:cs="宋体"/>
          <w:b/>
          <w:sz w:val="24"/>
        </w:rPr>
        <w:t>开标时间：</w:t>
      </w:r>
      <w:r>
        <w:rPr>
          <w:rFonts w:hint="eastAsia" w:ascii="宋体" w:hAnsi="宋体" w:cs="宋体"/>
          <w:sz w:val="24"/>
          <w:highlight w:val="yellow"/>
          <w:u w:val="single"/>
        </w:rPr>
        <w:t>2023年12月</w:t>
      </w:r>
      <w:r>
        <w:rPr>
          <w:rFonts w:hint="eastAsia" w:ascii="宋体" w:hAnsi="宋体" w:cs="宋体"/>
          <w:sz w:val="24"/>
          <w:highlight w:val="yellow"/>
          <w:u w:val="single"/>
          <w:lang w:val="en-US" w:eastAsia="zh-CN"/>
        </w:rPr>
        <w:t>21</w:t>
      </w:r>
      <w:r>
        <w:rPr>
          <w:rFonts w:hint="eastAsia" w:ascii="宋体" w:hAnsi="宋体" w:cs="宋体"/>
          <w:sz w:val="24"/>
          <w:highlight w:val="yellow"/>
          <w:u w:val="single"/>
        </w:rPr>
        <w:t>日09点</w:t>
      </w:r>
      <w:r>
        <w:rPr>
          <w:rFonts w:hint="eastAsia" w:ascii="宋体" w:hAnsi="宋体" w:cs="宋体"/>
          <w:sz w:val="24"/>
          <w:highlight w:val="yellow"/>
          <w:u w:val="single"/>
          <w:lang w:val="en-US" w:eastAsia="zh-CN"/>
        </w:rPr>
        <w:t>0</w:t>
      </w:r>
      <w:r>
        <w:rPr>
          <w:rFonts w:hint="eastAsia" w:ascii="宋体" w:hAnsi="宋体" w:cs="宋体"/>
          <w:sz w:val="24"/>
          <w:highlight w:val="yellow"/>
          <w:u w:val="single"/>
        </w:rPr>
        <w:t>0分</w:t>
      </w:r>
    </w:p>
    <w:p>
      <w:pPr>
        <w:spacing w:line="440" w:lineRule="exact"/>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440" w:lineRule="exact"/>
        <w:rPr>
          <w:rFonts w:ascii="宋体" w:hAnsi="宋体" w:cs="宋体"/>
          <w:sz w:val="24"/>
        </w:rPr>
      </w:pPr>
      <w:r>
        <w:rPr>
          <w:rFonts w:hint="eastAsia" w:ascii="宋体" w:hAnsi="宋体" w:cs="宋体"/>
          <w:b/>
          <w:sz w:val="24"/>
        </w:rPr>
        <w:t xml:space="preserve">五、公告期限 </w:t>
      </w:r>
    </w:p>
    <w:p>
      <w:pPr>
        <w:spacing w:line="440" w:lineRule="exact"/>
        <w:ind w:firstLine="480" w:firstLineChars="200"/>
        <w:rPr>
          <w:rFonts w:ascii="宋体" w:hAnsi="宋体" w:cs="宋体"/>
          <w:sz w:val="24"/>
        </w:rPr>
      </w:pPr>
      <w:r>
        <w:rPr>
          <w:rFonts w:hint="eastAsia" w:ascii="宋体" w:hAnsi="宋体" w:cs="宋体"/>
          <w:sz w:val="24"/>
        </w:rPr>
        <w:t>自本公告发布之日起5个工作日。</w:t>
      </w:r>
    </w:p>
    <w:p>
      <w:pPr>
        <w:spacing w:line="440" w:lineRule="exact"/>
        <w:rPr>
          <w:rFonts w:ascii="宋体" w:hAnsi="宋体" w:cs="宋体"/>
          <w:b/>
          <w:sz w:val="24"/>
        </w:rPr>
      </w:pPr>
      <w:r>
        <w:rPr>
          <w:rFonts w:hint="eastAsia" w:ascii="宋体" w:hAnsi="宋体" w:cs="宋体"/>
          <w:b/>
          <w:sz w:val="24"/>
        </w:rPr>
        <w:t>六、其他补充事宜</w:t>
      </w:r>
    </w:p>
    <w:p>
      <w:pPr>
        <w:spacing w:line="440" w:lineRule="exact"/>
        <w:ind w:firstLine="480" w:firstLineChars="200"/>
        <w:rPr>
          <w:rFonts w:ascii="宋体" w:hAnsi="宋体" w:cs="宋体"/>
          <w:sz w:val="24"/>
        </w:rPr>
      </w:pPr>
      <w:r>
        <w:rPr>
          <w:rFonts w:hint="eastAsia" w:ascii="宋体" w:hAnsi="宋体" w:cs="宋体"/>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40" w:lineRule="exact"/>
        <w:ind w:firstLine="480" w:firstLineChars="200"/>
        <w:rPr>
          <w:rFonts w:ascii="宋体" w:hAnsi="宋体" w:cs="宋体"/>
          <w:sz w:val="24"/>
        </w:rPr>
      </w:pPr>
      <w:r>
        <w:rPr>
          <w:rFonts w:hint="eastAsia" w:ascii="宋体" w:hAnsi="宋体" w:cs="宋体"/>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440" w:lineRule="exact"/>
        <w:rPr>
          <w:rFonts w:ascii="宋体" w:hAnsi="宋体" w:cs="宋体"/>
          <w:b/>
          <w:sz w:val="24"/>
        </w:rPr>
      </w:pPr>
      <w:r>
        <w:rPr>
          <w:rFonts w:hint="eastAsia" w:ascii="宋体" w:hAnsi="宋体" w:cs="宋体"/>
          <w:b/>
          <w:sz w:val="24"/>
        </w:rPr>
        <w:t>七、对本次采购提出询问、质疑、投诉，请按以下方式联系</w:t>
      </w:r>
    </w:p>
    <w:p>
      <w:pPr>
        <w:spacing w:line="440" w:lineRule="exact"/>
        <w:rPr>
          <w:rFonts w:ascii="宋体" w:hAnsi="宋体" w:cs="宋体"/>
          <w:sz w:val="24"/>
        </w:rPr>
      </w:pPr>
      <w:r>
        <w:rPr>
          <w:rFonts w:hint="eastAsia" w:ascii="宋体" w:hAnsi="宋体" w:cs="宋体"/>
          <w:sz w:val="24"/>
        </w:rPr>
        <w:t xml:space="preserve">    1.采购人信息</w:t>
      </w:r>
    </w:p>
    <w:p>
      <w:pPr>
        <w:spacing w:line="440" w:lineRule="exact"/>
        <w:rPr>
          <w:rFonts w:ascii="宋体" w:hAnsi="宋体" w:cs="宋体"/>
          <w:sz w:val="24"/>
        </w:rPr>
      </w:pPr>
      <w:r>
        <w:rPr>
          <w:rFonts w:hint="eastAsia" w:ascii="宋体" w:hAnsi="宋体" w:cs="宋体"/>
          <w:sz w:val="24"/>
        </w:rPr>
        <w:t xml:space="preserve">    名    称：桐庐县城乡建设管理处 </w:t>
      </w:r>
    </w:p>
    <w:p>
      <w:pPr>
        <w:spacing w:line="440" w:lineRule="exact"/>
        <w:rPr>
          <w:rFonts w:ascii="宋体" w:hAnsi="宋体" w:cs="宋体"/>
          <w:sz w:val="24"/>
        </w:rPr>
      </w:pPr>
      <w:r>
        <w:rPr>
          <w:rFonts w:hint="eastAsia" w:ascii="宋体" w:hAnsi="宋体" w:cs="宋体"/>
          <w:sz w:val="24"/>
        </w:rPr>
        <w:t xml:space="preserve">    地    址：桐庐县城南街道迎春南路333号      </w:t>
      </w:r>
    </w:p>
    <w:p>
      <w:pPr>
        <w:spacing w:line="440" w:lineRule="exact"/>
        <w:ind w:firstLine="480" w:firstLineChars="200"/>
        <w:rPr>
          <w:rFonts w:ascii="宋体" w:hAnsi="宋体" w:cs="宋体"/>
          <w:sz w:val="24"/>
        </w:rPr>
      </w:pPr>
      <w:r>
        <w:rPr>
          <w:rFonts w:hint="eastAsia" w:ascii="宋体" w:hAnsi="宋体" w:cs="宋体"/>
          <w:sz w:val="24"/>
        </w:rPr>
        <w:t>项目联系人（询问）：徐金鹏</w:t>
      </w:r>
    </w:p>
    <w:p>
      <w:pPr>
        <w:spacing w:line="440" w:lineRule="exact"/>
        <w:rPr>
          <w:rFonts w:ascii="宋体" w:hAnsi="宋体" w:cs="宋体"/>
          <w:sz w:val="24"/>
        </w:rPr>
      </w:pPr>
      <w:r>
        <w:rPr>
          <w:rFonts w:hint="eastAsia" w:ascii="宋体" w:hAnsi="宋体" w:cs="宋体"/>
          <w:sz w:val="24"/>
        </w:rPr>
        <w:t xml:space="preserve">    项目联系方式（询问）：18058807990</w:t>
      </w:r>
    </w:p>
    <w:p>
      <w:pPr>
        <w:spacing w:line="440" w:lineRule="exact"/>
        <w:ind w:firstLine="480"/>
        <w:rPr>
          <w:rFonts w:ascii="宋体" w:hAnsi="宋体" w:cs="宋体"/>
          <w:sz w:val="24"/>
        </w:rPr>
      </w:pPr>
      <w:r>
        <w:rPr>
          <w:rFonts w:hint="eastAsia" w:ascii="宋体" w:hAnsi="宋体" w:cs="宋体"/>
          <w:sz w:val="24"/>
        </w:rPr>
        <w:t xml:space="preserve">质疑联系人：高志翔 </w:t>
      </w:r>
    </w:p>
    <w:p>
      <w:pPr>
        <w:spacing w:line="440" w:lineRule="exact"/>
        <w:ind w:firstLine="480"/>
        <w:rPr>
          <w:rFonts w:ascii="宋体" w:hAnsi="宋体" w:cs="宋体"/>
          <w:sz w:val="24"/>
        </w:rPr>
      </w:pPr>
      <w:r>
        <w:rPr>
          <w:rFonts w:hint="eastAsia" w:ascii="宋体" w:hAnsi="宋体" w:cs="宋体"/>
          <w:sz w:val="24"/>
        </w:rPr>
        <w:t>质疑联系方式：13777482371</w:t>
      </w:r>
    </w:p>
    <w:p>
      <w:pPr>
        <w:spacing w:line="440" w:lineRule="exact"/>
        <w:rPr>
          <w:rFonts w:ascii="宋体" w:hAnsi="宋体" w:cs="宋体"/>
          <w:sz w:val="24"/>
        </w:rPr>
      </w:pPr>
    </w:p>
    <w:p>
      <w:pPr>
        <w:spacing w:line="440" w:lineRule="exact"/>
        <w:ind w:firstLine="480" w:firstLineChars="200"/>
        <w:rPr>
          <w:rFonts w:ascii="宋体" w:hAnsi="宋体" w:cs="宋体"/>
          <w:sz w:val="24"/>
        </w:rPr>
      </w:pPr>
      <w:r>
        <w:rPr>
          <w:rFonts w:hint="eastAsia" w:ascii="宋体" w:hAnsi="宋体" w:cs="宋体"/>
          <w:sz w:val="24"/>
        </w:rPr>
        <w:t xml:space="preserve">2.采购代理机构信息            </w:t>
      </w:r>
    </w:p>
    <w:p>
      <w:pPr>
        <w:spacing w:line="440" w:lineRule="exact"/>
        <w:ind w:firstLine="480"/>
        <w:rPr>
          <w:rFonts w:ascii="宋体" w:hAnsi="宋体" w:cs="宋体"/>
          <w:sz w:val="24"/>
        </w:rPr>
      </w:pPr>
      <w:r>
        <w:rPr>
          <w:rFonts w:hint="eastAsia" w:ascii="宋体" w:hAnsi="宋体" w:cs="宋体"/>
          <w:sz w:val="24"/>
        </w:rPr>
        <w:t>名  称：杭州龙魁工程管理有限公司</w:t>
      </w:r>
    </w:p>
    <w:p>
      <w:pPr>
        <w:spacing w:line="440" w:lineRule="exact"/>
        <w:ind w:firstLine="480"/>
        <w:rPr>
          <w:rFonts w:ascii="宋体" w:hAnsi="宋体" w:cs="宋体"/>
          <w:sz w:val="24"/>
        </w:rPr>
      </w:pPr>
      <w:r>
        <w:rPr>
          <w:rFonts w:hint="eastAsia" w:ascii="宋体" w:hAnsi="宋体" w:cs="宋体"/>
          <w:sz w:val="24"/>
        </w:rPr>
        <w:t xml:space="preserve">地  址：桐庐县城南街道迎春南路61号萧商大厦20楼           </w:t>
      </w:r>
    </w:p>
    <w:p>
      <w:pPr>
        <w:spacing w:line="440" w:lineRule="exact"/>
        <w:rPr>
          <w:rFonts w:ascii="宋体" w:hAnsi="宋体" w:cs="宋体"/>
          <w:sz w:val="24"/>
        </w:rPr>
      </w:pPr>
      <w:r>
        <w:rPr>
          <w:rFonts w:hint="eastAsia" w:ascii="宋体" w:hAnsi="宋体" w:cs="宋体"/>
          <w:sz w:val="24"/>
        </w:rPr>
        <w:t xml:space="preserve">    项目联系人（询问）：王超         </w:t>
      </w:r>
    </w:p>
    <w:p>
      <w:pPr>
        <w:spacing w:line="440" w:lineRule="exact"/>
        <w:rPr>
          <w:rFonts w:ascii="宋体" w:hAnsi="宋体" w:cs="宋体"/>
          <w:sz w:val="24"/>
        </w:rPr>
      </w:pPr>
      <w:r>
        <w:rPr>
          <w:rFonts w:hint="eastAsia" w:ascii="宋体" w:hAnsi="宋体" w:cs="宋体"/>
          <w:sz w:val="24"/>
        </w:rPr>
        <w:t xml:space="preserve">    项目联系方式（询问）：13758248175 </w:t>
      </w:r>
    </w:p>
    <w:p>
      <w:pPr>
        <w:spacing w:line="440" w:lineRule="exact"/>
        <w:rPr>
          <w:rFonts w:ascii="宋体" w:hAnsi="宋体" w:cs="宋体"/>
          <w:sz w:val="24"/>
        </w:rPr>
      </w:pPr>
      <w:r>
        <w:rPr>
          <w:rFonts w:hint="eastAsia" w:ascii="宋体" w:hAnsi="宋体" w:cs="宋体"/>
          <w:sz w:val="24"/>
        </w:rPr>
        <w:t xml:space="preserve">    质疑联系人：朱明剑              </w:t>
      </w:r>
    </w:p>
    <w:p>
      <w:pPr>
        <w:spacing w:line="440" w:lineRule="exact"/>
        <w:rPr>
          <w:rFonts w:ascii="宋体" w:hAnsi="宋体" w:cs="宋体"/>
          <w:sz w:val="24"/>
        </w:rPr>
      </w:pPr>
      <w:r>
        <w:rPr>
          <w:rFonts w:hint="eastAsia" w:ascii="宋体" w:hAnsi="宋体" w:cs="宋体"/>
          <w:sz w:val="24"/>
        </w:rPr>
        <w:t xml:space="preserve">    质疑联系方式：18106518131</w:t>
      </w:r>
    </w:p>
    <w:p>
      <w:pPr>
        <w:spacing w:line="440" w:lineRule="exact"/>
        <w:rPr>
          <w:rFonts w:ascii="宋体" w:hAnsi="宋体" w:cs="宋体"/>
          <w:sz w:val="24"/>
        </w:rPr>
      </w:pPr>
    </w:p>
    <w:p>
      <w:pPr>
        <w:spacing w:line="440" w:lineRule="exact"/>
        <w:ind w:firstLine="480" w:firstLineChars="200"/>
        <w:rPr>
          <w:rFonts w:ascii="宋体" w:hAnsi="宋体" w:cs="宋体"/>
          <w:sz w:val="24"/>
        </w:rPr>
      </w:pPr>
      <w:r>
        <w:rPr>
          <w:rFonts w:hint="eastAsia" w:ascii="宋体" w:hAnsi="宋体" w:cs="宋体"/>
          <w:sz w:val="24"/>
        </w:rPr>
        <w:t xml:space="preserve">3.同级政府采购监督管理部门            </w:t>
      </w:r>
    </w:p>
    <w:p>
      <w:pPr>
        <w:spacing w:line="440" w:lineRule="exact"/>
        <w:ind w:firstLine="480"/>
        <w:rPr>
          <w:rFonts w:ascii="宋体" w:hAnsi="宋体" w:cs="宋体"/>
          <w:sz w:val="24"/>
        </w:rPr>
      </w:pPr>
      <w:r>
        <w:rPr>
          <w:rFonts w:hint="eastAsia" w:ascii="宋体" w:hAnsi="宋体" w:cs="宋体"/>
          <w:sz w:val="24"/>
        </w:rPr>
        <w:t>名  称：桐庐县财政局</w:t>
      </w:r>
    </w:p>
    <w:p>
      <w:pPr>
        <w:spacing w:line="440" w:lineRule="exact"/>
        <w:ind w:firstLine="480"/>
        <w:rPr>
          <w:rFonts w:ascii="宋体" w:hAnsi="宋体" w:cs="宋体"/>
          <w:sz w:val="24"/>
        </w:rPr>
      </w:pPr>
      <w:r>
        <w:rPr>
          <w:rFonts w:hint="eastAsia" w:ascii="宋体" w:hAnsi="宋体" w:cs="宋体"/>
          <w:sz w:val="24"/>
        </w:rPr>
        <w:t>地  址：桐庐县城南街道春江路688号</w:t>
      </w:r>
    </w:p>
    <w:p>
      <w:pPr>
        <w:spacing w:line="440" w:lineRule="exact"/>
        <w:rPr>
          <w:rFonts w:ascii="宋体" w:hAnsi="宋体" w:cs="宋体"/>
          <w:sz w:val="24"/>
        </w:rPr>
      </w:pPr>
      <w:r>
        <w:rPr>
          <w:rFonts w:hint="eastAsia" w:ascii="宋体" w:hAnsi="宋体" w:cs="宋体"/>
          <w:sz w:val="24"/>
        </w:rPr>
        <w:t xml:space="preserve">    联系人：张正元  </w:t>
      </w:r>
    </w:p>
    <w:p>
      <w:pPr>
        <w:spacing w:line="440" w:lineRule="exact"/>
        <w:ind w:firstLine="480" w:firstLineChars="200"/>
        <w:rPr>
          <w:rFonts w:ascii="宋体" w:hAnsi="宋体" w:cs="宋体"/>
          <w:sz w:val="24"/>
        </w:rPr>
      </w:pPr>
      <w:r>
        <w:rPr>
          <w:rFonts w:hint="eastAsia" w:ascii="宋体" w:hAnsi="宋体" w:cs="宋体"/>
          <w:sz w:val="24"/>
        </w:rPr>
        <w:t xml:space="preserve">监督投诉电话：0571-58507058         </w: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pacing w:line="440" w:lineRule="exact"/>
        <w:ind w:firstLine="480" w:firstLineChars="200"/>
        <w:jc w:val="center"/>
        <w:rPr>
          <w:rFonts w:ascii="宋体" w:hAnsi="宋体" w:cs="宋体"/>
          <w:b/>
          <w:sz w:val="36"/>
          <w:szCs w:val="20"/>
        </w:rPr>
      </w:pPr>
      <w:r>
        <w:rPr>
          <w:rFonts w:hint="eastAsia" w:ascii="宋体" w:hAnsi="宋体" w:cs="宋体"/>
          <w:sz w:val="24"/>
        </w:rPr>
        <w:t>CA问题联系电话（人工）：汇信CA 400-888-4636；天谷CA 400-087-8198。</w:t>
      </w:r>
      <w:r>
        <w:rPr>
          <w:rFonts w:hint="eastAsia" w:ascii="宋体" w:hAnsi="宋体" w:cs="宋体"/>
          <w:b/>
          <w:sz w:val="36"/>
          <w:szCs w:val="20"/>
        </w:rPr>
        <w:br w:type="page"/>
      </w:r>
      <w:r>
        <w:rPr>
          <w:rFonts w:hint="eastAsia" w:ascii="宋体" w:hAnsi="宋体" w:cs="宋体"/>
          <w:b/>
          <w:sz w:val="36"/>
          <w:szCs w:val="20"/>
        </w:rPr>
        <w:t>第二部分</w:t>
      </w:r>
      <w:bookmarkEnd w:id="5"/>
      <w:r>
        <w:rPr>
          <w:rFonts w:hint="eastAsia" w:ascii="宋体" w:hAnsi="宋体" w:cs="宋体"/>
          <w:b/>
          <w:sz w:val="36"/>
          <w:szCs w:val="20"/>
        </w:rPr>
        <w:t xml:space="preserve"> 投标人须知</w:t>
      </w:r>
      <w:bookmarkEnd w:id="6"/>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2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5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50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项目属性</w:t>
            </w:r>
          </w:p>
        </w:tc>
        <w:tc>
          <w:tcPr>
            <w:tcW w:w="6506"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采购标的及其对应的中小企业划分标准所属行业</w:t>
            </w:r>
          </w:p>
        </w:tc>
        <w:tc>
          <w:tcPr>
            <w:tcW w:w="650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rPr>
            </w:pPr>
            <w:r>
              <w:rPr>
                <w:rFonts w:hint="eastAsia" w:ascii="宋体" w:hAnsi="宋体" w:cs="宋体"/>
                <w:kern w:val="0"/>
                <w:sz w:val="24"/>
              </w:rPr>
              <w:t>标项一、二、三、四、五；</w:t>
            </w:r>
          </w:p>
          <w:p>
            <w:pPr>
              <w:snapToGrid w:val="0"/>
              <w:spacing w:line="360" w:lineRule="auto"/>
              <w:rPr>
                <w:rFonts w:ascii="宋体" w:hAnsi="宋体" w:cs="宋体"/>
                <w:color w:val="FF0000"/>
                <w:kern w:val="0"/>
                <w:sz w:val="24"/>
              </w:rPr>
            </w:pPr>
            <w:r>
              <w:rPr>
                <w:rFonts w:hint="eastAsia" w:ascii="宋体" w:hAnsi="宋体" w:cs="宋体"/>
                <w:kern w:val="0"/>
                <w:sz w:val="24"/>
              </w:rPr>
              <w:t>（1）标的：</w:t>
            </w:r>
            <w:r>
              <w:rPr>
                <w:rFonts w:hint="eastAsia" w:ascii="宋体" w:hAnsi="宋体" w:cs="Arial"/>
                <w:kern w:val="0"/>
                <w:sz w:val="24"/>
                <w:u w:val="single"/>
              </w:rPr>
              <w:t>2024-2026年度桐庐县农村生活污水处理设施运行维护项目</w:t>
            </w:r>
            <w:r>
              <w:rPr>
                <w:rFonts w:hint="eastAsia" w:ascii="宋体" w:hAnsi="宋体" w:cs="宋体"/>
                <w:kern w:val="0"/>
                <w:sz w:val="24"/>
              </w:rPr>
              <w:t>，属于</w:t>
            </w:r>
            <w:r>
              <w:rPr>
                <w:rFonts w:hint="eastAsia" w:ascii="宋体" w:hAnsi="宋体" w:cs="Arial"/>
                <w:kern w:val="0"/>
                <w:sz w:val="24"/>
                <w:u w:val="single"/>
              </w:rPr>
              <w:t>其他未列明行业</w:t>
            </w:r>
            <w:r>
              <w:rPr>
                <w:rFonts w:hint="eastAsia" w:ascii="宋体" w:hAnsi="宋体" w:cs="宋体"/>
                <w:kern w:val="0"/>
                <w:sz w:val="24"/>
              </w:rPr>
              <w:t>；</w:t>
            </w:r>
          </w:p>
          <w:p>
            <w:pPr>
              <w:snapToGrid w:val="0"/>
              <w:spacing w:line="360" w:lineRule="auto"/>
              <w:rPr>
                <w:rFonts w:ascii="宋体" w:hAnsi="宋体" w:cs="宋体"/>
                <w:sz w:val="24"/>
              </w:rPr>
            </w:pPr>
            <w:r>
              <w:rPr>
                <w:rFonts w:hint="eastAsia" w:ascii="宋体" w:hAnsi="宋体" w:cs="宋体"/>
                <w:kern w:val="0"/>
                <w:sz w:val="24"/>
              </w:rPr>
              <w:t>中小企业划型标准详见：工信部联企业〔2011〕300号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40" w:firstLineChars="100"/>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是否允许采购进口产品</w:t>
            </w: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分包</w:t>
            </w: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sym w:font="Wingdings" w:char="00FE"/>
            </w:r>
            <w:r>
              <w:rPr>
                <w:rFonts w:hint="eastAsia" w:ascii="宋体" w:hAnsi="宋体" w:cs="宋体"/>
                <w:kern w:val="0"/>
                <w:sz w:val="24"/>
              </w:rPr>
              <w:t xml:space="preserve"> A运维业务不得转包、分包</w:t>
            </w:r>
            <w:r>
              <w:rPr>
                <w:rFonts w:hint="eastAsia" w:ascii="宋体" w:hAnsi="宋体" w:cs="宋体"/>
                <w:sz w:val="24"/>
              </w:rPr>
              <w:t>。</w:t>
            </w:r>
          </w:p>
          <w:p>
            <w:pPr>
              <w:spacing w:line="360" w:lineRule="auto"/>
              <w:rPr>
                <w:rFonts w:ascii="宋体" w:hAnsi="宋体" w:cs="宋体"/>
                <w:kern w:val="0"/>
                <w:sz w:val="24"/>
              </w:rPr>
            </w:pPr>
            <w:r>
              <w:rPr>
                <w:rFonts w:ascii="Wingdings" w:hAnsi="Wingdings" w:cs="宋体"/>
                <w:kern w:val="0"/>
                <w:sz w:val="24"/>
              </w:rPr>
              <w:sym w:font="Wingdings" w:char="00FE"/>
            </w:r>
            <w:r>
              <w:rPr>
                <w:rFonts w:hint="eastAsia" w:ascii="宋体" w:hAnsi="宋体" w:cs="宋体"/>
                <w:kern w:val="0"/>
                <w:sz w:val="24"/>
              </w:rPr>
              <w:t xml:space="preserve"> B水质检测可委托具有专业资质认证的第三方检测单位，报采购人备案。</w:t>
            </w:r>
          </w:p>
          <w:p>
            <w:pPr>
              <w:spacing w:line="360" w:lineRule="auto"/>
              <w:rPr>
                <w:rFonts w:ascii="宋体" w:hAnsi="宋体" w:cs="宋体"/>
                <w:sz w:val="24"/>
              </w:rPr>
            </w:pPr>
            <w:r>
              <w:rPr>
                <w:rFonts w:hint="eastAsia" w:ascii="宋体" w:hAnsi="宋体" w:cs="宋体"/>
                <w:kern w:val="0"/>
                <w:sz w:val="24"/>
              </w:rPr>
              <w:t>注：按照《农村生活污水处理设施运行维护单位基本条件》规定</w:t>
            </w:r>
            <w:r>
              <w:rPr>
                <w:rFonts w:hint="eastAsia" w:ascii="宋体" w:hAnsi="宋体" w:cs="宋体"/>
                <w:kern w:val="0"/>
                <w:sz w:val="24"/>
                <w:lang w:eastAsia="zh-CN"/>
              </w:rPr>
              <w:t>：</w:t>
            </w:r>
            <w:r>
              <w:rPr>
                <w:rFonts w:hint="eastAsia" w:ascii="宋体" w:hAnsi="宋体" w:cs="宋体"/>
                <w:kern w:val="0"/>
                <w:sz w:val="24"/>
              </w:rPr>
              <w:t>承接二类项目的应建立化验室，面积不宜低于100平方米，具备水质检测能力：PH，悬浮物（SS），化学需氧量（CODCR），总磷，总氮，氨氮（NH3-N），动植物油，粪大肠杆菌（粪大肠杆菌可委托第三方具有专业资质认证的实验室进行化验）；承接三类项目的水质检测可委托第三方具有专业资质认证的实验室进行化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szCs w:val="20"/>
              </w:rPr>
            </w:pPr>
            <w:r>
              <w:rPr>
                <w:rFonts w:hint="eastAsia" w:ascii="宋体" w:hAnsi="宋体" w:cs="宋体"/>
                <w:kern w:val="0"/>
                <w:sz w:val="24"/>
              </w:rPr>
              <w:sym w:font="Wingdings" w:char="F0FE"/>
            </w:r>
            <w:r>
              <w:rPr>
                <w:rFonts w:hint="eastAsia" w:ascii="宋体" w:hAnsi="宋体" w:cs="宋体"/>
                <w:kern w:val="0"/>
                <w:sz w:val="24"/>
              </w:rPr>
              <w:t>A</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sz w:val="24"/>
              </w:rPr>
            </w:pPr>
            <w:r>
              <w:rPr>
                <w:rFonts w:ascii="Wingdings" w:hAnsi="Wingdings" w:cs="宋体"/>
                <w:kern w:val="0"/>
                <w:sz w:val="24"/>
              </w:rPr>
              <w:t></w:t>
            </w:r>
            <w:r>
              <w:rPr>
                <w:rFonts w:hint="eastAsia" w:ascii="宋体" w:hAnsi="宋体" w:cs="宋体"/>
                <w:kern w:val="0"/>
                <w:sz w:val="24"/>
              </w:rPr>
              <w:t>A</w:t>
            </w:r>
            <w:r>
              <w:rPr>
                <w:rFonts w:hint="eastAsia" w:ascii="宋体" w:hAnsi="宋体" w:cs="宋体"/>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方案讲解演示</w:t>
            </w:r>
          </w:p>
        </w:tc>
        <w:tc>
          <w:tcPr>
            <w:tcW w:w="6506" w:type="dxa"/>
            <w:tcBorders>
              <w:top w:val="single" w:color="000000" w:sz="8" w:space="0"/>
              <w:left w:val="single" w:color="000000" w:sz="2" w:space="0"/>
              <w:bottom w:val="single" w:color="000000" w:sz="8" w:space="0"/>
              <w:right w:val="single" w:color="000000" w:sz="8" w:space="0"/>
            </w:tcBorders>
            <w:vAlign w:val="center"/>
          </w:tcPr>
          <w:p>
            <w:pPr>
              <w:pStyle w:val="3"/>
              <w:rPr>
                <w:lang w:val="en-US"/>
              </w:rPr>
            </w:pPr>
            <w:r>
              <w:rPr>
                <w:rFonts w:hint="eastAsia" w:ascii="Wingdings" w:hAnsi="Wingdings" w:cs="宋体"/>
                <w:b w:val="0"/>
                <w:bCs w:val="0"/>
                <w:kern w:val="0"/>
                <w:sz w:val="24"/>
              </w:rPr>
              <w:t>þ</w:t>
            </w:r>
            <w:r>
              <w:rPr>
                <w:rFonts w:hint="eastAsia" w:ascii="宋体" w:hAnsi="宋体" w:eastAsia="宋体" w:cs="宋体"/>
                <w:b w:val="0"/>
                <w:bCs w:val="0"/>
                <w:kern w:val="0"/>
                <w:sz w:val="24"/>
              </w:rPr>
              <w:t>A</w:t>
            </w:r>
            <w:r>
              <w:rPr>
                <w:rFonts w:hint="eastAsia" w:ascii="宋体" w:hAnsi="宋体" w:eastAsia="宋体" w:cs="宋体"/>
                <w:b w:val="0"/>
                <w:bCs w:val="0"/>
                <w:kern w:val="0"/>
                <w:sz w:val="24"/>
                <w:lang w:val="en-US"/>
              </w:rPr>
              <w:t>不组织</w:t>
            </w:r>
            <w:r>
              <w:rPr>
                <w:rFonts w:hint="eastAsia" w:ascii="宋体" w:hAnsi="宋体" w:eastAsia="宋体" w:cs="宋体"/>
                <w:b w:val="0"/>
                <w:bCs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506"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506"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33"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50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sz w:val="24"/>
              </w:rPr>
            </w:pP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50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。投标文件中价格全部采用人民币报价。招标文件未列明，而投标人认为必需的费用也需列入报价。</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58" w:hRule="atLeast"/>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备份投标文件送达地点和签收人员</w:t>
            </w:r>
          </w:p>
        </w:tc>
        <w:tc>
          <w:tcPr>
            <w:tcW w:w="6506" w:type="dxa"/>
            <w:tcBorders>
              <w:top w:val="single" w:color="000000" w:sz="8" w:space="0"/>
              <w:left w:val="single" w:color="000000" w:sz="2" w:space="0"/>
              <w:bottom w:val="single" w:color="000000" w:sz="8" w:space="0"/>
              <w:right w:val="single" w:color="000000" w:sz="8" w:space="0"/>
            </w:tcBorders>
            <w:vAlign w:val="center"/>
          </w:tcPr>
          <w:p>
            <w:pPr>
              <w:pStyle w:val="13"/>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kern w:val="28"/>
                <w:sz w:val="24"/>
                <w:szCs w:val="24"/>
                <w:u w:val="single"/>
              </w:rPr>
              <w:t>杭州市</w:t>
            </w:r>
            <w:r>
              <w:rPr>
                <w:rFonts w:hint="eastAsia" w:hAnsi="宋体" w:cs="宋体"/>
                <w:sz w:val="24"/>
                <w:u w:val="single"/>
              </w:rPr>
              <w:t>桐庐县城南街道迎春南路61号萧商大厦20楼（杭州龙魁工程管理有限公司）</w:t>
            </w:r>
            <w:r>
              <w:rPr>
                <w:rFonts w:hint="eastAsia" w:hAnsi="宋体" w:cs="宋体"/>
                <w:kern w:val="28"/>
                <w:sz w:val="24"/>
                <w:szCs w:val="24"/>
              </w:rPr>
              <w:t>；备份投标文件签收人员：</w:t>
            </w:r>
            <w:r>
              <w:rPr>
                <w:rFonts w:hint="eastAsia" w:hAnsi="宋体" w:cs="宋体"/>
                <w:kern w:val="28"/>
                <w:sz w:val="24"/>
                <w:szCs w:val="24"/>
                <w:u w:val="single"/>
              </w:rPr>
              <w:t>王超</w:t>
            </w:r>
            <w:r>
              <w:rPr>
                <w:rFonts w:hint="eastAsia" w:hAnsi="宋体" w:cs="宋体"/>
                <w:kern w:val="28"/>
                <w:sz w:val="24"/>
                <w:szCs w:val="24"/>
              </w:rPr>
              <w:t>，联系电话：</w:t>
            </w:r>
            <w:r>
              <w:rPr>
                <w:rFonts w:hint="eastAsia" w:hAnsi="宋体" w:cs="宋体"/>
                <w:sz w:val="24"/>
                <w:u w:val="single"/>
              </w:rPr>
              <w:t>13758248175</w:t>
            </w:r>
            <w:r>
              <w:rPr>
                <w:rFonts w:hint="eastAsia" w:hAnsi="宋体" w:cs="宋体"/>
                <w:sz w:val="24"/>
                <w:szCs w:val="24"/>
              </w:rPr>
              <w:t>。</w:t>
            </w:r>
            <w:r>
              <w:rPr>
                <w:rFonts w:hint="eastAsia" w:hAnsi="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ascii="宋体" w:hAnsi="宋体" w:cs="宋体"/>
                <w:b/>
                <w:sz w:val="24"/>
              </w:rPr>
            </w:pPr>
            <w:r>
              <w:rPr>
                <w:rFonts w:hint="eastAsia" w:ascii="宋体" w:hAnsi="宋体" w:cs="宋体"/>
                <w:b/>
                <w:bCs/>
                <w:sz w:val="24"/>
              </w:rPr>
              <w:t>代理服务费</w:t>
            </w:r>
          </w:p>
        </w:tc>
        <w:tc>
          <w:tcPr>
            <w:tcW w:w="6506" w:type="dxa"/>
            <w:tcBorders>
              <w:top w:val="single" w:color="000000" w:sz="8" w:space="0"/>
              <w:left w:val="single" w:color="000000" w:sz="2" w:space="0"/>
              <w:bottom w:val="single" w:color="000000" w:sz="8" w:space="0"/>
              <w:right w:val="single" w:color="000000" w:sz="8" w:space="0"/>
            </w:tcBorders>
            <w:vAlign w:val="center"/>
          </w:tcPr>
          <w:p>
            <w:pPr>
              <w:widowControl/>
              <w:spacing w:line="360" w:lineRule="auto"/>
              <w:jc w:val="left"/>
              <w:rPr>
                <w:rFonts w:ascii="宋体" w:hAnsi="宋体" w:cs="宋体"/>
                <w:snapToGrid w:val="0"/>
                <w:kern w:val="28"/>
                <w:sz w:val="24"/>
              </w:rPr>
            </w:pPr>
            <w:r>
              <w:rPr>
                <w:rFonts w:hint="eastAsia" w:ascii="宋体" w:hAnsi="宋体" w:cs="宋体"/>
                <w:bCs/>
                <w:sz w:val="24"/>
              </w:rPr>
              <w:t>本次采购每个标项招标代理服务费</w:t>
            </w:r>
            <w:r>
              <w:rPr>
                <w:rFonts w:hint="eastAsia" w:ascii="宋体" w:hAnsi="宋体" w:cs="宋体"/>
                <w:snapToGrid w:val="0"/>
                <w:kern w:val="28"/>
                <w:sz w:val="24"/>
              </w:rPr>
              <w:t>按浙价服〔2003〕77号文件</w:t>
            </w:r>
            <w:r>
              <w:rPr>
                <w:rFonts w:hint="eastAsia" w:ascii="宋体" w:hAnsi="宋体" w:cs="宋体"/>
                <w:bCs/>
                <w:sz w:val="24"/>
              </w:rPr>
              <w:t>服务招标费率标准收取；由每个标项中标（成交）供应商在领取中标通知书前一次性支付给代理公司，上述费用应含在投标报价中（不得单独列项），供应商在投标报价中考虑上述费用。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特别说明</w:t>
            </w: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Cs/>
                <w:sz w:val="24"/>
              </w:rPr>
            </w:pPr>
            <w:r>
              <w:rPr>
                <w:rFonts w:hint="eastAsia" w:ascii="宋体" w:hAnsi="宋体" w:cs="宋体"/>
                <w:b/>
                <w:sz w:val="24"/>
              </w:rPr>
              <w:t>▲本项目共分五个标项，按标项一至标项五顺序开标，每个投标人最多可中二个标项。已中二个标项的供应商不得作为其余标项的有效投标人。</w:t>
            </w:r>
          </w:p>
        </w:tc>
      </w:tr>
      <w:bookmarkEnd w:id="7"/>
    </w:tbl>
    <w:p>
      <w:pPr>
        <w:adjustRightInd/>
        <w:spacing w:line="360" w:lineRule="auto"/>
        <w:outlineLvl w:val="0"/>
        <w:rPr>
          <w:rFonts w:ascii="宋体" w:hAnsi="宋体" w:cs="宋体"/>
          <w:b/>
          <w:sz w:val="32"/>
          <w:szCs w:val="20"/>
        </w:rPr>
      </w:pPr>
      <w:bookmarkStart w:id="8" w:name="第三部分"/>
      <w:bookmarkStart w:id="9" w:name="_Toc164416483"/>
    </w:p>
    <w:p>
      <w:pPr>
        <w:adjustRightInd/>
        <w:spacing w:line="360" w:lineRule="auto"/>
        <w:ind w:firstLine="3845" w:firstLineChars="1197"/>
        <w:outlineLvl w:val="0"/>
        <w:rPr>
          <w:rFonts w:ascii="宋体" w:hAnsi="宋体" w:cs="宋体"/>
          <w:b/>
          <w:sz w:val="32"/>
          <w:szCs w:val="20"/>
        </w:rPr>
      </w:pPr>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系指实质性要求条款，“★”系产品采购项目中单一产品或核心产品，“</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482" w:firstLineChars="200"/>
        <w:rPr>
          <w:rFonts w:ascii="宋体" w:hAnsi="宋体" w:cs="宋体"/>
          <w:b/>
          <w:sz w:val="24"/>
        </w:rPr>
      </w:pPr>
      <w:r>
        <w:rPr>
          <w:rFonts w:hint="eastAsia" w:ascii="宋体" w:hAnsi="宋体" w:cs="宋体"/>
          <w:b/>
          <w:sz w:val="24"/>
        </w:rPr>
        <w:t>3.采购项目需要落实的政府采购政策</w:t>
      </w:r>
    </w:p>
    <w:p>
      <w:pPr>
        <w:spacing w:line="360" w:lineRule="auto"/>
        <w:ind w:firstLine="480" w:firstLineChars="2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3.3.2.2在工程采购项目中，工程由中小企业承建，即工程施工单位为中小企业；</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480" w:firstLineChars="2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b/>
          <w:sz w:val="24"/>
        </w:rPr>
      </w:pPr>
      <w:r>
        <w:rPr>
          <w:rFonts w:hint="eastAsia" w:ascii="宋体" w:hAnsi="宋体" w:cs="宋体"/>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4.2供应商质疑</w:t>
      </w:r>
    </w:p>
    <w:p>
      <w:pPr>
        <w:pStyle w:val="13"/>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.1提出质疑的供应商应当是参与所质疑项目采购活动的供应商。潜在供应商已依法获取其可质疑的招标文件的，可以对该文件提出质疑。</w:t>
      </w:r>
    </w:p>
    <w:p>
      <w:pPr>
        <w:pStyle w:val="13"/>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8"/>
        <w:spacing w:line="360" w:lineRule="auto"/>
        <w:ind w:firstLine="480" w:firstLineChars="200"/>
        <w:rPr>
          <w:rFonts w:hAnsi="宋体" w:cs="宋体"/>
          <w:color w:val="auto"/>
          <w:kern w:val="2"/>
          <w:sz w:val="24"/>
        </w:rPr>
      </w:pPr>
      <w:r>
        <w:rPr>
          <w:rFonts w:hint="eastAsia" w:hAnsi="宋体" w:cs="宋体"/>
          <w:color w:val="auto"/>
          <w:kern w:val="2"/>
          <w:sz w:val="24"/>
        </w:rPr>
        <w:t>4.2.2.1对招标文件提出质疑的，质疑期限为供应商获得招标文件之日或者招标文件公告期限届满之日起计算。</w:t>
      </w:r>
    </w:p>
    <w:p>
      <w:pPr>
        <w:pStyle w:val="13"/>
        <w:spacing w:line="360" w:lineRule="auto"/>
        <w:ind w:firstLine="480" w:firstLineChars="200"/>
        <w:rPr>
          <w:rFonts w:hAnsi="宋体" w:cs="宋体"/>
          <w:kern w:val="0"/>
          <w:sz w:val="24"/>
          <w:lang w:val="zh-CN"/>
        </w:rPr>
      </w:pPr>
      <w:r>
        <w:rPr>
          <w:rFonts w:hint="eastAsia" w:hAnsi="宋体" w:cs="宋体"/>
          <w:kern w:val="0"/>
          <w:sz w:val="24"/>
          <w:lang w:val="zh-CN"/>
        </w:rPr>
        <w:t>4.2.2.2对采购过程提出质疑的，质疑期限为各采购程序环节结束之日起计算。对同一采购程序环节的质疑，供应商须一次性提出。</w:t>
      </w:r>
    </w:p>
    <w:p>
      <w:pPr>
        <w:pStyle w:val="13"/>
        <w:spacing w:line="360" w:lineRule="auto"/>
        <w:ind w:firstLine="480" w:firstLineChars="200"/>
        <w:rPr>
          <w:rFonts w:hAnsi="宋体" w:cs="宋体"/>
          <w:kern w:val="0"/>
          <w:sz w:val="24"/>
          <w:lang w:val="zh-CN"/>
        </w:rPr>
      </w:pPr>
      <w:r>
        <w:rPr>
          <w:rFonts w:hint="eastAsia" w:hAnsi="宋体" w:cs="宋体"/>
          <w:kern w:val="0"/>
          <w:sz w:val="24"/>
          <w:lang w:val="zh-CN"/>
        </w:rPr>
        <w:t>4.2.2.3对采购结果提出质疑的，质疑期限自采购结果公告期限届满之日起计算。</w:t>
      </w:r>
    </w:p>
    <w:p>
      <w:pPr>
        <w:pStyle w:val="13"/>
        <w:spacing w:line="360" w:lineRule="auto"/>
        <w:ind w:firstLine="480" w:firstLineChars="200"/>
        <w:rPr>
          <w:rFonts w:hAnsi="宋体" w:cs="宋体"/>
          <w:kern w:val="0"/>
          <w:sz w:val="24"/>
          <w:lang w:val="zh-CN"/>
        </w:rPr>
      </w:pPr>
      <w:r>
        <w:rPr>
          <w:rFonts w:hint="eastAsia" w:hAnsi="宋体" w:cs="宋体"/>
          <w:kern w:val="0"/>
          <w:sz w:val="24"/>
          <w:lang w:val="zh-CN"/>
        </w:rPr>
        <w:t>4.2.3供应商提出质疑应当提交质疑函和必要的证明材料。质疑函应当包括下列内容：</w:t>
      </w:r>
    </w:p>
    <w:p>
      <w:pPr>
        <w:pStyle w:val="13"/>
        <w:spacing w:line="360" w:lineRule="auto"/>
        <w:ind w:firstLine="480" w:firstLineChars="200"/>
        <w:rPr>
          <w:rFonts w:hAnsi="宋体" w:cs="宋体"/>
          <w:kern w:val="0"/>
          <w:sz w:val="24"/>
          <w:lang w:val="zh-CN"/>
        </w:rPr>
      </w:pPr>
      <w:r>
        <w:rPr>
          <w:rFonts w:hint="eastAsia" w:hAnsi="宋体" w:cs="宋体"/>
          <w:kern w:val="0"/>
          <w:sz w:val="24"/>
          <w:lang w:val="zh-CN"/>
        </w:rPr>
        <w:t>4.2.3.1供应商的姓名或者名称、地址、邮编、联系人及联系电话；</w:t>
      </w:r>
    </w:p>
    <w:p>
      <w:pPr>
        <w:pStyle w:val="13"/>
        <w:spacing w:line="360" w:lineRule="auto"/>
        <w:ind w:firstLine="480" w:firstLineChars="200"/>
        <w:rPr>
          <w:rFonts w:hAnsi="宋体" w:cs="宋体"/>
          <w:kern w:val="0"/>
          <w:sz w:val="24"/>
          <w:lang w:val="zh-CN"/>
        </w:rPr>
      </w:pPr>
      <w:r>
        <w:rPr>
          <w:rFonts w:hint="eastAsia" w:hAnsi="宋体" w:cs="宋体"/>
          <w:kern w:val="0"/>
          <w:sz w:val="24"/>
          <w:lang w:val="zh-CN"/>
        </w:rPr>
        <w:t>4.2.3.2质疑项目的名称、编号；</w:t>
      </w:r>
    </w:p>
    <w:p>
      <w:pPr>
        <w:pStyle w:val="13"/>
        <w:spacing w:line="360" w:lineRule="auto"/>
        <w:ind w:firstLine="480" w:firstLineChars="200"/>
        <w:rPr>
          <w:rFonts w:hAnsi="宋体" w:cs="宋体"/>
          <w:kern w:val="0"/>
          <w:sz w:val="24"/>
          <w:lang w:val="zh-CN"/>
        </w:rPr>
      </w:pPr>
      <w:r>
        <w:rPr>
          <w:rFonts w:hint="eastAsia" w:hAnsi="宋体" w:cs="宋体"/>
          <w:kern w:val="0"/>
          <w:sz w:val="24"/>
          <w:lang w:val="zh-CN"/>
        </w:rPr>
        <w:t>4.2.3.3具体、明确的质疑事项和与质疑事项相关的请求；</w:t>
      </w:r>
    </w:p>
    <w:p>
      <w:pPr>
        <w:pStyle w:val="13"/>
        <w:spacing w:line="360" w:lineRule="auto"/>
        <w:ind w:firstLine="480" w:firstLineChars="200"/>
        <w:rPr>
          <w:rFonts w:hAnsi="宋体" w:cs="宋体"/>
          <w:kern w:val="0"/>
          <w:sz w:val="24"/>
          <w:lang w:val="zh-CN"/>
        </w:rPr>
      </w:pPr>
      <w:r>
        <w:rPr>
          <w:rFonts w:hint="eastAsia" w:hAnsi="宋体" w:cs="宋体"/>
          <w:kern w:val="0"/>
          <w:sz w:val="24"/>
          <w:lang w:val="zh-CN"/>
        </w:rPr>
        <w:t>4.2.3.4事实依据；</w:t>
      </w:r>
    </w:p>
    <w:p>
      <w:pPr>
        <w:pStyle w:val="13"/>
        <w:spacing w:line="360" w:lineRule="auto"/>
        <w:ind w:firstLine="480" w:firstLineChars="200"/>
        <w:rPr>
          <w:rFonts w:hAnsi="宋体" w:cs="宋体"/>
          <w:kern w:val="0"/>
          <w:sz w:val="24"/>
          <w:lang w:val="zh-CN"/>
        </w:rPr>
      </w:pPr>
      <w:r>
        <w:rPr>
          <w:rFonts w:hint="eastAsia" w:hAnsi="宋体" w:cs="宋体"/>
          <w:kern w:val="0"/>
          <w:sz w:val="24"/>
          <w:lang w:val="zh-CN"/>
        </w:rPr>
        <w:t>4.2.3.5必要的法律依据；</w:t>
      </w:r>
    </w:p>
    <w:p>
      <w:pPr>
        <w:pStyle w:val="13"/>
        <w:spacing w:line="360" w:lineRule="auto"/>
        <w:ind w:firstLine="480" w:firstLineChars="200"/>
        <w:rPr>
          <w:rFonts w:hAnsi="宋体" w:cs="宋体"/>
          <w:kern w:val="0"/>
          <w:sz w:val="24"/>
          <w:lang w:val="zh-CN"/>
        </w:rPr>
      </w:pPr>
      <w:r>
        <w:rPr>
          <w:rFonts w:hint="eastAsia" w:hAnsi="宋体" w:cs="宋体"/>
          <w:kern w:val="0"/>
          <w:sz w:val="24"/>
          <w:lang w:val="zh-CN"/>
        </w:rPr>
        <w:t>4.2.3.6提出质疑的日期。</w:t>
      </w:r>
    </w:p>
    <w:p>
      <w:pPr>
        <w:pStyle w:val="13"/>
        <w:spacing w:line="360" w:lineRule="auto"/>
        <w:ind w:firstLine="480" w:firstLineChars="200"/>
        <w:rPr>
          <w:rFonts w:hAnsi="宋体" w:cs="宋体"/>
        </w:rPr>
      </w:pPr>
      <w:r>
        <w:rPr>
          <w:rFonts w:hint="eastAsia" w:hAnsi="宋体" w:cs="宋体"/>
          <w:kern w:val="0"/>
          <w:sz w:val="24"/>
          <w:lang w:val="zh-CN"/>
        </w:rPr>
        <w:t>供应商提交的质疑函需一式三份。供应商为自然人的，应当由本人签字；供应商为法人或者其他组织的，应当由法定代表人、主要负责人，或者其授权代表签字或者盖章，并加盖公章。</w:t>
      </w:r>
    </w:p>
    <w:p>
      <w:pPr>
        <w:pStyle w:val="28"/>
        <w:shd w:val="clear" w:color="auto" w:fill="FFFFFF"/>
        <w:snapToGrid w:val="0"/>
        <w:spacing w:after="240" w:afterAutospacing="0" w:line="360" w:lineRule="auto"/>
        <w:ind w:firstLine="400"/>
        <w:contextualSpacing/>
      </w:pPr>
      <w:r>
        <w:rPr>
          <w:rFonts w:hint="eastAsia"/>
        </w:rPr>
        <w:t>质疑函范本及制作说明详见附件2。</w:t>
      </w:r>
    </w:p>
    <w:p>
      <w:pPr>
        <w:pStyle w:val="28"/>
        <w:shd w:val="clear" w:color="auto" w:fill="FFFFFF"/>
        <w:snapToGrid w:val="0"/>
        <w:spacing w:after="240" w:afterAutospacing="0" w:line="360" w:lineRule="auto"/>
        <w:ind w:firstLine="400"/>
        <w:contextualSpacing/>
      </w:pPr>
      <w:r>
        <w:rPr>
          <w:rFonts w:hint="eastAsia"/>
          <w:lang w:val="zh-CN"/>
        </w:rPr>
        <w:t>4.2</w:t>
      </w:r>
      <w:r>
        <w:rPr>
          <w:rFonts w:hint="eastAsia"/>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28"/>
        <w:shd w:val="clear" w:color="auto" w:fill="FFFFFF"/>
        <w:snapToGrid w:val="0"/>
        <w:spacing w:after="240" w:afterAutospacing="0" w:line="360" w:lineRule="auto"/>
        <w:ind w:firstLine="480" w:firstLineChars="200"/>
        <w:contextualSpacing/>
      </w:pPr>
      <w:r>
        <w:rPr>
          <w:rFonts w:hint="eastAsia"/>
          <w:lang w:val="zh-CN"/>
        </w:rPr>
        <w:t>4.2</w:t>
      </w:r>
      <w:r>
        <w:rPr>
          <w:rFonts w:hint="eastAsia"/>
        </w:rPr>
        <w:t>.5询问或者质疑事项可能影响采购结果的，采购人应当暂停签订合同，已经签订合同的，应当中止履行合同。</w:t>
      </w:r>
    </w:p>
    <w:p>
      <w:pPr>
        <w:pStyle w:val="28"/>
        <w:shd w:val="clear" w:color="auto" w:fill="FFFFFF"/>
        <w:snapToGrid w:val="0"/>
        <w:spacing w:after="240" w:afterAutospacing="0" w:line="360" w:lineRule="auto"/>
        <w:ind w:firstLine="480" w:firstLineChars="200"/>
        <w:contextualSpacing/>
        <w:rPr>
          <w:lang w:val="zh-CN"/>
        </w:rPr>
      </w:pPr>
      <w:r>
        <w:rPr>
          <w:rFonts w:hint="eastAsia"/>
          <w:lang w:val="zh-CN"/>
        </w:rPr>
        <w:t>4.3供应商投诉</w:t>
      </w:r>
    </w:p>
    <w:p>
      <w:pPr>
        <w:pStyle w:val="28"/>
        <w:shd w:val="clear" w:color="auto" w:fill="FFFFFF"/>
        <w:snapToGrid w:val="0"/>
        <w:spacing w:after="240" w:afterAutospacing="0" w:line="360" w:lineRule="auto"/>
        <w:ind w:firstLine="480" w:firstLineChars="200"/>
        <w:contextualSpacing/>
      </w:pPr>
      <w:r>
        <w:rPr>
          <w:rFonts w:hint="eastAsia"/>
        </w:rPr>
        <w:t>4.3.1质疑供应商对采购人、采购机构的答复不满意或者采购人、采购机构未在规定的时间内作出答复的，可以在答复期满后十五个工作日内向同级政府采购监督管理部门提出投诉。</w:t>
      </w:r>
    </w:p>
    <w:p>
      <w:pPr>
        <w:pStyle w:val="28"/>
        <w:shd w:val="clear" w:color="auto" w:fill="FFFFFF"/>
        <w:snapToGrid w:val="0"/>
        <w:spacing w:after="240" w:afterAutospacing="0" w:line="360" w:lineRule="auto"/>
        <w:ind w:firstLine="400"/>
        <w:contextualSpacing/>
      </w:pPr>
      <w:r>
        <w:rPr>
          <w:rFonts w:hint="eastAsia"/>
        </w:rPr>
        <w:t>4.3.</w:t>
      </w:r>
      <w:r>
        <w:rPr>
          <w:rFonts w:hint="eastAsia"/>
          <w:lang w:val="zh-CN"/>
        </w:rPr>
        <w:t>2</w:t>
      </w:r>
      <w:r>
        <w:rPr>
          <w:rFonts w:hint="eastAsia"/>
        </w:rPr>
        <w:t>供应商投诉的事项不得超出已质疑事项的范围，基于质疑答复内容提出的投诉事项除外。</w:t>
      </w:r>
    </w:p>
    <w:p>
      <w:pPr>
        <w:pStyle w:val="28"/>
        <w:shd w:val="clear" w:color="auto" w:fill="FFFFFF"/>
        <w:snapToGrid w:val="0"/>
        <w:spacing w:after="240" w:afterAutospacing="0" w:line="360" w:lineRule="auto"/>
        <w:ind w:firstLine="400"/>
        <w:contextualSpacing/>
      </w:pPr>
      <w:r>
        <w:rPr>
          <w:rFonts w:hint="eastAsia"/>
        </w:rPr>
        <w:t>4.3.3供应商投诉应当有明确的请求和必要的证明材料。</w:t>
      </w:r>
    </w:p>
    <w:p>
      <w:pPr>
        <w:pStyle w:val="28"/>
        <w:shd w:val="clear" w:color="auto" w:fill="FFFFFF"/>
        <w:snapToGrid w:val="0"/>
        <w:spacing w:after="240" w:afterAutospacing="0" w:line="360" w:lineRule="auto"/>
        <w:ind w:firstLine="400"/>
        <w:contextualSpacing/>
      </w:pPr>
      <w:r>
        <w:rPr>
          <w:rFonts w:hint="eastAsia"/>
        </w:rPr>
        <w:t>4.3.5 以联合体形式参加政府采购活动的，其投诉应当由组成联合体的所有供应商共同提出。</w:t>
      </w:r>
    </w:p>
    <w:p>
      <w:pPr>
        <w:pStyle w:val="28"/>
        <w:shd w:val="clear" w:color="auto" w:fill="FFFFFF"/>
        <w:snapToGrid w:val="0"/>
        <w:spacing w:after="240" w:afterAutospacing="0" w:line="360" w:lineRule="auto"/>
        <w:ind w:firstLine="400"/>
        <w:contextualSpacing/>
      </w:pPr>
      <w:r>
        <w:rPr>
          <w:rFonts w:hint="eastAsia"/>
        </w:rPr>
        <w:t>投诉书范本及制作说明详见附件3。</w:t>
      </w:r>
    </w:p>
    <w:p>
      <w:pPr>
        <w:pStyle w:val="28"/>
        <w:shd w:val="clear" w:color="auto" w:fill="FFFFFF"/>
        <w:snapToGrid w:val="0"/>
        <w:spacing w:after="240" w:afterAutospacing="0" w:line="360" w:lineRule="auto"/>
        <w:ind w:firstLine="400"/>
        <w:contextualSpacing/>
      </w:pPr>
    </w:p>
    <w:p>
      <w:pPr>
        <w:pStyle w:val="28"/>
        <w:shd w:val="clear" w:color="auto" w:fill="FFFFFF"/>
        <w:snapToGrid w:val="0"/>
        <w:spacing w:after="240" w:afterAutospacing="0" w:line="360" w:lineRule="auto"/>
        <w:ind w:firstLine="400"/>
        <w:contextualSpacing/>
        <w:jc w:val="center"/>
        <w:rPr>
          <w:b/>
          <w:sz w:val="30"/>
          <w:szCs w:val="20"/>
        </w:rPr>
      </w:pPr>
      <w:r>
        <w:rPr>
          <w:rFonts w:hint="eastAsia"/>
          <w:b/>
          <w:sz w:val="30"/>
          <w:szCs w:val="20"/>
        </w:rPr>
        <w:t>二、招标文件的构成、澄清、修改</w:t>
      </w:r>
    </w:p>
    <w:p>
      <w:pPr>
        <w:pStyle w:val="13"/>
        <w:spacing w:line="360" w:lineRule="auto"/>
        <w:rPr>
          <w:rFonts w:hAnsi="宋体" w:cs="宋体"/>
          <w:b/>
          <w:sz w:val="24"/>
          <w:szCs w:val="24"/>
        </w:rPr>
      </w:pPr>
      <w:r>
        <w:rPr>
          <w:rFonts w:hint="eastAsia" w:hAnsi="宋体" w:cs="宋体"/>
          <w:b/>
          <w:sz w:val="24"/>
          <w:szCs w:val="24"/>
        </w:rPr>
        <w:t>5．招标文件的构成</w:t>
      </w:r>
    </w:p>
    <w:p>
      <w:pPr>
        <w:pStyle w:val="1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1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1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1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1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1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1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13"/>
        <w:spacing w:line="360" w:lineRule="auto"/>
        <w:rPr>
          <w:rFonts w:hAnsi="宋体" w:cs="宋体"/>
          <w:b/>
          <w:sz w:val="24"/>
          <w:szCs w:val="24"/>
        </w:rPr>
      </w:pPr>
      <w:r>
        <w:rPr>
          <w:rFonts w:hint="eastAsia" w:hAnsi="宋体" w:cs="宋体"/>
          <w:b/>
          <w:sz w:val="24"/>
          <w:szCs w:val="24"/>
        </w:rPr>
        <w:t>6. 招标文件的澄清、修改</w:t>
      </w:r>
    </w:p>
    <w:p>
      <w:pPr>
        <w:pStyle w:val="29"/>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29"/>
        <w:snapToGrid w:val="0"/>
        <w:spacing w:before="0"/>
        <w:ind w:firstLine="480"/>
        <w:rPr>
          <w:rFonts w:ascii="宋体" w:hAnsi="宋体" w:cs="宋体"/>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9"/>
        <w:snapToGrid w:val="0"/>
        <w:spacing w:before="0"/>
        <w:ind w:firstLine="480"/>
        <w:rPr>
          <w:rFonts w:ascii="宋体" w:hAnsi="宋体" w:cs="宋体"/>
        </w:rPr>
      </w:pP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1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13"/>
        <w:spacing w:line="360" w:lineRule="auto"/>
        <w:rPr>
          <w:rFonts w:hAnsi="宋体" w:cs="宋体"/>
          <w:b/>
          <w:sz w:val="24"/>
          <w:szCs w:val="24"/>
        </w:rPr>
      </w:pPr>
      <w:r>
        <w:rPr>
          <w:rFonts w:hint="eastAsia" w:hAnsi="宋体" w:cs="宋体"/>
          <w:b/>
          <w:sz w:val="24"/>
          <w:szCs w:val="24"/>
        </w:rPr>
        <w:t>8.开标前答疑会或现场考察</w:t>
      </w:r>
    </w:p>
    <w:p>
      <w:pPr>
        <w:pStyle w:val="1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13"/>
        <w:spacing w:line="360" w:lineRule="auto"/>
        <w:rPr>
          <w:rFonts w:hAnsi="宋体" w:cs="宋体"/>
          <w:b/>
          <w:szCs w:val="24"/>
        </w:rPr>
      </w:pPr>
      <w:r>
        <w:rPr>
          <w:rFonts w:hint="eastAsia" w:hAnsi="宋体" w:cs="宋体"/>
          <w:b/>
          <w:kern w:val="28"/>
          <w:sz w:val="24"/>
          <w:szCs w:val="24"/>
        </w:rPr>
        <w:t>9.投标保证金</w:t>
      </w:r>
    </w:p>
    <w:p>
      <w:pPr>
        <w:pStyle w:val="8"/>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1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13"/>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11.1.1提供有效的营业执照副本并加盖公章（或事业单位法人登记证或其他工商等登记证明材料）；</w:t>
      </w:r>
    </w:p>
    <w:p>
      <w:pPr>
        <w:snapToGrid w:val="0"/>
        <w:spacing w:line="360" w:lineRule="auto"/>
        <w:ind w:firstLine="960" w:firstLineChars="400"/>
        <w:rPr>
          <w:rFonts w:ascii="宋体" w:hAnsi="宋体" w:cs="宋体"/>
          <w:sz w:val="24"/>
        </w:rPr>
      </w:pPr>
      <w:r>
        <w:rPr>
          <w:rFonts w:hint="eastAsia" w:ascii="宋体" w:hAnsi="宋体" w:cs="宋体"/>
          <w:sz w:val="24"/>
        </w:rPr>
        <w:t>11.1.2符合参加政府采购活动应当具备的一般条件的承诺函；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11.1.3联合协议（如有）；</w:t>
      </w:r>
    </w:p>
    <w:p>
      <w:pPr>
        <w:snapToGrid w:val="0"/>
        <w:spacing w:line="360" w:lineRule="auto"/>
        <w:ind w:firstLine="960" w:firstLineChars="400"/>
        <w:rPr>
          <w:rFonts w:ascii="宋体" w:hAnsi="宋体" w:cs="宋体"/>
          <w:sz w:val="24"/>
        </w:rPr>
      </w:pPr>
      <w:r>
        <w:rPr>
          <w:rFonts w:hint="eastAsia" w:ascii="宋体" w:hAnsi="宋体" w:cs="宋体"/>
          <w:sz w:val="24"/>
        </w:rPr>
        <w:t>11.1.4落实政府采购政策需满足的资格要求；</w:t>
      </w:r>
    </w:p>
    <w:p>
      <w:pPr>
        <w:snapToGrid w:val="0"/>
        <w:spacing w:line="360" w:lineRule="auto"/>
        <w:ind w:firstLine="960" w:firstLineChars="400"/>
        <w:rPr>
          <w:rFonts w:ascii="宋体" w:hAnsi="宋体" w:cs="宋体"/>
          <w:sz w:val="24"/>
        </w:rPr>
      </w:pPr>
      <w:r>
        <w:rPr>
          <w:rFonts w:hint="eastAsia" w:ascii="宋体" w:hAnsi="宋体" w:cs="宋体"/>
          <w:sz w:val="24"/>
        </w:rPr>
        <w:t>11.1.5本项目的特定资格要求（如有）；</w:t>
      </w:r>
    </w:p>
    <w:p>
      <w:pPr>
        <w:snapToGrid w:val="0"/>
        <w:spacing w:line="360" w:lineRule="auto"/>
        <w:ind w:firstLine="482" w:firstLineChars="200"/>
        <w:rPr>
          <w:rFonts w:ascii="宋体" w:hAnsi="宋体" w:cs="宋体"/>
          <w:b/>
          <w:bCs/>
          <w:sz w:val="24"/>
          <w:lang w:val="zh-CN"/>
        </w:rPr>
      </w:pPr>
      <w:r>
        <w:rPr>
          <w:rFonts w:hint="eastAsia" w:ascii="宋体" w:hAnsi="宋体" w:cs="宋体"/>
          <w:b/>
          <w:bCs/>
          <w:sz w:val="24"/>
          <w:lang w:val="zh-CN"/>
        </w:rPr>
        <w:t>11.</w:t>
      </w:r>
      <w:r>
        <w:rPr>
          <w:rFonts w:hint="eastAsia" w:ascii="宋体" w:hAnsi="宋体" w:cs="宋体"/>
          <w:b/>
          <w:bCs/>
          <w:sz w:val="24"/>
        </w:rPr>
        <w:t>2商务技术</w:t>
      </w:r>
      <w:r>
        <w:rPr>
          <w:rFonts w:hint="eastAsia" w:ascii="宋体" w:hAnsi="宋体" w:cs="宋体"/>
          <w:b/>
          <w:bCs/>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11.2.3符合性审查资料；</w:t>
      </w:r>
    </w:p>
    <w:p>
      <w:pPr>
        <w:snapToGrid w:val="0"/>
        <w:spacing w:line="360" w:lineRule="auto"/>
        <w:ind w:firstLine="960" w:firstLineChars="400"/>
        <w:rPr>
          <w:rFonts w:ascii="宋体" w:hAnsi="宋体" w:cs="宋体"/>
          <w:sz w:val="24"/>
        </w:rPr>
      </w:pPr>
      <w:r>
        <w:rPr>
          <w:rFonts w:hint="eastAsia" w:ascii="宋体" w:hAnsi="宋体" w:cs="宋体"/>
          <w:sz w:val="24"/>
        </w:rPr>
        <w:t>11.2.4水质检测委托协议（如有）；</w:t>
      </w:r>
    </w:p>
    <w:p>
      <w:pPr>
        <w:snapToGrid w:val="0"/>
        <w:spacing w:line="360" w:lineRule="auto"/>
        <w:ind w:firstLine="960" w:firstLineChars="400"/>
        <w:rPr>
          <w:rFonts w:ascii="宋体" w:hAnsi="宋体" w:cs="宋体"/>
          <w:sz w:val="24"/>
        </w:rPr>
      </w:pPr>
      <w:r>
        <w:rPr>
          <w:rFonts w:hint="eastAsia" w:ascii="宋体" w:hAnsi="宋体" w:cs="宋体"/>
          <w:sz w:val="24"/>
        </w:rPr>
        <w:t>11.2.5评标标准相应的商务技术资料；</w:t>
      </w:r>
    </w:p>
    <w:p>
      <w:pPr>
        <w:snapToGrid w:val="0"/>
        <w:spacing w:line="360" w:lineRule="auto"/>
        <w:ind w:firstLine="960" w:firstLineChars="400"/>
        <w:rPr>
          <w:rFonts w:ascii="宋体" w:hAnsi="宋体" w:cs="宋体"/>
          <w:sz w:val="24"/>
        </w:rPr>
      </w:pPr>
      <w:r>
        <w:rPr>
          <w:rFonts w:hint="eastAsia" w:ascii="宋体" w:hAnsi="宋体" w:cs="宋体"/>
          <w:sz w:val="24"/>
        </w:rPr>
        <w:t>11.2.6商务技术偏离表；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仿宋_GB2312"/>
          <w:sz w:val="24"/>
        </w:rPr>
      </w:pPr>
      <w:r>
        <w:rPr>
          <w:rFonts w:ascii="宋体" w:hAnsi="宋体" w:cs="仿宋_GB2312"/>
          <w:sz w:val="24"/>
        </w:rPr>
        <w:t>11.3.</w:t>
      </w:r>
      <w:r>
        <w:rPr>
          <w:rFonts w:hint="eastAsia" w:ascii="宋体" w:hAnsi="宋体" w:cs="仿宋_GB2312"/>
          <w:sz w:val="24"/>
        </w:rPr>
        <w:t>2</w:t>
      </w:r>
      <w:r>
        <w:rPr>
          <w:rFonts w:ascii="宋体" w:hAnsi="宋体" w:cs="仿宋_GB2312"/>
          <w:sz w:val="24"/>
        </w:rPr>
        <w:t>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29"/>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hint="eastAsia" w:ascii="宋体" w:hAnsi="宋体" w:cs="宋体"/>
          <w:b/>
        </w:rPr>
        <w:t>▲</w:t>
      </w:r>
      <w:r>
        <w:rPr>
          <w:rFonts w:hint="eastAsia" w:ascii="宋体" w:hAnsi="宋体" w:cs="宋体"/>
          <w:b/>
          <w:sz w:val="24"/>
          <w:szCs w:val="20"/>
        </w:rPr>
        <w:t>投标文件未按规定的格式编制的，投标无效。</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29"/>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29"/>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29"/>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29"/>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29"/>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9"/>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29"/>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13"/>
        <w:spacing w:line="360" w:lineRule="auto"/>
        <w:rPr>
          <w:rFonts w:hAnsi="宋体" w:cs="宋体"/>
          <w:b/>
          <w:sz w:val="24"/>
          <w:szCs w:val="24"/>
        </w:rPr>
      </w:pPr>
      <w:r>
        <w:rPr>
          <w:rFonts w:hint="eastAsia" w:hAnsi="宋体" w:cs="宋体"/>
          <w:b/>
          <w:sz w:val="24"/>
          <w:szCs w:val="24"/>
        </w:rPr>
        <w:t>15.备份投标文件</w:t>
      </w:r>
    </w:p>
    <w:p>
      <w:pPr>
        <w:pStyle w:val="13"/>
        <w:spacing w:line="360" w:lineRule="auto"/>
        <w:ind w:firstLine="480" w:firstLineChars="20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但采购人、采购机构不强制或变相强制投标人提交备份投标文件。</w:t>
      </w:r>
      <w:r>
        <w:rPr>
          <w:rFonts w:hint="eastAsia" w:hAnsi="宋体" w:cs="仿宋_GB2312"/>
          <w:bCs/>
          <w:sz w:val="24"/>
          <w:szCs w:val="24"/>
        </w:rPr>
        <w:t>如遇备份投标文件无法正常打开的，导致投标失败，由投标人自行负责。</w:t>
      </w:r>
    </w:p>
    <w:p>
      <w:pPr>
        <w:pStyle w:val="1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DVD光盘或U盘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1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1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13"/>
        <w:spacing w:line="360" w:lineRule="auto"/>
        <w:ind w:firstLine="479" w:firstLineChars="199"/>
        <w:rPr>
          <w:rFonts w:hAnsi="宋体" w:cs="宋体"/>
          <w:b/>
          <w:sz w:val="24"/>
          <w:szCs w:val="24"/>
        </w:rPr>
      </w:pPr>
      <w:r>
        <w:rPr>
          <w:rFonts w:hint="eastAsia" w:hAnsi="宋体" w:cs="宋体"/>
          <w:b/>
          <w:sz w:val="24"/>
          <w:szCs w:val="24"/>
        </w:rPr>
        <w:t>15.5投标人仅提交备份投标文件，没有在电子交易平台传输递交投标文件的，投标无效。</w:t>
      </w:r>
    </w:p>
    <w:p>
      <w:pPr>
        <w:pStyle w:val="29"/>
        <w:spacing w:before="0"/>
        <w:ind w:firstLine="0" w:firstLineChars="0"/>
        <w:rPr>
          <w:rFonts w:ascii="宋体" w:hAnsi="宋体" w:cs="宋体"/>
          <w:b/>
          <w:szCs w:val="24"/>
        </w:rPr>
      </w:pPr>
      <w:r>
        <w:rPr>
          <w:rFonts w:hint="eastAsia" w:ascii="宋体" w:hAnsi="宋体" w:cs="宋体"/>
          <w:b/>
          <w:szCs w:val="24"/>
        </w:rPr>
        <w:t>16.投标文件的无效处理</w:t>
      </w:r>
    </w:p>
    <w:p>
      <w:pPr>
        <w:pStyle w:val="29"/>
        <w:spacing w:before="0"/>
        <w:ind w:firstLine="480"/>
        <w:rPr>
          <w:rFonts w:cs="宋体"/>
          <w:szCs w:val="21"/>
        </w:rPr>
      </w:pPr>
      <w:r>
        <w:rPr>
          <w:rFonts w:hint="eastAsia" w:cs="宋体"/>
          <w:szCs w:val="21"/>
        </w:rPr>
        <w:t>有招标文件第四部分</w:t>
      </w:r>
      <w:r>
        <w:rPr>
          <w:rFonts w:hint="eastAsia" w:cs="宋体"/>
        </w:rPr>
        <w:t>第13项规定</w:t>
      </w:r>
      <w:r>
        <w:rPr>
          <w:rFonts w:hint="eastAsia" w:cs="宋体"/>
          <w:szCs w:val="21"/>
        </w:rPr>
        <w:t>的情形之一的，投标无效。</w:t>
      </w:r>
    </w:p>
    <w:p>
      <w:pPr>
        <w:pStyle w:val="29"/>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29"/>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29"/>
        <w:spacing w:before="0"/>
        <w:ind w:firstLine="480"/>
        <w:rPr>
          <w:rFonts w:ascii="宋体" w:hAnsi="宋体" w:cs="宋体"/>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29"/>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30"/>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p>
    <w:p>
      <w:pPr>
        <w:pStyle w:val="30"/>
        <w:spacing w:before="0" w:line="360" w:lineRule="auto"/>
        <w:ind w:left="0" w:firstLine="480" w:firstLineChars="200"/>
        <w:contextualSpacing/>
        <w:rPr>
          <w:rFonts w:ascii="宋体" w:hAnsi="宋体" w:cs="宋体"/>
          <w:b/>
          <w:bCs/>
          <w:color w:val="FF0000"/>
          <w:sz w:val="24"/>
        </w:rPr>
      </w:pPr>
      <w:r>
        <w:rPr>
          <w:rFonts w:hint="eastAsia" w:ascii="宋体" w:hAnsi="宋体" w:cs="宋体"/>
          <w:sz w:val="24"/>
        </w:rPr>
        <w:t>18.1采购机构按照招标文件规定的时间通过电子交易平台组织开标，所有投标人均应当准时在线参加。</w:t>
      </w:r>
      <w:r>
        <w:rPr>
          <w:rFonts w:hint="eastAsia" w:ascii="宋体" w:hAnsi="宋体" w:cs="宋体"/>
          <w:b/>
          <w:bCs/>
          <w:color w:val="FF0000"/>
          <w:sz w:val="24"/>
        </w:rPr>
        <w:t>有效投标人不足3家的，不得开标。</w:t>
      </w:r>
    </w:p>
    <w:p>
      <w:pPr>
        <w:pStyle w:val="30"/>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30"/>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pStyle w:val="30"/>
        <w:spacing w:before="0" w:line="360" w:lineRule="auto"/>
        <w:ind w:left="0" w:firstLine="0"/>
        <w:contextualSpacing/>
        <w:rPr>
          <w:rFonts w:ascii="宋体" w:hAnsi="宋体" w:cs="宋体"/>
          <w:b/>
          <w:sz w:val="24"/>
          <w:szCs w:val="24"/>
        </w:rPr>
      </w:pPr>
      <w:r>
        <w:rPr>
          <w:rFonts w:hint="eastAsia" w:ascii="宋体" w:hAnsi="宋体" w:cs="宋体"/>
          <w:b/>
          <w:sz w:val="24"/>
          <w:szCs w:val="24"/>
        </w:rPr>
        <w:t>19、资格审查</w:t>
      </w:r>
    </w:p>
    <w:p>
      <w:pPr>
        <w:pStyle w:val="29"/>
        <w:spacing w:before="0"/>
        <w:ind w:firstLine="480"/>
        <w:rPr>
          <w:rFonts w:ascii="宋体" w:hAnsi="宋体" w:cs="宋体"/>
          <w:kern w:val="0"/>
          <w:szCs w:val="24"/>
        </w:rPr>
      </w:pPr>
      <w:r>
        <w:rPr>
          <w:rFonts w:hint="eastAsia" w:ascii="宋体" w:hAnsi="宋体" w:cs="宋体"/>
          <w:kern w:val="0"/>
          <w:szCs w:val="24"/>
        </w:rPr>
        <w:t>19.1开标后，采购人或采购机构将依法对投标人的资格进行审查。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采购人或采购机构依据法律法规和招标文件的规定，对投标人的基本资格条件、特定资格条件进行审查。</w:t>
      </w:r>
    </w:p>
    <w:p>
      <w:pPr>
        <w:pStyle w:val="29"/>
        <w:spacing w:before="0"/>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29"/>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4对未通过资格审查的投标人，采购人或采购机构告知其未通过的原因。</w:t>
      </w:r>
    </w:p>
    <w:p>
      <w:pPr>
        <w:pStyle w:val="29"/>
        <w:spacing w:before="0"/>
        <w:ind w:firstLine="482"/>
        <w:rPr>
          <w:rFonts w:ascii="宋体" w:hAnsi="宋体" w:cs="宋体"/>
          <w:b/>
          <w:bCs/>
          <w:color w:val="FF0000"/>
        </w:rPr>
      </w:pPr>
      <w:r>
        <w:rPr>
          <w:rFonts w:hint="eastAsia" w:ascii="宋体" w:hAnsi="宋体" w:cs="宋体"/>
          <w:b/>
          <w:bCs/>
          <w:color w:val="FF0000"/>
          <w:kern w:val="0"/>
          <w:szCs w:val="24"/>
        </w:rPr>
        <w:t>19.</w:t>
      </w:r>
      <w:r>
        <w:rPr>
          <w:rFonts w:hint="eastAsia" w:ascii="宋体" w:hAnsi="宋体" w:cs="宋体"/>
          <w:b/>
          <w:bCs/>
          <w:color w:val="FF0000"/>
        </w:rPr>
        <w:t>5有效投标人不足3家的，不再评标。</w:t>
      </w:r>
    </w:p>
    <w:p>
      <w:pPr>
        <w:pStyle w:val="29"/>
        <w:spacing w:before="0"/>
        <w:ind w:firstLine="0" w:firstLineChars="0"/>
        <w:rPr>
          <w:rFonts w:ascii="宋体" w:hAnsi="宋体" w:cs="宋体"/>
          <w:b/>
          <w:szCs w:val="24"/>
        </w:rPr>
      </w:pPr>
      <w:r>
        <w:rPr>
          <w:rFonts w:hint="eastAsia" w:ascii="宋体" w:hAnsi="宋体" w:cs="宋体"/>
          <w:b/>
          <w:szCs w:val="24"/>
        </w:rPr>
        <w:t>20、信用信息查询</w:t>
      </w:r>
    </w:p>
    <w:p>
      <w:pPr>
        <w:pStyle w:val="29"/>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20.1信用信息查询渠道及截止时间：采购机构将通过“信用中国”网站(www.creditchina.gov.cn)、中国政府采购网(www.ccgp.gov.cn)渠道查询投标人投标截止时间当天的信用记录。</w:t>
      </w:r>
    </w:p>
    <w:p>
      <w:pPr>
        <w:pStyle w:val="29"/>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29"/>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29"/>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0" w:name="_Toc91899903"/>
      <w:r>
        <w:rPr>
          <w:rFonts w:hint="eastAsia" w:ascii="宋体" w:hAnsi="宋体" w:cs="宋体"/>
          <w:b/>
          <w:sz w:val="24"/>
        </w:rPr>
        <w:t>21.</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9"/>
        <w:spacing w:line="360" w:lineRule="auto"/>
        <w:ind w:left="479" w:hanging="479" w:hangingChars="199"/>
        <w:rPr>
          <w:rFonts w:cs="宋体"/>
          <w:b/>
        </w:rPr>
      </w:pPr>
      <w:r>
        <w:rPr>
          <w:rFonts w:hint="eastAsia" w:cs="宋体"/>
          <w:b/>
        </w:rPr>
        <w:t>22. 确定中标供应商</w:t>
      </w:r>
    </w:p>
    <w:p>
      <w:pPr>
        <w:pStyle w:val="29"/>
        <w:snapToGrid w:val="0"/>
        <w:spacing w:before="0"/>
        <w:ind w:firstLine="480"/>
        <w:rPr>
          <w:rFonts w:ascii="宋体" w:hAnsi="宋体" w:cs="宋体"/>
          <w:b/>
          <w:szCs w:val="24"/>
        </w:rPr>
      </w:pPr>
      <w:r>
        <w:rPr>
          <w:rFonts w:hint="eastAsia" w:ascii="宋体" w:hAnsi="宋体" w:cs="宋体"/>
          <w:szCs w:val="24"/>
        </w:rPr>
        <w:t>采购人将自收到评审报告之日起5个工作日内通过电子交易平台在评审报告推荐的中标候选人中按顺序确定中标供应商。</w:t>
      </w:r>
    </w:p>
    <w:p>
      <w:pPr>
        <w:pStyle w:val="29"/>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23.1自中标供应商确定之日起2个工作日内，采购机构通过电子交易平台向中标供应商发出中标通知书，同时编制发布采购结果公告。采购机构也可以以纸质形式进行中标通知。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23.2中标结果公告内容包括采购人及其委托的采购机构的名称、地址、联系方式，项目名称和项目编号，中标供应商名称、地址和中标金额，主要中标标的的名称、规格型号、数量、单价、服务要求，开标记录、</w:t>
      </w:r>
      <w:bookmarkStart w:id="11" w:name="_Hlk101184471"/>
      <w:r>
        <w:rPr>
          <w:rFonts w:hint="eastAsia" w:ascii="宋体" w:hAnsi="宋体" w:cs="宋体"/>
          <w:sz w:val="24"/>
        </w:rPr>
        <w:t>资格审查情况、评审专家抽取规则、符合性审查情况、</w:t>
      </w:r>
      <w:bookmarkEnd w:id="11"/>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9"/>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合同主要条款详见第五部分拟签订的合同文本。（具体合同文本以实际签署的为准）</w:t>
      </w:r>
    </w:p>
    <w:p>
      <w:pPr>
        <w:pStyle w:val="9"/>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采购人与中标供应商应当通过电子交易平台在中标通知书发出之日起三十日内，按照招标文件确定的事项签订政府采购合同，并在合同签订之日起2个工作日内依法发布合同公告。</w:t>
      </w:r>
    </w:p>
    <w:p>
      <w:pPr>
        <w:pStyle w:val="29"/>
        <w:snapToGrid w:val="0"/>
        <w:spacing w:before="0"/>
        <w:ind w:firstLine="480"/>
        <w:rPr>
          <w:rFonts w:ascii="宋体" w:hAnsi="宋体" w:cs="宋体"/>
          <w:kern w:val="0"/>
        </w:rPr>
      </w:pPr>
      <w:r>
        <w:rPr>
          <w:rFonts w:hint="eastAsia" w:ascii="宋体" w:hAnsi="宋体" w:cs="宋体"/>
          <w:kern w:val="0"/>
          <w:lang w:val="zh-CN"/>
        </w:rPr>
        <w:t>25.2中标供应商按规定的日期、时间、地点，由法定代表人或其授权代表与采购人代表签订合同。如中标供应商为联合体的，由联合体成员各方法定代表人或其授权代表与采购人代表签订合同。</w:t>
      </w:r>
    </w:p>
    <w:p>
      <w:pPr>
        <w:pStyle w:val="29"/>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29"/>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29"/>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9"/>
        <w:spacing w:line="360" w:lineRule="auto"/>
        <w:ind w:left="479" w:hanging="479" w:hangingChars="199"/>
        <w:rPr>
          <w:rFonts w:cs="宋体"/>
          <w:b/>
        </w:rPr>
      </w:pPr>
      <w:r>
        <w:rPr>
          <w:rFonts w:hint="eastAsia" w:cs="宋体"/>
          <w:b/>
        </w:rPr>
        <w:t>26. 履约保证金</w:t>
      </w:r>
    </w:p>
    <w:p>
      <w:pPr>
        <w:snapToGrid w:val="0"/>
        <w:spacing w:line="360" w:lineRule="auto"/>
        <w:ind w:firstLine="480" w:firstLineChars="200"/>
        <w:rPr>
          <w:rFonts w:ascii="宋体" w:hAnsi="宋体" w:cs="宋体"/>
          <w:sz w:val="24"/>
          <w:szCs w:val="20"/>
        </w:rPr>
      </w:pPr>
      <w:r>
        <w:rPr>
          <w:rFonts w:hint="eastAsia" w:ascii="宋体" w:hAnsi="宋体" w:cs="宋体"/>
          <w:sz w:val="24"/>
          <w:szCs w:val="20"/>
        </w:rPr>
        <w:t>签订合同时，中标供应商应向采购人交纳合同金额的0.1%作为履约保证金。中标供应商应当以支票、汇票、本票或者金融机构、担保机构出具的保函等非现金形式提交。验收合格之日起30天内无息退还（不计息）。</w:t>
      </w:r>
    </w:p>
    <w:p>
      <w:pPr>
        <w:snapToGrid w:val="0"/>
        <w:spacing w:line="360" w:lineRule="auto"/>
        <w:ind w:firstLine="643" w:firstLineChars="200"/>
        <w:jc w:val="center"/>
        <w:rPr>
          <w:rFonts w:ascii="宋体" w:hAnsi="宋体" w:cs="宋体"/>
          <w:b/>
          <w:sz w:val="24"/>
        </w:rPr>
      </w:pPr>
      <w:r>
        <w:rPr>
          <w:rFonts w:hint="eastAsia" w:ascii="宋体" w:hAnsi="宋体" w:cs="宋体"/>
          <w:b/>
          <w:sz w:val="32"/>
        </w:rPr>
        <w:t>八、电子交易活动的中止</w:t>
      </w:r>
    </w:p>
    <w:p>
      <w:pPr>
        <w:pStyle w:val="29"/>
        <w:snapToGrid w:val="0"/>
        <w:spacing w:before="0"/>
        <w:ind w:firstLine="0" w:firstLineChars="0"/>
        <w:rPr>
          <w:rFonts w:ascii="宋体" w:hAnsi="宋体" w:cs="宋体"/>
        </w:rPr>
      </w:pPr>
      <w:r>
        <w:rPr>
          <w:rFonts w:hint="eastAsia" w:ascii="宋体" w:hAnsi="宋体" w:cs="宋体"/>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29"/>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29"/>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29"/>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29"/>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29"/>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29"/>
        <w:snapToGrid w:val="0"/>
        <w:spacing w:before="0"/>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9"/>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0"/>
    <w:p>
      <w:pPr>
        <w:tabs>
          <w:tab w:val="left" w:pos="0"/>
        </w:tabs>
        <w:spacing w:line="360" w:lineRule="auto"/>
        <w:ind w:firstLine="480"/>
        <w:rPr>
          <w:rFonts w:ascii="宋体" w:hAnsi="宋体" w:cs="宋体"/>
          <w:kern w:val="0"/>
          <w:sz w:val="24"/>
        </w:rPr>
        <w:sectPr>
          <w:footerReference r:id="rId10" w:type="first"/>
          <w:footerReference r:id="rId9" w:type="default"/>
          <w:pgSz w:w="11906" w:h="16838"/>
          <w:pgMar w:top="1440" w:right="1418" w:bottom="1440" w:left="1418" w:header="851" w:footer="992" w:gutter="0"/>
          <w:cols w:space="0" w:num="1"/>
          <w:titlePg/>
          <w:docGrid w:linePitch="312" w:charSpace="0"/>
        </w:sectPr>
      </w:pPr>
      <w:bookmarkStart w:id="12" w:name="_Hlt75236290"/>
      <w:bookmarkEnd w:id="12"/>
      <w:bookmarkStart w:id="13" w:name="_Hlt75236011"/>
      <w:bookmarkEnd w:id="13"/>
      <w:bookmarkStart w:id="14" w:name="_Hlt74730295"/>
      <w:bookmarkEnd w:id="14"/>
      <w:bookmarkStart w:id="15" w:name="_Hlt68403820"/>
      <w:bookmarkEnd w:id="15"/>
      <w:bookmarkStart w:id="16" w:name="_Hlt68057669"/>
      <w:bookmarkEnd w:id="16"/>
      <w:bookmarkStart w:id="17" w:name="_Hlt74714665"/>
      <w:bookmarkEnd w:id="17"/>
      <w:bookmarkStart w:id="18" w:name="_Hlt68072990"/>
      <w:bookmarkEnd w:id="18"/>
      <w:bookmarkStart w:id="19" w:name="_Hlt68073093"/>
      <w:bookmarkEnd w:id="19"/>
      <w:bookmarkStart w:id="20" w:name="_Hlt68072998"/>
      <w:bookmarkEnd w:id="20"/>
      <w:bookmarkStart w:id="21" w:name="_Hlt74707468"/>
      <w:bookmarkEnd w:id="21"/>
      <w:bookmarkStart w:id="22" w:name="_Hlt75236101"/>
      <w:bookmarkEnd w:id="22"/>
      <w:bookmarkStart w:id="23" w:name="_Hlt74729768"/>
      <w:bookmarkEnd w:id="23"/>
    </w:p>
    <w:bookmarkEnd w:id="8"/>
    <w:bookmarkEnd w:id="9"/>
    <w:p>
      <w:pPr>
        <w:spacing w:line="360" w:lineRule="auto"/>
        <w:jc w:val="center"/>
        <w:outlineLvl w:val="0"/>
        <w:rPr>
          <w:rFonts w:ascii="宋体" w:hAnsi="宋体" w:cs="宋体"/>
          <w:b/>
          <w:sz w:val="36"/>
          <w:szCs w:val="36"/>
        </w:rPr>
      </w:pPr>
      <w:bookmarkStart w:id="24" w:name="第四部分"/>
      <w:r>
        <w:rPr>
          <w:rFonts w:hint="eastAsia" w:ascii="宋体" w:hAnsi="宋体" w:cs="宋体"/>
          <w:b/>
          <w:sz w:val="36"/>
          <w:szCs w:val="36"/>
        </w:rPr>
        <w:t>第三部分   采购需求</w:t>
      </w:r>
    </w:p>
    <w:p>
      <w:pPr>
        <w:spacing w:line="440" w:lineRule="exact"/>
        <w:ind w:firstLine="482" w:firstLineChars="200"/>
        <w:rPr>
          <w:rFonts w:ascii="宋体" w:hAnsi="宋体" w:cs="宋体"/>
          <w:b/>
          <w:bCs/>
          <w:sz w:val="24"/>
        </w:rPr>
      </w:pPr>
      <w:r>
        <w:rPr>
          <w:rFonts w:hint="eastAsia" w:ascii="宋体" w:hAnsi="宋体" w:cs="宋体"/>
          <w:b/>
          <w:bCs/>
          <w:sz w:val="24"/>
        </w:rPr>
        <w:t>一、项目概况</w:t>
      </w:r>
    </w:p>
    <w:p>
      <w:pPr>
        <w:spacing w:line="440" w:lineRule="exact"/>
        <w:ind w:firstLine="480" w:firstLineChars="200"/>
        <w:rPr>
          <w:rFonts w:ascii="宋体" w:hAnsi="宋体" w:cs="宋体"/>
          <w:kern w:val="0"/>
          <w:sz w:val="24"/>
        </w:rPr>
      </w:pPr>
      <w:r>
        <w:rPr>
          <w:rFonts w:hint="eastAsia" w:ascii="宋体" w:hAnsi="宋体" w:cs="宋体"/>
          <w:kern w:val="0"/>
          <w:sz w:val="24"/>
        </w:rPr>
        <w:t>标项一：江南片区日常运行维护范围包含：凤川街道、江南镇、新合乡3个乡镇（街道）辖区内生活污水处理设施终端和管网。</w:t>
      </w:r>
    </w:p>
    <w:p>
      <w:pPr>
        <w:spacing w:line="440" w:lineRule="exact"/>
        <w:ind w:firstLine="480" w:firstLineChars="200"/>
        <w:rPr>
          <w:rFonts w:ascii="宋体" w:hAnsi="宋体" w:cs="宋体"/>
          <w:kern w:val="0"/>
          <w:sz w:val="24"/>
        </w:rPr>
      </w:pPr>
      <w:r>
        <w:rPr>
          <w:rFonts w:hint="eastAsia" w:ascii="宋体" w:hAnsi="宋体" w:cs="宋体"/>
          <w:kern w:val="0"/>
          <w:sz w:val="24"/>
        </w:rPr>
        <w:t>日常运维费年预算：</w:t>
      </w:r>
    </w:p>
    <w:tbl>
      <w:tblPr>
        <w:tblStyle w:val="21"/>
        <w:tblW w:w="9597" w:type="dxa"/>
        <w:jc w:val="center"/>
        <w:tblLayout w:type="fixed"/>
        <w:tblCellMar>
          <w:top w:w="0" w:type="dxa"/>
          <w:left w:w="0" w:type="dxa"/>
          <w:bottom w:w="0" w:type="dxa"/>
          <w:right w:w="0" w:type="dxa"/>
        </w:tblCellMar>
      </w:tblPr>
      <w:tblGrid>
        <w:gridCol w:w="730"/>
        <w:gridCol w:w="1608"/>
        <w:gridCol w:w="1630"/>
        <w:gridCol w:w="1630"/>
        <w:gridCol w:w="2176"/>
        <w:gridCol w:w="1823"/>
      </w:tblGrid>
      <w:tr>
        <w:tblPrEx>
          <w:tblCellMar>
            <w:top w:w="0" w:type="dxa"/>
            <w:left w:w="0" w:type="dxa"/>
            <w:bottom w:w="0" w:type="dxa"/>
            <w:right w:w="0" w:type="dxa"/>
          </w:tblCellMar>
        </w:tblPrEx>
        <w:trPr>
          <w:trHeight w:val="618" w:hRule="atLeast"/>
          <w:jc w:val="center"/>
        </w:trPr>
        <w:tc>
          <w:tcPr>
            <w:tcW w:w="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b/>
                <w:kern w:val="0"/>
                <w:sz w:val="20"/>
                <w:szCs w:val="20"/>
              </w:rPr>
              <w:t>序号</w:t>
            </w:r>
          </w:p>
        </w:tc>
        <w:tc>
          <w:tcPr>
            <w:tcW w:w="1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b/>
                <w:kern w:val="0"/>
                <w:sz w:val="20"/>
                <w:szCs w:val="20"/>
              </w:rPr>
              <w:t>乡镇</w:t>
            </w:r>
          </w:p>
        </w:tc>
        <w:tc>
          <w:tcPr>
            <w:tcW w:w="1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b/>
                <w:kern w:val="0"/>
                <w:sz w:val="20"/>
                <w:szCs w:val="20"/>
              </w:rPr>
            </w:pPr>
            <w:r>
              <w:rPr>
                <w:rFonts w:hint="eastAsia" w:ascii="宋体" w:hAnsi="宋体" w:cs="宋体"/>
                <w:b/>
                <w:kern w:val="0"/>
                <w:sz w:val="20"/>
                <w:szCs w:val="20"/>
              </w:rPr>
              <w:t>终端数（处）</w:t>
            </w:r>
          </w:p>
        </w:tc>
        <w:tc>
          <w:tcPr>
            <w:tcW w:w="1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b/>
                <w:kern w:val="0"/>
                <w:sz w:val="20"/>
                <w:szCs w:val="20"/>
              </w:rPr>
              <w:t>农户数（户）</w:t>
            </w:r>
          </w:p>
        </w:tc>
        <w:tc>
          <w:tcPr>
            <w:tcW w:w="2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b/>
                <w:kern w:val="0"/>
                <w:sz w:val="20"/>
                <w:szCs w:val="20"/>
              </w:rPr>
              <w:t>运维标准（元/户）</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b/>
                <w:kern w:val="0"/>
                <w:sz w:val="20"/>
                <w:szCs w:val="20"/>
              </w:rPr>
            </w:pPr>
            <w:r>
              <w:rPr>
                <w:rFonts w:hint="eastAsia" w:ascii="宋体" w:hAnsi="宋体" w:cs="宋体"/>
                <w:b/>
                <w:kern w:val="0"/>
                <w:sz w:val="20"/>
                <w:szCs w:val="20"/>
              </w:rPr>
              <w:t>运维经费（元）</w:t>
            </w:r>
          </w:p>
        </w:tc>
      </w:tr>
      <w:tr>
        <w:tblPrEx>
          <w:tblCellMar>
            <w:top w:w="0" w:type="dxa"/>
            <w:left w:w="0" w:type="dxa"/>
            <w:bottom w:w="0" w:type="dxa"/>
            <w:right w:w="0" w:type="dxa"/>
          </w:tblCellMar>
        </w:tblPrEx>
        <w:trPr>
          <w:trHeight w:val="585" w:hRule="atLeast"/>
          <w:jc w:val="center"/>
        </w:trPr>
        <w:tc>
          <w:tcPr>
            <w:tcW w:w="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1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kern w:val="0"/>
                <w:sz w:val="20"/>
                <w:szCs w:val="20"/>
              </w:rPr>
              <w:t>凤川街道</w:t>
            </w:r>
          </w:p>
        </w:tc>
        <w:tc>
          <w:tcPr>
            <w:tcW w:w="1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47</w:t>
            </w:r>
          </w:p>
        </w:tc>
        <w:tc>
          <w:tcPr>
            <w:tcW w:w="1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color w:val="000000"/>
                <w:kern w:val="0"/>
                <w:sz w:val="20"/>
                <w:szCs w:val="20"/>
                <w:lang w:bidi="ar"/>
              </w:rPr>
              <w:t>3462</w:t>
            </w:r>
          </w:p>
        </w:tc>
        <w:tc>
          <w:tcPr>
            <w:tcW w:w="2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415440</w:t>
            </w:r>
          </w:p>
        </w:tc>
      </w:tr>
      <w:tr>
        <w:tblPrEx>
          <w:tblCellMar>
            <w:top w:w="0" w:type="dxa"/>
            <w:left w:w="0" w:type="dxa"/>
            <w:bottom w:w="0" w:type="dxa"/>
            <w:right w:w="0" w:type="dxa"/>
          </w:tblCellMar>
        </w:tblPrEx>
        <w:trPr>
          <w:trHeight w:val="585" w:hRule="atLeast"/>
          <w:jc w:val="center"/>
        </w:trPr>
        <w:tc>
          <w:tcPr>
            <w:tcW w:w="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sz w:val="20"/>
                <w:szCs w:val="20"/>
              </w:rPr>
              <w:t>2</w:t>
            </w:r>
          </w:p>
        </w:tc>
        <w:tc>
          <w:tcPr>
            <w:tcW w:w="1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kern w:val="0"/>
                <w:sz w:val="20"/>
                <w:szCs w:val="20"/>
              </w:rPr>
              <w:t>江南镇</w:t>
            </w:r>
          </w:p>
        </w:tc>
        <w:tc>
          <w:tcPr>
            <w:tcW w:w="1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128</w:t>
            </w:r>
          </w:p>
        </w:tc>
        <w:tc>
          <w:tcPr>
            <w:tcW w:w="1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color w:val="000000"/>
                <w:kern w:val="0"/>
                <w:sz w:val="20"/>
                <w:szCs w:val="20"/>
                <w:lang w:bidi="ar"/>
              </w:rPr>
              <w:t>13324</w:t>
            </w:r>
          </w:p>
        </w:tc>
        <w:tc>
          <w:tcPr>
            <w:tcW w:w="2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1598880</w:t>
            </w:r>
          </w:p>
        </w:tc>
      </w:tr>
      <w:tr>
        <w:tblPrEx>
          <w:tblCellMar>
            <w:top w:w="0" w:type="dxa"/>
            <w:left w:w="0" w:type="dxa"/>
            <w:bottom w:w="0" w:type="dxa"/>
            <w:right w:w="0" w:type="dxa"/>
          </w:tblCellMar>
        </w:tblPrEx>
        <w:trPr>
          <w:trHeight w:val="585" w:hRule="atLeast"/>
          <w:jc w:val="center"/>
        </w:trPr>
        <w:tc>
          <w:tcPr>
            <w:tcW w:w="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sz w:val="20"/>
                <w:szCs w:val="20"/>
              </w:rPr>
              <w:t>3</w:t>
            </w:r>
          </w:p>
        </w:tc>
        <w:tc>
          <w:tcPr>
            <w:tcW w:w="1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kern w:val="0"/>
                <w:sz w:val="20"/>
                <w:szCs w:val="20"/>
              </w:rPr>
              <w:t>新合乡</w:t>
            </w:r>
          </w:p>
        </w:tc>
        <w:tc>
          <w:tcPr>
            <w:tcW w:w="1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27</w:t>
            </w:r>
          </w:p>
        </w:tc>
        <w:tc>
          <w:tcPr>
            <w:tcW w:w="1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color w:val="000000"/>
                <w:kern w:val="0"/>
                <w:sz w:val="20"/>
                <w:szCs w:val="20"/>
                <w:lang w:bidi="ar"/>
              </w:rPr>
              <w:t>1644</w:t>
            </w:r>
          </w:p>
        </w:tc>
        <w:tc>
          <w:tcPr>
            <w:tcW w:w="2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197280</w:t>
            </w:r>
          </w:p>
        </w:tc>
      </w:tr>
      <w:tr>
        <w:tblPrEx>
          <w:tblCellMar>
            <w:top w:w="0" w:type="dxa"/>
            <w:left w:w="0" w:type="dxa"/>
            <w:bottom w:w="0" w:type="dxa"/>
            <w:right w:w="0" w:type="dxa"/>
          </w:tblCellMar>
        </w:tblPrEx>
        <w:trPr>
          <w:trHeight w:val="632" w:hRule="atLeast"/>
          <w:jc w:val="center"/>
        </w:trPr>
        <w:tc>
          <w:tcPr>
            <w:tcW w:w="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p>
        </w:tc>
        <w:tc>
          <w:tcPr>
            <w:tcW w:w="1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b/>
                <w:bCs/>
                <w:kern w:val="0"/>
                <w:sz w:val="20"/>
                <w:szCs w:val="20"/>
              </w:rPr>
              <w:t>片区小计</w:t>
            </w:r>
          </w:p>
        </w:tc>
        <w:tc>
          <w:tcPr>
            <w:tcW w:w="1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b/>
                <w:bCs/>
                <w:color w:val="000000"/>
                <w:kern w:val="0"/>
                <w:sz w:val="20"/>
                <w:szCs w:val="20"/>
                <w:lang w:bidi="ar"/>
              </w:rPr>
            </w:pPr>
            <w:r>
              <w:rPr>
                <w:rFonts w:hint="eastAsia" w:ascii="宋体" w:hAnsi="宋体" w:cs="宋体"/>
                <w:b/>
                <w:bCs/>
                <w:color w:val="000000"/>
                <w:kern w:val="0"/>
                <w:sz w:val="20"/>
                <w:szCs w:val="20"/>
                <w:lang w:bidi="ar"/>
              </w:rPr>
              <w:t>202</w:t>
            </w:r>
          </w:p>
        </w:tc>
        <w:tc>
          <w:tcPr>
            <w:tcW w:w="1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b/>
                <w:bCs/>
                <w:kern w:val="0"/>
                <w:sz w:val="20"/>
                <w:szCs w:val="20"/>
              </w:rPr>
            </w:pPr>
            <w:r>
              <w:rPr>
                <w:rFonts w:hint="eastAsia" w:ascii="宋体" w:hAnsi="宋体" w:cs="宋体"/>
                <w:b/>
                <w:bCs/>
                <w:color w:val="000000"/>
                <w:kern w:val="0"/>
                <w:sz w:val="20"/>
                <w:szCs w:val="20"/>
                <w:lang w:bidi="ar"/>
              </w:rPr>
              <w:t>18430</w:t>
            </w:r>
          </w:p>
        </w:tc>
        <w:tc>
          <w:tcPr>
            <w:tcW w:w="2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b/>
                <w:bCs/>
                <w:kern w:val="0"/>
                <w:sz w:val="20"/>
                <w:szCs w:val="20"/>
              </w:rPr>
            </w:pPr>
            <w:r>
              <w:rPr>
                <w:rFonts w:hint="eastAsia" w:ascii="宋体" w:hAnsi="宋体" w:cs="宋体"/>
                <w:b/>
                <w:bCs/>
                <w:color w:val="000000"/>
                <w:kern w:val="0"/>
                <w:sz w:val="20"/>
                <w:szCs w:val="20"/>
                <w:lang w:bidi="ar"/>
              </w:rPr>
              <w:t>120</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b/>
                <w:bCs/>
                <w:kern w:val="0"/>
                <w:sz w:val="20"/>
                <w:szCs w:val="20"/>
              </w:rPr>
            </w:pPr>
            <w:r>
              <w:rPr>
                <w:rFonts w:hint="eastAsia" w:ascii="宋体" w:hAnsi="宋体" w:cs="宋体"/>
                <w:b/>
                <w:bCs/>
                <w:color w:val="000000"/>
                <w:kern w:val="0"/>
                <w:sz w:val="20"/>
                <w:szCs w:val="20"/>
                <w:lang w:bidi="ar"/>
              </w:rPr>
              <w:t>2211600</w:t>
            </w:r>
          </w:p>
        </w:tc>
      </w:tr>
    </w:tbl>
    <w:p>
      <w:pPr>
        <w:spacing w:line="440" w:lineRule="exact"/>
        <w:ind w:firstLine="480" w:firstLineChars="200"/>
        <w:rPr>
          <w:rFonts w:ascii="宋体" w:hAnsi="宋体" w:cs="宋体"/>
          <w:kern w:val="0"/>
          <w:sz w:val="24"/>
        </w:rPr>
      </w:pPr>
      <w:r>
        <w:rPr>
          <w:rFonts w:hint="eastAsia" w:ascii="宋体" w:hAnsi="宋体" w:cs="宋体"/>
          <w:kern w:val="0"/>
          <w:sz w:val="24"/>
        </w:rPr>
        <w:t>标项二：瑶琳片区日常运行维护范围包含：瑶琳镇1个乡镇（街道）辖区内生活污水处理设施终端和管网。</w:t>
      </w:r>
    </w:p>
    <w:p>
      <w:pPr>
        <w:spacing w:line="440" w:lineRule="exact"/>
        <w:ind w:firstLine="480" w:firstLineChars="200"/>
        <w:rPr>
          <w:rFonts w:ascii="宋体" w:hAnsi="宋体" w:cs="宋体"/>
          <w:kern w:val="0"/>
          <w:sz w:val="24"/>
        </w:rPr>
      </w:pPr>
      <w:r>
        <w:rPr>
          <w:rFonts w:hint="eastAsia" w:ascii="宋体" w:hAnsi="宋体" w:cs="宋体"/>
          <w:kern w:val="0"/>
          <w:sz w:val="24"/>
        </w:rPr>
        <w:t>日常运维费年预算：</w:t>
      </w:r>
    </w:p>
    <w:tbl>
      <w:tblPr>
        <w:tblStyle w:val="21"/>
        <w:tblW w:w="9613" w:type="dxa"/>
        <w:jc w:val="center"/>
        <w:tblLayout w:type="fixed"/>
        <w:tblCellMar>
          <w:top w:w="0" w:type="dxa"/>
          <w:left w:w="0" w:type="dxa"/>
          <w:bottom w:w="0" w:type="dxa"/>
          <w:right w:w="0" w:type="dxa"/>
        </w:tblCellMar>
      </w:tblPr>
      <w:tblGrid>
        <w:gridCol w:w="692"/>
        <w:gridCol w:w="1666"/>
        <w:gridCol w:w="1599"/>
        <w:gridCol w:w="1599"/>
        <w:gridCol w:w="2232"/>
        <w:gridCol w:w="1825"/>
      </w:tblGrid>
      <w:tr>
        <w:tblPrEx>
          <w:tblCellMar>
            <w:top w:w="0" w:type="dxa"/>
            <w:left w:w="0" w:type="dxa"/>
            <w:bottom w:w="0" w:type="dxa"/>
            <w:right w:w="0" w:type="dxa"/>
          </w:tblCellMar>
        </w:tblPrEx>
        <w:trPr>
          <w:trHeight w:val="530" w:hRule="atLeast"/>
          <w:jc w:val="center"/>
        </w:trPr>
        <w:tc>
          <w:tcPr>
            <w:tcW w:w="6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440" w:lineRule="exact"/>
              <w:jc w:val="center"/>
              <w:textAlignment w:val="center"/>
              <w:rPr>
                <w:rFonts w:ascii="宋体" w:hAnsi="宋体"/>
                <w:sz w:val="20"/>
                <w:szCs w:val="20"/>
              </w:rPr>
            </w:pPr>
            <w:r>
              <w:rPr>
                <w:rFonts w:hint="eastAsia" w:ascii="宋体" w:hAnsi="宋体"/>
                <w:b/>
                <w:bCs/>
                <w:kern w:val="0"/>
                <w:sz w:val="20"/>
                <w:szCs w:val="20"/>
              </w:rPr>
              <w:t>序号</w:t>
            </w:r>
          </w:p>
        </w:tc>
        <w:tc>
          <w:tcPr>
            <w:tcW w:w="16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sz w:val="20"/>
                <w:szCs w:val="20"/>
              </w:rPr>
            </w:pPr>
            <w:r>
              <w:rPr>
                <w:rFonts w:hint="eastAsia" w:ascii="宋体" w:hAnsi="宋体"/>
                <w:b/>
                <w:bCs/>
                <w:kern w:val="0"/>
                <w:sz w:val="20"/>
                <w:szCs w:val="20"/>
              </w:rPr>
              <w:t>乡镇</w:t>
            </w:r>
          </w:p>
        </w:tc>
        <w:tc>
          <w:tcPr>
            <w:tcW w:w="1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b/>
                <w:kern w:val="0"/>
                <w:sz w:val="20"/>
                <w:szCs w:val="20"/>
              </w:rPr>
            </w:pPr>
            <w:r>
              <w:rPr>
                <w:rFonts w:hint="eastAsia" w:ascii="宋体" w:hAnsi="宋体" w:cs="宋体"/>
                <w:b/>
                <w:kern w:val="0"/>
                <w:sz w:val="20"/>
                <w:szCs w:val="20"/>
              </w:rPr>
              <w:t>终端数（处）</w:t>
            </w:r>
          </w:p>
        </w:tc>
        <w:tc>
          <w:tcPr>
            <w:tcW w:w="1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b/>
                <w:kern w:val="0"/>
                <w:sz w:val="20"/>
                <w:szCs w:val="20"/>
              </w:rPr>
              <w:t>农户数（户）</w:t>
            </w:r>
          </w:p>
        </w:tc>
        <w:tc>
          <w:tcPr>
            <w:tcW w:w="22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b/>
                <w:kern w:val="0"/>
                <w:sz w:val="20"/>
                <w:szCs w:val="20"/>
              </w:rPr>
              <w:t>运维标准（元/户）</w:t>
            </w:r>
          </w:p>
        </w:tc>
        <w:tc>
          <w:tcPr>
            <w:tcW w:w="18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b/>
                <w:kern w:val="0"/>
                <w:sz w:val="20"/>
                <w:szCs w:val="20"/>
              </w:rPr>
            </w:pPr>
            <w:r>
              <w:rPr>
                <w:rFonts w:hint="eastAsia" w:ascii="宋体" w:hAnsi="宋体" w:cs="宋体"/>
                <w:b/>
                <w:kern w:val="0"/>
                <w:sz w:val="20"/>
                <w:szCs w:val="20"/>
              </w:rPr>
              <w:t>运维经费（元）</w:t>
            </w:r>
          </w:p>
        </w:tc>
      </w:tr>
      <w:tr>
        <w:tblPrEx>
          <w:tblCellMar>
            <w:top w:w="0" w:type="dxa"/>
            <w:left w:w="0" w:type="dxa"/>
            <w:bottom w:w="0" w:type="dxa"/>
            <w:right w:w="0" w:type="dxa"/>
          </w:tblCellMar>
        </w:tblPrEx>
        <w:trPr>
          <w:trHeight w:val="511" w:hRule="atLeast"/>
          <w:jc w:val="center"/>
        </w:trPr>
        <w:tc>
          <w:tcPr>
            <w:tcW w:w="6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440" w:lineRule="exact"/>
              <w:jc w:val="center"/>
              <w:textAlignment w:val="center"/>
              <w:rPr>
                <w:rFonts w:ascii="宋体" w:hAnsi="宋体"/>
                <w:sz w:val="20"/>
                <w:szCs w:val="20"/>
              </w:rPr>
            </w:pPr>
            <w:bookmarkStart w:id="25" w:name="OLE_LINK1" w:colFirst="0" w:colLast="6"/>
            <w:r>
              <w:rPr>
                <w:rFonts w:hint="eastAsia" w:ascii="宋体" w:hAnsi="宋体"/>
                <w:kern w:val="0"/>
                <w:sz w:val="20"/>
                <w:szCs w:val="20"/>
              </w:rPr>
              <w:t>1</w:t>
            </w:r>
          </w:p>
        </w:tc>
        <w:tc>
          <w:tcPr>
            <w:tcW w:w="16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440" w:lineRule="exact"/>
              <w:jc w:val="center"/>
              <w:rPr>
                <w:rFonts w:ascii="宋体" w:hAnsi="宋体" w:cs="宋体"/>
                <w:sz w:val="20"/>
                <w:szCs w:val="20"/>
              </w:rPr>
            </w:pPr>
            <w:r>
              <w:rPr>
                <w:rFonts w:hint="eastAsia"/>
                <w:sz w:val="20"/>
                <w:szCs w:val="20"/>
              </w:rPr>
              <w:t>瑶琳镇</w:t>
            </w:r>
          </w:p>
        </w:tc>
        <w:tc>
          <w:tcPr>
            <w:tcW w:w="1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174</w:t>
            </w:r>
          </w:p>
        </w:tc>
        <w:tc>
          <w:tcPr>
            <w:tcW w:w="1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sz w:val="20"/>
                <w:szCs w:val="20"/>
              </w:rPr>
            </w:pPr>
            <w:r>
              <w:rPr>
                <w:rFonts w:hint="eastAsia" w:ascii="宋体" w:hAnsi="宋体" w:cs="宋体"/>
                <w:color w:val="000000"/>
                <w:kern w:val="0"/>
                <w:sz w:val="20"/>
                <w:szCs w:val="20"/>
                <w:lang w:bidi="ar"/>
              </w:rPr>
              <w:t>10968</w:t>
            </w:r>
          </w:p>
        </w:tc>
        <w:tc>
          <w:tcPr>
            <w:tcW w:w="22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sz w:val="20"/>
                <w:szCs w:val="20"/>
              </w:rPr>
            </w:pPr>
            <w:r>
              <w:rPr>
                <w:rFonts w:hint="eastAsia" w:ascii="宋体" w:hAnsi="宋体" w:cs="宋体"/>
                <w:color w:val="000000"/>
                <w:kern w:val="0"/>
                <w:sz w:val="20"/>
                <w:szCs w:val="20"/>
                <w:lang w:bidi="ar"/>
              </w:rPr>
              <w:t>120</w:t>
            </w:r>
          </w:p>
        </w:tc>
        <w:tc>
          <w:tcPr>
            <w:tcW w:w="18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1316160</w:t>
            </w:r>
          </w:p>
        </w:tc>
      </w:tr>
      <w:tr>
        <w:tblPrEx>
          <w:tblCellMar>
            <w:top w:w="0" w:type="dxa"/>
            <w:left w:w="0" w:type="dxa"/>
            <w:bottom w:w="0" w:type="dxa"/>
            <w:right w:w="0" w:type="dxa"/>
          </w:tblCellMar>
        </w:tblPrEx>
        <w:trPr>
          <w:trHeight w:val="521" w:hRule="atLeast"/>
          <w:jc w:val="center"/>
        </w:trPr>
        <w:tc>
          <w:tcPr>
            <w:tcW w:w="6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440" w:lineRule="exact"/>
              <w:jc w:val="center"/>
              <w:rPr>
                <w:b/>
                <w:bCs/>
                <w:sz w:val="20"/>
                <w:szCs w:val="20"/>
              </w:rPr>
            </w:pPr>
          </w:p>
        </w:tc>
        <w:tc>
          <w:tcPr>
            <w:tcW w:w="16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440" w:lineRule="exact"/>
              <w:jc w:val="center"/>
              <w:rPr>
                <w:b/>
                <w:bCs/>
                <w:sz w:val="20"/>
                <w:szCs w:val="20"/>
              </w:rPr>
            </w:pPr>
            <w:r>
              <w:rPr>
                <w:rFonts w:hint="eastAsia"/>
                <w:b/>
                <w:bCs/>
                <w:sz w:val="20"/>
                <w:szCs w:val="20"/>
              </w:rPr>
              <w:t>片区小计</w:t>
            </w:r>
          </w:p>
        </w:tc>
        <w:tc>
          <w:tcPr>
            <w:tcW w:w="1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b/>
                <w:bCs/>
                <w:color w:val="000000"/>
                <w:kern w:val="0"/>
                <w:sz w:val="20"/>
                <w:szCs w:val="20"/>
                <w:lang w:bidi="ar"/>
              </w:rPr>
            </w:pPr>
            <w:r>
              <w:rPr>
                <w:rFonts w:hint="eastAsia" w:ascii="宋体" w:hAnsi="宋体" w:cs="宋体"/>
                <w:b/>
                <w:bCs/>
                <w:color w:val="000000"/>
                <w:kern w:val="0"/>
                <w:sz w:val="20"/>
                <w:szCs w:val="20"/>
                <w:lang w:bidi="ar"/>
              </w:rPr>
              <w:t>174</w:t>
            </w:r>
          </w:p>
        </w:tc>
        <w:tc>
          <w:tcPr>
            <w:tcW w:w="1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b/>
                <w:bCs/>
                <w:kern w:val="0"/>
                <w:sz w:val="20"/>
                <w:szCs w:val="20"/>
              </w:rPr>
            </w:pPr>
            <w:r>
              <w:rPr>
                <w:rFonts w:hint="eastAsia" w:ascii="宋体" w:hAnsi="宋体" w:cs="宋体"/>
                <w:b/>
                <w:bCs/>
                <w:color w:val="000000"/>
                <w:kern w:val="0"/>
                <w:sz w:val="20"/>
                <w:szCs w:val="20"/>
                <w:lang w:bidi="ar"/>
              </w:rPr>
              <w:t>10968</w:t>
            </w:r>
          </w:p>
        </w:tc>
        <w:tc>
          <w:tcPr>
            <w:tcW w:w="22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b/>
                <w:bCs/>
                <w:kern w:val="0"/>
                <w:sz w:val="20"/>
                <w:szCs w:val="20"/>
              </w:rPr>
            </w:pPr>
            <w:r>
              <w:rPr>
                <w:rFonts w:hint="eastAsia" w:ascii="宋体" w:hAnsi="宋体" w:cs="宋体"/>
                <w:b/>
                <w:bCs/>
                <w:color w:val="000000"/>
                <w:kern w:val="0"/>
                <w:sz w:val="20"/>
                <w:szCs w:val="20"/>
                <w:lang w:bidi="ar"/>
              </w:rPr>
              <w:t>120</w:t>
            </w:r>
          </w:p>
        </w:tc>
        <w:tc>
          <w:tcPr>
            <w:tcW w:w="18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b/>
                <w:bCs/>
                <w:kern w:val="0"/>
                <w:sz w:val="20"/>
                <w:szCs w:val="20"/>
              </w:rPr>
            </w:pPr>
            <w:r>
              <w:rPr>
                <w:rFonts w:hint="eastAsia" w:ascii="宋体" w:hAnsi="宋体" w:cs="宋体"/>
                <w:b/>
                <w:bCs/>
                <w:color w:val="000000"/>
                <w:kern w:val="0"/>
                <w:sz w:val="20"/>
                <w:szCs w:val="20"/>
                <w:lang w:bidi="ar"/>
              </w:rPr>
              <w:t>1316160</w:t>
            </w:r>
          </w:p>
        </w:tc>
      </w:tr>
      <w:bookmarkEnd w:id="25"/>
    </w:tbl>
    <w:p>
      <w:pPr>
        <w:spacing w:line="440" w:lineRule="exact"/>
        <w:ind w:firstLine="480" w:firstLineChars="200"/>
        <w:rPr>
          <w:rFonts w:ascii="宋体" w:hAnsi="宋体" w:cs="宋体"/>
          <w:kern w:val="0"/>
          <w:sz w:val="24"/>
        </w:rPr>
      </w:pPr>
      <w:r>
        <w:rPr>
          <w:rFonts w:hint="eastAsia" w:ascii="宋体" w:hAnsi="宋体" w:cs="宋体"/>
          <w:kern w:val="0"/>
          <w:sz w:val="24"/>
        </w:rPr>
        <w:t>标项三：分水片区日常运行维护范围包含：分水镇、百江镇、合村乡3个乡镇（街道）辖区内生活污水处理设施终端和管网。</w:t>
      </w:r>
    </w:p>
    <w:p>
      <w:pPr>
        <w:spacing w:line="440" w:lineRule="exact"/>
        <w:ind w:firstLine="480" w:firstLineChars="200"/>
        <w:rPr>
          <w:rFonts w:ascii="宋体" w:hAnsi="宋体" w:cs="宋体"/>
          <w:kern w:val="0"/>
          <w:sz w:val="24"/>
        </w:rPr>
      </w:pPr>
      <w:r>
        <w:rPr>
          <w:rFonts w:hint="eastAsia" w:ascii="宋体" w:hAnsi="宋体" w:cs="宋体"/>
          <w:kern w:val="0"/>
          <w:sz w:val="24"/>
        </w:rPr>
        <w:t>日常运维费年预算：</w:t>
      </w:r>
    </w:p>
    <w:tbl>
      <w:tblPr>
        <w:tblStyle w:val="21"/>
        <w:tblW w:w="9592" w:type="dxa"/>
        <w:jc w:val="center"/>
        <w:tblLayout w:type="fixed"/>
        <w:tblCellMar>
          <w:top w:w="0" w:type="dxa"/>
          <w:left w:w="0" w:type="dxa"/>
          <w:bottom w:w="0" w:type="dxa"/>
          <w:right w:w="0" w:type="dxa"/>
        </w:tblCellMar>
      </w:tblPr>
      <w:tblGrid>
        <w:gridCol w:w="685"/>
        <w:gridCol w:w="1697"/>
        <w:gridCol w:w="1538"/>
        <w:gridCol w:w="1615"/>
        <w:gridCol w:w="2227"/>
        <w:gridCol w:w="1830"/>
      </w:tblGrid>
      <w:tr>
        <w:tblPrEx>
          <w:tblCellMar>
            <w:top w:w="0" w:type="dxa"/>
            <w:left w:w="0" w:type="dxa"/>
            <w:bottom w:w="0" w:type="dxa"/>
            <w:right w:w="0" w:type="dxa"/>
          </w:tblCellMar>
        </w:tblPrEx>
        <w:trPr>
          <w:trHeight w:val="523" w:hRule="atLeast"/>
          <w:jc w:val="center"/>
        </w:trPr>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440" w:lineRule="exact"/>
              <w:jc w:val="center"/>
              <w:textAlignment w:val="center"/>
              <w:rPr>
                <w:rFonts w:ascii="宋体" w:hAnsi="宋体"/>
                <w:b/>
                <w:bCs/>
                <w:kern w:val="0"/>
                <w:sz w:val="20"/>
                <w:szCs w:val="20"/>
              </w:rPr>
            </w:pPr>
            <w:r>
              <w:rPr>
                <w:rFonts w:hint="eastAsia" w:ascii="宋体" w:hAnsi="宋体"/>
                <w:b/>
                <w:bCs/>
                <w:kern w:val="0"/>
                <w:sz w:val="20"/>
                <w:szCs w:val="20"/>
              </w:rPr>
              <w:t>序号</w:t>
            </w:r>
          </w:p>
        </w:tc>
        <w:tc>
          <w:tcPr>
            <w:tcW w:w="16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b/>
                <w:bCs/>
                <w:kern w:val="0"/>
                <w:sz w:val="20"/>
                <w:szCs w:val="20"/>
              </w:rPr>
            </w:pPr>
            <w:r>
              <w:rPr>
                <w:rFonts w:hint="eastAsia" w:ascii="宋体" w:hAnsi="宋体"/>
                <w:b/>
                <w:bCs/>
                <w:kern w:val="0"/>
                <w:sz w:val="20"/>
                <w:szCs w:val="20"/>
              </w:rPr>
              <w:t>乡镇</w:t>
            </w:r>
          </w:p>
        </w:tc>
        <w:tc>
          <w:tcPr>
            <w:tcW w:w="15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b/>
                <w:kern w:val="0"/>
                <w:sz w:val="20"/>
                <w:szCs w:val="20"/>
              </w:rPr>
            </w:pPr>
            <w:r>
              <w:rPr>
                <w:rFonts w:hint="eastAsia" w:ascii="宋体" w:hAnsi="宋体" w:cs="宋体"/>
                <w:b/>
                <w:kern w:val="0"/>
                <w:sz w:val="20"/>
                <w:szCs w:val="20"/>
              </w:rPr>
              <w:t>终端数（处）</w:t>
            </w:r>
          </w:p>
        </w:tc>
        <w:tc>
          <w:tcPr>
            <w:tcW w:w="16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b/>
                <w:kern w:val="0"/>
                <w:sz w:val="20"/>
                <w:szCs w:val="20"/>
              </w:rPr>
              <w:t>农户数（户）</w:t>
            </w:r>
          </w:p>
        </w:tc>
        <w:tc>
          <w:tcPr>
            <w:tcW w:w="22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b/>
                <w:kern w:val="0"/>
                <w:sz w:val="20"/>
                <w:szCs w:val="20"/>
              </w:rPr>
              <w:t>运维标准（元/户）</w:t>
            </w:r>
          </w:p>
        </w:tc>
        <w:tc>
          <w:tcPr>
            <w:tcW w:w="18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b/>
                <w:kern w:val="0"/>
                <w:sz w:val="20"/>
                <w:szCs w:val="20"/>
              </w:rPr>
            </w:pPr>
            <w:r>
              <w:rPr>
                <w:rFonts w:hint="eastAsia" w:ascii="宋体" w:hAnsi="宋体" w:cs="宋体"/>
                <w:b/>
                <w:kern w:val="0"/>
                <w:sz w:val="20"/>
                <w:szCs w:val="20"/>
              </w:rPr>
              <w:t>运维经费（元）</w:t>
            </w:r>
          </w:p>
        </w:tc>
      </w:tr>
      <w:tr>
        <w:tblPrEx>
          <w:tblCellMar>
            <w:top w:w="0" w:type="dxa"/>
            <w:left w:w="0" w:type="dxa"/>
            <w:bottom w:w="0" w:type="dxa"/>
            <w:right w:w="0" w:type="dxa"/>
          </w:tblCellMar>
        </w:tblPrEx>
        <w:trPr>
          <w:trHeight w:val="468" w:hRule="atLeast"/>
          <w:jc w:val="center"/>
        </w:trPr>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kern w:val="0"/>
                <w:sz w:val="20"/>
                <w:szCs w:val="20"/>
              </w:rPr>
              <w:t>1</w:t>
            </w:r>
          </w:p>
        </w:tc>
        <w:tc>
          <w:tcPr>
            <w:tcW w:w="16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kern w:val="0"/>
                <w:sz w:val="20"/>
                <w:szCs w:val="20"/>
              </w:rPr>
              <w:t>分水镇</w:t>
            </w:r>
          </w:p>
        </w:tc>
        <w:tc>
          <w:tcPr>
            <w:tcW w:w="15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230</w:t>
            </w:r>
          </w:p>
        </w:tc>
        <w:tc>
          <w:tcPr>
            <w:tcW w:w="16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11030</w:t>
            </w:r>
          </w:p>
        </w:tc>
        <w:tc>
          <w:tcPr>
            <w:tcW w:w="22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120</w:t>
            </w:r>
          </w:p>
        </w:tc>
        <w:tc>
          <w:tcPr>
            <w:tcW w:w="18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1323600</w:t>
            </w:r>
          </w:p>
        </w:tc>
      </w:tr>
      <w:tr>
        <w:tblPrEx>
          <w:tblCellMar>
            <w:top w:w="0" w:type="dxa"/>
            <w:left w:w="0" w:type="dxa"/>
            <w:bottom w:w="0" w:type="dxa"/>
            <w:right w:w="0" w:type="dxa"/>
          </w:tblCellMar>
        </w:tblPrEx>
        <w:trPr>
          <w:trHeight w:val="468" w:hRule="atLeast"/>
          <w:jc w:val="center"/>
        </w:trPr>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440" w:lineRule="exact"/>
              <w:jc w:val="center"/>
              <w:rPr>
                <w:sz w:val="20"/>
                <w:szCs w:val="20"/>
              </w:rPr>
            </w:pPr>
            <w:r>
              <w:rPr>
                <w:rFonts w:hint="eastAsia"/>
                <w:sz w:val="20"/>
                <w:szCs w:val="20"/>
              </w:rPr>
              <w:t>2</w:t>
            </w:r>
          </w:p>
        </w:tc>
        <w:tc>
          <w:tcPr>
            <w:tcW w:w="16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440" w:lineRule="exact"/>
              <w:jc w:val="center"/>
              <w:rPr>
                <w:sz w:val="20"/>
                <w:szCs w:val="20"/>
              </w:rPr>
            </w:pPr>
            <w:r>
              <w:rPr>
                <w:rFonts w:hint="eastAsia"/>
                <w:sz w:val="20"/>
                <w:szCs w:val="20"/>
              </w:rPr>
              <w:t>百江镇</w:t>
            </w:r>
          </w:p>
        </w:tc>
        <w:tc>
          <w:tcPr>
            <w:tcW w:w="15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145</w:t>
            </w:r>
          </w:p>
        </w:tc>
        <w:tc>
          <w:tcPr>
            <w:tcW w:w="16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5224</w:t>
            </w:r>
          </w:p>
        </w:tc>
        <w:tc>
          <w:tcPr>
            <w:tcW w:w="22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120</w:t>
            </w:r>
          </w:p>
        </w:tc>
        <w:tc>
          <w:tcPr>
            <w:tcW w:w="18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626880</w:t>
            </w:r>
          </w:p>
        </w:tc>
      </w:tr>
      <w:tr>
        <w:tblPrEx>
          <w:tblCellMar>
            <w:top w:w="0" w:type="dxa"/>
            <w:left w:w="0" w:type="dxa"/>
            <w:bottom w:w="0" w:type="dxa"/>
            <w:right w:w="0" w:type="dxa"/>
          </w:tblCellMar>
        </w:tblPrEx>
        <w:trPr>
          <w:trHeight w:val="468" w:hRule="atLeast"/>
          <w:jc w:val="center"/>
        </w:trPr>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440" w:lineRule="exact"/>
              <w:jc w:val="center"/>
              <w:rPr>
                <w:sz w:val="20"/>
                <w:szCs w:val="20"/>
              </w:rPr>
            </w:pPr>
            <w:r>
              <w:rPr>
                <w:rFonts w:hint="eastAsia"/>
                <w:sz w:val="20"/>
                <w:szCs w:val="20"/>
              </w:rPr>
              <w:t>3</w:t>
            </w:r>
          </w:p>
        </w:tc>
        <w:tc>
          <w:tcPr>
            <w:tcW w:w="16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440" w:lineRule="exact"/>
              <w:jc w:val="center"/>
              <w:rPr>
                <w:sz w:val="20"/>
                <w:szCs w:val="20"/>
              </w:rPr>
            </w:pPr>
            <w:r>
              <w:rPr>
                <w:rFonts w:hint="eastAsia"/>
                <w:sz w:val="20"/>
                <w:szCs w:val="20"/>
              </w:rPr>
              <w:t>合村乡</w:t>
            </w:r>
          </w:p>
        </w:tc>
        <w:tc>
          <w:tcPr>
            <w:tcW w:w="15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65</w:t>
            </w:r>
          </w:p>
        </w:tc>
        <w:tc>
          <w:tcPr>
            <w:tcW w:w="16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2102</w:t>
            </w:r>
          </w:p>
        </w:tc>
        <w:tc>
          <w:tcPr>
            <w:tcW w:w="22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120</w:t>
            </w:r>
          </w:p>
        </w:tc>
        <w:tc>
          <w:tcPr>
            <w:tcW w:w="18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252240</w:t>
            </w:r>
          </w:p>
        </w:tc>
      </w:tr>
      <w:tr>
        <w:tblPrEx>
          <w:tblCellMar>
            <w:top w:w="0" w:type="dxa"/>
            <w:left w:w="0" w:type="dxa"/>
            <w:bottom w:w="0" w:type="dxa"/>
            <w:right w:w="0" w:type="dxa"/>
          </w:tblCellMar>
        </w:tblPrEx>
        <w:trPr>
          <w:trHeight w:val="495" w:hRule="atLeast"/>
          <w:jc w:val="center"/>
        </w:trPr>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440" w:lineRule="exact"/>
              <w:jc w:val="center"/>
              <w:rPr>
                <w:b/>
                <w:bCs/>
                <w:sz w:val="20"/>
                <w:szCs w:val="20"/>
              </w:rPr>
            </w:pPr>
          </w:p>
        </w:tc>
        <w:tc>
          <w:tcPr>
            <w:tcW w:w="16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440" w:lineRule="exact"/>
              <w:jc w:val="center"/>
              <w:rPr>
                <w:b/>
                <w:bCs/>
                <w:sz w:val="20"/>
                <w:szCs w:val="20"/>
              </w:rPr>
            </w:pPr>
            <w:r>
              <w:rPr>
                <w:rFonts w:hint="eastAsia"/>
                <w:b/>
                <w:bCs/>
                <w:sz w:val="20"/>
                <w:szCs w:val="20"/>
              </w:rPr>
              <w:t>片区小计</w:t>
            </w:r>
          </w:p>
        </w:tc>
        <w:tc>
          <w:tcPr>
            <w:tcW w:w="15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b/>
                <w:bCs/>
                <w:color w:val="000000"/>
                <w:kern w:val="0"/>
                <w:sz w:val="20"/>
                <w:szCs w:val="20"/>
                <w:lang w:bidi="ar"/>
              </w:rPr>
            </w:pPr>
            <w:r>
              <w:rPr>
                <w:rFonts w:hint="eastAsia" w:ascii="宋体" w:hAnsi="宋体" w:cs="宋体"/>
                <w:b/>
                <w:bCs/>
                <w:color w:val="000000"/>
                <w:kern w:val="0"/>
                <w:sz w:val="20"/>
                <w:szCs w:val="20"/>
                <w:lang w:bidi="ar"/>
              </w:rPr>
              <w:t>440</w:t>
            </w:r>
          </w:p>
        </w:tc>
        <w:tc>
          <w:tcPr>
            <w:tcW w:w="16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b/>
                <w:bCs/>
                <w:sz w:val="20"/>
                <w:szCs w:val="20"/>
              </w:rPr>
            </w:pPr>
            <w:r>
              <w:rPr>
                <w:rFonts w:hint="eastAsia" w:ascii="宋体" w:hAnsi="宋体" w:cs="宋体"/>
                <w:b/>
                <w:bCs/>
                <w:color w:val="000000"/>
                <w:kern w:val="0"/>
                <w:sz w:val="20"/>
                <w:szCs w:val="20"/>
                <w:lang w:bidi="ar"/>
              </w:rPr>
              <w:t>18356</w:t>
            </w:r>
          </w:p>
        </w:tc>
        <w:tc>
          <w:tcPr>
            <w:tcW w:w="22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b/>
                <w:bCs/>
                <w:sz w:val="20"/>
                <w:szCs w:val="20"/>
              </w:rPr>
            </w:pPr>
            <w:r>
              <w:rPr>
                <w:rFonts w:hint="eastAsia" w:ascii="宋体" w:hAnsi="宋体" w:cs="宋体"/>
                <w:b/>
                <w:bCs/>
                <w:color w:val="000000"/>
                <w:kern w:val="0"/>
                <w:sz w:val="20"/>
                <w:szCs w:val="20"/>
                <w:lang w:bidi="ar"/>
              </w:rPr>
              <w:t>120</w:t>
            </w:r>
          </w:p>
        </w:tc>
        <w:tc>
          <w:tcPr>
            <w:tcW w:w="18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b/>
                <w:bCs/>
                <w:sz w:val="20"/>
                <w:szCs w:val="20"/>
              </w:rPr>
            </w:pPr>
            <w:r>
              <w:rPr>
                <w:rFonts w:hint="eastAsia" w:ascii="宋体" w:hAnsi="宋体" w:cs="宋体"/>
                <w:b/>
                <w:bCs/>
                <w:color w:val="000000"/>
                <w:kern w:val="0"/>
                <w:sz w:val="20"/>
                <w:szCs w:val="20"/>
                <w:lang w:bidi="ar"/>
              </w:rPr>
              <w:t>2202720</w:t>
            </w:r>
          </w:p>
        </w:tc>
      </w:tr>
    </w:tbl>
    <w:p>
      <w:pPr>
        <w:spacing w:line="440" w:lineRule="exact"/>
        <w:ind w:firstLine="480" w:firstLineChars="200"/>
        <w:rPr>
          <w:rFonts w:ascii="宋体" w:hAnsi="宋体" w:cs="宋体"/>
          <w:kern w:val="0"/>
          <w:sz w:val="24"/>
        </w:rPr>
      </w:pPr>
      <w:r>
        <w:rPr>
          <w:rFonts w:hint="eastAsia" w:ascii="宋体" w:hAnsi="宋体" w:cs="宋体"/>
          <w:kern w:val="0"/>
          <w:sz w:val="24"/>
        </w:rPr>
        <w:t>标项四：桐君片区日常运行维护范围包含：桐君街道、城南街道、富春江镇3个乡镇（街道）辖区内生活污水处理设施终端和管网。</w:t>
      </w:r>
    </w:p>
    <w:p>
      <w:pPr>
        <w:spacing w:line="440" w:lineRule="exact"/>
        <w:ind w:firstLine="480" w:firstLineChars="200"/>
        <w:rPr>
          <w:rFonts w:ascii="宋体" w:hAnsi="宋体" w:cs="宋体"/>
          <w:kern w:val="0"/>
          <w:sz w:val="24"/>
        </w:rPr>
      </w:pPr>
      <w:r>
        <w:rPr>
          <w:rFonts w:hint="eastAsia" w:ascii="宋体" w:hAnsi="宋体" w:cs="宋体"/>
          <w:kern w:val="0"/>
          <w:sz w:val="24"/>
        </w:rPr>
        <w:t>日常运维费年预算：</w:t>
      </w:r>
    </w:p>
    <w:tbl>
      <w:tblPr>
        <w:tblStyle w:val="21"/>
        <w:tblW w:w="9631" w:type="dxa"/>
        <w:jc w:val="center"/>
        <w:tblLayout w:type="fixed"/>
        <w:tblCellMar>
          <w:top w:w="0" w:type="dxa"/>
          <w:left w:w="0" w:type="dxa"/>
          <w:bottom w:w="0" w:type="dxa"/>
          <w:right w:w="0" w:type="dxa"/>
        </w:tblCellMar>
      </w:tblPr>
      <w:tblGrid>
        <w:gridCol w:w="714"/>
        <w:gridCol w:w="1669"/>
        <w:gridCol w:w="1608"/>
        <w:gridCol w:w="1549"/>
        <w:gridCol w:w="2247"/>
        <w:gridCol w:w="1844"/>
      </w:tblGrid>
      <w:tr>
        <w:tblPrEx>
          <w:tblCellMar>
            <w:top w:w="0" w:type="dxa"/>
            <w:left w:w="0" w:type="dxa"/>
            <w:bottom w:w="0" w:type="dxa"/>
            <w:right w:w="0" w:type="dxa"/>
          </w:tblCellMar>
        </w:tblPrEx>
        <w:trPr>
          <w:trHeight w:val="571" w:hRule="atLeast"/>
          <w:jc w:val="center"/>
        </w:trPr>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b/>
                <w:kern w:val="0"/>
                <w:sz w:val="20"/>
                <w:szCs w:val="20"/>
              </w:rPr>
              <w:t>序号</w:t>
            </w:r>
          </w:p>
        </w:tc>
        <w:tc>
          <w:tcPr>
            <w:tcW w:w="1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b/>
                <w:kern w:val="0"/>
                <w:sz w:val="20"/>
                <w:szCs w:val="20"/>
              </w:rPr>
              <w:t>乡镇</w:t>
            </w:r>
          </w:p>
        </w:tc>
        <w:tc>
          <w:tcPr>
            <w:tcW w:w="1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b/>
                <w:kern w:val="0"/>
                <w:sz w:val="20"/>
                <w:szCs w:val="20"/>
              </w:rPr>
            </w:pPr>
            <w:r>
              <w:rPr>
                <w:rFonts w:hint="eastAsia" w:ascii="宋体" w:hAnsi="宋体" w:cs="宋体"/>
                <w:b/>
                <w:kern w:val="0"/>
                <w:sz w:val="20"/>
                <w:szCs w:val="20"/>
              </w:rPr>
              <w:t>终端数（处）</w:t>
            </w:r>
          </w:p>
        </w:tc>
        <w:tc>
          <w:tcPr>
            <w:tcW w:w="1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b/>
                <w:kern w:val="0"/>
                <w:sz w:val="20"/>
                <w:szCs w:val="20"/>
              </w:rPr>
              <w:t>农户数（户）</w:t>
            </w:r>
          </w:p>
        </w:tc>
        <w:tc>
          <w:tcPr>
            <w:tcW w:w="2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b/>
                <w:kern w:val="0"/>
                <w:sz w:val="20"/>
                <w:szCs w:val="20"/>
              </w:rPr>
              <w:t>运维标准（元/户）</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b/>
                <w:kern w:val="0"/>
                <w:sz w:val="20"/>
                <w:szCs w:val="20"/>
              </w:rPr>
            </w:pPr>
            <w:r>
              <w:rPr>
                <w:rFonts w:hint="eastAsia" w:ascii="宋体" w:hAnsi="宋体" w:cs="宋体"/>
                <w:b/>
                <w:kern w:val="0"/>
                <w:sz w:val="20"/>
                <w:szCs w:val="20"/>
              </w:rPr>
              <w:t>运维经费（元）</w:t>
            </w:r>
          </w:p>
        </w:tc>
      </w:tr>
      <w:tr>
        <w:tblPrEx>
          <w:tblCellMar>
            <w:top w:w="0" w:type="dxa"/>
            <w:left w:w="0" w:type="dxa"/>
            <w:bottom w:w="0" w:type="dxa"/>
            <w:right w:w="0" w:type="dxa"/>
          </w:tblCellMar>
        </w:tblPrEx>
        <w:trPr>
          <w:trHeight w:val="554" w:hRule="atLeast"/>
          <w:jc w:val="center"/>
        </w:trPr>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sz w:val="20"/>
                <w:szCs w:val="20"/>
              </w:rPr>
              <w:t>1</w:t>
            </w:r>
          </w:p>
        </w:tc>
        <w:tc>
          <w:tcPr>
            <w:tcW w:w="1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kern w:val="0"/>
                <w:sz w:val="20"/>
                <w:szCs w:val="20"/>
              </w:rPr>
              <w:t>桐君街道</w:t>
            </w:r>
          </w:p>
        </w:tc>
        <w:tc>
          <w:tcPr>
            <w:tcW w:w="1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56</w:t>
            </w:r>
          </w:p>
        </w:tc>
        <w:tc>
          <w:tcPr>
            <w:tcW w:w="1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color w:val="000000"/>
                <w:kern w:val="0"/>
                <w:sz w:val="20"/>
                <w:szCs w:val="20"/>
                <w:lang w:bidi="ar"/>
              </w:rPr>
              <w:t>3157</w:t>
            </w:r>
          </w:p>
        </w:tc>
        <w:tc>
          <w:tcPr>
            <w:tcW w:w="2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color w:val="000000"/>
                <w:kern w:val="0"/>
                <w:sz w:val="20"/>
                <w:szCs w:val="20"/>
                <w:lang w:bidi="ar"/>
              </w:rPr>
              <w:t>378840</w:t>
            </w:r>
          </w:p>
        </w:tc>
      </w:tr>
      <w:tr>
        <w:tblPrEx>
          <w:tblCellMar>
            <w:top w:w="0" w:type="dxa"/>
            <w:left w:w="0" w:type="dxa"/>
            <w:bottom w:w="0" w:type="dxa"/>
            <w:right w:w="0" w:type="dxa"/>
          </w:tblCellMar>
        </w:tblPrEx>
        <w:trPr>
          <w:trHeight w:val="554" w:hRule="atLeast"/>
          <w:jc w:val="center"/>
        </w:trPr>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sz w:val="20"/>
                <w:szCs w:val="20"/>
              </w:rPr>
              <w:t>2</w:t>
            </w:r>
          </w:p>
        </w:tc>
        <w:tc>
          <w:tcPr>
            <w:tcW w:w="1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kern w:val="0"/>
                <w:sz w:val="20"/>
                <w:szCs w:val="20"/>
              </w:rPr>
              <w:t>城南街道</w:t>
            </w:r>
          </w:p>
        </w:tc>
        <w:tc>
          <w:tcPr>
            <w:tcW w:w="1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76</w:t>
            </w:r>
          </w:p>
        </w:tc>
        <w:tc>
          <w:tcPr>
            <w:tcW w:w="1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color w:val="000000"/>
                <w:kern w:val="0"/>
                <w:sz w:val="20"/>
                <w:szCs w:val="20"/>
                <w:lang w:bidi="ar"/>
              </w:rPr>
              <w:t>5963</w:t>
            </w:r>
          </w:p>
        </w:tc>
        <w:tc>
          <w:tcPr>
            <w:tcW w:w="2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color w:val="000000"/>
                <w:kern w:val="0"/>
                <w:sz w:val="20"/>
                <w:szCs w:val="20"/>
                <w:lang w:bidi="ar"/>
              </w:rPr>
              <w:t>715560</w:t>
            </w:r>
          </w:p>
        </w:tc>
      </w:tr>
      <w:tr>
        <w:tblPrEx>
          <w:tblCellMar>
            <w:top w:w="0" w:type="dxa"/>
            <w:left w:w="0" w:type="dxa"/>
            <w:bottom w:w="0" w:type="dxa"/>
            <w:right w:w="0" w:type="dxa"/>
          </w:tblCellMar>
        </w:tblPrEx>
        <w:trPr>
          <w:trHeight w:val="554" w:hRule="atLeast"/>
          <w:jc w:val="center"/>
        </w:trPr>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sz w:val="20"/>
                <w:szCs w:val="20"/>
              </w:rPr>
              <w:t>3</w:t>
            </w:r>
          </w:p>
        </w:tc>
        <w:tc>
          <w:tcPr>
            <w:tcW w:w="1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kern w:val="0"/>
                <w:sz w:val="20"/>
                <w:szCs w:val="20"/>
              </w:rPr>
              <w:t>富春江镇</w:t>
            </w:r>
          </w:p>
        </w:tc>
        <w:tc>
          <w:tcPr>
            <w:tcW w:w="1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106</w:t>
            </w:r>
          </w:p>
        </w:tc>
        <w:tc>
          <w:tcPr>
            <w:tcW w:w="1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color w:val="000000"/>
                <w:kern w:val="0"/>
                <w:sz w:val="20"/>
                <w:szCs w:val="20"/>
                <w:lang w:bidi="ar"/>
              </w:rPr>
              <w:t>3775</w:t>
            </w:r>
          </w:p>
        </w:tc>
        <w:tc>
          <w:tcPr>
            <w:tcW w:w="2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color w:val="000000"/>
                <w:kern w:val="0"/>
                <w:sz w:val="20"/>
                <w:szCs w:val="20"/>
                <w:lang w:bidi="ar"/>
              </w:rPr>
              <w:t>120</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color w:val="000000"/>
                <w:kern w:val="0"/>
                <w:sz w:val="20"/>
                <w:szCs w:val="20"/>
                <w:lang w:bidi="ar"/>
              </w:rPr>
              <w:t>453000</w:t>
            </w:r>
          </w:p>
        </w:tc>
      </w:tr>
      <w:tr>
        <w:tblPrEx>
          <w:tblCellMar>
            <w:top w:w="0" w:type="dxa"/>
            <w:left w:w="0" w:type="dxa"/>
            <w:bottom w:w="0" w:type="dxa"/>
            <w:right w:w="0" w:type="dxa"/>
          </w:tblCellMar>
        </w:tblPrEx>
        <w:trPr>
          <w:trHeight w:val="593" w:hRule="atLeast"/>
          <w:jc w:val="center"/>
        </w:trPr>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40" w:lineRule="exact"/>
              <w:jc w:val="center"/>
              <w:textAlignment w:val="center"/>
              <w:rPr>
                <w:rFonts w:ascii="宋体" w:hAnsi="宋体" w:cs="宋体"/>
                <w:sz w:val="20"/>
                <w:szCs w:val="20"/>
              </w:rPr>
            </w:pPr>
          </w:p>
        </w:tc>
        <w:tc>
          <w:tcPr>
            <w:tcW w:w="1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b/>
                <w:bCs/>
                <w:kern w:val="0"/>
                <w:sz w:val="20"/>
                <w:szCs w:val="20"/>
              </w:rPr>
              <w:t>片区小计</w:t>
            </w:r>
          </w:p>
        </w:tc>
        <w:tc>
          <w:tcPr>
            <w:tcW w:w="1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b/>
                <w:bCs/>
                <w:color w:val="000000"/>
                <w:kern w:val="0"/>
                <w:sz w:val="20"/>
                <w:szCs w:val="20"/>
                <w:lang w:bidi="ar"/>
              </w:rPr>
            </w:pPr>
            <w:r>
              <w:rPr>
                <w:rFonts w:hint="eastAsia" w:ascii="宋体" w:hAnsi="宋体" w:cs="宋体"/>
                <w:b/>
                <w:bCs/>
                <w:color w:val="000000"/>
                <w:kern w:val="0"/>
                <w:sz w:val="20"/>
                <w:szCs w:val="20"/>
                <w:lang w:bidi="ar"/>
              </w:rPr>
              <w:t>238</w:t>
            </w:r>
          </w:p>
        </w:tc>
        <w:tc>
          <w:tcPr>
            <w:tcW w:w="1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b/>
                <w:bCs/>
                <w:kern w:val="0"/>
                <w:sz w:val="20"/>
                <w:szCs w:val="20"/>
              </w:rPr>
            </w:pPr>
            <w:r>
              <w:rPr>
                <w:rFonts w:hint="eastAsia" w:ascii="宋体" w:hAnsi="宋体" w:cs="宋体"/>
                <w:b/>
                <w:bCs/>
                <w:color w:val="000000"/>
                <w:kern w:val="0"/>
                <w:sz w:val="20"/>
                <w:szCs w:val="20"/>
                <w:lang w:bidi="ar"/>
              </w:rPr>
              <w:t>12895</w:t>
            </w:r>
          </w:p>
        </w:tc>
        <w:tc>
          <w:tcPr>
            <w:tcW w:w="2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b/>
                <w:bCs/>
                <w:kern w:val="0"/>
                <w:sz w:val="20"/>
                <w:szCs w:val="20"/>
              </w:rPr>
            </w:pPr>
            <w:r>
              <w:rPr>
                <w:rFonts w:hint="eastAsia" w:ascii="宋体" w:hAnsi="宋体" w:cs="宋体"/>
                <w:b/>
                <w:bCs/>
                <w:color w:val="000000"/>
                <w:kern w:val="0"/>
                <w:sz w:val="20"/>
                <w:szCs w:val="20"/>
                <w:lang w:bidi="ar"/>
              </w:rPr>
              <w:t>120</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b/>
                <w:bCs/>
                <w:kern w:val="0"/>
                <w:sz w:val="20"/>
                <w:szCs w:val="20"/>
              </w:rPr>
            </w:pPr>
            <w:r>
              <w:rPr>
                <w:rFonts w:hint="eastAsia" w:ascii="宋体" w:hAnsi="宋体" w:cs="宋体"/>
                <w:b/>
                <w:bCs/>
                <w:color w:val="000000"/>
                <w:kern w:val="0"/>
                <w:sz w:val="20"/>
                <w:szCs w:val="20"/>
                <w:lang w:bidi="ar"/>
              </w:rPr>
              <w:t>1547400</w:t>
            </w:r>
          </w:p>
        </w:tc>
      </w:tr>
    </w:tbl>
    <w:p>
      <w:pPr>
        <w:spacing w:line="440" w:lineRule="exact"/>
        <w:ind w:firstLine="480" w:firstLineChars="200"/>
        <w:rPr>
          <w:rFonts w:ascii="宋体" w:hAnsi="宋体" w:cs="宋体"/>
          <w:kern w:val="0"/>
          <w:sz w:val="24"/>
        </w:rPr>
      </w:pPr>
      <w:r>
        <w:rPr>
          <w:rFonts w:hint="eastAsia" w:ascii="宋体" w:hAnsi="宋体" w:cs="宋体"/>
          <w:kern w:val="0"/>
          <w:sz w:val="24"/>
        </w:rPr>
        <w:t>标项五：横村片区日常运行维护范围包含：旧县街道、横村镇、莪山乡、钟山乡4个乡镇（街道）辖区内生活污水处理设施终端和管网。</w:t>
      </w:r>
    </w:p>
    <w:p>
      <w:pPr>
        <w:spacing w:line="440" w:lineRule="exact"/>
        <w:ind w:firstLine="480" w:firstLineChars="200"/>
        <w:rPr>
          <w:rFonts w:ascii="宋体" w:hAnsi="宋体" w:cs="宋体"/>
          <w:kern w:val="0"/>
          <w:sz w:val="24"/>
        </w:rPr>
      </w:pPr>
      <w:r>
        <w:rPr>
          <w:rFonts w:hint="eastAsia" w:ascii="宋体" w:hAnsi="宋体" w:cs="宋体"/>
          <w:kern w:val="0"/>
          <w:sz w:val="24"/>
        </w:rPr>
        <w:t>日常运维费年预算：</w:t>
      </w:r>
    </w:p>
    <w:tbl>
      <w:tblPr>
        <w:tblStyle w:val="21"/>
        <w:tblW w:w="9718" w:type="dxa"/>
        <w:jc w:val="center"/>
        <w:tblLayout w:type="fixed"/>
        <w:tblCellMar>
          <w:top w:w="0" w:type="dxa"/>
          <w:left w:w="0" w:type="dxa"/>
          <w:bottom w:w="0" w:type="dxa"/>
          <w:right w:w="0" w:type="dxa"/>
        </w:tblCellMar>
      </w:tblPr>
      <w:tblGrid>
        <w:gridCol w:w="758"/>
        <w:gridCol w:w="1615"/>
        <w:gridCol w:w="1639"/>
        <w:gridCol w:w="1639"/>
        <w:gridCol w:w="2213"/>
        <w:gridCol w:w="1854"/>
      </w:tblGrid>
      <w:tr>
        <w:tblPrEx>
          <w:tblCellMar>
            <w:top w:w="0" w:type="dxa"/>
            <w:left w:w="0" w:type="dxa"/>
            <w:bottom w:w="0" w:type="dxa"/>
            <w:right w:w="0" w:type="dxa"/>
          </w:tblCellMar>
        </w:tblPrEx>
        <w:trPr>
          <w:trHeight w:val="701" w:hRule="atLeast"/>
          <w:jc w:val="center"/>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440" w:lineRule="exact"/>
              <w:jc w:val="center"/>
              <w:textAlignment w:val="center"/>
              <w:rPr>
                <w:rFonts w:ascii="宋体" w:hAnsi="宋体" w:cs="宋体"/>
                <w:b/>
                <w:kern w:val="0"/>
                <w:sz w:val="20"/>
                <w:szCs w:val="20"/>
              </w:rPr>
            </w:pPr>
            <w:r>
              <w:rPr>
                <w:rFonts w:hint="eastAsia" w:ascii="宋体" w:hAnsi="宋体" w:cs="宋体"/>
                <w:b/>
                <w:kern w:val="0"/>
                <w:sz w:val="20"/>
                <w:szCs w:val="20"/>
              </w:rPr>
              <w:t>序号</w:t>
            </w:r>
          </w:p>
        </w:tc>
        <w:tc>
          <w:tcPr>
            <w:tcW w:w="16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b/>
                <w:kern w:val="0"/>
                <w:sz w:val="20"/>
                <w:szCs w:val="20"/>
              </w:rPr>
            </w:pPr>
            <w:r>
              <w:rPr>
                <w:rFonts w:hint="eastAsia" w:ascii="宋体" w:hAnsi="宋体" w:cs="宋体"/>
                <w:b/>
                <w:kern w:val="0"/>
                <w:sz w:val="20"/>
                <w:szCs w:val="20"/>
              </w:rPr>
              <w:t>乡镇</w:t>
            </w:r>
          </w:p>
        </w:tc>
        <w:tc>
          <w:tcPr>
            <w:tcW w:w="16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b/>
                <w:kern w:val="0"/>
                <w:sz w:val="20"/>
                <w:szCs w:val="20"/>
              </w:rPr>
            </w:pPr>
            <w:r>
              <w:rPr>
                <w:rFonts w:hint="eastAsia" w:ascii="宋体" w:hAnsi="宋体" w:cs="宋体"/>
                <w:b/>
                <w:kern w:val="0"/>
                <w:sz w:val="20"/>
                <w:szCs w:val="20"/>
              </w:rPr>
              <w:t>终端数（处）</w:t>
            </w:r>
          </w:p>
        </w:tc>
        <w:tc>
          <w:tcPr>
            <w:tcW w:w="16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b/>
                <w:kern w:val="0"/>
                <w:sz w:val="20"/>
                <w:szCs w:val="20"/>
              </w:rPr>
              <w:t>农户数（户）</w:t>
            </w:r>
          </w:p>
        </w:tc>
        <w:tc>
          <w:tcPr>
            <w:tcW w:w="22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b/>
                <w:kern w:val="0"/>
                <w:sz w:val="20"/>
                <w:szCs w:val="20"/>
              </w:rPr>
              <w:t>运维标准（元/户）</w:t>
            </w:r>
          </w:p>
        </w:tc>
        <w:tc>
          <w:tcPr>
            <w:tcW w:w="185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b/>
                <w:kern w:val="0"/>
                <w:sz w:val="20"/>
                <w:szCs w:val="20"/>
              </w:rPr>
            </w:pPr>
            <w:r>
              <w:rPr>
                <w:rFonts w:hint="eastAsia" w:ascii="宋体" w:hAnsi="宋体" w:cs="宋体"/>
                <w:b/>
                <w:kern w:val="0"/>
                <w:sz w:val="20"/>
                <w:szCs w:val="20"/>
              </w:rPr>
              <w:t>运维经费（元）</w:t>
            </w:r>
          </w:p>
        </w:tc>
      </w:tr>
      <w:tr>
        <w:tblPrEx>
          <w:tblCellMar>
            <w:top w:w="0" w:type="dxa"/>
            <w:left w:w="0" w:type="dxa"/>
            <w:bottom w:w="0" w:type="dxa"/>
            <w:right w:w="0" w:type="dxa"/>
          </w:tblCellMar>
        </w:tblPrEx>
        <w:trPr>
          <w:trHeight w:val="493" w:hRule="atLeast"/>
          <w:jc w:val="center"/>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kern w:val="0"/>
                <w:sz w:val="20"/>
                <w:szCs w:val="20"/>
              </w:rPr>
              <w:t>1</w:t>
            </w:r>
          </w:p>
        </w:tc>
        <w:tc>
          <w:tcPr>
            <w:tcW w:w="16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kern w:val="0"/>
                <w:sz w:val="20"/>
                <w:szCs w:val="20"/>
              </w:rPr>
              <w:t>旧县街道</w:t>
            </w:r>
          </w:p>
        </w:tc>
        <w:tc>
          <w:tcPr>
            <w:tcW w:w="16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44</w:t>
            </w:r>
          </w:p>
        </w:tc>
        <w:tc>
          <w:tcPr>
            <w:tcW w:w="16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1343</w:t>
            </w:r>
          </w:p>
        </w:tc>
        <w:tc>
          <w:tcPr>
            <w:tcW w:w="22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120</w:t>
            </w:r>
          </w:p>
        </w:tc>
        <w:tc>
          <w:tcPr>
            <w:tcW w:w="185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161160</w:t>
            </w:r>
          </w:p>
        </w:tc>
      </w:tr>
      <w:tr>
        <w:tblPrEx>
          <w:tblCellMar>
            <w:top w:w="0" w:type="dxa"/>
            <w:left w:w="0" w:type="dxa"/>
            <w:bottom w:w="0" w:type="dxa"/>
            <w:right w:w="0" w:type="dxa"/>
          </w:tblCellMar>
        </w:tblPrEx>
        <w:trPr>
          <w:trHeight w:val="519" w:hRule="atLeast"/>
          <w:jc w:val="center"/>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kern w:val="0"/>
                <w:sz w:val="20"/>
                <w:szCs w:val="20"/>
              </w:rPr>
              <w:t>2</w:t>
            </w:r>
          </w:p>
        </w:tc>
        <w:tc>
          <w:tcPr>
            <w:tcW w:w="16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kern w:val="0"/>
                <w:sz w:val="20"/>
                <w:szCs w:val="20"/>
              </w:rPr>
              <w:t>横村镇</w:t>
            </w:r>
          </w:p>
        </w:tc>
        <w:tc>
          <w:tcPr>
            <w:tcW w:w="16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130</w:t>
            </w:r>
          </w:p>
        </w:tc>
        <w:tc>
          <w:tcPr>
            <w:tcW w:w="16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11757</w:t>
            </w:r>
          </w:p>
        </w:tc>
        <w:tc>
          <w:tcPr>
            <w:tcW w:w="22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120</w:t>
            </w:r>
          </w:p>
        </w:tc>
        <w:tc>
          <w:tcPr>
            <w:tcW w:w="185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1410840</w:t>
            </w:r>
          </w:p>
        </w:tc>
      </w:tr>
      <w:tr>
        <w:tblPrEx>
          <w:tblCellMar>
            <w:top w:w="0" w:type="dxa"/>
            <w:left w:w="0" w:type="dxa"/>
            <w:bottom w:w="0" w:type="dxa"/>
            <w:right w:w="0" w:type="dxa"/>
          </w:tblCellMar>
        </w:tblPrEx>
        <w:trPr>
          <w:trHeight w:val="493" w:hRule="atLeast"/>
          <w:jc w:val="center"/>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440" w:lineRule="exact"/>
              <w:jc w:val="center"/>
              <w:textAlignment w:val="center"/>
              <w:rPr>
                <w:rFonts w:ascii="宋体" w:hAnsi="宋体" w:cs="宋体"/>
                <w:sz w:val="20"/>
                <w:szCs w:val="20"/>
              </w:rPr>
            </w:pPr>
            <w:r>
              <w:rPr>
                <w:rFonts w:hint="eastAsia" w:ascii="宋体" w:hAnsi="宋体" w:cs="宋体"/>
                <w:sz w:val="20"/>
                <w:szCs w:val="20"/>
              </w:rPr>
              <w:t>3</w:t>
            </w:r>
          </w:p>
        </w:tc>
        <w:tc>
          <w:tcPr>
            <w:tcW w:w="16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kern w:val="0"/>
                <w:sz w:val="20"/>
                <w:szCs w:val="20"/>
              </w:rPr>
              <w:t>莪山乡</w:t>
            </w:r>
          </w:p>
        </w:tc>
        <w:tc>
          <w:tcPr>
            <w:tcW w:w="16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70</w:t>
            </w:r>
          </w:p>
        </w:tc>
        <w:tc>
          <w:tcPr>
            <w:tcW w:w="16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2349</w:t>
            </w:r>
          </w:p>
        </w:tc>
        <w:tc>
          <w:tcPr>
            <w:tcW w:w="22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120</w:t>
            </w:r>
          </w:p>
        </w:tc>
        <w:tc>
          <w:tcPr>
            <w:tcW w:w="185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281880</w:t>
            </w:r>
          </w:p>
        </w:tc>
      </w:tr>
      <w:tr>
        <w:tblPrEx>
          <w:tblCellMar>
            <w:top w:w="0" w:type="dxa"/>
            <w:left w:w="0" w:type="dxa"/>
            <w:bottom w:w="0" w:type="dxa"/>
            <w:right w:w="0" w:type="dxa"/>
          </w:tblCellMar>
        </w:tblPrEx>
        <w:trPr>
          <w:trHeight w:val="493" w:hRule="atLeast"/>
          <w:jc w:val="center"/>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kern w:val="0"/>
                <w:sz w:val="20"/>
                <w:szCs w:val="20"/>
              </w:rPr>
              <w:t>4</w:t>
            </w:r>
          </w:p>
        </w:tc>
        <w:tc>
          <w:tcPr>
            <w:tcW w:w="16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kern w:val="0"/>
                <w:sz w:val="20"/>
                <w:szCs w:val="20"/>
              </w:rPr>
              <w:t>钟山乡</w:t>
            </w:r>
          </w:p>
        </w:tc>
        <w:tc>
          <w:tcPr>
            <w:tcW w:w="16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94</w:t>
            </w:r>
          </w:p>
        </w:tc>
        <w:tc>
          <w:tcPr>
            <w:tcW w:w="16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5283</w:t>
            </w:r>
          </w:p>
        </w:tc>
        <w:tc>
          <w:tcPr>
            <w:tcW w:w="22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120</w:t>
            </w:r>
          </w:p>
        </w:tc>
        <w:tc>
          <w:tcPr>
            <w:tcW w:w="185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kern w:val="0"/>
                <w:sz w:val="20"/>
                <w:szCs w:val="20"/>
              </w:rPr>
            </w:pPr>
            <w:r>
              <w:rPr>
                <w:rFonts w:hint="eastAsia" w:ascii="宋体" w:hAnsi="宋体" w:cs="宋体"/>
                <w:color w:val="000000"/>
                <w:kern w:val="0"/>
                <w:sz w:val="20"/>
                <w:szCs w:val="20"/>
                <w:lang w:bidi="ar"/>
              </w:rPr>
              <w:t>633960</w:t>
            </w:r>
          </w:p>
        </w:tc>
      </w:tr>
      <w:tr>
        <w:tblPrEx>
          <w:tblCellMar>
            <w:top w:w="0" w:type="dxa"/>
            <w:left w:w="0" w:type="dxa"/>
            <w:bottom w:w="0" w:type="dxa"/>
            <w:right w:w="0" w:type="dxa"/>
          </w:tblCellMar>
        </w:tblPrEx>
        <w:trPr>
          <w:trHeight w:val="522" w:hRule="atLeast"/>
          <w:jc w:val="center"/>
        </w:trPr>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440" w:lineRule="exact"/>
              <w:jc w:val="center"/>
              <w:textAlignment w:val="center"/>
              <w:rPr>
                <w:rFonts w:ascii="宋体" w:hAnsi="宋体" w:cs="宋体"/>
                <w:b/>
                <w:bCs/>
                <w:kern w:val="0"/>
                <w:sz w:val="20"/>
                <w:szCs w:val="20"/>
              </w:rPr>
            </w:pPr>
          </w:p>
        </w:tc>
        <w:tc>
          <w:tcPr>
            <w:tcW w:w="16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b/>
                <w:bCs/>
                <w:kern w:val="0"/>
                <w:sz w:val="20"/>
                <w:szCs w:val="20"/>
              </w:rPr>
            </w:pPr>
            <w:r>
              <w:rPr>
                <w:rFonts w:hint="eastAsia" w:ascii="宋体" w:hAnsi="宋体" w:cs="宋体"/>
                <w:b/>
                <w:bCs/>
                <w:kern w:val="0"/>
                <w:sz w:val="20"/>
                <w:szCs w:val="20"/>
              </w:rPr>
              <w:t>片区小计</w:t>
            </w:r>
          </w:p>
        </w:tc>
        <w:tc>
          <w:tcPr>
            <w:tcW w:w="16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b/>
                <w:bCs/>
                <w:color w:val="000000"/>
                <w:kern w:val="0"/>
                <w:sz w:val="20"/>
                <w:szCs w:val="20"/>
                <w:lang w:bidi="ar"/>
              </w:rPr>
            </w:pPr>
            <w:r>
              <w:rPr>
                <w:rFonts w:hint="eastAsia" w:ascii="宋体" w:hAnsi="宋体" w:cs="宋体"/>
                <w:b/>
                <w:bCs/>
                <w:color w:val="000000"/>
                <w:kern w:val="0"/>
                <w:sz w:val="20"/>
                <w:szCs w:val="20"/>
                <w:lang w:bidi="ar"/>
              </w:rPr>
              <w:t>338</w:t>
            </w:r>
          </w:p>
        </w:tc>
        <w:tc>
          <w:tcPr>
            <w:tcW w:w="16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b/>
                <w:bCs/>
                <w:kern w:val="0"/>
                <w:sz w:val="20"/>
                <w:szCs w:val="20"/>
              </w:rPr>
            </w:pPr>
            <w:r>
              <w:rPr>
                <w:rFonts w:hint="eastAsia" w:ascii="宋体" w:hAnsi="宋体" w:cs="宋体"/>
                <w:b/>
                <w:bCs/>
                <w:color w:val="000000"/>
                <w:kern w:val="0"/>
                <w:sz w:val="20"/>
                <w:szCs w:val="20"/>
                <w:lang w:bidi="ar"/>
              </w:rPr>
              <w:t>20732</w:t>
            </w:r>
          </w:p>
        </w:tc>
        <w:tc>
          <w:tcPr>
            <w:tcW w:w="22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b/>
                <w:bCs/>
                <w:kern w:val="0"/>
                <w:sz w:val="20"/>
                <w:szCs w:val="20"/>
              </w:rPr>
            </w:pPr>
            <w:r>
              <w:rPr>
                <w:rFonts w:hint="eastAsia" w:ascii="宋体" w:hAnsi="宋体" w:cs="宋体"/>
                <w:b/>
                <w:bCs/>
                <w:color w:val="000000"/>
                <w:kern w:val="0"/>
                <w:sz w:val="20"/>
                <w:szCs w:val="20"/>
                <w:lang w:bidi="ar"/>
              </w:rPr>
              <w:t>120</w:t>
            </w:r>
          </w:p>
        </w:tc>
        <w:tc>
          <w:tcPr>
            <w:tcW w:w="185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ascii="宋体" w:hAnsi="宋体" w:cs="宋体"/>
                <w:b/>
                <w:bCs/>
                <w:kern w:val="0"/>
                <w:sz w:val="20"/>
                <w:szCs w:val="20"/>
              </w:rPr>
            </w:pPr>
            <w:r>
              <w:rPr>
                <w:rFonts w:hint="eastAsia" w:ascii="宋体" w:hAnsi="宋体" w:cs="宋体"/>
                <w:b/>
                <w:bCs/>
                <w:color w:val="000000"/>
                <w:kern w:val="0"/>
                <w:sz w:val="20"/>
                <w:szCs w:val="20"/>
                <w:lang w:bidi="ar"/>
              </w:rPr>
              <w:t>2487840</w:t>
            </w:r>
          </w:p>
        </w:tc>
      </w:tr>
    </w:tbl>
    <w:p>
      <w:pPr>
        <w:snapToGrid w:val="0"/>
        <w:spacing w:line="440" w:lineRule="exact"/>
        <w:ind w:firstLine="482" w:firstLineChars="200"/>
        <w:jc w:val="left"/>
        <w:rPr>
          <w:rFonts w:ascii="宋体" w:hAnsi="宋体"/>
          <w:b/>
          <w:bCs/>
          <w:sz w:val="24"/>
        </w:rPr>
      </w:pPr>
      <w:r>
        <w:rPr>
          <w:rFonts w:hint="eastAsia" w:ascii="宋体" w:hAnsi="宋体"/>
          <w:b/>
          <w:bCs/>
          <w:sz w:val="24"/>
        </w:rPr>
        <w:t>注：1、各标项的年度运维经费按以上农户数测算，终端数供投标人参考。</w:t>
      </w:r>
    </w:p>
    <w:p>
      <w:pPr>
        <w:snapToGrid w:val="0"/>
        <w:spacing w:line="440" w:lineRule="exact"/>
        <w:ind w:firstLine="482" w:firstLineChars="200"/>
        <w:jc w:val="left"/>
        <w:rPr>
          <w:rFonts w:ascii="宋体" w:hAnsi="宋体"/>
          <w:b/>
          <w:bCs/>
          <w:sz w:val="24"/>
        </w:rPr>
      </w:pPr>
      <w:r>
        <w:rPr>
          <w:rFonts w:hint="eastAsia" w:ascii="宋体" w:hAnsi="宋体"/>
          <w:b/>
          <w:bCs/>
          <w:sz w:val="24"/>
        </w:rPr>
        <w:t>2、以上农户数统计时间截止2022年底，数据来源为桐庐县行政审批服务中心公安窗口。范围为全县各行政村农户数，其中已整村拆迁的行政村、已纳入集镇管网或归属城镇社区的行政村未统计在内。在招标有效期内，农户数据不进行动态调整。</w:t>
      </w:r>
    </w:p>
    <w:p>
      <w:pPr>
        <w:snapToGrid w:val="0"/>
        <w:spacing w:line="440" w:lineRule="exact"/>
        <w:ind w:firstLine="482" w:firstLineChars="200"/>
        <w:jc w:val="left"/>
        <w:rPr>
          <w:rFonts w:ascii="宋体" w:hAnsi="宋体"/>
          <w:b/>
          <w:bCs/>
          <w:sz w:val="24"/>
        </w:rPr>
      </w:pPr>
      <w:r>
        <w:rPr>
          <w:rFonts w:hint="eastAsia" w:ascii="宋体" w:hAnsi="宋体"/>
          <w:b/>
          <w:bCs/>
          <w:sz w:val="24"/>
        </w:rPr>
        <w:t>3、以上预算含农污处理设施的小修费用，大修和电费费用未计算在内。大修范围详见《浙江省农村生活污水处理设施运行维护</w:t>
      </w:r>
      <w:r>
        <w:rPr>
          <w:rFonts w:ascii="宋体" w:hAnsi="宋体"/>
          <w:b/>
          <w:bCs/>
          <w:sz w:val="24"/>
        </w:rPr>
        <w:t>费用指导价格指南（试行）</w:t>
      </w:r>
      <w:r>
        <w:rPr>
          <w:rFonts w:hint="eastAsia" w:ascii="宋体" w:hAnsi="宋体"/>
          <w:b/>
          <w:bCs/>
          <w:sz w:val="24"/>
        </w:rPr>
        <w:t>》附表6。</w:t>
      </w:r>
    </w:p>
    <w:p>
      <w:pPr>
        <w:snapToGrid w:val="0"/>
        <w:spacing w:line="440" w:lineRule="exact"/>
        <w:ind w:firstLine="482" w:firstLineChars="200"/>
        <w:jc w:val="left"/>
        <w:rPr>
          <w:rFonts w:ascii="宋体" w:hAnsi="宋体"/>
          <w:b/>
          <w:bCs/>
          <w:sz w:val="24"/>
        </w:rPr>
      </w:pPr>
      <w:r>
        <w:rPr>
          <w:rFonts w:hint="eastAsia" w:ascii="宋体" w:hAnsi="宋体"/>
          <w:b/>
          <w:bCs/>
          <w:sz w:val="24"/>
        </w:rPr>
        <w:t>4、本项目共分五个标项，按标项一至标项五顺序开标，每个投标人最多可中二个标项。已中二个标项的供应商不得作为其余标项的有效投标人。</w:t>
      </w:r>
    </w:p>
    <w:p>
      <w:pPr>
        <w:spacing w:line="440" w:lineRule="exact"/>
        <w:ind w:firstLine="482" w:firstLineChars="200"/>
        <w:jc w:val="left"/>
        <w:rPr>
          <w:rFonts w:ascii="宋体" w:hAnsi="宋体"/>
          <w:b/>
          <w:sz w:val="24"/>
        </w:rPr>
      </w:pPr>
      <w:r>
        <w:rPr>
          <w:rFonts w:hint="eastAsia" w:ascii="宋体" w:hAnsi="宋体"/>
          <w:b/>
          <w:sz w:val="24"/>
        </w:rPr>
        <w:t>二、服务标准</w:t>
      </w:r>
    </w:p>
    <w:p>
      <w:pPr>
        <w:snapToGrid w:val="0"/>
        <w:spacing w:line="440" w:lineRule="exact"/>
        <w:ind w:firstLine="480" w:firstLineChars="200"/>
        <w:jc w:val="left"/>
        <w:rPr>
          <w:rFonts w:ascii="宋体" w:hAnsi="宋体"/>
          <w:b/>
          <w:sz w:val="24"/>
        </w:rPr>
      </w:pPr>
      <w:r>
        <w:rPr>
          <w:rFonts w:hint="eastAsia" w:ascii="宋体" w:hAnsi="宋体"/>
          <w:sz w:val="24"/>
        </w:rPr>
        <w:t>农村生活污水运行维护严格按照《浙江省农村生活污水处理设施管理条例》《浙江省农村生活污水治理工作考核办法的通知》（浙建村发〔2022〕88号）《农村生活污水处理设施标准化运维评价标准》（DB33/T 1212-2020）《2023年度杭州市农村生活污水治理工作绩效评估办法》（杭建村〔2023〕138号）《农村生活污水处理设施运行维护单位基本条件》（浙建〔2020〕4号）等文件执行。若在后续运行维护管理过程中有下发最新文件的，以最新文件为准。</w:t>
      </w:r>
    </w:p>
    <w:p>
      <w:pPr>
        <w:snapToGrid w:val="0"/>
        <w:spacing w:line="440" w:lineRule="exact"/>
        <w:ind w:firstLine="482" w:firstLineChars="200"/>
        <w:jc w:val="left"/>
        <w:rPr>
          <w:rFonts w:ascii="宋体" w:hAnsi="宋体"/>
          <w:b/>
          <w:sz w:val="24"/>
        </w:rPr>
      </w:pPr>
      <w:r>
        <w:rPr>
          <w:rFonts w:hint="eastAsia" w:ascii="宋体" w:hAnsi="宋体"/>
          <w:b/>
          <w:sz w:val="24"/>
        </w:rPr>
        <w:t>三、水质检测执行标准和频次要求</w:t>
      </w:r>
    </w:p>
    <w:p>
      <w:pPr>
        <w:snapToGrid w:val="0"/>
        <w:spacing w:line="440" w:lineRule="exact"/>
        <w:ind w:firstLine="480" w:firstLineChars="200"/>
        <w:jc w:val="left"/>
        <w:rPr>
          <w:rFonts w:ascii="宋体" w:hAnsi="宋体"/>
          <w:sz w:val="24"/>
        </w:rPr>
      </w:pPr>
      <w:r>
        <w:rPr>
          <w:rFonts w:hint="eastAsia" w:ascii="宋体" w:hAnsi="宋体"/>
          <w:sz w:val="24"/>
        </w:rPr>
        <w:t>1、承接辖区农村生活污水集中处理设施出水水质检测应严格按浙江省《农村生活污水集中处理设施水污染物排放标准》DB33/973-2021标准执行。</w:t>
      </w:r>
    </w:p>
    <w:p>
      <w:pPr>
        <w:snapToGrid w:val="0"/>
        <w:spacing w:line="440" w:lineRule="exact"/>
        <w:ind w:firstLine="480" w:firstLineChars="200"/>
        <w:jc w:val="left"/>
        <w:rPr>
          <w:rFonts w:ascii="宋体" w:hAnsi="宋体"/>
          <w:sz w:val="24"/>
        </w:rPr>
      </w:pPr>
      <w:r>
        <w:rPr>
          <w:rFonts w:hint="eastAsia" w:ascii="宋体" w:hAnsi="宋体"/>
          <w:sz w:val="24"/>
        </w:rPr>
        <w:t>2、承接辖区农村生活污水户用处理设备出水水质检测应严格按浙江省《农村生活污水户用处理设备水污染物排放要求》DB33/T2377-2021标准执行。</w:t>
      </w:r>
    </w:p>
    <w:p>
      <w:pPr>
        <w:snapToGrid w:val="0"/>
        <w:spacing w:line="440" w:lineRule="exact"/>
        <w:ind w:firstLine="480" w:firstLineChars="200"/>
        <w:jc w:val="left"/>
        <w:rPr>
          <w:rFonts w:ascii="宋体" w:hAnsi="宋体"/>
          <w:sz w:val="24"/>
        </w:rPr>
      </w:pPr>
      <w:r>
        <w:rPr>
          <w:rFonts w:hint="eastAsia" w:ascii="宋体" w:hAnsi="宋体"/>
          <w:sz w:val="24"/>
        </w:rPr>
        <w:t>3、根据《浙江省农村生活污水处理设施管理条例》要求建立污水处理设施进出水水量和水质的记录、检测制度：（1）对户用处理设备，出水水质的检测频次每年不得少于两次；（2）对日处理能力不足三十吨的集中处理设施，进出水水质的检测频次每季度不得少于一次；（3）对日处理能力三十吨以上的集中处理设施，进出水水质的检测频次每月不得少于一次；（4）对日处理能力二百吨以上的集中处理设施，配合做好水质、水量在线监测相关工作。</w:t>
      </w:r>
    </w:p>
    <w:p>
      <w:pPr>
        <w:spacing w:line="440" w:lineRule="exact"/>
        <w:ind w:firstLine="482" w:firstLineChars="200"/>
        <w:jc w:val="left"/>
        <w:rPr>
          <w:rFonts w:ascii="宋体" w:hAnsi="宋体"/>
          <w:sz w:val="24"/>
        </w:rPr>
      </w:pPr>
      <w:r>
        <w:rPr>
          <w:rFonts w:hint="eastAsia" w:ascii="宋体" w:hAnsi="宋体"/>
          <w:b/>
          <w:sz w:val="24"/>
        </w:rPr>
        <w:t>四、服务内容及其他说明(各标项均需满足以下要求)</w:t>
      </w:r>
    </w:p>
    <w:p>
      <w:pPr>
        <w:snapToGrid w:val="0"/>
        <w:spacing w:line="440" w:lineRule="exact"/>
        <w:ind w:firstLine="480" w:firstLineChars="200"/>
        <w:jc w:val="left"/>
        <w:rPr>
          <w:rFonts w:ascii="宋体" w:hAnsi="宋体"/>
          <w:sz w:val="24"/>
        </w:rPr>
      </w:pPr>
      <w:r>
        <w:rPr>
          <w:rFonts w:hint="eastAsia" w:ascii="宋体" w:hAnsi="宋体"/>
          <w:sz w:val="24"/>
        </w:rPr>
        <w:t>中标供应商须确保运维合同期内，符合《农村生活污水处理设施运行维护单位基本条件》的有关要求；按照《农村生活污水厌氧处理终端运维导则》《农村生活污水厌氧-好氧（A/O）处理终端维护导则》《农村生活污水厌氧-缺氧-好氧（A</w:t>
      </w:r>
      <w:r>
        <w:rPr>
          <w:rFonts w:hint="eastAsia" w:ascii="宋体" w:hAnsi="宋体"/>
          <w:sz w:val="24"/>
          <w:vertAlign w:val="superscript"/>
        </w:rPr>
        <w:t>2</w:t>
      </w:r>
      <w:r>
        <w:rPr>
          <w:rFonts w:hint="eastAsia" w:ascii="宋体" w:hAnsi="宋体"/>
          <w:sz w:val="24"/>
        </w:rPr>
        <w:t>/O）处理终端维护导则》《农村生活污水处理罐运行维护导则》《农村生活污水治理设施运行维护技术导则》开展运维工作，如出现未明确的运维内容以桐庐县农村污水运维主管 部门最终解释为准；按照《农村生活污水处理设施标准化运维评价标准》（DB33/T1122-2020）的有关要求开展日常运维工作，并按年度完成所有农污处理设施标准化运维评价工作。</w:t>
      </w:r>
    </w:p>
    <w:p>
      <w:pPr>
        <w:snapToGrid w:val="0"/>
        <w:spacing w:line="440" w:lineRule="exact"/>
        <w:ind w:firstLine="480" w:firstLineChars="200"/>
        <w:jc w:val="left"/>
        <w:rPr>
          <w:rFonts w:ascii="宋体" w:hAnsi="宋体"/>
          <w:sz w:val="24"/>
        </w:rPr>
      </w:pPr>
      <w:r>
        <w:rPr>
          <w:rFonts w:hint="eastAsia" w:ascii="宋体" w:hAnsi="宋体"/>
          <w:sz w:val="24"/>
        </w:rPr>
        <w:t>（一）人员保障</w:t>
      </w:r>
    </w:p>
    <w:p>
      <w:pPr>
        <w:snapToGrid w:val="0"/>
        <w:spacing w:line="440" w:lineRule="exact"/>
        <w:ind w:firstLine="480" w:firstLineChars="200"/>
        <w:jc w:val="left"/>
        <w:rPr>
          <w:rFonts w:ascii="宋体" w:hAnsi="宋体"/>
          <w:sz w:val="24"/>
        </w:rPr>
      </w:pPr>
      <w:r>
        <w:rPr>
          <w:rFonts w:hint="eastAsia" w:ascii="宋体" w:hAnsi="宋体"/>
          <w:sz w:val="24"/>
        </w:rPr>
        <w:t>1、供应商如只中一个标项的，拟派团队人员中的项目负责人、运维技术负责人（运维站长）、专业技术管理人员不得更换，其他人员如要更换须经采购人同意并按采购文件要求进行配置，特殊情况需要更换的须经采购人同意，否则采购人有权取消中标资格；如中两个标项的，其中一个项目拟派团队人员经采购人同意后在中标后30天内按照采购文件要求配置到位，否则采购人有权取消中标资格。</w:t>
      </w:r>
    </w:p>
    <w:p>
      <w:pPr>
        <w:snapToGrid w:val="0"/>
        <w:spacing w:line="440" w:lineRule="exact"/>
        <w:ind w:firstLine="480" w:firstLineChars="200"/>
        <w:jc w:val="left"/>
        <w:rPr>
          <w:rFonts w:ascii="宋体" w:hAnsi="宋体"/>
          <w:sz w:val="24"/>
        </w:rPr>
      </w:pPr>
      <w:r>
        <w:rPr>
          <w:rFonts w:hint="eastAsia" w:ascii="宋体" w:hAnsi="宋体"/>
          <w:sz w:val="24"/>
        </w:rPr>
        <w:t>2、中标供应商本项目人员配备如不符合《农村生活污水处理设施运行维护单位基本条件》等相关要求的，采购人有权要求整改，如30天内不进行整改的，采购人有权取消中标资格或终止合同。</w:t>
      </w:r>
    </w:p>
    <w:p>
      <w:pPr>
        <w:snapToGrid w:val="0"/>
        <w:spacing w:line="440" w:lineRule="exact"/>
        <w:ind w:firstLine="480" w:firstLineChars="200"/>
        <w:jc w:val="left"/>
        <w:rPr>
          <w:rFonts w:ascii="宋体" w:hAnsi="宋体"/>
          <w:sz w:val="24"/>
        </w:rPr>
      </w:pPr>
      <w:r>
        <w:rPr>
          <w:rFonts w:hint="eastAsia" w:ascii="宋体" w:hAnsi="宋体"/>
          <w:sz w:val="24"/>
        </w:rPr>
        <w:t>（二）水质检测化验室、管理系统</w:t>
      </w:r>
    </w:p>
    <w:p>
      <w:pPr>
        <w:pStyle w:val="38"/>
        <w:spacing w:before="0" w:beforeAutospacing="0" w:after="0" w:afterAutospacing="0" w:line="400" w:lineRule="exact"/>
        <w:ind w:firstLine="480" w:firstLineChars="200"/>
        <w:jc w:val="both"/>
        <w:rPr>
          <w:rFonts w:cs="Times New Roman"/>
          <w:kern w:val="2"/>
        </w:rPr>
      </w:pPr>
      <w:r>
        <w:rPr>
          <w:rFonts w:hint="eastAsia" w:cs="Times New Roman"/>
          <w:kern w:val="2"/>
        </w:rPr>
        <w:t>1、按照《农村生活污水处理设施运行维护单位基本条件》规定，承接二类项目的应建立化验室，面积不宜低于100平方米，具备水质检测能力：PH，悬浮物（SS），化学需氧量（CODCR），总磷，总氮，氨氮（NH3-N），动植物油，粪大肠杆菌（粪大肠杆菌可委托第三方具有专业资质认证的实验室进行化验）；承接三类项目的水质检测可委托第三方具有专业资质认证的实验室进行化验。</w:t>
      </w:r>
    </w:p>
    <w:p>
      <w:pPr>
        <w:snapToGrid w:val="0"/>
        <w:spacing w:line="440" w:lineRule="exact"/>
        <w:ind w:firstLine="480" w:firstLineChars="200"/>
        <w:jc w:val="left"/>
        <w:rPr>
          <w:rFonts w:ascii="宋体" w:hAnsi="宋体"/>
          <w:sz w:val="24"/>
          <w:highlight w:val="yellow"/>
        </w:rPr>
      </w:pPr>
      <w:r>
        <w:rPr>
          <w:rFonts w:hint="eastAsia" w:ascii="宋体" w:hAnsi="宋体"/>
          <w:sz w:val="24"/>
        </w:rPr>
        <w:t>2、中标供应商应按要求建设农污处理设施运维管理系统，与桐庐县农村生活治理管理服务系统互联互通，满足省市考核相关要求，并承诺根据政策变化而作出相应的优化和调整。</w:t>
      </w:r>
    </w:p>
    <w:p>
      <w:pPr>
        <w:snapToGrid w:val="0"/>
        <w:spacing w:line="440" w:lineRule="exact"/>
        <w:ind w:firstLine="480" w:firstLineChars="200"/>
        <w:jc w:val="left"/>
        <w:rPr>
          <w:rFonts w:ascii="宋体" w:hAnsi="宋体"/>
          <w:sz w:val="24"/>
        </w:rPr>
      </w:pPr>
      <w:r>
        <w:rPr>
          <w:rFonts w:hint="eastAsia" w:ascii="宋体" w:hAnsi="宋体"/>
          <w:sz w:val="24"/>
        </w:rPr>
        <w:t>（三）运维设备、车辆管理</w:t>
      </w:r>
    </w:p>
    <w:p>
      <w:pPr>
        <w:snapToGrid w:val="0"/>
        <w:spacing w:line="440" w:lineRule="exact"/>
        <w:ind w:firstLine="480" w:firstLineChars="200"/>
        <w:jc w:val="left"/>
        <w:rPr>
          <w:rFonts w:ascii="宋体" w:hAnsi="宋体"/>
          <w:sz w:val="24"/>
        </w:rPr>
      </w:pPr>
      <w:r>
        <w:rPr>
          <w:rFonts w:hint="eastAsia" w:ascii="宋体" w:hAnsi="宋体"/>
          <w:sz w:val="24"/>
        </w:rPr>
        <w:t>运维设备须配置CCTV管道检测仪、移动水质检测设备（至少具备检测化学需氧量、总磷、氨氮三项的能力）、毒气检测仪、移动供电设备、管道内窥镜等；运维车辆须配置吸污车、管道冲洗车、小型管道疏通车、运维养护车辆等。其中，运维养护车辆须按照采购人要求进行喷色、喷涂标记标识。中标供应商若未在中标后30日内按照《农村生活污水处理设施运行维护单位基本条件》相关要求执行的，采购人有权取消其中标资格，并重新组织招标。</w:t>
      </w:r>
    </w:p>
    <w:p>
      <w:pPr>
        <w:snapToGrid w:val="0"/>
        <w:spacing w:line="440" w:lineRule="exact"/>
        <w:ind w:firstLine="480" w:firstLineChars="200"/>
        <w:jc w:val="left"/>
        <w:rPr>
          <w:rFonts w:ascii="宋体" w:hAnsi="宋体"/>
          <w:sz w:val="24"/>
        </w:rPr>
      </w:pPr>
      <w:r>
        <w:rPr>
          <w:rFonts w:hint="eastAsia" w:ascii="宋体" w:hAnsi="宋体"/>
          <w:sz w:val="24"/>
        </w:rPr>
        <w:t>（四）污水接户系统、管网系统及其相关构筑物的运行维护管理</w:t>
      </w:r>
    </w:p>
    <w:p>
      <w:pPr>
        <w:snapToGrid w:val="0"/>
        <w:spacing w:line="440" w:lineRule="exact"/>
        <w:ind w:firstLine="480" w:firstLineChars="200"/>
        <w:jc w:val="left"/>
        <w:rPr>
          <w:rFonts w:ascii="宋体" w:hAnsi="宋体"/>
          <w:sz w:val="24"/>
        </w:rPr>
      </w:pPr>
      <w:r>
        <w:rPr>
          <w:rFonts w:hint="eastAsia" w:ascii="宋体" w:hAnsi="宋体"/>
          <w:sz w:val="24"/>
        </w:rPr>
        <w:t>1、确保农村生活污水的正常接入，发现破损、漏接及时修复，管道系统无私自接管、违章占压等现象；接户井、预处理系统清掏每周1次，及时疏浚，保障设施完好，通畅运行正常。</w:t>
      </w:r>
    </w:p>
    <w:p>
      <w:pPr>
        <w:snapToGrid w:val="0"/>
        <w:spacing w:line="440" w:lineRule="exact"/>
        <w:ind w:firstLine="480" w:firstLineChars="200"/>
        <w:jc w:val="left"/>
        <w:rPr>
          <w:rFonts w:ascii="宋体" w:hAnsi="宋体"/>
          <w:sz w:val="24"/>
        </w:rPr>
      </w:pPr>
      <w:r>
        <w:rPr>
          <w:rFonts w:hint="eastAsia" w:ascii="宋体" w:hAnsi="宋体"/>
          <w:sz w:val="24"/>
        </w:rPr>
        <w:t>2、每周检查管网沿线检查井是否正常，严禁漏水、溢流等现象，损坏严重的及时更换；管网中出现的漏、坏、堵、溢现象做到及时处理和修复；检查纳厂管网及泵站构筑物是否完好，对存在渗漏、破损、锈蚀或变形的，应及时排查原因，并整改维修。确保接户井、污水管道、检查井污水收集功能，发现雨水、地表水、地下水进入污水管道、检查井的应及时进行维修；确保管网沿线井盖启闭顺利，井盖上有明显的文字标示便于日常检查，井盖及防坠网如损坏或缺失，应及时更换或补全。</w:t>
      </w:r>
    </w:p>
    <w:p>
      <w:pPr>
        <w:snapToGrid w:val="0"/>
        <w:spacing w:line="440" w:lineRule="exact"/>
        <w:ind w:firstLine="480" w:firstLineChars="200"/>
        <w:jc w:val="left"/>
        <w:rPr>
          <w:rFonts w:ascii="宋体" w:hAnsi="宋体"/>
          <w:sz w:val="24"/>
        </w:rPr>
      </w:pPr>
      <w:r>
        <w:rPr>
          <w:rFonts w:hint="eastAsia" w:ascii="宋体" w:hAnsi="宋体"/>
          <w:sz w:val="24"/>
        </w:rPr>
        <w:t>3、注意各类管材、橡胶接头等的变形和老化问题，必要时增设保温层或保护层，防止极端温度及日照等造成的管道老化；铸铁管道等应注意防腐，做好可靠的防护措施。</w:t>
      </w:r>
    </w:p>
    <w:p>
      <w:pPr>
        <w:snapToGrid w:val="0"/>
        <w:spacing w:line="440" w:lineRule="exact"/>
        <w:ind w:firstLine="480" w:firstLineChars="200"/>
        <w:jc w:val="left"/>
        <w:rPr>
          <w:rFonts w:ascii="宋体" w:hAnsi="宋体"/>
          <w:sz w:val="24"/>
        </w:rPr>
      </w:pPr>
      <w:r>
        <w:rPr>
          <w:rFonts w:hint="eastAsia" w:ascii="宋体" w:hAnsi="宋体"/>
          <w:sz w:val="24"/>
        </w:rPr>
        <w:t>4、如遇台风、暴雪、暴雨等自然性突发灾害，应制定应急预案，提前对管网系统做好防护工作，灾后及时检查管网系统有无损坏情况；若有损坏，应及时修复并上报。</w:t>
      </w:r>
    </w:p>
    <w:p>
      <w:pPr>
        <w:snapToGrid w:val="0"/>
        <w:spacing w:line="440" w:lineRule="exact"/>
        <w:ind w:firstLine="480" w:firstLineChars="200"/>
        <w:jc w:val="left"/>
        <w:rPr>
          <w:rFonts w:ascii="宋体" w:hAnsi="宋体"/>
          <w:sz w:val="24"/>
        </w:rPr>
      </w:pPr>
      <w:r>
        <w:rPr>
          <w:rFonts w:hint="eastAsia" w:ascii="宋体" w:hAnsi="宋体"/>
          <w:sz w:val="24"/>
        </w:rPr>
        <w:t>5、预处理池清渣操作规范、安全规程上墙明示；每周应检查相关井盖以及各种盖板的完整性、安全性，定期清理预处理池盖板上的垃圾、污物、杂物；根据预处理池的使用情况，用抽污车对池内进行定期清运，防止满溢以及水面漂浮物固化结块堵塞管道；每月检查预处理池的排污管道、排污管连接井，确保预处理池的畅通和完好。</w:t>
      </w:r>
    </w:p>
    <w:p>
      <w:pPr>
        <w:snapToGrid w:val="0"/>
        <w:spacing w:line="440" w:lineRule="exact"/>
        <w:ind w:firstLine="480" w:firstLineChars="200"/>
        <w:jc w:val="left"/>
        <w:rPr>
          <w:rFonts w:ascii="宋体" w:hAnsi="宋体"/>
          <w:sz w:val="24"/>
        </w:rPr>
      </w:pPr>
      <w:r>
        <w:rPr>
          <w:rFonts w:hint="eastAsia" w:ascii="宋体" w:hAnsi="宋体"/>
          <w:sz w:val="24"/>
        </w:rPr>
        <w:t>6、按照预处理池的清理维护守则，每年对池底进行人工清渣，打捞出的废渣进行无害化处理排放，禁止随意堆放。</w:t>
      </w:r>
    </w:p>
    <w:p>
      <w:pPr>
        <w:snapToGrid w:val="0"/>
        <w:spacing w:line="440" w:lineRule="exact"/>
        <w:ind w:firstLine="480" w:firstLineChars="200"/>
        <w:jc w:val="left"/>
        <w:rPr>
          <w:rFonts w:ascii="宋体" w:hAnsi="宋体"/>
          <w:sz w:val="24"/>
        </w:rPr>
      </w:pPr>
      <w:r>
        <w:rPr>
          <w:rFonts w:hint="eastAsia" w:ascii="宋体" w:hAnsi="宋体"/>
          <w:sz w:val="24"/>
        </w:rPr>
        <w:t>7、做好安全标示，禁止小孩在周边玩耍，禁止堆放易燃易爆物品。</w:t>
      </w:r>
    </w:p>
    <w:p>
      <w:pPr>
        <w:snapToGrid w:val="0"/>
        <w:spacing w:line="440" w:lineRule="exact"/>
        <w:ind w:firstLine="480" w:firstLineChars="200"/>
        <w:jc w:val="left"/>
        <w:rPr>
          <w:rFonts w:ascii="宋体" w:hAnsi="宋体"/>
          <w:sz w:val="24"/>
        </w:rPr>
      </w:pPr>
      <w:r>
        <w:rPr>
          <w:rFonts w:hint="eastAsia" w:ascii="宋体" w:hAnsi="宋体"/>
          <w:sz w:val="24"/>
        </w:rPr>
        <w:t>（五）机电设备的维护管理</w:t>
      </w:r>
    </w:p>
    <w:p>
      <w:pPr>
        <w:snapToGrid w:val="0"/>
        <w:spacing w:line="440" w:lineRule="exact"/>
        <w:ind w:firstLine="480" w:firstLineChars="200"/>
        <w:jc w:val="left"/>
        <w:rPr>
          <w:rFonts w:ascii="宋体" w:hAnsi="宋体"/>
          <w:sz w:val="24"/>
        </w:rPr>
      </w:pPr>
      <w:r>
        <w:rPr>
          <w:rFonts w:hint="eastAsia" w:ascii="宋体" w:hAnsi="宋体"/>
          <w:sz w:val="24"/>
        </w:rPr>
        <w:t>1、处理设备操作规范、安全规程上墙明示。每周应检查运行中的电气设备运行是否正常，是否按照设备使用说明的要求进行日常维护，并记录水泵、风机等电气设备的运行情况；每年应至少一次吊起潜水泵，检查潜水电机引入电缆，测量电机线圈的绝缘电阻；长期不用的水泵应吊出集水池存放。</w:t>
      </w:r>
    </w:p>
    <w:p>
      <w:pPr>
        <w:snapToGrid w:val="0"/>
        <w:spacing w:line="440" w:lineRule="exact"/>
        <w:ind w:firstLine="480" w:firstLineChars="200"/>
        <w:jc w:val="left"/>
        <w:rPr>
          <w:rFonts w:ascii="宋体" w:hAnsi="宋体"/>
          <w:sz w:val="24"/>
        </w:rPr>
      </w:pPr>
      <w:r>
        <w:rPr>
          <w:rFonts w:hint="eastAsia" w:ascii="宋体" w:hAnsi="宋体"/>
          <w:sz w:val="24"/>
        </w:rPr>
        <w:t>2、每周检查电控柜内各控制钮的运行情况，有损坏及时上报维修；电气设备运行中若发生跳闸，在未查明原因前不得重新合闸运行；设备或仪表出现故障时，应及时上报并进行维修或更换。电力电缆要定期检查与维护。</w:t>
      </w:r>
    </w:p>
    <w:p>
      <w:pPr>
        <w:snapToGrid w:val="0"/>
        <w:spacing w:line="440" w:lineRule="exact"/>
        <w:ind w:firstLine="480" w:firstLineChars="200"/>
        <w:jc w:val="left"/>
        <w:rPr>
          <w:rFonts w:ascii="宋体" w:hAnsi="宋体"/>
          <w:sz w:val="24"/>
        </w:rPr>
      </w:pPr>
      <w:r>
        <w:rPr>
          <w:rFonts w:hint="eastAsia" w:ascii="宋体" w:hAnsi="宋体"/>
          <w:sz w:val="24"/>
        </w:rPr>
        <w:t>3、如遇台风、暴雪等自然性突发灾害，应提前关闭水泵、风机电闸，灾后及时重新开启并检查损坏情况，若损坏，应及时更换。</w:t>
      </w:r>
    </w:p>
    <w:p>
      <w:pPr>
        <w:snapToGrid w:val="0"/>
        <w:spacing w:line="440" w:lineRule="exact"/>
        <w:ind w:firstLine="480" w:firstLineChars="200"/>
        <w:jc w:val="left"/>
        <w:rPr>
          <w:rFonts w:ascii="宋体" w:hAnsi="宋体"/>
          <w:sz w:val="24"/>
        </w:rPr>
      </w:pPr>
      <w:r>
        <w:rPr>
          <w:rFonts w:hint="eastAsia" w:ascii="宋体" w:hAnsi="宋体"/>
          <w:sz w:val="24"/>
        </w:rPr>
        <w:t>4、按照半小时运维服务圈的原则，设立运维管理团队，根据操作规程对设施进行日常巡检、维护和应急处理，保障各类设施设备正常安全运行，并做好记录。</w:t>
      </w:r>
    </w:p>
    <w:p>
      <w:pPr>
        <w:snapToGrid w:val="0"/>
        <w:spacing w:line="440" w:lineRule="exact"/>
        <w:ind w:firstLine="480" w:firstLineChars="200"/>
        <w:jc w:val="left"/>
        <w:rPr>
          <w:rFonts w:ascii="宋体" w:hAnsi="宋体"/>
          <w:sz w:val="24"/>
        </w:rPr>
      </w:pPr>
      <w:r>
        <w:rPr>
          <w:rFonts w:hint="eastAsia" w:ascii="宋体" w:hAnsi="宋体"/>
          <w:sz w:val="24"/>
        </w:rPr>
        <w:t>5、发现异常情况应及时处理；对出现的较严重的影响污水处理系统正常运行的问题，应及时向乡镇（街道）报告并尽快修复设施。</w:t>
      </w:r>
    </w:p>
    <w:p>
      <w:pPr>
        <w:snapToGrid w:val="0"/>
        <w:spacing w:line="440" w:lineRule="exact"/>
        <w:ind w:firstLine="480" w:firstLineChars="200"/>
        <w:jc w:val="left"/>
        <w:rPr>
          <w:rFonts w:ascii="宋体" w:hAnsi="宋体"/>
          <w:sz w:val="24"/>
        </w:rPr>
      </w:pPr>
      <w:r>
        <w:rPr>
          <w:rFonts w:hint="eastAsia" w:ascii="宋体" w:hAnsi="宋体"/>
          <w:sz w:val="24"/>
        </w:rPr>
        <w:t>6、每年由专业人员对终端处理设备进行一次彻查与清理，并检查曝气装置及潜污泵等，有老化、损毁发生时进行清洗和更换。</w:t>
      </w:r>
    </w:p>
    <w:p>
      <w:pPr>
        <w:snapToGrid w:val="0"/>
        <w:spacing w:line="440" w:lineRule="exact"/>
        <w:ind w:firstLine="480" w:firstLineChars="200"/>
        <w:jc w:val="left"/>
      </w:pPr>
      <w:r>
        <w:rPr>
          <w:rFonts w:hint="eastAsia" w:ascii="宋体" w:hAnsi="宋体"/>
          <w:sz w:val="24"/>
        </w:rPr>
        <w:t>（六）终端维护</w:t>
      </w:r>
    </w:p>
    <w:p>
      <w:pPr>
        <w:snapToGrid w:val="0"/>
        <w:spacing w:line="440" w:lineRule="exact"/>
        <w:ind w:firstLine="480" w:firstLineChars="200"/>
        <w:jc w:val="left"/>
        <w:rPr>
          <w:rFonts w:ascii="宋体" w:hAnsi="宋体"/>
          <w:sz w:val="24"/>
        </w:rPr>
      </w:pPr>
      <w:r>
        <w:rPr>
          <w:rFonts w:hint="eastAsia" w:ascii="宋体" w:hAnsi="宋体"/>
          <w:sz w:val="24"/>
        </w:rPr>
        <w:t>1、供应商应确保公示牌、标识牌等满足省市县最新颁布的标准和规范，及时更新维护。</w:t>
      </w:r>
    </w:p>
    <w:p>
      <w:pPr>
        <w:snapToGrid w:val="0"/>
        <w:spacing w:line="440" w:lineRule="exact"/>
        <w:ind w:firstLine="480" w:firstLineChars="200"/>
        <w:jc w:val="left"/>
        <w:rPr>
          <w:rFonts w:ascii="宋体" w:hAnsi="宋体"/>
          <w:sz w:val="24"/>
        </w:rPr>
      </w:pPr>
      <w:r>
        <w:rPr>
          <w:rFonts w:hint="eastAsia" w:ascii="宋体" w:hAnsi="宋体"/>
          <w:sz w:val="24"/>
        </w:rPr>
        <w:t>2、集水池、生化池、沉淀池等相关池体根据实际情况进行清淤，每年不得少于两次，并将清出的淤泥固液分离后按桐庐县《农村生活污水处理设施运维废弃物处置方案》要求妥善处置。</w:t>
      </w:r>
    </w:p>
    <w:p>
      <w:pPr>
        <w:snapToGrid w:val="0"/>
        <w:spacing w:line="440" w:lineRule="exact"/>
        <w:ind w:firstLine="480" w:firstLineChars="200"/>
        <w:jc w:val="left"/>
        <w:rPr>
          <w:rFonts w:ascii="宋体" w:hAnsi="宋体"/>
          <w:sz w:val="24"/>
        </w:rPr>
      </w:pPr>
      <w:r>
        <w:rPr>
          <w:rFonts w:hint="eastAsia" w:ascii="宋体" w:hAnsi="宋体"/>
          <w:sz w:val="24"/>
        </w:rPr>
        <w:t>3、终端绿化绿色植物的季节性除草、防冻、修剪、清理和补种，无占绿、毁绿、虫害、枯烂枝头、枝体倾斜等现象。</w:t>
      </w:r>
    </w:p>
    <w:p>
      <w:pPr>
        <w:snapToGrid w:val="0"/>
        <w:spacing w:line="440" w:lineRule="exact"/>
        <w:ind w:firstLine="480" w:firstLineChars="200"/>
        <w:jc w:val="left"/>
        <w:rPr>
          <w:rFonts w:ascii="宋体" w:hAnsi="宋体"/>
          <w:sz w:val="24"/>
        </w:rPr>
      </w:pPr>
      <w:r>
        <w:rPr>
          <w:rFonts w:hint="eastAsia" w:ascii="宋体" w:hAnsi="宋体"/>
          <w:sz w:val="24"/>
        </w:rPr>
        <w:t>4、定期检查人工湿地植物生长状况，并进行病虫害防治；及时补种和修枝剪叶，清除杂草、垃圾、污物等；清扫湿地周边及湿地内部堆放的垃圾、污物，保持植物长势良好；每周检查湿地出水情况，若有异味、溢流、堵塞情况发生，记录并及时上报相关单位，对湿地进行整修，防止污水外溢，滋生蚊蝇；定期检查过滤系统是否堵塞，如遇堵塞及时采取措施进行清理、疏通或翻新,保证出水畅通。</w:t>
      </w:r>
    </w:p>
    <w:p>
      <w:pPr>
        <w:snapToGrid w:val="0"/>
        <w:spacing w:line="440" w:lineRule="exact"/>
        <w:ind w:firstLine="480" w:firstLineChars="200"/>
        <w:jc w:val="left"/>
        <w:rPr>
          <w:rFonts w:ascii="宋体" w:hAnsi="宋体"/>
          <w:sz w:val="24"/>
        </w:rPr>
      </w:pPr>
      <w:r>
        <w:rPr>
          <w:rFonts w:hint="eastAsia" w:ascii="宋体" w:hAnsi="宋体"/>
          <w:sz w:val="24"/>
        </w:rPr>
        <w:t>（七）台账资料的收集整理</w:t>
      </w:r>
    </w:p>
    <w:p>
      <w:pPr>
        <w:snapToGrid w:val="0"/>
        <w:spacing w:line="440" w:lineRule="exact"/>
        <w:ind w:firstLine="480" w:firstLineChars="200"/>
        <w:jc w:val="left"/>
        <w:rPr>
          <w:rFonts w:ascii="宋体" w:hAnsi="宋体"/>
          <w:sz w:val="24"/>
        </w:rPr>
      </w:pPr>
      <w:r>
        <w:rPr>
          <w:rFonts w:hint="eastAsia" w:ascii="宋体" w:hAnsi="宋体"/>
          <w:sz w:val="24"/>
        </w:rPr>
        <w:t>1、建设质量管理体系，内容包括运维管理制度、运维人员管理制度、档案资料管理制度、现场管理制度、安全管理制度岗位操作规程、应急预案、车辆管理制度、机电设备管理制度、水质检测制度、仓库管理制度、内部考核管理制度、异常情况信息报送制度等。</w:t>
      </w:r>
    </w:p>
    <w:p>
      <w:pPr>
        <w:snapToGrid w:val="0"/>
        <w:spacing w:line="440" w:lineRule="exact"/>
        <w:ind w:firstLine="480" w:firstLineChars="200"/>
        <w:jc w:val="left"/>
        <w:rPr>
          <w:rFonts w:ascii="宋体" w:hAnsi="宋体"/>
          <w:sz w:val="24"/>
        </w:rPr>
      </w:pPr>
      <w:r>
        <w:rPr>
          <w:rFonts w:hint="eastAsia" w:ascii="宋体" w:hAnsi="宋体"/>
          <w:sz w:val="24"/>
        </w:rPr>
        <w:t>2、建立企业运维管理系统，及时将运维基本信息、巡检记录、水质自检与分析报告、问题与整改落实记录等信息录入，并与桐庐县农村生活治理管理服务系统互联互通。</w:t>
      </w:r>
    </w:p>
    <w:p>
      <w:pPr>
        <w:snapToGrid w:val="0"/>
        <w:spacing w:line="440" w:lineRule="exact"/>
        <w:ind w:firstLine="480" w:firstLineChars="200"/>
        <w:jc w:val="left"/>
        <w:rPr>
          <w:rFonts w:ascii="宋体" w:hAnsi="宋体"/>
          <w:sz w:val="24"/>
        </w:rPr>
      </w:pPr>
      <w:r>
        <w:rPr>
          <w:rFonts w:hint="eastAsia" w:ascii="宋体" w:hAnsi="宋体"/>
          <w:sz w:val="24"/>
        </w:rPr>
        <w:t>3、每月底将本月的运行维护情况上报县级主管部门、乡镇（街道），并做好台账资料。台账资料应根据省市考核要求，主要包括以下内容：</w:t>
      </w:r>
    </w:p>
    <w:p>
      <w:pPr>
        <w:snapToGrid w:val="0"/>
        <w:spacing w:line="440" w:lineRule="exact"/>
        <w:ind w:firstLine="480" w:firstLineChars="200"/>
        <w:jc w:val="left"/>
        <w:rPr>
          <w:rFonts w:ascii="宋体" w:hAnsi="宋体"/>
          <w:sz w:val="24"/>
        </w:rPr>
      </w:pPr>
      <w:r>
        <w:rPr>
          <w:rFonts w:hint="eastAsia" w:ascii="宋体" w:hAnsi="宋体"/>
          <w:sz w:val="24"/>
        </w:rPr>
        <w:t>运维管理架构及规章制度、出水水量记录、重大事故水质异常及处理记录、群众投诉及信访处理记录、终端设施巡查记录、管网设施巡查记录、设施维修记录、进出水水质自检记录、及其它上级要求的相关内容。台账资料格式可参考省《农村生活污水处理设施运维标准化评价标准》，并以电子版形式上传企业运维管理系统及市级运维监管管理系统。</w:t>
      </w:r>
    </w:p>
    <w:p>
      <w:pPr>
        <w:snapToGrid w:val="0"/>
        <w:spacing w:line="440" w:lineRule="exact"/>
        <w:ind w:firstLine="480" w:firstLineChars="200"/>
        <w:jc w:val="left"/>
        <w:rPr>
          <w:rFonts w:ascii="宋体" w:hAnsi="宋体"/>
          <w:sz w:val="24"/>
        </w:rPr>
      </w:pPr>
      <w:r>
        <w:rPr>
          <w:rFonts w:hint="eastAsia" w:ascii="宋体" w:hAnsi="宋体"/>
          <w:sz w:val="24"/>
        </w:rPr>
        <w:t>（八）制订手册</w:t>
      </w:r>
    </w:p>
    <w:p>
      <w:pPr>
        <w:snapToGrid w:val="0"/>
        <w:spacing w:line="440" w:lineRule="exact"/>
        <w:ind w:firstLine="480" w:firstLineChars="200"/>
        <w:jc w:val="left"/>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制订设施维护手册，包括长效运行管理制度、管理人员设备配备、维护内容与要求、岗位操作规程和事故应急预案等。</w:t>
      </w:r>
    </w:p>
    <w:p>
      <w:pPr>
        <w:snapToGrid w:val="0"/>
        <w:spacing w:line="440" w:lineRule="exact"/>
        <w:ind w:firstLine="480" w:firstLineChars="200"/>
        <w:jc w:val="left"/>
        <w:rPr>
          <w:rFonts w:ascii="宋体" w:hAnsi="宋体"/>
          <w:sz w:val="24"/>
        </w:rPr>
      </w:pPr>
      <w:r>
        <w:rPr>
          <w:rFonts w:hint="eastAsia" w:ascii="宋体" w:hAnsi="宋体"/>
          <w:sz w:val="24"/>
        </w:rPr>
        <w:t>2．制订农户使用手册，包括污水排放守则、简单故障排除方法和维护人员电话等，派发至受益农户并进行宣传教育。</w:t>
      </w:r>
    </w:p>
    <w:p>
      <w:pPr>
        <w:snapToGrid w:val="0"/>
        <w:spacing w:line="440" w:lineRule="exact"/>
        <w:ind w:firstLine="480" w:firstLineChars="200"/>
        <w:jc w:val="left"/>
        <w:rPr>
          <w:rFonts w:ascii="宋体" w:hAnsi="宋体"/>
          <w:sz w:val="24"/>
        </w:rPr>
      </w:pPr>
      <w:r>
        <w:rPr>
          <w:rFonts w:hint="eastAsia" w:ascii="宋体" w:hAnsi="宋体"/>
          <w:sz w:val="24"/>
        </w:rPr>
        <w:t>（九）终止合同的情形</w:t>
      </w:r>
    </w:p>
    <w:p>
      <w:pPr>
        <w:snapToGrid w:val="0"/>
        <w:spacing w:line="440" w:lineRule="exact"/>
        <w:ind w:firstLine="480" w:firstLineChars="200"/>
        <w:jc w:val="left"/>
        <w:rPr>
          <w:rFonts w:ascii="宋体" w:hAnsi="宋体"/>
          <w:sz w:val="24"/>
        </w:rPr>
      </w:pPr>
      <w:r>
        <w:rPr>
          <w:rFonts w:hint="eastAsia" w:ascii="宋体" w:hAnsi="宋体"/>
          <w:sz w:val="24"/>
        </w:rPr>
        <w:t>当运维单位不能满足采购人服务要求时，符合下列条件之一的采购人有权终止项目合同并追究采购人未按承诺要求造成的损失和责任：</w:t>
      </w:r>
    </w:p>
    <w:p>
      <w:pPr>
        <w:snapToGrid w:val="0"/>
        <w:spacing w:line="440" w:lineRule="exact"/>
        <w:ind w:firstLine="480" w:firstLineChars="200"/>
        <w:jc w:val="left"/>
        <w:rPr>
          <w:rFonts w:ascii="宋体" w:hAnsi="宋体"/>
          <w:sz w:val="24"/>
        </w:rPr>
      </w:pPr>
      <w:r>
        <w:rPr>
          <w:rFonts w:hint="eastAsia" w:ascii="宋体" w:hAnsi="宋体"/>
          <w:sz w:val="24"/>
        </w:rPr>
        <w:t>1、受到县委县政府及以上单位、部门通报批评的，或一年内累计两次被市级以上主管部门通报批评的；</w:t>
      </w:r>
    </w:p>
    <w:p>
      <w:pPr>
        <w:snapToGrid w:val="0"/>
        <w:spacing w:line="440" w:lineRule="exact"/>
        <w:ind w:firstLine="480" w:firstLineChars="200"/>
        <w:jc w:val="left"/>
        <w:rPr>
          <w:rFonts w:ascii="宋体" w:hAnsi="宋体"/>
          <w:sz w:val="24"/>
        </w:rPr>
      </w:pPr>
      <w:r>
        <w:rPr>
          <w:rFonts w:hint="eastAsia" w:ascii="宋体" w:hAnsi="宋体"/>
          <w:sz w:val="24"/>
        </w:rPr>
        <w:t>2、发生群体性信访事件的；</w:t>
      </w:r>
    </w:p>
    <w:p>
      <w:pPr>
        <w:snapToGrid w:val="0"/>
        <w:spacing w:line="440" w:lineRule="exact"/>
        <w:ind w:firstLine="480" w:firstLineChars="200"/>
        <w:jc w:val="left"/>
        <w:rPr>
          <w:rFonts w:ascii="宋体" w:hAnsi="宋体"/>
          <w:sz w:val="24"/>
        </w:rPr>
      </w:pPr>
      <w:r>
        <w:rPr>
          <w:rFonts w:hint="eastAsia" w:ascii="宋体" w:hAnsi="宋体"/>
          <w:sz w:val="24"/>
        </w:rPr>
        <w:t>3、发生人员死亡等重大安全事故的；</w:t>
      </w:r>
    </w:p>
    <w:p>
      <w:pPr>
        <w:snapToGrid w:val="0"/>
        <w:spacing w:line="440" w:lineRule="exact"/>
        <w:ind w:firstLine="480" w:firstLineChars="200"/>
        <w:jc w:val="left"/>
        <w:rPr>
          <w:rFonts w:ascii="宋体" w:hAnsi="宋体"/>
          <w:sz w:val="24"/>
        </w:rPr>
      </w:pPr>
      <w:r>
        <w:rPr>
          <w:rFonts w:hint="eastAsia" w:ascii="宋体" w:hAnsi="宋体"/>
          <w:sz w:val="24"/>
        </w:rPr>
        <w:t>4、丧失履约能力或被宣告破产的；</w:t>
      </w:r>
    </w:p>
    <w:p>
      <w:pPr>
        <w:snapToGrid w:val="0"/>
        <w:spacing w:line="440" w:lineRule="exact"/>
        <w:ind w:firstLine="480" w:firstLineChars="200"/>
        <w:jc w:val="left"/>
        <w:rPr>
          <w:rFonts w:ascii="宋体" w:hAnsi="宋体"/>
          <w:sz w:val="24"/>
        </w:rPr>
      </w:pPr>
      <w:r>
        <w:rPr>
          <w:rFonts w:hint="eastAsia" w:ascii="宋体" w:hAnsi="宋体"/>
          <w:sz w:val="24"/>
        </w:rPr>
        <w:t>5、因违规操作触犯刑律的；</w:t>
      </w:r>
    </w:p>
    <w:p>
      <w:pPr>
        <w:snapToGrid w:val="0"/>
        <w:spacing w:line="440" w:lineRule="exact"/>
        <w:ind w:firstLine="480" w:firstLineChars="200"/>
        <w:jc w:val="left"/>
        <w:rPr>
          <w:rFonts w:ascii="宋体" w:hAnsi="宋体"/>
          <w:sz w:val="24"/>
        </w:rPr>
      </w:pPr>
      <w:r>
        <w:rPr>
          <w:rFonts w:hint="eastAsia" w:ascii="宋体" w:hAnsi="宋体"/>
          <w:sz w:val="24"/>
        </w:rPr>
        <w:t>6、服务能力达不到《农村生活污水处理设施运行维护单位基本条件》，且拒不整改的；</w:t>
      </w:r>
    </w:p>
    <w:p>
      <w:pPr>
        <w:snapToGrid w:val="0"/>
        <w:spacing w:line="440" w:lineRule="exact"/>
        <w:ind w:firstLine="480" w:firstLineChars="200"/>
        <w:jc w:val="left"/>
        <w:rPr>
          <w:rFonts w:ascii="宋体" w:hAnsi="宋体"/>
          <w:sz w:val="24"/>
        </w:rPr>
      </w:pPr>
      <w:r>
        <w:rPr>
          <w:rFonts w:hint="eastAsia" w:ascii="宋体" w:hAnsi="宋体"/>
          <w:sz w:val="24"/>
        </w:rPr>
        <w:t>7、年末考核分80分以下的；</w:t>
      </w:r>
    </w:p>
    <w:p>
      <w:pPr>
        <w:snapToGrid w:val="0"/>
        <w:spacing w:line="440" w:lineRule="exact"/>
        <w:ind w:firstLine="480" w:firstLineChars="200"/>
        <w:jc w:val="left"/>
        <w:rPr>
          <w:rFonts w:ascii="宋体" w:hAnsi="宋体"/>
          <w:sz w:val="24"/>
        </w:rPr>
      </w:pPr>
      <w:r>
        <w:rPr>
          <w:rFonts w:hint="eastAsia" w:ascii="宋体" w:hAnsi="宋体"/>
          <w:sz w:val="24"/>
        </w:rPr>
        <w:t>8、相关材料弄虚作假等。</w:t>
      </w:r>
    </w:p>
    <w:p>
      <w:pPr>
        <w:snapToGrid w:val="0"/>
        <w:spacing w:line="440" w:lineRule="exact"/>
        <w:ind w:firstLine="480" w:firstLineChars="200"/>
        <w:jc w:val="left"/>
        <w:rPr>
          <w:rFonts w:ascii="宋体" w:hAnsi="宋体"/>
          <w:sz w:val="24"/>
        </w:rPr>
      </w:pPr>
      <w:r>
        <w:rPr>
          <w:rFonts w:hint="eastAsia" w:ascii="宋体" w:hAnsi="宋体"/>
          <w:sz w:val="24"/>
        </w:rPr>
        <w:t>(十）考核方法和违约责任</w:t>
      </w:r>
    </w:p>
    <w:p>
      <w:pPr>
        <w:snapToGrid w:val="0"/>
        <w:spacing w:line="440" w:lineRule="exact"/>
        <w:ind w:firstLine="480" w:firstLineChars="200"/>
        <w:jc w:val="left"/>
        <w:rPr>
          <w:rFonts w:ascii="宋体" w:hAnsi="宋体"/>
          <w:sz w:val="24"/>
        </w:rPr>
      </w:pPr>
      <w:r>
        <w:rPr>
          <w:rFonts w:hint="eastAsia" w:ascii="宋体" w:hAnsi="宋体"/>
          <w:sz w:val="24"/>
        </w:rPr>
        <w:t>1、实行农村生活污水治理设施运营维护情况年度绩效评价制度。对中标运行维护单位以集中考核与日常考核相结合。</w:t>
      </w:r>
    </w:p>
    <w:p>
      <w:pPr>
        <w:snapToGrid w:val="0"/>
        <w:spacing w:line="440" w:lineRule="exact"/>
        <w:ind w:firstLine="480" w:firstLineChars="200"/>
        <w:jc w:val="left"/>
        <w:rPr>
          <w:rFonts w:ascii="宋体" w:hAnsi="宋体"/>
          <w:color w:val="FF0000"/>
          <w:sz w:val="24"/>
        </w:rPr>
      </w:pPr>
      <w:r>
        <w:rPr>
          <w:rFonts w:hint="eastAsia" w:ascii="宋体" w:hAnsi="宋体"/>
          <w:sz w:val="24"/>
        </w:rPr>
        <w:t>2、根据《浙江省农村生活污水治理工作考核办法》《杭州市农村生活污水治理工作综合评价办法》等最新文件精神，按照《桐庐县农村生活污水处理设施运维考核办法》的要求，根据考核结果与供应商续签下一年度合同。考核标准采用百分制，考核由县级主管部门牵头，乡镇（街道）参与进行，其中县级主管部门考核分占比50%、乡镇（街道）考核分占比50%；考核分95分（含）以上的，按照中标合同价款全额支付，并续签下一年度合同；考核分90分（含）以上至95分的，按照中标合同价款95%支付，并续签下一年度合同；考核分85分（含）以上至90分的，按照中标合同价款90%支付，并续签下一年度合同；考核分80分（含）以上至85分的，按照中标合同价款85%支付，并续签下一年度合同；考核分80分以下的，按照中标合同价款80%支付，但不再续签下一年度合同。</w:t>
      </w:r>
    </w:p>
    <w:p>
      <w:pPr>
        <w:snapToGrid w:val="0"/>
        <w:spacing w:line="440" w:lineRule="exact"/>
        <w:ind w:firstLine="480" w:firstLineChars="200"/>
        <w:jc w:val="left"/>
        <w:rPr>
          <w:rFonts w:ascii="宋体" w:hAnsi="宋体"/>
          <w:sz w:val="24"/>
        </w:rPr>
      </w:pPr>
      <w:r>
        <w:rPr>
          <w:rFonts w:hint="eastAsia" w:ascii="宋体" w:hAnsi="宋体"/>
          <w:sz w:val="24"/>
        </w:rPr>
        <w:t>3、机电设施维修不及时，造成处理设施无法正常运行；造成3次以上群众有效投诉或被媒体曝光造成重大不良社会影响等问题；接到县级以上主管部门书面整改通知后不能按时完成整改的，停拨中标供应商该年余下全部运行维护资金，并终止合同。</w:t>
      </w:r>
    </w:p>
    <w:p>
      <w:pPr>
        <w:snapToGrid w:val="0"/>
        <w:spacing w:line="440" w:lineRule="exact"/>
        <w:ind w:firstLine="480" w:firstLineChars="200"/>
        <w:jc w:val="left"/>
        <w:rPr>
          <w:rFonts w:ascii="宋体" w:hAnsi="宋体"/>
          <w:b/>
          <w:sz w:val="24"/>
        </w:rPr>
      </w:pPr>
      <w:r>
        <w:rPr>
          <w:rFonts w:hint="eastAsia" w:ascii="宋体" w:hAnsi="宋体"/>
          <w:sz w:val="24"/>
        </w:rPr>
        <w:t xml:space="preserve">4、中标供应商自行负责其招聘员工的一切工资、福利；如发生工伤、疾病乃至死亡的一切责任及费用由中标供应商全部负责；中标供应商应严格遵守国家有关的法律、法规及行业标准。如因中标供应商原因造成第三方损失的或在服务过程中中标供应商与从业人员发生任何劳动纠纷的，一切责任及费用由中标供应商全部负责。     </w:t>
      </w:r>
    </w:p>
    <w:p>
      <w:pPr>
        <w:spacing w:line="440" w:lineRule="exact"/>
        <w:ind w:firstLine="482" w:firstLineChars="200"/>
        <w:jc w:val="left"/>
        <w:rPr>
          <w:rFonts w:ascii="宋体" w:hAnsi="宋体"/>
          <w:b/>
          <w:sz w:val="24"/>
        </w:rPr>
      </w:pPr>
      <w:r>
        <w:rPr>
          <w:rFonts w:hint="eastAsia" w:ascii="宋体" w:hAnsi="宋体"/>
          <w:b/>
          <w:sz w:val="24"/>
        </w:rPr>
        <w:t>五、合同履约期限</w:t>
      </w:r>
    </w:p>
    <w:p>
      <w:pPr>
        <w:snapToGrid w:val="0"/>
        <w:spacing w:line="440" w:lineRule="exact"/>
        <w:ind w:firstLine="480" w:firstLineChars="200"/>
        <w:jc w:val="left"/>
        <w:rPr>
          <w:rFonts w:ascii="宋体" w:hAnsi="宋体"/>
          <w:sz w:val="24"/>
        </w:rPr>
      </w:pPr>
      <w:r>
        <w:rPr>
          <w:rFonts w:hint="eastAsia" w:ascii="宋体" w:hAnsi="宋体"/>
          <w:sz w:val="24"/>
        </w:rPr>
        <w:t>1、本次服务招标有效期为三年。</w:t>
      </w:r>
    </w:p>
    <w:p>
      <w:pPr>
        <w:snapToGrid w:val="0"/>
        <w:spacing w:line="440" w:lineRule="exact"/>
        <w:ind w:firstLine="480" w:firstLineChars="200"/>
        <w:jc w:val="left"/>
        <w:rPr>
          <w:rFonts w:ascii="宋体" w:hAnsi="宋体"/>
          <w:sz w:val="24"/>
        </w:rPr>
      </w:pPr>
      <w:r>
        <w:rPr>
          <w:rFonts w:hint="eastAsia" w:ascii="宋体" w:hAnsi="宋体"/>
          <w:sz w:val="24"/>
        </w:rPr>
        <w:t>2、本次招标实行一年一考核一签合同的办法，年度合同期满后，考核分在80分（含）以上的，采购人根据考核结果与中标供应商续签下一年合同，续签次数≤2次且合同价款不予调整（按中标价）。（考核办法详见《桐庐县农村生活污水处理设施运维考核办法》，以采购人发布的最新考核办法为准。）</w:t>
      </w:r>
    </w:p>
    <w:p>
      <w:pPr>
        <w:snapToGrid w:val="0"/>
        <w:spacing w:line="440" w:lineRule="exact"/>
        <w:ind w:firstLine="480" w:firstLineChars="200"/>
        <w:jc w:val="left"/>
        <w:rPr>
          <w:rFonts w:ascii="宋体" w:hAnsi="宋体"/>
          <w:sz w:val="24"/>
        </w:rPr>
      </w:pPr>
      <w:r>
        <w:rPr>
          <w:rFonts w:hint="eastAsia" w:ascii="宋体" w:hAnsi="宋体"/>
          <w:sz w:val="24"/>
        </w:rPr>
        <w:t>3、本次招标预算金额为一年服务期的运行维护费用。</w:t>
      </w:r>
    </w:p>
    <w:p>
      <w:pPr>
        <w:snapToGrid w:val="0"/>
        <w:spacing w:line="440" w:lineRule="exact"/>
        <w:ind w:firstLine="480" w:firstLineChars="200"/>
        <w:jc w:val="left"/>
        <w:rPr>
          <w:rFonts w:ascii="宋体" w:hAnsi="宋体"/>
          <w:sz w:val="24"/>
        </w:rPr>
      </w:pPr>
      <w:r>
        <w:rPr>
          <w:rFonts w:hint="eastAsia" w:ascii="宋体" w:hAnsi="宋体"/>
          <w:sz w:val="24"/>
        </w:rPr>
        <w:t>4、一年合同期满因采购人未获得县财政预算批复，采购人应提前30天书面通知供应商，合同到期终止不再延续。</w:t>
      </w:r>
    </w:p>
    <w:p>
      <w:pPr>
        <w:snapToGrid w:val="0"/>
        <w:spacing w:line="440" w:lineRule="exact"/>
        <w:ind w:firstLine="480" w:firstLineChars="200"/>
        <w:jc w:val="left"/>
        <w:rPr>
          <w:rFonts w:ascii="宋体" w:hAnsi="宋体"/>
          <w:sz w:val="24"/>
        </w:rPr>
      </w:pPr>
      <w:r>
        <w:rPr>
          <w:rFonts w:hint="eastAsia" w:ascii="宋体" w:hAnsi="宋体"/>
          <w:sz w:val="24"/>
        </w:rPr>
        <w:t>5、所有处理设施完成移交之日起合同生效。</w:t>
      </w:r>
    </w:p>
    <w:p>
      <w:pPr>
        <w:spacing w:line="440" w:lineRule="exact"/>
        <w:ind w:firstLine="482" w:firstLineChars="200"/>
        <w:jc w:val="left"/>
        <w:rPr>
          <w:rFonts w:ascii="宋体" w:hAnsi="宋体"/>
          <w:b/>
          <w:sz w:val="24"/>
        </w:rPr>
      </w:pPr>
      <w:r>
        <w:rPr>
          <w:rFonts w:hint="eastAsia" w:ascii="宋体" w:hAnsi="宋体"/>
          <w:b/>
          <w:sz w:val="24"/>
        </w:rPr>
        <w:t>六、</w:t>
      </w:r>
      <w:r>
        <w:rPr>
          <w:rFonts w:ascii="宋体" w:hAnsi="宋体"/>
          <w:b/>
          <w:sz w:val="24"/>
        </w:rPr>
        <w:t>付款</w:t>
      </w:r>
      <w:r>
        <w:rPr>
          <w:rFonts w:hint="eastAsia" w:ascii="宋体" w:hAnsi="宋体"/>
          <w:b/>
          <w:sz w:val="24"/>
        </w:rPr>
        <w:t>方式</w:t>
      </w:r>
    </w:p>
    <w:p>
      <w:pPr>
        <w:snapToGrid w:val="0"/>
        <w:spacing w:line="440" w:lineRule="exact"/>
        <w:ind w:firstLine="480" w:firstLineChars="200"/>
        <w:jc w:val="left"/>
        <w:rPr>
          <w:rFonts w:ascii="宋体" w:hAnsi="宋体"/>
          <w:color w:val="auto"/>
          <w:sz w:val="24"/>
        </w:rPr>
      </w:pPr>
      <w:r>
        <w:rPr>
          <w:rFonts w:hint="eastAsia" w:ascii="宋体" w:hAnsi="宋体"/>
          <w:color w:val="auto"/>
          <w:sz w:val="24"/>
        </w:rPr>
        <w:t>合同签订生效后7个工作日内支付合同价60%的预付款，剩余合同价款根据当年度桐庐县农村生活污水运行维护考核结果且完成相应问题整改后30日内一次性支付。</w:t>
      </w:r>
    </w:p>
    <w:p>
      <w:pPr>
        <w:spacing w:line="440" w:lineRule="exact"/>
        <w:ind w:firstLine="482" w:firstLineChars="200"/>
        <w:jc w:val="left"/>
        <w:rPr>
          <w:rFonts w:ascii="宋体" w:hAnsi="宋体"/>
          <w:b/>
          <w:sz w:val="24"/>
        </w:rPr>
      </w:pPr>
      <w:r>
        <w:rPr>
          <w:rFonts w:hint="eastAsia" w:ascii="宋体" w:hAnsi="宋体"/>
          <w:b/>
          <w:sz w:val="24"/>
        </w:rPr>
        <w:t>七、履约保证金</w:t>
      </w:r>
    </w:p>
    <w:p>
      <w:pPr>
        <w:spacing w:line="440" w:lineRule="exact"/>
        <w:ind w:firstLine="480" w:firstLineChars="200"/>
        <w:jc w:val="left"/>
        <w:rPr>
          <w:rFonts w:ascii="宋体" w:hAnsi="宋体"/>
          <w:sz w:val="24"/>
        </w:rPr>
      </w:pPr>
      <w:r>
        <w:rPr>
          <w:rFonts w:hint="eastAsia" w:ascii="宋体" w:hAnsi="宋体"/>
          <w:sz w:val="24"/>
        </w:rPr>
        <w:t>签订合同时，中标供应商应向采购人足额交纳履约保证金合同的0.1%。中标供应商应当以支票、汇票、本票或者金融机构、担保机构出具的保函等非现金形式提交。履约完成后无息退还。</w:t>
      </w:r>
    </w:p>
    <w:p>
      <w:pPr>
        <w:spacing w:line="440" w:lineRule="exact"/>
        <w:ind w:firstLine="482" w:firstLineChars="200"/>
        <w:jc w:val="left"/>
        <w:rPr>
          <w:rFonts w:ascii="宋体" w:hAnsi="宋体"/>
          <w:b/>
          <w:sz w:val="24"/>
        </w:rPr>
      </w:pPr>
      <w:r>
        <w:rPr>
          <w:rFonts w:hint="eastAsia" w:ascii="宋体" w:hAnsi="宋体"/>
          <w:b/>
          <w:sz w:val="24"/>
        </w:rPr>
        <w:t>八、保密制度</w:t>
      </w:r>
    </w:p>
    <w:p>
      <w:pPr>
        <w:snapToGrid w:val="0"/>
        <w:spacing w:line="440" w:lineRule="exact"/>
        <w:ind w:firstLine="480" w:firstLineChars="200"/>
        <w:jc w:val="left"/>
        <w:rPr>
          <w:rFonts w:ascii="宋体" w:hAnsi="宋体"/>
          <w:sz w:val="24"/>
        </w:rPr>
      </w:pPr>
      <w:r>
        <w:rPr>
          <w:rFonts w:hint="eastAsia" w:ascii="宋体" w:hAnsi="宋体"/>
          <w:sz w:val="24"/>
        </w:rPr>
        <w:t>1.建立严格的保密制度，中标供应商应当加强对工作人员保密管理及保密知识教育。</w:t>
      </w:r>
    </w:p>
    <w:p>
      <w:pPr>
        <w:snapToGrid w:val="0"/>
        <w:spacing w:line="440" w:lineRule="exact"/>
        <w:ind w:firstLine="480" w:firstLineChars="200"/>
        <w:jc w:val="left"/>
      </w:pPr>
      <w:r>
        <w:rPr>
          <w:rFonts w:hint="eastAsia" w:ascii="宋体" w:hAnsi="宋体"/>
          <w:sz w:val="24"/>
        </w:rPr>
        <w:t>2.中标供应商须承担与此有关的技术情报和数据资料的保密责任。与本项目有关的资料及数据成果中涉及国家秘密的内容，均要求按照《国家保密法》及相关法律法规执行。</w:t>
      </w:r>
    </w:p>
    <w:p>
      <w:pPr>
        <w:rPr>
          <w:rFonts w:ascii="宋体" w:hAnsi="宋体" w:cs="宋体"/>
          <w:b/>
          <w:sz w:val="36"/>
          <w:szCs w:val="36"/>
        </w:rPr>
      </w:pPr>
      <w:r>
        <w:rPr>
          <w:rFonts w:hint="eastAsia" w:ascii="宋体" w:hAnsi="宋体" w:cs="宋体"/>
          <w:b/>
          <w:sz w:val="36"/>
          <w:szCs w:val="36"/>
        </w:rPr>
        <w:br w:type="page"/>
      </w:r>
    </w:p>
    <w:p>
      <w:pPr>
        <w:snapToGrid w:val="0"/>
        <w:spacing w:line="360" w:lineRule="auto"/>
        <w:jc w:val="center"/>
        <w:rPr>
          <w:rFonts w:ascii="宋体" w:hAnsi="宋体" w:cs="宋体"/>
          <w:b/>
          <w:sz w:val="36"/>
          <w:szCs w:val="36"/>
        </w:rPr>
      </w:pPr>
      <w:r>
        <w:rPr>
          <w:rFonts w:hint="eastAsia" w:ascii="宋体" w:hAnsi="宋体" w:cs="宋体"/>
          <w:b/>
          <w:sz w:val="36"/>
          <w:szCs w:val="36"/>
        </w:rPr>
        <w:t xml:space="preserve">第四部分   </w:t>
      </w:r>
      <w:bookmarkStart w:id="26" w:name="_Toc184313285"/>
      <w:bookmarkEnd w:id="26"/>
      <w:bookmarkStart w:id="27" w:name="_Toc184312115"/>
      <w:bookmarkEnd w:id="27"/>
      <w:bookmarkStart w:id="28" w:name="_Toc184308052"/>
      <w:bookmarkEnd w:id="28"/>
      <w:bookmarkStart w:id="29" w:name="_Toc184314433"/>
      <w:bookmarkEnd w:id="29"/>
      <w:bookmarkStart w:id="30" w:name="_Toc184312138"/>
      <w:bookmarkEnd w:id="30"/>
      <w:bookmarkStart w:id="31" w:name="_Toc184308043"/>
      <w:bookmarkEnd w:id="31"/>
      <w:bookmarkStart w:id="32" w:name="_Toc184312122"/>
      <w:bookmarkEnd w:id="32"/>
      <w:bookmarkStart w:id="33" w:name="_Toc184312071"/>
      <w:bookmarkEnd w:id="33"/>
      <w:bookmarkStart w:id="34" w:name="_Toc184312082"/>
      <w:bookmarkEnd w:id="34"/>
      <w:bookmarkStart w:id="35" w:name="_Toc184312085"/>
      <w:bookmarkEnd w:id="35"/>
      <w:bookmarkStart w:id="36" w:name="_Toc184314429"/>
      <w:bookmarkEnd w:id="36"/>
      <w:bookmarkStart w:id="37" w:name="_Toc184314461"/>
      <w:bookmarkEnd w:id="37"/>
      <w:bookmarkStart w:id="38" w:name="_Toc184312118"/>
      <w:bookmarkEnd w:id="38"/>
      <w:bookmarkStart w:id="39" w:name="_Toc184313239"/>
      <w:bookmarkEnd w:id="39"/>
      <w:bookmarkStart w:id="40" w:name="_Toc184312136"/>
      <w:bookmarkEnd w:id="40"/>
      <w:bookmarkStart w:id="41" w:name="_Toc184310274"/>
      <w:bookmarkEnd w:id="41"/>
      <w:bookmarkStart w:id="42" w:name="_Toc184310275"/>
      <w:bookmarkEnd w:id="42"/>
      <w:bookmarkStart w:id="43" w:name="_Toc184312091"/>
      <w:bookmarkEnd w:id="43"/>
      <w:bookmarkStart w:id="44" w:name="_Toc184312111"/>
      <w:bookmarkEnd w:id="44"/>
      <w:bookmarkStart w:id="45" w:name="_Toc184310321"/>
      <w:bookmarkEnd w:id="45"/>
      <w:bookmarkStart w:id="46" w:name="_Toc184314476"/>
      <w:bookmarkEnd w:id="46"/>
      <w:bookmarkStart w:id="47" w:name="_Toc184313307"/>
      <w:bookmarkEnd w:id="47"/>
      <w:bookmarkStart w:id="48" w:name="_Toc184310313"/>
      <w:bookmarkEnd w:id="48"/>
      <w:bookmarkStart w:id="49" w:name="_Toc184312109"/>
      <w:bookmarkEnd w:id="49"/>
      <w:bookmarkStart w:id="50" w:name="_Toc184313251"/>
      <w:bookmarkEnd w:id="50"/>
      <w:bookmarkStart w:id="51" w:name="_Toc184313282"/>
      <w:bookmarkEnd w:id="51"/>
      <w:bookmarkStart w:id="52" w:name="_Toc184308049"/>
      <w:bookmarkEnd w:id="52"/>
      <w:bookmarkStart w:id="53" w:name="_Toc184310294"/>
      <w:bookmarkEnd w:id="53"/>
      <w:bookmarkStart w:id="54" w:name="_Toc184313262"/>
      <w:bookmarkEnd w:id="54"/>
      <w:bookmarkStart w:id="55" w:name="_Toc184308084"/>
      <w:bookmarkEnd w:id="55"/>
      <w:bookmarkStart w:id="56" w:name="_Toc184314431"/>
      <w:bookmarkEnd w:id="56"/>
      <w:bookmarkStart w:id="57" w:name="_Toc184314452"/>
      <w:bookmarkEnd w:id="57"/>
      <w:bookmarkStart w:id="58" w:name="_Toc184313288"/>
      <w:bookmarkEnd w:id="58"/>
      <w:bookmarkStart w:id="59" w:name="_Toc184312101"/>
      <w:bookmarkEnd w:id="59"/>
      <w:bookmarkStart w:id="60" w:name="_Toc184308070"/>
      <w:bookmarkEnd w:id="60"/>
      <w:bookmarkStart w:id="61" w:name="_Toc184314462"/>
      <w:bookmarkEnd w:id="61"/>
      <w:bookmarkStart w:id="62" w:name="_Toc184312112"/>
      <w:bookmarkEnd w:id="62"/>
      <w:bookmarkStart w:id="63" w:name="_Toc184312139"/>
      <w:bookmarkEnd w:id="63"/>
      <w:bookmarkStart w:id="64" w:name="_Toc184314437"/>
      <w:bookmarkEnd w:id="64"/>
      <w:bookmarkStart w:id="65" w:name="_Toc184310341"/>
      <w:bookmarkEnd w:id="65"/>
      <w:bookmarkStart w:id="66" w:name="_Toc184308107"/>
      <w:bookmarkEnd w:id="66"/>
      <w:bookmarkStart w:id="67" w:name="_Toc184312088"/>
      <w:bookmarkEnd w:id="67"/>
      <w:bookmarkStart w:id="68" w:name="_Toc184314434"/>
      <w:bookmarkEnd w:id="68"/>
      <w:bookmarkStart w:id="69" w:name="_Toc184314466"/>
      <w:bookmarkEnd w:id="69"/>
      <w:bookmarkStart w:id="70" w:name="_Toc184314439"/>
      <w:bookmarkEnd w:id="70"/>
      <w:bookmarkStart w:id="71" w:name="_Toc184308051"/>
      <w:bookmarkEnd w:id="71"/>
      <w:bookmarkStart w:id="72" w:name="_Toc184310281"/>
      <w:bookmarkEnd w:id="72"/>
      <w:bookmarkStart w:id="73" w:name="_Toc184310279"/>
      <w:bookmarkEnd w:id="73"/>
      <w:bookmarkStart w:id="74" w:name="_Toc184312119"/>
      <w:bookmarkEnd w:id="74"/>
      <w:bookmarkStart w:id="75" w:name="_Toc184310326"/>
      <w:bookmarkEnd w:id="75"/>
      <w:bookmarkStart w:id="76" w:name="_Toc184313275"/>
      <w:bookmarkEnd w:id="76"/>
      <w:bookmarkStart w:id="77" w:name="_Toc184308036"/>
      <w:bookmarkEnd w:id="77"/>
      <w:bookmarkStart w:id="78" w:name="_Toc184308066"/>
      <w:bookmarkEnd w:id="78"/>
      <w:bookmarkStart w:id="79" w:name="_Toc184310322"/>
      <w:bookmarkEnd w:id="79"/>
      <w:bookmarkStart w:id="80" w:name="_Toc184314474"/>
      <w:bookmarkEnd w:id="80"/>
      <w:bookmarkStart w:id="81" w:name="_Toc184310278"/>
      <w:bookmarkEnd w:id="81"/>
      <w:bookmarkStart w:id="82" w:name="_Toc184314412"/>
      <w:bookmarkEnd w:id="82"/>
      <w:bookmarkStart w:id="83" w:name="_Toc184308104"/>
      <w:bookmarkEnd w:id="83"/>
      <w:bookmarkStart w:id="84" w:name="_Toc184313303"/>
      <w:bookmarkEnd w:id="84"/>
      <w:bookmarkStart w:id="85" w:name="_Toc184308071"/>
      <w:bookmarkEnd w:id="85"/>
      <w:bookmarkStart w:id="86" w:name="_Toc184313289"/>
      <w:bookmarkEnd w:id="86"/>
      <w:bookmarkStart w:id="87" w:name="_Toc184313309"/>
      <w:bookmarkEnd w:id="87"/>
      <w:bookmarkStart w:id="88" w:name="_Toc184312075"/>
      <w:bookmarkEnd w:id="88"/>
      <w:bookmarkStart w:id="89" w:name="_Toc184310272"/>
      <w:bookmarkEnd w:id="89"/>
      <w:bookmarkStart w:id="90" w:name="_Toc184310334"/>
      <w:bookmarkEnd w:id="90"/>
      <w:bookmarkStart w:id="91" w:name="_Toc184310308"/>
      <w:bookmarkEnd w:id="91"/>
      <w:bookmarkStart w:id="92" w:name="_Toc184310301"/>
      <w:bookmarkEnd w:id="92"/>
      <w:bookmarkStart w:id="93" w:name="_Toc184313301"/>
      <w:bookmarkEnd w:id="93"/>
      <w:bookmarkStart w:id="94" w:name="_Toc184308101"/>
      <w:bookmarkEnd w:id="94"/>
      <w:bookmarkStart w:id="95" w:name="_Toc184314436"/>
      <w:bookmarkEnd w:id="95"/>
      <w:bookmarkStart w:id="96" w:name="_Toc184312095"/>
      <w:bookmarkEnd w:id="96"/>
      <w:bookmarkStart w:id="97" w:name="_Toc184313269"/>
      <w:bookmarkEnd w:id="97"/>
      <w:bookmarkStart w:id="98" w:name="_Toc184314411"/>
      <w:bookmarkEnd w:id="98"/>
      <w:bookmarkStart w:id="99" w:name="_Toc184308057"/>
      <w:bookmarkEnd w:id="99"/>
      <w:bookmarkStart w:id="100" w:name="_Toc184308056"/>
      <w:bookmarkEnd w:id="100"/>
      <w:bookmarkStart w:id="101" w:name="_Toc184314482"/>
      <w:bookmarkEnd w:id="101"/>
      <w:bookmarkStart w:id="102" w:name="_Toc184313266"/>
      <w:bookmarkEnd w:id="102"/>
      <w:bookmarkStart w:id="103" w:name="_Toc184310329"/>
      <w:bookmarkEnd w:id="103"/>
      <w:bookmarkStart w:id="104" w:name="_Toc184312100"/>
      <w:bookmarkEnd w:id="104"/>
      <w:bookmarkStart w:id="105" w:name="_Toc184312131"/>
      <w:bookmarkEnd w:id="105"/>
      <w:bookmarkStart w:id="106" w:name="_Toc184308098"/>
      <w:bookmarkEnd w:id="106"/>
      <w:bookmarkStart w:id="107" w:name="_Toc184310307"/>
      <w:bookmarkEnd w:id="107"/>
      <w:bookmarkStart w:id="108" w:name="_Toc184314456"/>
      <w:bookmarkEnd w:id="108"/>
      <w:bookmarkStart w:id="109" w:name="_Toc184314441"/>
      <w:bookmarkEnd w:id="109"/>
      <w:bookmarkStart w:id="110" w:name="_Toc184312080"/>
      <w:bookmarkEnd w:id="110"/>
      <w:bookmarkStart w:id="111" w:name="_Toc184314440"/>
      <w:bookmarkEnd w:id="111"/>
      <w:bookmarkStart w:id="112" w:name="_Toc184312116"/>
      <w:bookmarkEnd w:id="112"/>
      <w:bookmarkStart w:id="113" w:name="_Toc184313298"/>
      <w:bookmarkEnd w:id="113"/>
      <w:bookmarkStart w:id="114" w:name="_Toc184310320"/>
      <w:bookmarkEnd w:id="114"/>
      <w:bookmarkStart w:id="115" w:name="_Toc184314430"/>
      <w:bookmarkEnd w:id="115"/>
      <w:bookmarkStart w:id="116" w:name="_Toc184314423"/>
      <w:bookmarkEnd w:id="116"/>
      <w:bookmarkStart w:id="117" w:name="_Toc184312129"/>
      <w:bookmarkEnd w:id="117"/>
      <w:bookmarkStart w:id="118" w:name="_Toc184313287"/>
      <w:bookmarkEnd w:id="118"/>
      <w:bookmarkStart w:id="119" w:name="_Toc184308045"/>
      <w:bookmarkEnd w:id="119"/>
      <w:bookmarkStart w:id="120" w:name="_Toc184312105"/>
      <w:bookmarkEnd w:id="120"/>
      <w:bookmarkStart w:id="121" w:name="_Toc184313283"/>
      <w:bookmarkEnd w:id="121"/>
      <w:bookmarkStart w:id="122" w:name="_Toc184312094"/>
      <w:bookmarkEnd w:id="122"/>
      <w:bookmarkStart w:id="123" w:name="_Toc184310311"/>
      <w:bookmarkEnd w:id="123"/>
      <w:bookmarkStart w:id="124" w:name="_Toc184310299"/>
      <w:bookmarkEnd w:id="124"/>
      <w:bookmarkStart w:id="125" w:name="_Toc184312130"/>
      <w:bookmarkEnd w:id="125"/>
      <w:bookmarkStart w:id="126" w:name="_Toc184308079"/>
      <w:bookmarkEnd w:id="126"/>
      <w:bookmarkStart w:id="127" w:name="_Toc184312073"/>
      <w:bookmarkEnd w:id="127"/>
      <w:bookmarkStart w:id="128" w:name="_Toc184310292"/>
      <w:bookmarkEnd w:id="128"/>
      <w:bookmarkStart w:id="129" w:name="_Toc184308040"/>
      <w:bookmarkEnd w:id="129"/>
      <w:bookmarkStart w:id="130" w:name="_Toc184313250"/>
      <w:bookmarkEnd w:id="130"/>
      <w:bookmarkStart w:id="131" w:name="_Toc184313244"/>
      <w:bookmarkEnd w:id="131"/>
      <w:bookmarkStart w:id="132" w:name="_Toc184313297"/>
      <w:bookmarkEnd w:id="132"/>
      <w:bookmarkStart w:id="133" w:name="_Toc184312087"/>
      <w:bookmarkEnd w:id="133"/>
      <w:bookmarkStart w:id="134" w:name="_Toc184308044"/>
      <w:bookmarkEnd w:id="134"/>
      <w:bookmarkStart w:id="135" w:name="_Toc184312123"/>
      <w:bookmarkEnd w:id="135"/>
      <w:bookmarkStart w:id="136" w:name="_Toc184312090"/>
      <w:bookmarkEnd w:id="136"/>
      <w:bookmarkStart w:id="137" w:name="_Toc184312081"/>
      <w:bookmarkEnd w:id="137"/>
      <w:bookmarkStart w:id="138" w:name="_Toc184313299"/>
      <w:bookmarkEnd w:id="138"/>
      <w:bookmarkStart w:id="139" w:name="_Toc184308072"/>
      <w:bookmarkEnd w:id="139"/>
      <w:bookmarkStart w:id="140" w:name="_Toc184314472"/>
      <w:bookmarkEnd w:id="140"/>
      <w:bookmarkStart w:id="141" w:name="_Toc184313302"/>
      <w:bookmarkEnd w:id="141"/>
      <w:bookmarkStart w:id="142" w:name="_Toc184313293"/>
      <w:bookmarkEnd w:id="142"/>
      <w:bookmarkStart w:id="143" w:name="_Toc184310289"/>
      <w:bookmarkEnd w:id="143"/>
      <w:bookmarkStart w:id="144" w:name="_Toc184308064"/>
      <w:bookmarkEnd w:id="144"/>
      <w:bookmarkStart w:id="145" w:name="_Toc184313268"/>
      <w:bookmarkEnd w:id="145"/>
      <w:bookmarkStart w:id="146" w:name="_Toc184308106"/>
      <w:bookmarkEnd w:id="146"/>
      <w:bookmarkStart w:id="147" w:name="_Toc184314438"/>
      <w:bookmarkEnd w:id="147"/>
      <w:bookmarkStart w:id="148" w:name="_Toc184310295"/>
      <w:bookmarkEnd w:id="148"/>
      <w:bookmarkStart w:id="149" w:name="_Toc184308058"/>
      <w:bookmarkEnd w:id="149"/>
      <w:bookmarkStart w:id="150" w:name="_Toc184314459"/>
      <w:bookmarkEnd w:id="150"/>
      <w:bookmarkStart w:id="151" w:name="_Toc184310314"/>
      <w:bookmarkEnd w:id="151"/>
      <w:bookmarkStart w:id="152" w:name="_Toc184310284"/>
      <w:bookmarkEnd w:id="152"/>
      <w:bookmarkStart w:id="153" w:name="_Toc184308074"/>
      <w:bookmarkEnd w:id="153"/>
      <w:bookmarkStart w:id="154" w:name="_Toc184308067"/>
      <w:bookmarkEnd w:id="154"/>
      <w:bookmarkStart w:id="155" w:name="_Toc184310273"/>
      <w:bookmarkEnd w:id="155"/>
      <w:bookmarkStart w:id="156" w:name="_Toc184314457"/>
      <w:bookmarkEnd w:id="156"/>
      <w:bookmarkStart w:id="157" w:name="_Toc184313261"/>
      <w:bookmarkEnd w:id="157"/>
      <w:bookmarkStart w:id="158" w:name="_Toc184313280"/>
      <w:bookmarkEnd w:id="158"/>
      <w:bookmarkStart w:id="159" w:name="_Toc184310303"/>
      <w:bookmarkEnd w:id="159"/>
      <w:bookmarkStart w:id="160" w:name="_Toc184314480"/>
      <w:bookmarkEnd w:id="160"/>
      <w:bookmarkStart w:id="161" w:name="_Toc184313264"/>
      <w:bookmarkEnd w:id="161"/>
      <w:bookmarkStart w:id="162" w:name="_Toc184314447"/>
      <w:bookmarkEnd w:id="162"/>
      <w:bookmarkStart w:id="163" w:name="_Toc184313279"/>
      <w:bookmarkEnd w:id="163"/>
      <w:bookmarkStart w:id="164" w:name="_Toc184313252"/>
      <w:bookmarkEnd w:id="164"/>
      <w:bookmarkStart w:id="165" w:name="_Toc184313246"/>
      <w:bookmarkEnd w:id="165"/>
      <w:bookmarkStart w:id="166" w:name="_Toc184314415"/>
      <w:bookmarkEnd w:id="166"/>
      <w:bookmarkStart w:id="167" w:name="_Toc184314451"/>
      <w:bookmarkEnd w:id="167"/>
      <w:bookmarkStart w:id="168" w:name="_Toc184310297"/>
      <w:bookmarkEnd w:id="168"/>
      <w:bookmarkStart w:id="169" w:name="_Toc184314420"/>
      <w:bookmarkEnd w:id="169"/>
      <w:bookmarkStart w:id="170" w:name="_Toc184314444"/>
      <w:bookmarkEnd w:id="170"/>
      <w:bookmarkStart w:id="171" w:name="_Toc184313267"/>
      <w:bookmarkEnd w:id="171"/>
      <w:bookmarkStart w:id="172" w:name="_Toc184308094"/>
      <w:bookmarkEnd w:id="172"/>
      <w:bookmarkStart w:id="173" w:name="_Toc184310317"/>
      <w:bookmarkEnd w:id="173"/>
      <w:bookmarkStart w:id="174" w:name="_Toc184314471"/>
      <w:bookmarkEnd w:id="174"/>
      <w:bookmarkStart w:id="175" w:name="_Toc184308065"/>
      <w:bookmarkEnd w:id="175"/>
      <w:bookmarkStart w:id="176" w:name="_Toc184314468"/>
      <w:bookmarkEnd w:id="176"/>
      <w:bookmarkStart w:id="177" w:name="_Toc184310330"/>
      <w:bookmarkEnd w:id="177"/>
      <w:bookmarkStart w:id="178" w:name="_Toc184312078"/>
      <w:bookmarkEnd w:id="178"/>
      <w:bookmarkStart w:id="179" w:name="_Toc184313238"/>
      <w:bookmarkEnd w:id="179"/>
      <w:bookmarkStart w:id="180" w:name="_Toc184313243"/>
      <w:bookmarkEnd w:id="180"/>
      <w:bookmarkStart w:id="181" w:name="_Toc184313259"/>
      <w:bookmarkEnd w:id="181"/>
      <w:bookmarkStart w:id="182" w:name="_Toc184308053"/>
      <w:bookmarkEnd w:id="182"/>
      <w:bookmarkStart w:id="183" w:name="_Toc184314458"/>
      <w:bookmarkEnd w:id="183"/>
      <w:bookmarkStart w:id="184" w:name="_Toc184312097"/>
      <w:bookmarkEnd w:id="184"/>
      <w:bookmarkStart w:id="185" w:name="_Toc184313300"/>
      <w:bookmarkEnd w:id="185"/>
      <w:bookmarkStart w:id="186" w:name="_Toc184313306"/>
      <w:bookmarkEnd w:id="186"/>
      <w:bookmarkStart w:id="187" w:name="_Toc184313296"/>
      <w:bookmarkEnd w:id="187"/>
      <w:bookmarkStart w:id="188" w:name="_Toc184313256"/>
      <w:bookmarkEnd w:id="188"/>
      <w:bookmarkStart w:id="189" w:name="_Toc184312126"/>
      <w:bookmarkEnd w:id="189"/>
      <w:bookmarkStart w:id="190" w:name="_Toc184314463"/>
      <w:bookmarkEnd w:id="190"/>
      <w:bookmarkStart w:id="191" w:name="_Toc184308090"/>
      <w:bookmarkEnd w:id="191"/>
      <w:bookmarkStart w:id="192" w:name="_Toc184313292"/>
      <w:bookmarkEnd w:id="192"/>
      <w:bookmarkStart w:id="193" w:name="_Toc184314422"/>
      <w:bookmarkEnd w:id="193"/>
      <w:bookmarkStart w:id="194" w:name="_Toc184308059"/>
      <w:bookmarkEnd w:id="194"/>
      <w:bookmarkStart w:id="195" w:name="_Toc184314454"/>
      <w:bookmarkEnd w:id="195"/>
      <w:bookmarkStart w:id="196" w:name="_Toc184314453"/>
      <w:bookmarkEnd w:id="196"/>
      <w:bookmarkStart w:id="197" w:name="_Toc184314432"/>
      <w:bookmarkEnd w:id="197"/>
      <w:bookmarkStart w:id="198" w:name="_Toc184308041"/>
      <w:bookmarkEnd w:id="198"/>
      <w:bookmarkStart w:id="199" w:name="_Toc184312069"/>
      <w:bookmarkEnd w:id="199"/>
      <w:bookmarkStart w:id="200" w:name="_Toc184314449"/>
      <w:bookmarkEnd w:id="200"/>
      <w:bookmarkStart w:id="201" w:name="_Toc184312077"/>
      <w:bookmarkEnd w:id="201"/>
      <w:bookmarkStart w:id="202" w:name="_Toc184313276"/>
      <w:bookmarkEnd w:id="202"/>
      <w:bookmarkStart w:id="203" w:name="_Toc184314455"/>
      <w:bookmarkEnd w:id="203"/>
      <w:bookmarkStart w:id="204" w:name="_Toc184313263"/>
      <w:bookmarkEnd w:id="204"/>
      <w:bookmarkStart w:id="205" w:name="_Toc184310296"/>
      <w:bookmarkEnd w:id="205"/>
      <w:bookmarkStart w:id="206" w:name="_Toc184312117"/>
      <w:bookmarkEnd w:id="206"/>
      <w:bookmarkStart w:id="207" w:name="_Toc184313278"/>
      <w:bookmarkEnd w:id="207"/>
      <w:bookmarkStart w:id="208" w:name="_Toc184313255"/>
      <w:bookmarkEnd w:id="208"/>
      <w:bookmarkStart w:id="209" w:name="_Toc184308099"/>
      <w:bookmarkEnd w:id="209"/>
      <w:bookmarkStart w:id="210" w:name="_Toc184314445"/>
      <w:bookmarkEnd w:id="210"/>
      <w:bookmarkStart w:id="211" w:name="_Toc184312068"/>
      <w:bookmarkEnd w:id="211"/>
      <w:bookmarkStart w:id="212" w:name="_Toc184314479"/>
      <w:bookmarkEnd w:id="212"/>
      <w:bookmarkStart w:id="213" w:name="_Toc184310319"/>
      <w:bookmarkEnd w:id="213"/>
      <w:bookmarkStart w:id="214" w:name="_Toc184314481"/>
      <w:bookmarkEnd w:id="214"/>
      <w:bookmarkStart w:id="215" w:name="_Toc184312072"/>
      <w:bookmarkEnd w:id="215"/>
      <w:bookmarkStart w:id="216" w:name="_Toc184308108"/>
      <w:bookmarkEnd w:id="216"/>
      <w:bookmarkStart w:id="217" w:name="_Toc184313242"/>
      <w:bookmarkEnd w:id="217"/>
      <w:bookmarkStart w:id="218" w:name="_Toc184310306"/>
      <w:bookmarkEnd w:id="218"/>
      <w:bookmarkStart w:id="219" w:name="_Toc184314448"/>
      <w:bookmarkEnd w:id="219"/>
      <w:bookmarkStart w:id="220" w:name="_Toc184314426"/>
      <w:bookmarkEnd w:id="220"/>
      <w:bookmarkStart w:id="221" w:name="_Toc184313253"/>
      <w:bookmarkEnd w:id="221"/>
      <w:bookmarkStart w:id="222" w:name="_Toc184312103"/>
      <w:bookmarkEnd w:id="222"/>
      <w:bookmarkStart w:id="223" w:name="_Toc184312113"/>
      <w:bookmarkEnd w:id="223"/>
      <w:bookmarkStart w:id="224" w:name="_Toc184312125"/>
      <w:bookmarkEnd w:id="224"/>
      <w:bookmarkStart w:id="225" w:name="_Toc184314478"/>
      <w:bookmarkEnd w:id="225"/>
      <w:bookmarkStart w:id="226" w:name="_Toc184312067"/>
      <w:bookmarkEnd w:id="226"/>
      <w:bookmarkStart w:id="227" w:name="_Toc184308047"/>
      <w:bookmarkEnd w:id="227"/>
      <w:bookmarkStart w:id="228" w:name="_Toc184310316"/>
      <w:bookmarkEnd w:id="228"/>
      <w:bookmarkStart w:id="229" w:name="_Toc184312070"/>
      <w:bookmarkEnd w:id="229"/>
      <w:bookmarkStart w:id="230" w:name="_Toc184310298"/>
      <w:bookmarkEnd w:id="230"/>
      <w:bookmarkStart w:id="231" w:name="_Toc184310318"/>
      <w:bookmarkEnd w:id="231"/>
      <w:bookmarkStart w:id="232" w:name="_Toc184310310"/>
      <w:bookmarkEnd w:id="232"/>
      <w:bookmarkStart w:id="233" w:name="_Toc184313271"/>
      <w:bookmarkEnd w:id="233"/>
      <w:bookmarkStart w:id="234" w:name="_Toc184312092"/>
      <w:bookmarkEnd w:id="234"/>
      <w:bookmarkStart w:id="235" w:name="_Toc184308080"/>
      <w:bookmarkEnd w:id="235"/>
      <w:bookmarkStart w:id="236" w:name="_Toc184313260"/>
      <w:bookmarkEnd w:id="236"/>
      <w:bookmarkStart w:id="237" w:name="_Toc184308089"/>
      <w:bookmarkEnd w:id="237"/>
      <w:bookmarkStart w:id="238" w:name="_Toc184310340"/>
      <w:bookmarkEnd w:id="238"/>
      <w:bookmarkStart w:id="239" w:name="_Toc184310291"/>
      <w:bookmarkEnd w:id="239"/>
      <w:bookmarkStart w:id="240" w:name="_Toc184308103"/>
      <w:bookmarkEnd w:id="240"/>
      <w:bookmarkStart w:id="241" w:name="_Toc184313308"/>
      <w:bookmarkEnd w:id="241"/>
      <w:bookmarkStart w:id="242" w:name="_Toc184310304"/>
      <w:bookmarkEnd w:id="242"/>
      <w:bookmarkStart w:id="243" w:name="_Toc184312114"/>
      <w:bookmarkEnd w:id="243"/>
      <w:bookmarkStart w:id="244" w:name="_Toc184314427"/>
      <w:bookmarkEnd w:id="244"/>
      <w:bookmarkStart w:id="245" w:name="_Toc184313294"/>
      <w:bookmarkEnd w:id="245"/>
      <w:bookmarkStart w:id="246" w:name="_Toc184310288"/>
      <w:bookmarkEnd w:id="246"/>
      <w:bookmarkStart w:id="247" w:name="_Toc184310282"/>
      <w:bookmarkEnd w:id="247"/>
      <w:bookmarkStart w:id="248" w:name="_Toc184313247"/>
      <w:bookmarkEnd w:id="248"/>
      <w:bookmarkStart w:id="249" w:name="_Toc184310338"/>
      <w:bookmarkEnd w:id="249"/>
      <w:bookmarkStart w:id="250" w:name="_Toc184312093"/>
      <w:bookmarkEnd w:id="250"/>
      <w:bookmarkStart w:id="251" w:name="_Toc184310280"/>
      <w:bookmarkEnd w:id="251"/>
      <w:bookmarkStart w:id="252" w:name="_Toc184310336"/>
      <w:bookmarkEnd w:id="252"/>
      <w:bookmarkStart w:id="253" w:name="_Toc184312133"/>
      <w:bookmarkEnd w:id="253"/>
      <w:bookmarkStart w:id="254" w:name="_Toc184308100"/>
      <w:bookmarkEnd w:id="254"/>
      <w:bookmarkStart w:id="255" w:name="_Toc184313291"/>
      <w:bookmarkEnd w:id="255"/>
      <w:bookmarkStart w:id="256" w:name="_Toc184310323"/>
      <w:bookmarkEnd w:id="256"/>
      <w:bookmarkStart w:id="257" w:name="_Toc184308096"/>
      <w:bookmarkEnd w:id="257"/>
      <w:bookmarkStart w:id="258" w:name="_Toc184314428"/>
      <w:bookmarkEnd w:id="258"/>
      <w:bookmarkStart w:id="259" w:name="_Toc184314470"/>
      <w:bookmarkEnd w:id="259"/>
      <w:bookmarkStart w:id="260" w:name="_Toc184310337"/>
      <w:bookmarkEnd w:id="260"/>
      <w:bookmarkStart w:id="261" w:name="_Toc184314475"/>
      <w:bookmarkEnd w:id="261"/>
      <w:bookmarkStart w:id="262" w:name="_Toc184308092"/>
      <w:bookmarkEnd w:id="262"/>
      <w:bookmarkStart w:id="263" w:name="_Toc184312102"/>
      <w:bookmarkEnd w:id="263"/>
      <w:bookmarkStart w:id="264" w:name="_Toc184314418"/>
      <w:bookmarkEnd w:id="264"/>
      <w:bookmarkStart w:id="265" w:name="_Toc184312110"/>
      <w:bookmarkEnd w:id="265"/>
      <w:bookmarkStart w:id="266" w:name="_Toc184313249"/>
      <w:bookmarkEnd w:id="266"/>
      <w:bookmarkStart w:id="267" w:name="_Toc184314469"/>
      <w:bookmarkEnd w:id="267"/>
      <w:bookmarkStart w:id="268" w:name="_Toc184314477"/>
      <w:bookmarkEnd w:id="268"/>
      <w:bookmarkStart w:id="269" w:name="_Toc184313240"/>
      <w:bookmarkEnd w:id="269"/>
      <w:bookmarkStart w:id="270" w:name="_Toc184312120"/>
      <w:bookmarkEnd w:id="270"/>
      <w:bookmarkStart w:id="271" w:name="_Toc184313290"/>
      <w:bookmarkEnd w:id="271"/>
      <w:bookmarkStart w:id="272" w:name="_Toc184310315"/>
      <w:bookmarkEnd w:id="272"/>
      <w:bookmarkStart w:id="273" w:name="_Toc184308085"/>
      <w:bookmarkEnd w:id="273"/>
      <w:bookmarkStart w:id="274" w:name="_Toc184308102"/>
      <w:bookmarkEnd w:id="274"/>
      <w:bookmarkStart w:id="275" w:name="_Toc184314473"/>
      <w:bookmarkEnd w:id="275"/>
      <w:bookmarkStart w:id="276" w:name="_Toc184314465"/>
      <w:bookmarkEnd w:id="276"/>
      <w:bookmarkStart w:id="277" w:name="_Toc184310325"/>
      <w:bookmarkEnd w:id="277"/>
      <w:bookmarkStart w:id="278" w:name="_Toc184310328"/>
      <w:bookmarkEnd w:id="278"/>
      <w:bookmarkStart w:id="279" w:name="_Toc184312137"/>
      <w:bookmarkEnd w:id="279"/>
      <w:bookmarkStart w:id="280" w:name="_Toc184312132"/>
      <w:bookmarkEnd w:id="280"/>
      <w:bookmarkStart w:id="281" w:name="_Toc184314416"/>
      <w:bookmarkEnd w:id="281"/>
      <w:bookmarkStart w:id="282" w:name="_Toc184310335"/>
      <w:bookmarkEnd w:id="282"/>
      <w:bookmarkStart w:id="283" w:name="_Toc184312124"/>
      <w:bookmarkEnd w:id="283"/>
      <w:bookmarkStart w:id="284" w:name="_Toc184312096"/>
      <w:bookmarkEnd w:id="284"/>
      <w:bookmarkStart w:id="285" w:name="_Toc184312086"/>
      <w:bookmarkEnd w:id="285"/>
      <w:bookmarkStart w:id="286" w:name="_Toc184308083"/>
      <w:bookmarkEnd w:id="286"/>
      <w:bookmarkStart w:id="287" w:name="_Toc184310300"/>
      <w:bookmarkEnd w:id="287"/>
      <w:bookmarkStart w:id="288" w:name="_Toc184308075"/>
      <w:bookmarkEnd w:id="288"/>
      <w:bookmarkStart w:id="289" w:name="_Toc184310327"/>
      <w:bookmarkEnd w:id="289"/>
      <w:bookmarkStart w:id="290" w:name="_Toc184313258"/>
      <w:bookmarkEnd w:id="290"/>
      <w:bookmarkStart w:id="291" w:name="_Toc184308055"/>
      <w:bookmarkEnd w:id="291"/>
      <w:bookmarkStart w:id="292" w:name="_Toc184312099"/>
      <w:bookmarkEnd w:id="292"/>
      <w:bookmarkStart w:id="293" w:name="_Toc184313274"/>
      <w:bookmarkEnd w:id="293"/>
      <w:bookmarkStart w:id="294" w:name="_Toc184308095"/>
      <w:bookmarkEnd w:id="294"/>
      <w:bookmarkStart w:id="295" w:name="_Toc184314467"/>
      <w:bookmarkEnd w:id="295"/>
      <w:bookmarkStart w:id="296" w:name="_Toc184308061"/>
      <w:bookmarkEnd w:id="296"/>
      <w:bookmarkStart w:id="297" w:name="_Toc184310276"/>
      <w:bookmarkEnd w:id="297"/>
      <w:bookmarkStart w:id="298" w:name="_Toc184314413"/>
      <w:bookmarkEnd w:id="298"/>
      <w:bookmarkStart w:id="299" w:name="_Toc184310290"/>
      <w:bookmarkEnd w:id="299"/>
      <w:bookmarkStart w:id="300" w:name="_Toc184314425"/>
      <w:bookmarkEnd w:id="300"/>
      <w:bookmarkStart w:id="301" w:name="_Toc184314421"/>
      <w:bookmarkEnd w:id="301"/>
      <w:bookmarkStart w:id="302" w:name="_Toc184313241"/>
      <w:bookmarkEnd w:id="302"/>
      <w:bookmarkStart w:id="303" w:name="_Toc184310283"/>
      <w:bookmarkEnd w:id="303"/>
      <w:bookmarkStart w:id="304" w:name="_Toc184313245"/>
      <w:bookmarkEnd w:id="304"/>
      <w:bookmarkStart w:id="305" w:name="_Toc184310302"/>
      <w:bookmarkEnd w:id="305"/>
      <w:bookmarkStart w:id="306" w:name="_Toc184308054"/>
      <w:bookmarkEnd w:id="306"/>
      <w:bookmarkStart w:id="307" w:name="_Toc184313295"/>
      <w:bookmarkEnd w:id="307"/>
      <w:bookmarkStart w:id="308" w:name="_Toc184308048"/>
      <w:bookmarkEnd w:id="308"/>
      <w:bookmarkStart w:id="309" w:name="_Toc184310305"/>
      <w:bookmarkEnd w:id="309"/>
      <w:bookmarkStart w:id="310" w:name="_Toc184310312"/>
      <w:bookmarkEnd w:id="310"/>
      <w:bookmarkStart w:id="311" w:name="_Toc184314424"/>
      <w:bookmarkEnd w:id="311"/>
      <w:bookmarkStart w:id="312" w:name="_Toc184310331"/>
      <w:bookmarkEnd w:id="312"/>
      <w:bookmarkStart w:id="313" w:name="_Toc184310287"/>
      <w:bookmarkEnd w:id="313"/>
      <w:bookmarkStart w:id="314" w:name="_Toc184314442"/>
      <w:bookmarkEnd w:id="314"/>
      <w:bookmarkStart w:id="315" w:name="_Toc184314450"/>
      <w:bookmarkEnd w:id="315"/>
      <w:bookmarkStart w:id="316" w:name="_Toc184308060"/>
      <w:bookmarkEnd w:id="316"/>
      <w:bookmarkStart w:id="317" w:name="_Toc184308046"/>
      <w:bookmarkEnd w:id="317"/>
      <w:bookmarkStart w:id="318" w:name="_Toc184308042"/>
      <w:bookmarkEnd w:id="318"/>
      <w:bookmarkStart w:id="319" w:name="_Toc184308097"/>
      <w:bookmarkEnd w:id="319"/>
      <w:bookmarkStart w:id="320" w:name="_Toc184308050"/>
      <w:bookmarkEnd w:id="320"/>
      <w:bookmarkStart w:id="321" w:name="_Toc184312128"/>
      <w:bookmarkEnd w:id="321"/>
      <w:bookmarkStart w:id="322" w:name="_Toc184308086"/>
      <w:bookmarkEnd w:id="322"/>
      <w:bookmarkStart w:id="323" w:name="_Toc184313305"/>
      <w:bookmarkEnd w:id="323"/>
      <w:bookmarkStart w:id="324" w:name="_Toc184308073"/>
      <w:bookmarkEnd w:id="324"/>
      <w:bookmarkStart w:id="325" w:name="_Toc184312108"/>
      <w:bookmarkEnd w:id="325"/>
      <w:bookmarkStart w:id="326" w:name="_Toc184314435"/>
      <w:bookmarkEnd w:id="326"/>
      <w:bookmarkStart w:id="327" w:name="_Toc184308038"/>
      <w:bookmarkEnd w:id="327"/>
      <w:bookmarkStart w:id="328" w:name="_Toc184312127"/>
      <w:bookmarkEnd w:id="328"/>
      <w:bookmarkStart w:id="329" w:name="_Toc184313304"/>
      <w:bookmarkEnd w:id="329"/>
      <w:bookmarkStart w:id="330" w:name="_Toc184308088"/>
      <w:bookmarkEnd w:id="330"/>
      <w:bookmarkStart w:id="331" w:name="_Toc184312098"/>
      <w:bookmarkEnd w:id="331"/>
      <w:bookmarkStart w:id="332" w:name="_Toc184314414"/>
      <w:bookmarkEnd w:id="332"/>
      <w:bookmarkStart w:id="333" w:name="_Toc184310343"/>
      <w:bookmarkEnd w:id="333"/>
      <w:bookmarkStart w:id="334" w:name="_Toc184313270"/>
      <w:bookmarkEnd w:id="334"/>
      <w:bookmarkStart w:id="335" w:name="_Toc184308068"/>
      <w:bookmarkEnd w:id="335"/>
      <w:bookmarkStart w:id="336" w:name="_Toc184310339"/>
      <w:bookmarkEnd w:id="336"/>
      <w:bookmarkStart w:id="337" w:name="_Toc184313310"/>
      <w:bookmarkEnd w:id="337"/>
      <w:bookmarkStart w:id="338" w:name="_Toc184310342"/>
      <w:bookmarkEnd w:id="338"/>
      <w:bookmarkStart w:id="339" w:name="_Toc184314460"/>
      <w:bookmarkEnd w:id="339"/>
      <w:bookmarkStart w:id="340" w:name="_Toc184313281"/>
      <w:bookmarkEnd w:id="340"/>
      <w:bookmarkStart w:id="341" w:name="_Toc184308078"/>
      <w:bookmarkEnd w:id="341"/>
      <w:bookmarkStart w:id="342" w:name="_Toc184313286"/>
      <w:bookmarkEnd w:id="342"/>
      <w:bookmarkStart w:id="343" w:name="_Toc184308037"/>
      <w:bookmarkEnd w:id="343"/>
      <w:bookmarkStart w:id="344" w:name="_Toc184310285"/>
      <w:bookmarkEnd w:id="344"/>
      <w:bookmarkStart w:id="345" w:name="_Toc184313257"/>
      <w:bookmarkEnd w:id="345"/>
      <w:bookmarkStart w:id="346" w:name="_Toc184312135"/>
      <w:bookmarkEnd w:id="346"/>
      <w:bookmarkStart w:id="347" w:name="_Toc184313265"/>
      <w:bookmarkEnd w:id="347"/>
      <w:bookmarkStart w:id="348" w:name="_Toc184308076"/>
      <w:bookmarkEnd w:id="348"/>
      <w:bookmarkStart w:id="349" w:name="_Toc184308105"/>
      <w:bookmarkEnd w:id="349"/>
      <w:bookmarkStart w:id="350" w:name="_Toc184310332"/>
      <w:bookmarkEnd w:id="350"/>
      <w:bookmarkStart w:id="351" w:name="_Toc184314446"/>
      <w:bookmarkEnd w:id="351"/>
      <w:bookmarkStart w:id="352" w:name="_Toc184314443"/>
      <w:bookmarkEnd w:id="352"/>
      <w:bookmarkStart w:id="353" w:name="_Toc184314410"/>
      <w:bookmarkEnd w:id="353"/>
      <w:bookmarkStart w:id="354" w:name="_Toc184312084"/>
      <w:bookmarkEnd w:id="354"/>
      <w:bookmarkStart w:id="355" w:name="_Toc184314417"/>
      <w:bookmarkEnd w:id="355"/>
      <w:bookmarkStart w:id="356" w:name="_Toc184310293"/>
      <w:bookmarkEnd w:id="356"/>
      <w:bookmarkStart w:id="357" w:name="_Toc184308093"/>
      <w:bookmarkEnd w:id="357"/>
      <w:bookmarkStart w:id="358" w:name="_Toc184313277"/>
      <w:bookmarkEnd w:id="358"/>
      <w:bookmarkStart w:id="359" w:name="_Toc184308062"/>
      <w:bookmarkEnd w:id="359"/>
      <w:bookmarkStart w:id="360" w:name="_Toc184308091"/>
      <w:bookmarkEnd w:id="360"/>
      <w:bookmarkStart w:id="361" w:name="_Toc184312074"/>
      <w:bookmarkEnd w:id="361"/>
      <w:bookmarkStart w:id="362" w:name="_Toc184310286"/>
      <w:bookmarkEnd w:id="362"/>
      <w:bookmarkStart w:id="363" w:name="_Toc184313284"/>
      <w:bookmarkEnd w:id="363"/>
      <w:bookmarkStart w:id="364" w:name="_Toc184312106"/>
      <w:bookmarkEnd w:id="364"/>
      <w:bookmarkStart w:id="365" w:name="_Toc184308077"/>
      <w:bookmarkEnd w:id="365"/>
      <w:bookmarkStart w:id="366" w:name="_Toc184313273"/>
      <w:bookmarkEnd w:id="366"/>
      <w:bookmarkStart w:id="367" w:name="_Toc184312107"/>
      <w:bookmarkEnd w:id="367"/>
      <w:bookmarkStart w:id="368" w:name="_Toc184310309"/>
      <w:bookmarkEnd w:id="368"/>
      <w:bookmarkStart w:id="369" w:name="_Toc184312079"/>
      <w:bookmarkEnd w:id="369"/>
      <w:bookmarkStart w:id="370" w:name="_Toc184313248"/>
      <w:bookmarkEnd w:id="370"/>
      <w:bookmarkStart w:id="371" w:name="_Toc184308069"/>
      <w:bookmarkEnd w:id="371"/>
      <w:bookmarkStart w:id="372" w:name="_Toc184308082"/>
      <w:bookmarkEnd w:id="372"/>
      <w:bookmarkStart w:id="373" w:name="_Toc184308087"/>
      <w:bookmarkEnd w:id="373"/>
      <w:bookmarkStart w:id="374" w:name="_Toc184310324"/>
      <w:bookmarkEnd w:id="374"/>
      <w:bookmarkStart w:id="375" w:name="_Toc184310344"/>
      <w:bookmarkEnd w:id="375"/>
      <w:bookmarkStart w:id="376" w:name="_Toc184312089"/>
      <w:bookmarkEnd w:id="376"/>
      <w:bookmarkStart w:id="377" w:name="_Toc184313254"/>
      <w:bookmarkEnd w:id="377"/>
      <w:bookmarkStart w:id="378" w:name="_Toc184308081"/>
      <w:bookmarkEnd w:id="378"/>
      <w:bookmarkStart w:id="379" w:name="_Toc184314419"/>
      <w:bookmarkEnd w:id="379"/>
      <w:bookmarkStart w:id="380" w:name="_Toc184312121"/>
      <w:bookmarkEnd w:id="380"/>
      <w:bookmarkStart w:id="381" w:name="_Toc184308063"/>
      <w:bookmarkEnd w:id="381"/>
      <w:bookmarkStart w:id="382" w:name="_Toc184313272"/>
      <w:bookmarkEnd w:id="382"/>
      <w:bookmarkStart w:id="383" w:name="_Toc184310333"/>
      <w:bookmarkEnd w:id="383"/>
      <w:bookmarkStart w:id="384" w:name="_Toc184312076"/>
      <w:bookmarkEnd w:id="384"/>
      <w:bookmarkStart w:id="385" w:name="_Toc184312134"/>
      <w:bookmarkEnd w:id="385"/>
      <w:bookmarkStart w:id="386" w:name="_Toc184312104"/>
      <w:bookmarkEnd w:id="386"/>
      <w:bookmarkStart w:id="387" w:name="_Toc184310277"/>
      <w:bookmarkEnd w:id="387"/>
      <w:bookmarkStart w:id="388" w:name="_Toc184312083"/>
      <w:bookmarkEnd w:id="388"/>
      <w:bookmarkStart w:id="389" w:name="_Toc184314464"/>
      <w:bookmarkEnd w:id="389"/>
      <w:bookmarkStart w:id="390" w:name="_Toc184308039"/>
      <w:bookmarkEnd w:id="390"/>
      <w:r>
        <w:rPr>
          <w:rFonts w:hint="eastAsia" w:ascii="宋体" w:hAnsi="宋体" w:cs="宋体"/>
          <w:b/>
          <w:sz w:val="36"/>
          <w:szCs w:val="36"/>
        </w:rPr>
        <w:t>评标办法</w:t>
      </w:r>
    </w:p>
    <w:p>
      <w:pPr>
        <w:snapToGrid w:val="0"/>
        <w:jc w:val="center"/>
        <w:rPr>
          <w:rFonts w:hint="eastAsia" w:ascii="宋体" w:hAnsi="宋体" w:eastAsia="宋体" w:cs="宋体"/>
          <w:b/>
          <w:sz w:val="32"/>
          <w:szCs w:val="20"/>
          <w:lang w:val="en-US" w:eastAsia="zh-CN"/>
        </w:rPr>
      </w:pPr>
      <w:r>
        <w:rPr>
          <w:rFonts w:hint="eastAsia" w:ascii="宋体" w:hAnsi="宋体" w:cs="宋体"/>
          <w:b/>
          <w:sz w:val="32"/>
          <w:szCs w:val="20"/>
        </w:rPr>
        <w:t>评标办法表</w:t>
      </w:r>
      <w:r>
        <w:rPr>
          <w:rFonts w:hint="eastAsia" w:ascii="宋体" w:hAnsi="宋体" w:cs="宋体"/>
          <w:b/>
          <w:sz w:val="32"/>
          <w:szCs w:val="20"/>
          <w:lang w:val="en-US" w:eastAsia="zh-CN"/>
        </w:rPr>
        <w:t>一</w:t>
      </w:r>
    </w:p>
    <w:p>
      <w:pPr>
        <w:snapToGrid w:val="0"/>
        <w:jc w:val="center"/>
        <w:rPr>
          <w:rFonts w:ascii="宋体" w:hAnsi="宋体" w:cs="宋体"/>
          <w:b/>
          <w:color w:val="FF0000"/>
          <w:sz w:val="28"/>
          <w:szCs w:val="28"/>
        </w:rPr>
      </w:pPr>
      <w:r>
        <w:rPr>
          <w:rFonts w:hint="eastAsia" w:ascii="宋体" w:hAnsi="宋体" w:cs="宋体"/>
          <w:b/>
          <w:color w:val="FF0000"/>
          <w:sz w:val="28"/>
          <w:szCs w:val="28"/>
        </w:rPr>
        <w:t>适用于</w:t>
      </w:r>
      <w:r>
        <w:rPr>
          <w:rFonts w:hint="eastAsia" w:ascii="宋体" w:hAnsi="宋体" w:cs="宋体"/>
          <w:b/>
          <w:color w:val="FF0000"/>
          <w:sz w:val="28"/>
          <w:szCs w:val="28"/>
          <w:lang w:eastAsia="zh-CN"/>
        </w:rPr>
        <w:t>标项</w:t>
      </w:r>
      <w:r>
        <w:rPr>
          <w:rFonts w:hint="eastAsia" w:ascii="宋体" w:hAnsi="宋体" w:cs="宋体"/>
          <w:b/>
          <w:color w:val="FF0000"/>
          <w:sz w:val="28"/>
          <w:szCs w:val="28"/>
          <w:lang w:val="en-US" w:eastAsia="zh-CN"/>
        </w:rPr>
        <w:t>一、二、四、五（农污运维三类项目）</w:t>
      </w:r>
    </w:p>
    <w:tbl>
      <w:tblPr>
        <w:tblStyle w:val="21"/>
        <w:tblpPr w:leftFromText="180" w:rightFromText="180" w:vertAnchor="text" w:horzAnchor="page" w:tblpXSpec="center" w:tblpY="504"/>
        <w:tblOverlap w:val="never"/>
        <w:tblW w:w="105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8"/>
        <w:gridCol w:w="1536"/>
        <w:gridCol w:w="7518"/>
        <w:gridCol w:w="7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18" w:type="dxa"/>
            <w:tcBorders>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ascii="宋体" w:hAnsi="宋体"/>
                <w:bCs/>
                <w:sz w:val="24"/>
              </w:rPr>
              <w:t>序号</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ascii="宋体" w:hAnsi="宋体"/>
                <w:bCs/>
                <w:sz w:val="24"/>
              </w:rPr>
              <w:t>评审因素</w:t>
            </w:r>
          </w:p>
        </w:tc>
        <w:tc>
          <w:tcPr>
            <w:tcW w:w="7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ascii="宋体" w:hAnsi="宋体"/>
                <w:bCs/>
                <w:sz w:val="24"/>
              </w:rPr>
              <w:t>评审标准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ascii="宋体" w:hAnsi="宋体"/>
                <w:bCs/>
                <w:sz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75" w:hRule="atLeast"/>
          <w:jc w:val="center"/>
        </w:trPr>
        <w:tc>
          <w:tcPr>
            <w:tcW w:w="718" w:type="dxa"/>
            <w:vMerge w:val="restart"/>
            <w:tcBorders>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1</w:t>
            </w:r>
          </w:p>
        </w:tc>
        <w:tc>
          <w:tcPr>
            <w:tcW w:w="1536"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pPr>
            <w:r>
              <w:rPr>
                <w:rFonts w:hint="eastAsia" w:ascii="宋体" w:hAnsi="宋体"/>
                <w:sz w:val="24"/>
              </w:rPr>
              <w:t>企业实力（13.5分）</w:t>
            </w:r>
          </w:p>
        </w:tc>
        <w:tc>
          <w:tcPr>
            <w:tcW w:w="7518" w:type="dxa"/>
            <w:tcBorders>
              <w:top w:val="single" w:color="auto" w:sz="4" w:space="0"/>
              <w:left w:val="single" w:color="auto" w:sz="4" w:space="0"/>
              <w:right w:val="single" w:color="auto" w:sz="4" w:space="0"/>
            </w:tcBorders>
            <w:vAlign w:val="center"/>
          </w:tcPr>
          <w:p>
            <w:pPr>
              <w:pStyle w:val="20"/>
              <w:keepNext w:val="0"/>
              <w:keepLines w:val="0"/>
              <w:pageBreakBefore w:val="0"/>
              <w:kinsoku/>
              <w:wordWrap/>
              <w:overflowPunct/>
              <w:topLinePunct w:val="0"/>
              <w:autoSpaceDE/>
              <w:autoSpaceDN/>
              <w:bidi w:val="0"/>
              <w:snapToGrid/>
              <w:spacing w:after="0" w:line="420" w:lineRule="exact"/>
              <w:ind w:left="0" w:leftChars="0" w:firstLine="0" w:firstLineChars="0"/>
              <w:textAlignment w:val="auto"/>
              <w:rPr>
                <w:bCs/>
                <w:sz w:val="24"/>
              </w:rPr>
            </w:pPr>
            <w:r>
              <w:rPr>
                <w:rFonts w:hint="eastAsia"/>
                <w:bCs/>
                <w:sz w:val="24"/>
              </w:rPr>
              <w:t>投标人具有有效的质量管理体系认证证书得1.5分；</w:t>
            </w:r>
          </w:p>
          <w:p>
            <w:pPr>
              <w:pStyle w:val="20"/>
              <w:keepNext w:val="0"/>
              <w:keepLines w:val="0"/>
              <w:pageBreakBefore w:val="0"/>
              <w:kinsoku/>
              <w:wordWrap/>
              <w:overflowPunct/>
              <w:topLinePunct w:val="0"/>
              <w:autoSpaceDE/>
              <w:autoSpaceDN/>
              <w:bidi w:val="0"/>
              <w:snapToGrid/>
              <w:spacing w:after="0" w:line="420" w:lineRule="exact"/>
              <w:ind w:left="0" w:leftChars="0" w:firstLine="0" w:firstLineChars="0"/>
              <w:textAlignment w:val="auto"/>
              <w:rPr>
                <w:bCs/>
                <w:sz w:val="24"/>
              </w:rPr>
            </w:pPr>
            <w:r>
              <w:rPr>
                <w:rFonts w:hint="eastAsia"/>
                <w:bCs/>
                <w:sz w:val="24"/>
              </w:rPr>
              <w:t>投标人具有有效的环境管理体系认证证书得1.5分；</w:t>
            </w:r>
          </w:p>
          <w:p>
            <w:pPr>
              <w:pStyle w:val="20"/>
              <w:keepNext w:val="0"/>
              <w:keepLines w:val="0"/>
              <w:pageBreakBefore w:val="0"/>
              <w:kinsoku/>
              <w:wordWrap/>
              <w:overflowPunct/>
              <w:topLinePunct w:val="0"/>
              <w:autoSpaceDE/>
              <w:autoSpaceDN/>
              <w:bidi w:val="0"/>
              <w:snapToGrid/>
              <w:spacing w:after="0" w:line="420" w:lineRule="exact"/>
              <w:ind w:left="0" w:leftChars="0" w:firstLine="0" w:firstLineChars="0"/>
              <w:textAlignment w:val="auto"/>
              <w:rPr>
                <w:bCs/>
                <w:sz w:val="24"/>
              </w:rPr>
            </w:pPr>
            <w:r>
              <w:rPr>
                <w:rFonts w:hint="eastAsia"/>
                <w:bCs/>
                <w:sz w:val="24"/>
              </w:rPr>
              <w:t>投标人具有有效的职业健康安全体系认证证书得1.5分；</w:t>
            </w:r>
          </w:p>
          <w:p>
            <w:pPr>
              <w:pStyle w:val="20"/>
              <w:keepNext w:val="0"/>
              <w:keepLines w:val="0"/>
              <w:pageBreakBefore w:val="0"/>
              <w:kinsoku/>
              <w:wordWrap/>
              <w:overflowPunct/>
              <w:topLinePunct w:val="0"/>
              <w:autoSpaceDE/>
              <w:autoSpaceDN/>
              <w:bidi w:val="0"/>
              <w:snapToGrid/>
              <w:spacing w:after="0" w:line="420" w:lineRule="exact"/>
              <w:ind w:left="0" w:leftChars="0" w:firstLine="0" w:firstLineChars="0"/>
              <w:textAlignment w:val="auto"/>
              <w:rPr>
                <w:bCs/>
                <w:sz w:val="24"/>
              </w:rPr>
            </w:pPr>
            <w:r>
              <w:rPr>
                <w:rFonts w:hint="eastAsia"/>
                <w:bCs/>
                <w:sz w:val="24"/>
              </w:rPr>
              <w:t>投标人具有有效的售后服务认证证书，服务能力达到五星得2分，四星得1.5分，三星得1分。</w:t>
            </w:r>
          </w:p>
          <w:p>
            <w:pPr>
              <w:keepNext w:val="0"/>
              <w:keepLines w:val="0"/>
              <w:pageBreakBefore w:val="0"/>
              <w:kinsoku/>
              <w:wordWrap/>
              <w:overflowPunct/>
              <w:topLinePunct w:val="0"/>
              <w:autoSpaceDE/>
              <w:autoSpaceDN/>
              <w:bidi w:val="0"/>
              <w:snapToGrid/>
              <w:spacing w:line="420" w:lineRule="exact"/>
              <w:textAlignment w:val="auto"/>
              <w:rPr>
                <w:rFonts w:ascii="宋体" w:hAnsi="宋体"/>
                <w:bCs/>
                <w:sz w:val="24"/>
              </w:rPr>
            </w:pPr>
            <w:r>
              <w:rPr>
                <w:rFonts w:hint="eastAsia"/>
                <w:b/>
                <w:sz w:val="24"/>
              </w:rPr>
              <w:t>注：需提供认监网（www.cnca.gov.cn）上的查询截图和有效期内的认证证书复印件，</w:t>
            </w:r>
            <w:r>
              <w:rPr>
                <w:b/>
                <w:sz w:val="24"/>
              </w:rPr>
              <w:t>未提供不得分。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hint="eastAsia" w:ascii="宋体" w:hAnsi="宋体"/>
                <w:bCs/>
                <w:sz w:val="24"/>
              </w:rPr>
              <w:t>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10" w:hRule="atLeast"/>
          <w:jc w:val="center"/>
        </w:trPr>
        <w:tc>
          <w:tcPr>
            <w:tcW w:w="718" w:type="dxa"/>
            <w:vMerge w:val="continue"/>
            <w:tcBorders>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pPr>
          </w:p>
        </w:tc>
        <w:tc>
          <w:tcPr>
            <w:tcW w:w="153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pPr>
          </w:p>
        </w:tc>
        <w:tc>
          <w:tcPr>
            <w:tcW w:w="751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rPr>
                <w:rFonts w:ascii="宋体" w:hAnsi="宋体"/>
                <w:bCs/>
                <w:sz w:val="24"/>
              </w:rPr>
            </w:pPr>
            <w:r>
              <w:rPr>
                <w:rFonts w:hint="eastAsia" w:ascii="宋体" w:hAnsi="宋体"/>
                <w:bCs/>
                <w:sz w:val="24"/>
              </w:rPr>
              <w:t>2018年1月1日以来投标人荣获省级及以上政府部门［含政府所属部、委、办、局（各类协会除外）］授予的污水治理或运维荣誉得4分；获地（市）级政府部门［含政府所属部、委、办、局（各类协会除外）］授予的污水治理或运维荣誉每个得2分；最高得4分。</w:t>
            </w:r>
          </w:p>
          <w:p>
            <w:pPr>
              <w:keepNext w:val="0"/>
              <w:keepLines w:val="0"/>
              <w:pageBreakBefore w:val="0"/>
              <w:kinsoku/>
              <w:wordWrap/>
              <w:overflowPunct/>
              <w:topLinePunct w:val="0"/>
              <w:autoSpaceDE/>
              <w:autoSpaceDN/>
              <w:bidi w:val="0"/>
              <w:snapToGrid/>
              <w:spacing w:line="420" w:lineRule="exact"/>
              <w:textAlignment w:val="auto"/>
              <w:rPr>
                <w:rFonts w:ascii="宋体" w:hAnsi="宋体"/>
                <w:bCs/>
                <w:sz w:val="24"/>
              </w:rPr>
            </w:pPr>
            <w:r>
              <w:rPr>
                <w:rFonts w:hint="eastAsia" w:ascii="宋体" w:hAnsi="宋体"/>
                <w:bCs/>
                <w:sz w:val="24"/>
              </w:rPr>
              <w:t>注：提供相关荣誉证明材料，未提供不得分。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b/>
                <w:sz w:val="24"/>
              </w:rPr>
            </w:pPr>
            <w:r>
              <w:rPr>
                <w:rFonts w:hint="eastAsia" w:ascii="宋体" w:hAnsi="宋体"/>
                <w:bCs/>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10" w:hRule="atLeast"/>
          <w:jc w:val="center"/>
        </w:trPr>
        <w:tc>
          <w:tcPr>
            <w:tcW w:w="718" w:type="dxa"/>
            <w:vMerge w:val="continue"/>
            <w:tcBorders>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pPr>
          </w:p>
        </w:tc>
        <w:tc>
          <w:tcPr>
            <w:tcW w:w="153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pPr>
          </w:p>
        </w:tc>
        <w:tc>
          <w:tcPr>
            <w:tcW w:w="751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rPr>
                <w:rFonts w:ascii="宋体" w:hAnsi="宋体"/>
                <w:bCs/>
                <w:sz w:val="24"/>
              </w:rPr>
            </w:pPr>
            <w:r>
              <w:rPr>
                <w:rFonts w:hint="eastAsia" w:ascii="宋体" w:hAnsi="宋体"/>
                <w:bCs/>
                <w:sz w:val="24"/>
              </w:rPr>
              <w:t>2018年1月1日以来投标人运维服务的区、县（市）获得省级考核优秀的，每次加1分；运维服务的区、县（市）获得地级市考核优秀的，每次加0.5分。最高得3分，不重复加分。</w:t>
            </w:r>
          </w:p>
          <w:p>
            <w:pPr>
              <w:keepNext w:val="0"/>
              <w:keepLines w:val="0"/>
              <w:pageBreakBefore w:val="0"/>
              <w:kinsoku/>
              <w:wordWrap/>
              <w:overflowPunct/>
              <w:topLinePunct w:val="0"/>
              <w:autoSpaceDE/>
              <w:autoSpaceDN/>
              <w:bidi w:val="0"/>
              <w:snapToGrid/>
              <w:spacing w:line="420" w:lineRule="exact"/>
              <w:textAlignment w:val="auto"/>
              <w:rPr>
                <w:rFonts w:ascii="宋体" w:hAnsi="宋体"/>
                <w:bCs/>
                <w:sz w:val="24"/>
              </w:rPr>
            </w:pPr>
            <w:r>
              <w:rPr>
                <w:rFonts w:hint="eastAsia" w:ascii="宋体" w:hAnsi="宋体"/>
                <w:bCs/>
                <w:sz w:val="24"/>
              </w:rPr>
              <w:t>注：须提供县（市）主管单位出具的证明复印件或省、市级部门发布的考核结果文件复印件，不提供不得分。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bCs/>
                <w:sz w:val="24"/>
              </w:rPr>
            </w:pPr>
            <w:r>
              <w:rPr>
                <w:rFonts w:hint="eastAsia"/>
                <w:bCs/>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26" w:hRule="atLeast"/>
          <w:jc w:val="center"/>
        </w:trPr>
        <w:tc>
          <w:tcPr>
            <w:tcW w:w="718"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hint="eastAsia" w:ascii="宋体" w:hAnsi="宋体"/>
                <w:bCs/>
                <w:sz w:val="24"/>
              </w:rPr>
              <w:t>2</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ascii="宋体" w:hAnsi="宋体"/>
                <w:bCs/>
                <w:sz w:val="24"/>
              </w:rPr>
              <w:t>类似业绩</w:t>
            </w:r>
            <w:r>
              <w:rPr>
                <w:rFonts w:hint="eastAsia" w:ascii="宋体" w:hAnsi="宋体"/>
                <w:bCs/>
                <w:sz w:val="24"/>
              </w:rPr>
              <w:t>（1.5分）</w:t>
            </w:r>
          </w:p>
        </w:tc>
        <w:tc>
          <w:tcPr>
            <w:tcW w:w="7518"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kinsoku/>
              <w:wordWrap/>
              <w:overflowPunct/>
              <w:topLinePunct w:val="0"/>
              <w:autoSpaceDE/>
              <w:autoSpaceDN/>
              <w:bidi w:val="0"/>
              <w:snapToGrid/>
              <w:spacing w:after="0" w:line="420" w:lineRule="exact"/>
              <w:ind w:left="0" w:leftChars="0" w:firstLine="0" w:firstLineChars="0"/>
              <w:textAlignment w:val="auto"/>
            </w:pPr>
            <w:r>
              <w:rPr>
                <w:rFonts w:hint="eastAsia"/>
                <w:bCs/>
                <w:sz w:val="24"/>
              </w:rPr>
              <w:t>2018年1月1日以来投标人承接过政府及相关部门委托的农污运维业绩，每提供一个证明材料的，得0.5分，满分1.5分。</w:t>
            </w:r>
          </w:p>
          <w:p>
            <w:pPr>
              <w:pStyle w:val="20"/>
              <w:keepNext w:val="0"/>
              <w:keepLines w:val="0"/>
              <w:pageBreakBefore w:val="0"/>
              <w:kinsoku/>
              <w:wordWrap/>
              <w:overflowPunct/>
              <w:topLinePunct w:val="0"/>
              <w:autoSpaceDE/>
              <w:autoSpaceDN/>
              <w:bidi w:val="0"/>
              <w:snapToGrid/>
              <w:spacing w:after="0" w:line="420" w:lineRule="exact"/>
              <w:ind w:left="0" w:leftChars="0" w:firstLine="0" w:firstLineChars="0"/>
              <w:textAlignment w:val="auto"/>
              <w:rPr>
                <w:bCs/>
                <w:sz w:val="24"/>
              </w:rPr>
            </w:pPr>
            <w:r>
              <w:rPr>
                <w:rFonts w:hint="eastAsia"/>
                <w:b/>
                <w:sz w:val="24"/>
              </w:rPr>
              <w:t>注：合同复印件加盖公章编入投标文件，若投标人提供 2 份及以上合同，发包方为同一个业主且同一个项目名称，且分多个年份签订的只算一个业绩。</w:t>
            </w:r>
          </w:p>
        </w:tc>
        <w:tc>
          <w:tcPr>
            <w:tcW w:w="776"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kinsoku/>
              <w:wordWrap/>
              <w:overflowPunct/>
              <w:topLinePunct w:val="0"/>
              <w:autoSpaceDE/>
              <w:autoSpaceDN/>
              <w:bidi w:val="0"/>
              <w:snapToGrid/>
              <w:spacing w:after="0" w:line="420" w:lineRule="exact"/>
              <w:ind w:left="0" w:leftChars="0" w:firstLine="0" w:firstLineChars="0"/>
              <w:jc w:val="center"/>
              <w:textAlignment w:val="auto"/>
              <w:rPr>
                <w:bCs/>
                <w:sz w:val="24"/>
              </w:rPr>
            </w:pPr>
            <w:r>
              <w:rPr>
                <w:rFonts w:hint="eastAsia"/>
                <w:bCs/>
                <w:sz w:val="24"/>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8" w:hRule="atLeast"/>
          <w:jc w:val="center"/>
        </w:trPr>
        <w:tc>
          <w:tcPr>
            <w:tcW w:w="718"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highlight w:val="yellow"/>
              </w:rPr>
            </w:pPr>
            <w:r>
              <w:rPr>
                <w:rFonts w:hint="eastAsia" w:ascii="宋体" w:hAnsi="宋体"/>
                <w:bCs/>
                <w:sz w:val="24"/>
              </w:rPr>
              <w:t>3</w:t>
            </w:r>
          </w:p>
        </w:tc>
        <w:tc>
          <w:tcPr>
            <w:tcW w:w="1536"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ascii="宋体" w:hAnsi="宋体"/>
                <w:bCs/>
                <w:sz w:val="24"/>
              </w:rPr>
              <w:t>拟派本项目团队人员的整体实力</w:t>
            </w:r>
          </w:p>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highlight w:val="yellow"/>
              </w:rPr>
            </w:pPr>
            <w:r>
              <w:rPr>
                <w:rFonts w:hint="eastAsia" w:ascii="宋体" w:hAnsi="宋体"/>
                <w:bCs/>
                <w:sz w:val="24"/>
              </w:rPr>
              <w:t>（15分）</w:t>
            </w:r>
          </w:p>
        </w:tc>
        <w:tc>
          <w:tcPr>
            <w:tcW w:w="751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left"/>
              <w:textAlignment w:val="auto"/>
              <w:rPr>
                <w:rFonts w:ascii="宋体" w:hAnsi="宋体"/>
                <w:bCs/>
                <w:color w:val="auto"/>
                <w:sz w:val="24"/>
              </w:rPr>
            </w:pPr>
            <w:r>
              <w:rPr>
                <w:rFonts w:hint="eastAsia" w:ascii="宋体" w:hAnsi="宋体"/>
                <w:bCs/>
                <w:color w:val="auto"/>
                <w:sz w:val="24"/>
              </w:rPr>
              <w:t>1、拟派项目负责人具备</w:t>
            </w:r>
            <w:r>
              <w:rPr>
                <w:rFonts w:hint="eastAsia" w:ascii="宋体" w:hAnsi="宋体"/>
                <w:bCs/>
                <w:color w:val="auto"/>
                <w:sz w:val="24"/>
                <w:lang w:val="en-US" w:eastAsia="zh-CN"/>
              </w:rPr>
              <w:t>1名</w:t>
            </w:r>
            <w:r>
              <w:rPr>
                <w:rFonts w:hint="eastAsia" w:ascii="宋体" w:hAnsi="宋体"/>
                <w:bCs/>
                <w:color w:val="auto"/>
                <w:sz w:val="24"/>
              </w:rPr>
              <w:t>环境保护类或市政工程类的中级工程师</w:t>
            </w:r>
            <w:r>
              <w:rPr>
                <w:rFonts w:hint="eastAsia" w:ascii="宋体" w:hAnsi="宋体"/>
                <w:bCs/>
                <w:color w:val="auto"/>
                <w:sz w:val="24"/>
                <w:lang w:eastAsia="zh-CN"/>
              </w:rPr>
              <w:t>及以上</w:t>
            </w:r>
            <w:r>
              <w:rPr>
                <w:rFonts w:hint="eastAsia" w:ascii="宋体" w:hAnsi="宋体"/>
                <w:bCs/>
                <w:color w:val="auto"/>
                <w:sz w:val="24"/>
              </w:rPr>
              <w:t>职称（年龄60岁以下），得</w:t>
            </w:r>
            <w:r>
              <w:rPr>
                <w:rFonts w:hint="eastAsia" w:ascii="宋体" w:hAnsi="宋体"/>
                <w:bCs/>
                <w:color w:val="auto"/>
                <w:sz w:val="24"/>
                <w:lang w:val="en-US" w:eastAsia="zh-CN"/>
              </w:rPr>
              <w:t>3</w:t>
            </w:r>
            <w:r>
              <w:rPr>
                <w:rFonts w:hint="eastAsia" w:ascii="宋体" w:hAnsi="宋体"/>
                <w:bCs/>
                <w:color w:val="auto"/>
                <w:sz w:val="24"/>
              </w:rPr>
              <w:t>分；</w:t>
            </w:r>
          </w:p>
          <w:p>
            <w:pPr>
              <w:keepNext w:val="0"/>
              <w:keepLines w:val="0"/>
              <w:pageBreakBefore w:val="0"/>
              <w:kinsoku/>
              <w:wordWrap/>
              <w:overflowPunct/>
              <w:topLinePunct w:val="0"/>
              <w:autoSpaceDE/>
              <w:autoSpaceDN/>
              <w:bidi w:val="0"/>
              <w:snapToGrid/>
              <w:spacing w:line="420" w:lineRule="exact"/>
              <w:jc w:val="left"/>
              <w:textAlignment w:val="auto"/>
              <w:rPr>
                <w:rFonts w:ascii="宋体" w:hAnsi="宋体"/>
                <w:bCs/>
                <w:color w:val="auto"/>
                <w:sz w:val="24"/>
              </w:rPr>
            </w:pPr>
            <w:r>
              <w:rPr>
                <w:rFonts w:hint="eastAsia" w:ascii="宋体" w:hAnsi="宋体"/>
                <w:bCs/>
                <w:color w:val="auto"/>
                <w:sz w:val="24"/>
              </w:rPr>
              <w:t>2、拟派运维技术负责人（运维站长）具备</w:t>
            </w:r>
            <w:r>
              <w:rPr>
                <w:rFonts w:hint="eastAsia" w:ascii="宋体" w:hAnsi="宋体"/>
                <w:bCs/>
                <w:color w:val="auto"/>
                <w:sz w:val="24"/>
                <w:lang w:val="en-US" w:eastAsia="zh-CN"/>
              </w:rPr>
              <w:t>1名</w:t>
            </w:r>
            <w:r>
              <w:rPr>
                <w:rFonts w:hint="eastAsia" w:ascii="宋体" w:hAnsi="宋体"/>
                <w:bCs/>
                <w:color w:val="auto"/>
                <w:sz w:val="24"/>
              </w:rPr>
              <w:t>环境保护类的中级工程师及以上职称（年龄60</w:t>
            </w:r>
            <w:r>
              <w:rPr>
                <w:rFonts w:hint="eastAsia" w:ascii="宋体" w:hAnsi="宋体"/>
                <w:bCs/>
                <w:color w:val="auto"/>
                <w:sz w:val="24"/>
                <w:lang w:val="en-US" w:eastAsia="zh-CN"/>
              </w:rPr>
              <w:t>周</w:t>
            </w:r>
            <w:r>
              <w:rPr>
                <w:rFonts w:hint="eastAsia" w:ascii="宋体" w:hAnsi="宋体"/>
                <w:bCs/>
                <w:color w:val="auto"/>
                <w:sz w:val="24"/>
              </w:rPr>
              <w:t>岁以下），得</w:t>
            </w:r>
            <w:r>
              <w:rPr>
                <w:rFonts w:hint="eastAsia" w:ascii="宋体" w:hAnsi="宋体"/>
                <w:bCs/>
                <w:color w:val="auto"/>
                <w:sz w:val="24"/>
                <w:lang w:val="en-US" w:eastAsia="zh-CN"/>
              </w:rPr>
              <w:t>3</w:t>
            </w:r>
            <w:r>
              <w:rPr>
                <w:rFonts w:hint="eastAsia" w:ascii="宋体" w:hAnsi="宋体"/>
                <w:bCs/>
                <w:color w:val="auto"/>
                <w:sz w:val="24"/>
              </w:rPr>
              <w:t>分；</w:t>
            </w:r>
          </w:p>
          <w:p>
            <w:pPr>
              <w:keepNext w:val="0"/>
              <w:keepLines w:val="0"/>
              <w:pageBreakBefore w:val="0"/>
              <w:kinsoku/>
              <w:wordWrap/>
              <w:overflowPunct/>
              <w:topLinePunct w:val="0"/>
              <w:autoSpaceDE/>
              <w:autoSpaceDN/>
              <w:bidi w:val="0"/>
              <w:snapToGrid/>
              <w:spacing w:line="420" w:lineRule="exact"/>
              <w:jc w:val="left"/>
              <w:textAlignment w:val="auto"/>
              <w:rPr>
                <w:rFonts w:ascii="宋体" w:hAnsi="宋体"/>
                <w:bCs/>
                <w:color w:val="auto"/>
                <w:sz w:val="24"/>
              </w:rPr>
            </w:pPr>
            <w:r>
              <w:rPr>
                <w:rFonts w:hint="eastAsia" w:ascii="宋体" w:hAnsi="宋体"/>
                <w:bCs/>
                <w:color w:val="auto"/>
                <w:sz w:val="24"/>
              </w:rPr>
              <w:t>3、拟</w:t>
            </w:r>
            <w:r>
              <w:rPr>
                <w:rFonts w:hint="eastAsia" w:ascii="宋体" w:hAnsi="宋体"/>
                <w:bCs/>
                <w:color w:val="auto"/>
                <w:sz w:val="24"/>
                <w:lang w:val="en-US" w:eastAsia="zh-CN"/>
              </w:rPr>
              <w:t>设立</w:t>
            </w:r>
            <w:r>
              <w:rPr>
                <w:rFonts w:hint="eastAsia" w:ascii="宋体" w:hAnsi="宋体"/>
                <w:bCs/>
                <w:color w:val="auto"/>
                <w:sz w:val="24"/>
                <w:lang w:eastAsia="zh-CN"/>
              </w:rPr>
              <w:t>（</w:t>
            </w:r>
            <w:r>
              <w:rPr>
                <w:rFonts w:hint="eastAsia" w:ascii="宋体" w:hAnsi="宋体"/>
                <w:bCs/>
                <w:color w:val="auto"/>
                <w:sz w:val="24"/>
                <w:lang w:val="en-US" w:eastAsia="zh-CN"/>
              </w:rPr>
              <w:t>或委托</w:t>
            </w:r>
            <w:r>
              <w:rPr>
                <w:rFonts w:hint="eastAsia" w:ascii="宋体" w:hAnsi="宋体"/>
                <w:bCs/>
                <w:color w:val="auto"/>
                <w:sz w:val="24"/>
                <w:lang w:eastAsia="zh-CN"/>
              </w:rPr>
              <w:t>）</w:t>
            </w:r>
            <w:r>
              <w:rPr>
                <w:rFonts w:hint="eastAsia" w:ascii="宋体" w:hAnsi="宋体"/>
                <w:bCs/>
                <w:color w:val="auto"/>
                <w:sz w:val="24"/>
              </w:rPr>
              <w:t>化验室</w:t>
            </w:r>
            <w:r>
              <w:rPr>
                <w:rFonts w:hint="eastAsia" w:ascii="宋体" w:hAnsi="宋体"/>
                <w:bCs/>
                <w:color w:val="auto"/>
                <w:sz w:val="24"/>
                <w:lang w:val="en-US" w:eastAsia="zh-CN"/>
              </w:rPr>
              <w:t>的</w:t>
            </w:r>
            <w:r>
              <w:rPr>
                <w:rFonts w:hint="eastAsia" w:ascii="宋体" w:hAnsi="宋体"/>
                <w:bCs/>
                <w:color w:val="auto"/>
                <w:sz w:val="24"/>
              </w:rPr>
              <w:t>负责人具备</w:t>
            </w:r>
            <w:r>
              <w:rPr>
                <w:rFonts w:hint="eastAsia" w:ascii="宋体" w:hAnsi="宋体"/>
                <w:bCs/>
                <w:color w:val="auto"/>
                <w:sz w:val="24"/>
                <w:lang w:val="en-US" w:eastAsia="zh-CN"/>
              </w:rPr>
              <w:t>1名</w:t>
            </w:r>
            <w:r>
              <w:rPr>
                <w:rFonts w:hint="eastAsia" w:ascii="宋体" w:hAnsi="宋体"/>
                <w:bCs/>
                <w:color w:val="auto"/>
                <w:sz w:val="24"/>
              </w:rPr>
              <w:t>环境类或化学类中级工程师及以上职称，得2分；</w:t>
            </w:r>
          </w:p>
          <w:p>
            <w:pPr>
              <w:keepNext w:val="0"/>
              <w:keepLines w:val="0"/>
              <w:pageBreakBefore w:val="0"/>
              <w:kinsoku/>
              <w:wordWrap/>
              <w:overflowPunct/>
              <w:topLinePunct w:val="0"/>
              <w:autoSpaceDE/>
              <w:autoSpaceDN/>
              <w:bidi w:val="0"/>
              <w:snapToGrid/>
              <w:spacing w:line="420" w:lineRule="exact"/>
              <w:jc w:val="left"/>
              <w:textAlignment w:val="auto"/>
              <w:rPr>
                <w:rFonts w:ascii="宋体" w:hAnsi="宋体"/>
                <w:bCs/>
                <w:color w:val="auto"/>
                <w:sz w:val="24"/>
              </w:rPr>
            </w:pPr>
            <w:r>
              <w:rPr>
                <w:rFonts w:hint="eastAsia" w:ascii="宋体" w:hAnsi="宋体"/>
                <w:bCs/>
                <w:color w:val="auto"/>
                <w:sz w:val="24"/>
              </w:rPr>
              <w:t>4、专业技术管理人员具备1名</w:t>
            </w:r>
            <w:r>
              <w:rPr>
                <w:rFonts w:hint="eastAsia" w:ascii="宋体" w:hAnsi="宋体"/>
                <w:bCs/>
                <w:color w:val="auto"/>
                <w:sz w:val="24"/>
                <w:lang w:eastAsia="zh-CN"/>
              </w:rPr>
              <w:t>及以上</w:t>
            </w:r>
            <w:r>
              <w:rPr>
                <w:rFonts w:hint="eastAsia" w:ascii="宋体" w:hAnsi="宋体"/>
                <w:bCs/>
                <w:color w:val="auto"/>
                <w:sz w:val="24"/>
              </w:rPr>
              <w:t>中级工程师(环境保护类），得</w:t>
            </w:r>
            <w:r>
              <w:rPr>
                <w:rFonts w:hint="eastAsia" w:ascii="宋体" w:hAnsi="宋体"/>
                <w:bCs/>
                <w:color w:val="auto"/>
                <w:sz w:val="24"/>
                <w:lang w:val="en-US" w:eastAsia="zh-CN"/>
              </w:rPr>
              <w:t>2</w:t>
            </w:r>
            <w:r>
              <w:rPr>
                <w:rFonts w:hint="eastAsia" w:ascii="宋体" w:hAnsi="宋体"/>
                <w:bCs/>
                <w:color w:val="auto"/>
                <w:sz w:val="24"/>
              </w:rPr>
              <w:t>分；</w:t>
            </w:r>
          </w:p>
          <w:p>
            <w:pPr>
              <w:keepNext w:val="0"/>
              <w:keepLines w:val="0"/>
              <w:pageBreakBefore w:val="0"/>
              <w:kinsoku/>
              <w:wordWrap/>
              <w:overflowPunct/>
              <w:topLinePunct w:val="0"/>
              <w:autoSpaceDE/>
              <w:autoSpaceDN/>
              <w:bidi w:val="0"/>
              <w:snapToGrid/>
              <w:spacing w:line="420" w:lineRule="exact"/>
              <w:jc w:val="left"/>
              <w:textAlignment w:val="auto"/>
              <w:rPr>
                <w:rFonts w:ascii="宋体" w:hAnsi="宋体"/>
                <w:bCs/>
                <w:color w:val="auto"/>
                <w:sz w:val="24"/>
              </w:rPr>
            </w:pPr>
            <w:r>
              <w:rPr>
                <w:rFonts w:hint="eastAsia" w:ascii="宋体" w:hAnsi="宋体"/>
                <w:bCs/>
                <w:color w:val="auto"/>
                <w:sz w:val="24"/>
              </w:rPr>
              <w:t>5、专业技术管理人员具备1名中级及以上工程师（机电专业或自动化专业），得</w:t>
            </w:r>
            <w:r>
              <w:rPr>
                <w:rFonts w:hint="eastAsia" w:ascii="宋体" w:hAnsi="宋体"/>
                <w:bCs/>
                <w:color w:val="auto"/>
                <w:sz w:val="24"/>
                <w:lang w:val="en-US" w:eastAsia="zh-CN"/>
              </w:rPr>
              <w:t>2</w:t>
            </w:r>
            <w:r>
              <w:rPr>
                <w:rFonts w:hint="eastAsia" w:ascii="宋体" w:hAnsi="宋体"/>
                <w:bCs/>
                <w:color w:val="auto"/>
                <w:sz w:val="24"/>
              </w:rPr>
              <w:t>分；</w:t>
            </w:r>
          </w:p>
          <w:p>
            <w:pPr>
              <w:keepNext w:val="0"/>
              <w:keepLines w:val="0"/>
              <w:pageBreakBefore w:val="0"/>
              <w:kinsoku/>
              <w:wordWrap/>
              <w:overflowPunct/>
              <w:topLinePunct w:val="0"/>
              <w:autoSpaceDE/>
              <w:autoSpaceDN/>
              <w:bidi w:val="0"/>
              <w:snapToGrid/>
              <w:spacing w:line="420" w:lineRule="exact"/>
              <w:jc w:val="left"/>
              <w:textAlignment w:val="auto"/>
              <w:rPr>
                <w:rFonts w:hint="eastAsia" w:ascii="宋体" w:hAnsi="宋体" w:eastAsia="宋体"/>
                <w:bCs/>
                <w:color w:val="auto"/>
                <w:sz w:val="24"/>
                <w:lang w:eastAsia="zh-CN"/>
              </w:rPr>
            </w:pPr>
            <w:r>
              <w:rPr>
                <w:rFonts w:hint="eastAsia" w:ascii="宋体" w:hAnsi="宋体"/>
                <w:bCs/>
                <w:color w:val="auto"/>
                <w:sz w:val="24"/>
                <w:lang w:val="en-US" w:eastAsia="zh-CN"/>
              </w:rPr>
              <w:t>6</w:t>
            </w:r>
            <w:r>
              <w:rPr>
                <w:rFonts w:hint="eastAsia" w:ascii="宋体" w:hAnsi="宋体"/>
                <w:bCs/>
                <w:color w:val="auto"/>
                <w:sz w:val="24"/>
              </w:rPr>
              <w:t>、经过专业培训</w:t>
            </w:r>
            <w:r>
              <w:rPr>
                <w:rFonts w:hint="eastAsia" w:ascii="宋体" w:hAnsi="宋体"/>
                <w:bCs/>
                <w:color w:val="auto"/>
                <w:sz w:val="24"/>
                <w:lang w:eastAsia="zh-CN"/>
              </w:rPr>
              <w:t>、持有培训证书的</w:t>
            </w:r>
            <w:r>
              <w:rPr>
                <w:rFonts w:hint="eastAsia" w:ascii="宋体" w:hAnsi="宋体"/>
                <w:bCs/>
                <w:color w:val="auto"/>
                <w:sz w:val="24"/>
              </w:rPr>
              <w:t>农污运维养护员10名</w:t>
            </w:r>
            <w:r>
              <w:rPr>
                <w:rFonts w:hint="eastAsia" w:ascii="宋体" w:hAnsi="宋体"/>
                <w:bCs/>
                <w:color w:val="auto"/>
                <w:sz w:val="24"/>
                <w:lang w:eastAsia="zh-CN"/>
              </w:rPr>
              <w:t>及以上</w:t>
            </w:r>
            <w:r>
              <w:rPr>
                <w:rFonts w:hint="eastAsia" w:ascii="宋体" w:hAnsi="宋体"/>
                <w:bCs/>
                <w:color w:val="auto"/>
                <w:sz w:val="24"/>
              </w:rPr>
              <w:t>的，得</w:t>
            </w:r>
            <w:r>
              <w:rPr>
                <w:rFonts w:hint="eastAsia" w:ascii="宋体" w:hAnsi="宋体"/>
                <w:bCs/>
                <w:color w:val="auto"/>
                <w:sz w:val="24"/>
                <w:lang w:val="en-US" w:eastAsia="zh-CN"/>
              </w:rPr>
              <w:t>3</w:t>
            </w:r>
            <w:r>
              <w:rPr>
                <w:rFonts w:hint="eastAsia" w:ascii="宋体" w:hAnsi="宋体"/>
                <w:bCs/>
                <w:color w:val="auto"/>
                <w:sz w:val="24"/>
              </w:rPr>
              <w:t>分</w:t>
            </w:r>
            <w:r>
              <w:rPr>
                <w:rFonts w:hint="eastAsia" w:ascii="宋体" w:hAnsi="宋体"/>
                <w:bCs/>
                <w:color w:val="auto"/>
                <w:sz w:val="24"/>
                <w:lang w:eastAsia="zh-CN"/>
              </w:rPr>
              <w:t>。</w:t>
            </w:r>
          </w:p>
          <w:p>
            <w:pPr>
              <w:keepNext w:val="0"/>
              <w:keepLines w:val="0"/>
              <w:pageBreakBefore w:val="0"/>
              <w:kinsoku/>
              <w:wordWrap/>
              <w:overflowPunct/>
              <w:topLinePunct w:val="0"/>
              <w:autoSpaceDE/>
              <w:autoSpaceDN/>
              <w:bidi w:val="0"/>
              <w:snapToGrid/>
              <w:spacing w:line="420" w:lineRule="exact"/>
              <w:jc w:val="left"/>
              <w:textAlignment w:val="auto"/>
              <w:rPr>
                <w:rFonts w:ascii="宋体" w:hAnsi="宋体"/>
                <w:b/>
                <w:sz w:val="24"/>
              </w:rPr>
            </w:pPr>
            <w:r>
              <w:rPr>
                <w:rFonts w:hint="eastAsia" w:ascii="宋体" w:hAnsi="宋体"/>
                <w:b/>
                <w:sz w:val="24"/>
              </w:rPr>
              <w:t>注：1、其他专业操作人员须在中标后30日内按照《农村生活污水处理设施运行维护单位基本条件》相关要求配置；</w:t>
            </w:r>
          </w:p>
          <w:p>
            <w:pPr>
              <w:keepNext w:val="0"/>
              <w:keepLines w:val="0"/>
              <w:pageBreakBefore w:val="0"/>
              <w:kinsoku/>
              <w:wordWrap/>
              <w:overflowPunct/>
              <w:topLinePunct w:val="0"/>
              <w:autoSpaceDE/>
              <w:autoSpaceDN/>
              <w:bidi w:val="0"/>
              <w:snapToGrid/>
              <w:spacing w:line="420" w:lineRule="exact"/>
              <w:jc w:val="left"/>
              <w:textAlignment w:val="auto"/>
              <w:rPr>
                <w:rFonts w:ascii="宋体" w:hAnsi="宋体"/>
                <w:bCs/>
                <w:sz w:val="24"/>
                <w:highlight w:val="yellow"/>
              </w:rPr>
            </w:pPr>
            <w:r>
              <w:rPr>
                <w:rFonts w:hint="eastAsia" w:ascii="宋体" w:hAnsi="宋体"/>
                <w:b/>
                <w:sz w:val="24"/>
              </w:rPr>
              <w:t>2、以上人员均须提供在本单位缴纳的近三个月社保缴纳证明材料加盖公章和相关证书清晰扫描件加盖公章，未提供不得分，一人一证，多种证书不累计得分。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highlight w:val="yellow"/>
              </w:rPr>
            </w:pPr>
            <w:r>
              <w:rPr>
                <w:rFonts w:hint="eastAsia" w:ascii="宋体" w:hAnsi="宋体"/>
                <w:bCs/>
                <w:sz w:val="24"/>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18"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highlight w:val="yellow"/>
              </w:rPr>
            </w:pPr>
            <w:r>
              <w:rPr>
                <w:rFonts w:hint="eastAsia" w:ascii="宋体" w:hAnsi="宋体"/>
                <w:bCs/>
                <w:sz w:val="24"/>
              </w:rPr>
              <w:t>4</w:t>
            </w:r>
          </w:p>
        </w:tc>
        <w:tc>
          <w:tcPr>
            <w:tcW w:w="1536" w:type="dxa"/>
            <w:tcBorders>
              <w:top w:val="single" w:color="auto" w:sz="4" w:space="0"/>
              <w:left w:val="single" w:color="auto" w:sz="4" w:space="0"/>
              <w:right w:val="single" w:color="auto" w:sz="4" w:space="0"/>
            </w:tcBorders>
            <w:vAlign w:val="center"/>
          </w:tcPr>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center"/>
              <w:textAlignment w:val="auto"/>
              <w:rPr>
                <w:rFonts w:cs="Times New Roman"/>
                <w:bCs/>
                <w:kern w:val="2"/>
              </w:rPr>
            </w:pPr>
            <w:r>
              <w:rPr>
                <w:rFonts w:hint="eastAsia" w:cs="Times New Roman"/>
                <w:bCs/>
                <w:kern w:val="2"/>
              </w:rPr>
              <w:t>拟投入本项目机械设备及场地情况</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center"/>
              <w:textAlignment w:val="auto"/>
              <w:rPr>
                <w:rFonts w:cs="Times New Roman"/>
                <w:highlight w:val="yellow"/>
              </w:rPr>
            </w:pPr>
            <w:r>
              <w:rPr>
                <w:rFonts w:hint="eastAsia" w:cs="Times New Roman"/>
                <w:bCs/>
                <w:kern w:val="2"/>
              </w:rPr>
              <w:t>（1</w:t>
            </w:r>
            <w:r>
              <w:rPr>
                <w:rFonts w:hint="eastAsia" w:cs="Times New Roman"/>
                <w:bCs/>
                <w:kern w:val="2"/>
                <w:lang w:val="en-US" w:eastAsia="zh-CN"/>
              </w:rPr>
              <w:t>1</w:t>
            </w:r>
            <w:r>
              <w:rPr>
                <w:rFonts w:hint="eastAsia" w:cs="Times New Roman"/>
                <w:bCs/>
                <w:kern w:val="2"/>
              </w:rPr>
              <w:t>分）</w:t>
            </w:r>
          </w:p>
        </w:tc>
        <w:tc>
          <w:tcPr>
            <w:tcW w:w="7518"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cs="Times New Roman"/>
                <w:bCs/>
                <w:kern w:val="2"/>
                <w:highlight w:val="none"/>
                <w:lang w:val="en-GB"/>
              </w:rPr>
            </w:pPr>
            <w:r>
              <w:rPr>
                <w:rFonts w:hint="eastAsia" w:cs="Times New Roman"/>
                <w:bCs/>
                <w:kern w:val="2"/>
                <w:highlight w:val="none"/>
              </w:rPr>
              <w:t>1、具有CCTV管道检测仪1套及以上的，得</w:t>
            </w:r>
            <w:r>
              <w:rPr>
                <w:rFonts w:hint="eastAsia" w:cs="Times New Roman"/>
                <w:bCs/>
                <w:kern w:val="2"/>
                <w:highlight w:val="none"/>
                <w:lang w:val="en-US" w:eastAsia="zh-CN"/>
              </w:rPr>
              <w:t>1</w:t>
            </w:r>
            <w:r>
              <w:rPr>
                <w:rFonts w:hint="eastAsia" w:cs="Times New Roman"/>
                <w:bCs/>
                <w:kern w:val="2"/>
                <w:highlight w:val="none"/>
              </w:rPr>
              <w:t>分；</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cs="Times New Roman"/>
                <w:bCs/>
                <w:kern w:val="2"/>
                <w:highlight w:val="none"/>
              </w:rPr>
            </w:pPr>
            <w:r>
              <w:rPr>
                <w:rFonts w:hint="eastAsia" w:cs="Times New Roman"/>
                <w:bCs/>
                <w:kern w:val="2"/>
                <w:highlight w:val="none"/>
              </w:rPr>
              <w:t>2、具有移动水质检测设备（</w:t>
            </w:r>
            <w:r>
              <w:rPr>
                <w:rFonts w:hint="eastAsia"/>
                <w:highlight w:val="none"/>
              </w:rPr>
              <w:t>至少具备检测化学需氧量，总磷，氨氮三项的能力</w:t>
            </w:r>
            <w:r>
              <w:rPr>
                <w:rFonts w:hint="eastAsia" w:cs="Times New Roman"/>
                <w:bCs/>
                <w:kern w:val="2"/>
                <w:highlight w:val="none"/>
              </w:rPr>
              <w:t>）1套及以上的，得</w:t>
            </w:r>
            <w:r>
              <w:rPr>
                <w:rFonts w:hint="eastAsia" w:cs="Times New Roman"/>
                <w:bCs/>
                <w:kern w:val="2"/>
                <w:highlight w:val="none"/>
                <w:lang w:val="en-US" w:eastAsia="zh-CN"/>
              </w:rPr>
              <w:t>0.5</w:t>
            </w:r>
            <w:r>
              <w:rPr>
                <w:rFonts w:hint="eastAsia" w:cs="Times New Roman"/>
                <w:bCs/>
                <w:kern w:val="2"/>
                <w:highlight w:val="none"/>
              </w:rPr>
              <w:t>分；</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cs="Times New Roman"/>
                <w:bCs/>
                <w:kern w:val="2"/>
                <w:highlight w:val="none"/>
              </w:rPr>
            </w:pPr>
            <w:r>
              <w:rPr>
                <w:rFonts w:hint="eastAsia" w:cs="Times New Roman"/>
                <w:bCs/>
                <w:kern w:val="2"/>
                <w:highlight w:val="none"/>
              </w:rPr>
              <w:t>3、具有毒气检测仪1套及以上的，得</w:t>
            </w:r>
            <w:r>
              <w:rPr>
                <w:rFonts w:hint="eastAsia" w:cs="Times New Roman"/>
                <w:bCs/>
                <w:kern w:val="2"/>
                <w:highlight w:val="none"/>
                <w:lang w:val="en-US" w:eastAsia="zh-CN"/>
              </w:rPr>
              <w:t>0.5</w:t>
            </w:r>
            <w:r>
              <w:rPr>
                <w:rFonts w:hint="eastAsia" w:cs="Times New Roman"/>
                <w:bCs/>
                <w:kern w:val="2"/>
                <w:highlight w:val="none"/>
              </w:rPr>
              <w:t>分；</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cs="Times New Roman"/>
                <w:bCs/>
                <w:kern w:val="2"/>
                <w:highlight w:val="none"/>
              </w:rPr>
            </w:pPr>
            <w:r>
              <w:rPr>
                <w:rFonts w:hint="eastAsia" w:cs="Times New Roman"/>
                <w:bCs/>
                <w:kern w:val="2"/>
                <w:highlight w:val="none"/>
              </w:rPr>
              <w:t>4、具有移动供电设备1套及以上的，得</w:t>
            </w:r>
            <w:r>
              <w:rPr>
                <w:rFonts w:hint="eastAsia" w:cs="Times New Roman"/>
                <w:bCs/>
                <w:kern w:val="2"/>
                <w:highlight w:val="none"/>
                <w:lang w:val="en-US" w:eastAsia="zh-CN"/>
              </w:rPr>
              <w:t>0.5</w:t>
            </w:r>
            <w:r>
              <w:rPr>
                <w:rFonts w:hint="eastAsia" w:cs="Times New Roman"/>
                <w:bCs/>
                <w:kern w:val="2"/>
                <w:highlight w:val="none"/>
              </w:rPr>
              <w:t>分；</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cs="Times New Roman"/>
                <w:bCs/>
                <w:kern w:val="2"/>
                <w:highlight w:val="none"/>
                <w:lang w:val="en-GB"/>
              </w:rPr>
            </w:pPr>
            <w:r>
              <w:rPr>
                <w:rFonts w:hint="eastAsia" w:cs="Times New Roman"/>
                <w:bCs/>
                <w:kern w:val="2"/>
                <w:highlight w:val="none"/>
              </w:rPr>
              <w:t>5、</w:t>
            </w:r>
            <w:r>
              <w:rPr>
                <w:rFonts w:hint="eastAsia" w:cs="Times New Roman"/>
                <w:bCs/>
                <w:kern w:val="2"/>
                <w:highlight w:val="none"/>
                <w:lang w:val="en-GB"/>
              </w:rPr>
              <w:t>具有管道内窥镜</w:t>
            </w:r>
            <w:r>
              <w:rPr>
                <w:rFonts w:hint="eastAsia" w:cs="Times New Roman"/>
                <w:bCs/>
                <w:kern w:val="2"/>
                <w:highlight w:val="none"/>
              </w:rPr>
              <w:t>1套及以上</w:t>
            </w:r>
            <w:r>
              <w:rPr>
                <w:rFonts w:hint="eastAsia" w:cs="Times New Roman"/>
                <w:bCs/>
                <w:kern w:val="2"/>
                <w:highlight w:val="none"/>
                <w:lang w:val="en-GB"/>
              </w:rPr>
              <w:t>，得</w:t>
            </w:r>
            <w:r>
              <w:rPr>
                <w:rFonts w:hint="eastAsia" w:cs="Times New Roman"/>
                <w:bCs/>
                <w:kern w:val="2"/>
                <w:highlight w:val="none"/>
                <w:lang w:val="en-US" w:eastAsia="zh-CN"/>
              </w:rPr>
              <w:t>0.5</w:t>
            </w:r>
            <w:r>
              <w:rPr>
                <w:rFonts w:hint="eastAsia" w:cs="Times New Roman"/>
                <w:bCs/>
                <w:kern w:val="2"/>
                <w:highlight w:val="none"/>
                <w:lang w:val="en-GB"/>
              </w:rPr>
              <w:t>分；</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hint="eastAsia" w:cs="Times New Roman"/>
                <w:bCs/>
                <w:kern w:val="2"/>
                <w:highlight w:val="none"/>
              </w:rPr>
            </w:pPr>
            <w:r>
              <w:rPr>
                <w:rFonts w:hint="eastAsia" w:cs="Times New Roman"/>
                <w:bCs/>
                <w:kern w:val="2"/>
                <w:highlight w:val="none"/>
              </w:rPr>
              <w:t>6、具有专用吸污车1辆及以上的，得</w:t>
            </w:r>
            <w:r>
              <w:rPr>
                <w:rFonts w:hint="eastAsia" w:cs="Times New Roman"/>
                <w:bCs/>
                <w:kern w:val="2"/>
                <w:highlight w:val="none"/>
                <w:lang w:val="en-US" w:eastAsia="zh-CN"/>
              </w:rPr>
              <w:t>2</w:t>
            </w:r>
            <w:r>
              <w:rPr>
                <w:rFonts w:hint="eastAsia" w:cs="Times New Roman"/>
                <w:bCs/>
                <w:kern w:val="2"/>
                <w:highlight w:val="none"/>
              </w:rPr>
              <w:t>分；</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cs="Times New Roman"/>
                <w:bCs/>
                <w:kern w:val="2"/>
                <w:highlight w:val="none"/>
              </w:rPr>
            </w:pPr>
            <w:r>
              <w:rPr>
                <w:rFonts w:hint="eastAsia" w:cs="Times New Roman"/>
                <w:bCs/>
                <w:kern w:val="2"/>
                <w:highlight w:val="none"/>
              </w:rPr>
              <w:t>7、具有管道冲洗车1辆及以上的，得1分；</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cs="Times New Roman"/>
                <w:bCs/>
                <w:kern w:val="2"/>
                <w:highlight w:val="none"/>
              </w:rPr>
            </w:pPr>
            <w:r>
              <w:rPr>
                <w:rFonts w:hint="eastAsia" w:cs="Times New Roman"/>
                <w:bCs/>
                <w:kern w:val="2"/>
                <w:highlight w:val="none"/>
              </w:rPr>
              <w:t>8、具有小型管道疏通车1辆及以上的，得1分；</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hint="default" w:eastAsia="宋体" w:cs="Times New Roman"/>
                <w:b/>
                <w:color w:val="auto"/>
                <w:kern w:val="2"/>
                <w:highlight w:val="none"/>
                <w:lang w:val="en-US" w:eastAsia="zh-CN"/>
              </w:rPr>
            </w:pPr>
            <w:r>
              <w:rPr>
                <w:rFonts w:hint="eastAsia" w:cs="Times New Roman"/>
                <w:bCs/>
                <w:color w:val="auto"/>
                <w:kern w:val="2"/>
                <w:highlight w:val="none"/>
              </w:rPr>
              <w:t>9、具有养护运维车辆2辆及以上的，得</w:t>
            </w:r>
            <w:r>
              <w:rPr>
                <w:rFonts w:hint="eastAsia" w:cs="Times New Roman"/>
                <w:bCs/>
                <w:color w:val="auto"/>
                <w:kern w:val="2"/>
                <w:highlight w:val="none"/>
                <w:lang w:val="en-US" w:eastAsia="zh-CN"/>
              </w:rPr>
              <w:t>1</w:t>
            </w:r>
            <w:r>
              <w:rPr>
                <w:rFonts w:hint="eastAsia" w:cs="Times New Roman"/>
                <w:bCs/>
                <w:color w:val="auto"/>
                <w:kern w:val="2"/>
                <w:highlight w:val="none"/>
              </w:rPr>
              <w:t>分</w:t>
            </w:r>
            <w:r>
              <w:rPr>
                <w:rFonts w:hint="eastAsia" w:cs="Times New Roman"/>
                <w:bCs/>
                <w:color w:val="auto"/>
                <w:kern w:val="2"/>
                <w:highlight w:val="none"/>
                <w:lang w:val="en-US" w:eastAsia="zh-CN"/>
              </w:rPr>
              <w:t>；</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cs="Times New Roman"/>
                <w:bCs/>
                <w:kern w:val="2"/>
                <w:highlight w:val="none"/>
              </w:rPr>
            </w:pPr>
            <w:r>
              <w:rPr>
                <w:rFonts w:hint="eastAsia" w:cs="Times New Roman"/>
                <w:bCs/>
                <w:kern w:val="2"/>
                <w:highlight w:val="none"/>
              </w:rPr>
              <w:t>10、化验室</w:t>
            </w:r>
            <w:r>
              <w:rPr>
                <w:rFonts w:hint="eastAsia" w:cs="Times New Roman"/>
                <w:bCs/>
                <w:kern w:val="2"/>
                <w:highlight w:val="none"/>
                <w:lang w:eastAsia="zh-CN"/>
              </w:rPr>
              <w:t>（可委托第三方具有专业资质认证的实验室进行化验）</w:t>
            </w:r>
            <w:r>
              <w:rPr>
                <w:rFonts w:hint="eastAsia" w:cs="Times New Roman"/>
                <w:bCs/>
                <w:kern w:val="2"/>
                <w:highlight w:val="none"/>
              </w:rPr>
              <w:t>具备检测能力：PH，悬浮物（SS），化学需氧量（CODCR），总磷，总氮，氨氮（NH3-N），动植物油，粪大肠杆菌得</w:t>
            </w:r>
            <w:r>
              <w:rPr>
                <w:rFonts w:cs="Times New Roman"/>
                <w:bCs/>
                <w:kern w:val="2"/>
                <w:highlight w:val="none"/>
              </w:rPr>
              <w:t>2</w:t>
            </w:r>
            <w:r>
              <w:rPr>
                <w:rFonts w:hint="eastAsia" w:cs="Times New Roman"/>
                <w:bCs/>
                <w:kern w:val="2"/>
                <w:highlight w:val="none"/>
              </w:rPr>
              <w:t>分，每少一样扣0.</w:t>
            </w:r>
            <w:r>
              <w:rPr>
                <w:rFonts w:cs="Times New Roman"/>
                <w:bCs/>
                <w:kern w:val="2"/>
                <w:highlight w:val="none"/>
              </w:rPr>
              <w:t>2</w:t>
            </w:r>
            <w:r>
              <w:rPr>
                <w:rFonts w:hint="eastAsia" w:cs="Times New Roman"/>
                <w:bCs/>
                <w:kern w:val="2"/>
                <w:highlight w:val="none"/>
              </w:rPr>
              <w:t>5分，扣完为止；</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hint="eastAsia" w:cs="Times New Roman"/>
                <w:bCs/>
                <w:kern w:val="2"/>
                <w:highlight w:val="none"/>
              </w:rPr>
            </w:pPr>
            <w:r>
              <w:rPr>
                <w:rFonts w:hint="eastAsia" w:cs="Times New Roman"/>
                <w:bCs/>
                <w:kern w:val="2"/>
                <w:highlight w:val="none"/>
              </w:rPr>
              <w:t>11、承诺运维车辆按采购人要求进行喷色、喷涂标记标识的，得1分。</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hint="eastAsia" w:cs="Times New Roman"/>
                <w:b/>
                <w:bCs w:val="0"/>
                <w:color w:val="FF0000"/>
                <w:kern w:val="2"/>
                <w:highlight w:val="none"/>
              </w:rPr>
            </w:pPr>
            <w:r>
              <w:rPr>
                <w:rFonts w:hint="eastAsia" w:cs="Times New Roman"/>
                <w:b/>
                <w:bCs w:val="0"/>
                <w:kern w:val="2"/>
                <w:highlight w:val="none"/>
              </w:rPr>
              <w:t>注：</w:t>
            </w:r>
            <w:r>
              <w:rPr>
                <w:rFonts w:hint="eastAsia" w:cs="Times New Roman"/>
                <w:b/>
                <w:bCs w:val="0"/>
                <w:color w:val="auto"/>
                <w:kern w:val="2"/>
                <w:highlight w:val="none"/>
              </w:rPr>
              <w:t>1、本项全部设备均为自有的</w:t>
            </w:r>
            <w:r>
              <w:rPr>
                <w:rFonts w:hint="eastAsia" w:cs="Times New Roman"/>
                <w:b/>
                <w:bCs w:val="0"/>
                <w:color w:val="auto"/>
                <w:kern w:val="2"/>
                <w:highlight w:val="none"/>
                <w:lang w:eastAsia="zh-CN"/>
              </w:rPr>
              <w:t>，</w:t>
            </w:r>
            <w:r>
              <w:rPr>
                <w:rFonts w:hint="eastAsia" w:cs="Times New Roman"/>
                <w:b/>
                <w:bCs w:val="0"/>
                <w:color w:val="auto"/>
                <w:kern w:val="2"/>
                <w:highlight w:val="none"/>
              </w:rPr>
              <w:t>得</w:t>
            </w:r>
            <w:r>
              <w:rPr>
                <w:rFonts w:hint="eastAsia" w:cs="Times New Roman"/>
                <w:b/>
                <w:bCs w:val="0"/>
                <w:color w:val="auto"/>
                <w:kern w:val="2"/>
                <w:highlight w:val="none"/>
                <w:lang w:val="en-US" w:eastAsia="zh-CN"/>
              </w:rPr>
              <w:t>10</w:t>
            </w:r>
            <w:r>
              <w:rPr>
                <w:rFonts w:hint="eastAsia" w:cs="Times New Roman"/>
                <w:b/>
                <w:bCs w:val="0"/>
                <w:color w:val="auto"/>
                <w:kern w:val="2"/>
                <w:highlight w:val="none"/>
              </w:rPr>
              <w:t>分</w:t>
            </w:r>
            <w:r>
              <w:rPr>
                <w:rFonts w:hint="eastAsia" w:cs="Times New Roman"/>
                <w:b/>
                <w:bCs w:val="0"/>
                <w:color w:val="auto"/>
                <w:kern w:val="2"/>
                <w:highlight w:val="none"/>
                <w:lang w:eastAsia="zh-CN"/>
              </w:rPr>
              <w:t>；</w:t>
            </w:r>
            <w:r>
              <w:rPr>
                <w:rFonts w:hint="eastAsia" w:cs="Times New Roman"/>
                <w:b/>
                <w:bCs w:val="0"/>
                <w:color w:val="auto"/>
                <w:kern w:val="2"/>
                <w:highlight w:val="none"/>
              </w:rPr>
              <w:t>若设备为租赁的</w:t>
            </w:r>
            <w:r>
              <w:rPr>
                <w:rFonts w:hint="eastAsia" w:cs="Times New Roman"/>
                <w:b/>
                <w:bCs w:val="0"/>
                <w:color w:val="auto"/>
                <w:kern w:val="2"/>
                <w:highlight w:val="none"/>
                <w:lang w:eastAsia="zh-CN"/>
              </w:rPr>
              <w:t>，该项</w:t>
            </w:r>
            <w:r>
              <w:rPr>
                <w:rFonts w:hint="eastAsia" w:cs="Times New Roman"/>
                <w:b/>
                <w:bCs w:val="0"/>
                <w:color w:val="auto"/>
                <w:kern w:val="2"/>
                <w:highlight w:val="none"/>
              </w:rPr>
              <w:t>得分减半；</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hint="eastAsia" w:cs="Times New Roman"/>
                <w:b/>
                <w:bCs w:val="0"/>
                <w:kern w:val="2"/>
                <w:highlight w:val="none"/>
              </w:rPr>
            </w:pPr>
            <w:r>
              <w:rPr>
                <w:rFonts w:hint="eastAsia" w:cs="Times New Roman"/>
                <w:b/>
                <w:bCs w:val="0"/>
                <w:kern w:val="2"/>
                <w:highlight w:val="none"/>
              </w:rPr>
              <w:t>2、自有：提供相关设备、车辆购置合同、化验室检测能力证明材料、发票及车辆行驶证（投标人名下）；</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hint="eastAsia" w:cs="Times New Roman"/>
                <w:b/>
                <w:bCs w:val="0"/>
                <w:kern w:val="2"/>
                <w:highlight w:val="none"/>
              </w:rPr>
            </w:pPr>
            <w:r>
              <w:rPr>
                <w:rFonts w:hint="eastAsia" w:cs="Times New Roman"/>
                <w:b/>
                <w:bCs w:val="0"/>
                <w:kern w:val="2"/>
                <w:highlight w:val="none"/>
              </w:rPr>
              <w:t>3、租赁：提供相关设备、车辆租赁合同、化验室检测能力证明材料、发票及车辆行驶证。</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cs="Times New Roman"/>
                <w:bCs/>
                <w:color w:val="FF0000"/>
                <w:kern w:val="2"/>
                <w:highlight w:val="yellow"/>
              </w:rPr>
            </w:pPr>
            <w:r>
              <w:rPr>
                <w:rFonts w:hint="eastAsia" w:cs="Times New Roman"/>
                <w:b/>
                <w:bCs w:val="0"/>
                <w:kern w:val="2"/>
                <w:highlight w:val="none"/>
              </w:rPr>
              <w:t>4、承诺的提供相关承诺函，未提供的不得分。</w:t>
            </w:r>
          </w:p>
        </w:tc>
        <w:tc>
          <w:tcPr>
            <w:tcW w:w="776"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center"/>
              <w:textAlignment w:val="auto"/>
              <w:rPr>
                <w:rFonts w:hint="default" w:eastAsia="宋体" w:cs="Times New Roman"/>
                <w:highlight w:val="none"/>
                <w:lang w:val="en-US" w:eastAsia="zh-CN"/>
              </w:rPr>
            </w:pPr>
            <w:r>
              <w:rPr>
                <w:rFonts w:hint="eastAsia" w:cs="Times New Roman"/>
                <w:bCs/>
                <w:kern w:val="2"/>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5" w:hRule="atLeast"/>
          <w:jc w:val="center"/>
        </w:trPr>
        <w:tc>
          <w:tcPr>
            <w:tcW w:w="718" w:type="dxa"/>
            <w:vMerge w:val="restart"/>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highlight w:val="yellow"/>
              </w:rPr>
            </w:pPr>
            <w:r>
              <w:rPr>
                <w:rFonts w:hint="eastAsia" w:ascii="宋体" w:hAnsi="宋体"/>
                <w:sz w:val="24"/>
              </w:rPr>
              <w:t>5</w:t>
            </w:r>
          </w:p>
        </w:tc>
        <w:tc>
          <w:tcPr>
            <w:tcW w:w="1536"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lang w:bidi="zh-CN"/>
              </w:rPr>
            </w:pPr>
            <w:r>
              <w:rPr>
                <w:rFonts w:hint="eastAsia" w:ascii="宋体" w:hAnsi="宋体"/>
                <w:sz w:val="24"/>
                <w:lang w:bidi="zh-CN"/>
              </w:rPr>
              <w:t>运维方案</w:t>
            </w:r>
          </w:p>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highlight w:val="yellow"/>
              </w:rPr>
            </w:pPr>
            <w:r>
              <w:rPr>
                <w:rFonts w:hint="eastAsia" w:ascii="宋体" w:hAnsi="宋体"/>
                <w:sz w:val="24"/>
                <w:lang w:bidi="zh-CN"/>
              </w:rPr>
              <w:t>（12分）</w:t>
            </w:r>
          </w:p>
        </w:tc>
        <w:tc>
          <w:tcPr>
            <w:tcW w:w="7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rPr>
                <w:rFonts w:ascii="宋体" w:hAnsi="宋体"/>
                <w:bCs/>
                <w:color w:val="auto"/>
                <w:sz w:val="24"/>
              </w:rPr>
            </w:pPr>
            <w:r>
              <w:rPr>
                <w:rFonts w:hint="eastAsia" w:ascii="宋体" w:hAnsi="宋体"/>
                <w:bCs/>
                <w:color w:val="auto"/>
                <w:sz w:val="24"/>
              </w:rPr>
              <w:t>投标人针对本项目拟定的运维方案</w:t>
            </w:r>
            <w:r>
              <w:rPr>
                <w:rFonts w:hint="eastAsia" w:ascii="宋体" w:hAnsi="宋体"/>
                <w:bCs/>
                <w:color w:val="auto"/>
                <w:sz w:val="24"/>
                <w:lang w:eastAsia="zh-CN"/>
              </w:rPr>
              <w:t>（</w:t>
            </w:r>
            <w:r>
              <w:rPr>
                <w:rFonts w:hint="eastAsia" w:ascii="宋体" w:hAnsi="宋体"/>
                <w:bCs/>
                <w:color w:val="auto"/>
                <w:sz w:val="24"/>
              </w:rPr>
              <w:t>第一部分</w:t>
            </w:r>
            <w:r>
              <w:rPr>
                <w:rFonts w:hint="eastAsia" w:ascii="宋体" w:hAnsi="宋体"/>
                <w:bCs/>
                <w:color w:val="auto"/>
                <w:sz w:val="24"/>
                <w:lang w:eastAsia="zh-CN"/>
              </w:rPr>
              <w:t>）</w:t>
            </w:r>
            <w:r>
              <w:rPr>
                <w:rFonts w:hint="eastAsia" w:ascii="宋体" w:hAnsi="宋体"/>
                <w:bCs/>
                <w:color w:val="auto"/>
                <w:sz w:val="24"/>
              </w:rPr>
              <w:t>，主要内容包括项目概况、工作</w:t>
            </w:r>
            <w:r>
              <w:rPr>
                <w:rFonts w:hint="eastAsia" w:ascii="宋体" w:hAnsi="宋体"/>
                <w:bCs/>
                <w:color w:val="auto"/>
                <w:sz w:val="24"/>
                <w:lang w:val="en-US" w:eastAsia="zh-CN"/>
              </w:rPr>
              <w:t>举措、工作</w:t>
            </w:r>
            <w:r>
              <w:rPr>
                <w:rFonts w:hint="eastAsia" w:ascii="宋体" w:hAnsi="宋体"/>
                <w:bCs/>
                <w:color w:val="auto"/>
                <w:sz w:val="24"/>
              </w:rPr>
              <w:t>目标等。方案优秀、内容完整详实</w:t>
            </w:r>
            <w:r>
              <w:rPr>
                <w:rFonts w:hint="eastAsia" w:ascii="宋体" w:hAnsi="宋体"/>
                <w:bCs/>
                <w:color w:val="auto"/>
                <w:sz w:val="24"/>
                <w:lang w:val="en-US" w:eastAsia="zh-CN"/>
              </w:rPr>
              <w:t>、工作举措科学</w:t>
            </w:r>
            <w:r>
              <w:rPr>
                <w:rFonts w:hint="eastAsia" w:ascii="宋体" w:hAnsi="宋体"/>
                <w:bCs/>
                <w:color w:val="auto"/>
                <w:sz w:val="24"/>
              </w:rPr>
              <w:t>、符合</w:t>
            </w:r>
            <w:r>
              <w:rPr>
                <w:rFonts w:hint="eastAsia" w:ascii="宋体" w:hAnsi="宋体"/>
                <w:bCs/>
                <w:color w:val="auto"/>
                <w:sz w:val="24"/>
                <w:lang w:val="en-US" w:eastAsia="zh-CN"/>
              </w:rPr>
              <w:t>农污标准化运维</w:t>
            </w:r>
            <w:r>
              <w:rPr>
                <w:rFonts w:hint="eastAsia" w:ascii="宋体" w:hAnsi="宋体"/>
                <w:bCs/>
                <w:color w:val="auto"/>
                <w:sz w:val="24"/>
              </w:rPr>
              <w:t>要求的得6分；方案较好的得4分；方案一般的得2分</w:t>
            </w:r>
            <w:r>
              <w:rPr>
                <w:rFonts w:hint="eastAsia" w:ascii="宋体" w:hAnsi="宋体"/>
                <w:bCs/>
                <w:color w:val="auto"/>
                <w:sz w:val="24"/>
                <w:lang w:val="zh-CN"/>
              </w:rPr>
              <w:t>；</w:t>
            </w:r>
            <w:r>
              <w:rPr>
                <w:rFonts w:hint="eastAsia" w:ascii="宋体" w:hAnsi="宋体"/>
                <w:bCs/>
                <w:color w:val="auto"/>
                <w:sz w:val="24"/>
              </w:rPr>
              <w:t>方案</w:t>
            </w:r>
            <w:r>
              <w:rPr>
                <w:rFonts w:hint="eastAsia" w:ascii="宋体" w:hAnsi="宋体"/>
                <w:bCs/>
                <w:color w:val="auto"/>
                <w:sz w:val="24"/>
                <w:lang w:val="zh-CN"/>
              </w:rPr>
              <w:t>未提供</w:t>
            </w:r>
            <w:r>
              <w:rPr>
                <w:rFonts w:hint="eastAsia" w:ascii="宋体" w:hAnsi="宋体"/>
                <w:bCs/>
                <w:color w:val="auto"/>
                <w:sz w:val="24"/>
              </w:rPr>
              <w:t>的</w:t>
            </w:r>
            <w:r>
              <w:rPr>
                <w:rFonts w:hint="eastAsia" w:ascii="宋体" w:hAnsi="宋体"/>
                <w:bCs/>
                <w:color w:val="auto"/>
                <w:sz w:val="24"/>
                <w:lang w:val="zh-CN"/>
              </w:rPr>
              <w:t>得0分。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hint="eastAsia" w:ascii="宋体" w:hAnsi="宋体" w:eastAsia="宋体"/>
                <w:sz w:val="24"/>
                <w:highlight w:val="none"/>
                <w:lang w:eastAsia="zh-CN"/>
              </w:rPr>
            </w:pPr>
            <w:r>
              <w:rPr>
                <w:rFonts w:hint="eastAsia" w:ascii="宋体" w:hAnsi="宋体"/>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5" w:hRule="atLeast"/>
          <w:jc w:val="center"/>
        </w:trPr>
        <w:tc>
          <w:tcPr>
            <w:tcW w:w="718" w:type="dxa"/>
            <w:vMerge w:val="continue"/>
            <w:tcBorders>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pPr>
          </w:p>
        </w:tc>
        <w:tc>
          <w:tcPr>
            <w:tcW w:w="1536"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pPr>
          </w:p>
        </w:tc>
        <w:tc>
          <w:tcPr>
            <w:tcW w:w="7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rPr>
                <w:rFonts w:ascii="宋体" w:hAnsi="宋体"/>
                <w:bCs/>
                <w:color w:val="auto"/>
                <w:sz w:val="24"/>
              </w:rPr>
            </w:pPr>
            <w:r>
              <w:rPr>
                <w:rFonts w:hint="eastAsia" w:ascii="宋体" w:hAnsi="宋体"/>
                <w:bCs/>
                <w:color w:val="auto"/>
                <w:sz w:val="24"/>
              </w:rPr>
              <w:t>投标人针对本项目拟定的运维方案</w:t>
            </w:r>
            <w:r>
              <w:rPr>
                <w:rFonts w:hint="eastAsia" w:ascii="宋体" w:hAnsi="宋体"/>
                <w:bCs/>
                <w:color w:val="auto"/>
                <w:sz w:val="24"/>
                <w:lang w:eastAsia="zh-CN"/>
              </w:rPr>
              <w:t>（</w:t>
            </w:r>
            <w:r>
              <w:rPr>
                <w:rFonts w:hint="eastAsia" w:ascii="宋体" w:hAnsi="宋体"/>
                <w:bCs/>
                <w:color w:val="auto"/>
                <w:sz w:val="24"/>
              </w:rPr>
              <w:t>第二部分</w:t>
            </w:r>
            <w:r>
              <w:rPr>
                <w:rFonts w:hint="eastAsia" w:ascii="宋体" w:hAnsi="宋体"/>
                <w:bCs/>
                <w:color w:val="auto"/>
                <w:sz w:val="24"/>
                <w:lang w:eastAsia="zh-CN"/>
              </w:rPr>
              <w:t>）</w:t>
            </w:r>
            <w:r>
              <w:rPr>
                <w:rFonts w:hint="eastAsia" w:ascii="宋体" w:hAnsi="宋体"/>
                <w:bCs/>
                <w:color w:val="auto"/>
                <w:sz w:val="24"/>
              </w:rPr>
              <w:t>，主要内容包括运维岗位职责、人员、设备、车辆等各项管理制度。方案优秀、内容完整详实、</w:t>
            </w:r>
            <w:r>
              <w:rPr>
                <w:rFonts w:hint="eastAsia" w:ascii="宋体" w:hAnsi="宋体"/>
                <w:bCs/>
                <w:color w:val="auto"/>
                <w:sz w:val="24"/>
                <w:lang w:val="en-US" w:eastAsia="zh-CN"/>
              </w:rPr>
              <w:t>操作性强、符合农污标准化运维</w:t>
            </w:r>
            <w:r>
              <w:rPr>
                <w:rFonts w:hint="eastAsia" w:ascii="宋体" w:hAnsi="宋体"/>
                <w:bCs/>
                <w:color w:val="auto"/>
                <w:sz w:val="24"/>
              </w:rPr>
              <w:t>要求的得6分；方案较好的得4分；方案一般的得2分</w:t>
            </w:r>
            <w:r>
              <w:rPr>
                <w:rFonts w:hint="eastAsia" w:ascii="宋体" w:hAnsi="宋体"/>
                <w:bCs/>
                <w:color w:val="auto"/>
                <w:sz w:val="24"/>
                <w:lang w:val="zh-CN"/>
              </w:rPr>
              <w:t>；</w:t>
            </w:r>
            <w:r>
              <w:rPr>
                <w:rFonts w:hint="eastAsia" w:ascii="宋体" w:hAnsi="宋体"/>
                <w:bCs/>
                <w:color w:val="auto"/>
                <w:sz w:val="24"/>
              </w:rPr>
              <w:t>方案</w:t>
            </w:r>
            <w:r>
              <w:rPr>
                <w:rFonts w:hint="eastAsia" w:ascii="宋体" w:hAnsi="宋体"/>
                <w:bCs/>
                <w:color w:val="auto"/>
                <w:sz w:val="24"/>
                <w:lang w:val="zh-CN"/>
              </w:rPr>
              <w:t>未提供</w:t>
            </w:r>
            <w:r>
              <w:rPr>
                <w:rFonts w:hint="eastAsia" w:ascii="宋体" w:hAnsi="宋体"/>
                <w:bCs/>
                <w:color w:val="auto"/>
                <w:sz w:val="24"/>
              </w:rPr>
              <w:t>的</w:t>
            </w:r>
            <w:r>
              <w:rPr>
                <w:rFonts w:hint="eastAsia" w:ascii="宋体" w:hAnsi="宋体"/>
                <w:bCs/>
                <w:color w:val="auto"/>
                <w:sz w:val="24"/>
                <w:lang w:val="zh-CN"/>
              </w:rPr>
              <w:t>得0分。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hint="eastAsia" w:ascii="宋体" w:hAnsi="宋体" w:eastAsia="宋体"/>
                <w:sz w:val="24"/>
                <w:highlight w:val="none"/>
                <w:lang w:eastAsia="zh-CN"/>
              </w:rPr>
            </w:pPr>
            <w:r>
              <w:rPr>
                <w:rFonts w:hint="eastAsia" w:ascii="宋体" w:hAnsi="宋体"/>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8" w:hRule="atLeast"/>
          <w:jc w:val="center"/>
        </w:trPr>
        <w:tc>
          <w:tcPr>
            <w:tcW w:w="718"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6</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lang w:bidi="zh-CN"/>
              </w:rPr>
            </w:pPr>
            <w:r>
              <w:rPr>
                <w:rFonts w:hint="eastAsia" w:ascii="宋体" w:hAnsi="宋体"/>
                <w:sz w:val="24"/>
                <w:lang w:bidi="zh-CN"/>
              </w:rPr>
              <w:t>重点难点解决措施</w:t>
            </w:r>
          </w:p>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bCs/>
                <w:sz w:val="24"/>
              </w:rPr>
              <w:t>（</w:t>
            </w:r>
            <w:r>
              <w:rPr>
                <w:rFonts w:hint="eastAsia" w:ascii="宋体" w:hAnsi="宋体"/>
                <w:bCs/>
                <w:sz w:val="24"/>
                <w:lang w:val="en-US" w:eastAsia="zh-CN"/>
              </w:rPr>
              <w:t>6</w:t>
            </w:r>
            <w:r>
              <w:rPr>
                <w:rFonts w:hint="eastAsia" w:ascii="宋体" w:hAnsi="宋体"/>
                <w:bCs/>
                <w:sz w:val="24"/>
              </w:rPr>
              <w:t>分）</w:t>
            </w:r>
          </w:p>
        </w:tc>
        <w:tc>
          <w:tcPr>
            <w:tcW w:w="7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rPr>
                <w:rFonts w:ascii="宋体" w:hAnsi="宋体"/>
                <w:bCs/>
                <w:sz w:val="24"/>
              </w:rPr>
            </w:pPr>
            <w:r>
              <w:rPr>
                <w:rFonts w:hint="eastAsia" w:ascii="宋体" w:hAnsi="宋体"/>
                <w:bCs/>
                <w:sz w:val="24"/>
              </w:rPr>
              <w:t>投标人需</w:t>
            </w:r>
            <w:r>
              <w:rPr>
                <w:rFonts w:hint="eastAsia" w:ascii="宋体" w:hAnsi="宋体"/>
                <w:sz w:val="24"/>
                <w:lang w:bidi="zh-CN"/>
              </w:rPr>
              <w:t>阐明</w:t>
            </w:r>
            <w:r>
              <w:rPr>
                <w:rFonts w:hint="eastAsia" w:ascii="宋体" w:hAnsi="宋体"/>
                <w:sz w:val="24"/>
                <w:lang w:val="zh-CN" w:bidi="zh-CN"/>
              </w:rPr>
              <w:t>本项目</w:t>
            </w:r>
            <w:r>
              <w:rPr>
                <w:rFonts w:hint="eastAsia" w:ascii="宋体" w:hAnsi="宋体"/>
                <w:sz w:val="24"/>
                <w:lang w:bidi="zh-CN"/>
              </w:rPr>
              <w:t>重点</w:t>
            </w:r>
            <w:r>
              <w:rPr>
                <w:rFonts w:hint="eastAsia" w:ascii="宋体" w:hAnsi="宋体"/>
                <w:sz w:val="24"/>
                <w:lang w:val="zh-CN" w:bidi="zh-CN"/>
              </w:rPr>
              <w:t>难点，</w:t>
            </w:r>
            <w:r>
              <w:rPr>
                <w:rFonts w:hint="eastAsia" w:ascii="宋体" w:hAnsi="宋体"/>
                <w:sz w:val="24"/>
                <w:lang w:val="en-US" w:bidi="zh-CN"/>
              </w:rPr>
              <w:t>分析存在主要问题</w:t>
            </w:r>
            <w:r>
              <w:rPr>
                <w:rFonts w:hint="eastAsia" w:ascii="宋体" w:hAnsi="宋体"/>
                <w:sz w:val="24"/>
                <w:lang w:bidi="zh-CN"/>
              </w:rPr>
              <w:t>，并</w:t>
            </w:r>
            <w:r>
              <w:rPr>
                <w:rFonts w:hint="eastAsia" w:ascii="宋体" w:hAnsi="宋体"/>
                <w:sz w:val="24"/>
                <w:lang w:val="zh-CN" w:bidi="zh-CN"/>
              </w:rPr>
              <w:t>针对</w:t>
            </w:r>
            <w:r>
              <w:rPr>
                <w:rFonts w:hint="eastAsia" w:ascii="宋体" w:hAnsi="宋体"/>
                <w:sz w:val="24"/>
                <w:lang w:bidi="zh-CN"/>
              </w:rPr>
              <w:t>重点</w:t>
            </w:r>
            <w:r>
              <w:rPr>
                <w:rFonts w:hint="eastAsia" w:ascii="宋体" w:hAnsi="宋体"/>
                <w:sz w:val="24"/>
                <w:lang w:val="zh-CN" w:bidi="zh-CN"/>
              </w:rPr>
              <w:t>难点</w:t>
            </w:r>
            <w:r>
              <w:rPr>
                <w:rFonts w:hint="eastAsia" w:ascii="宋体" w:hAnsi="宋体"/>
                <w:sz w:val="24"/>
                <w:lang w:val="en-US" w:bidi="zh-CN"/>
              </w:rPr>
              <w:t>和主要问题</w:t>
            </w:r>
            <w:r>
              <w:rPr>
                <w:rFonts w:hint="eastAsia" w:ascii="宋体" w:hAnsi="宋体"/>
                <w:sz w:val="24"/>
                <w:lang w:bidi="zh-CN"/>
              </w:rPr>
              <w:t>提出</w:t>
            </w:r>
            <w:r>
              <w:rPr>
                <w:rFonts w:hint="eastAsia" w:ascii="宋体" w:hAnsi="宋体"/>
                <w:sz w:val="24"/>
                <w:lang w:val="zh-CN" w:bidi="zh-CN"/>
              </w:rPr>
              <w:t>相应解决措施。</w:t>
            </w:r>
            <w:r>
              <w:rPr>
                <w:rFonts w:hint="eastAsia" w:ascii="宋体" w:hAnsi="宋体"/>
                <w:bCs/>
                <w:sz w:val="24"/>
              </w:rPr>
              <w:t>阐述</w:t>
            </w:r>
            <w:r>
              <w:rPr>
                <w:rFonts w:hint="eastAsia" w:ascii="宋体" w:hAnsi="宋体"/>
                <w:sz w:val="24"/>
                <w:lang w:val="zh-CN" w:bidi="zh-CN"/>
              </w:rPr>
              <w:t>内容全面详细、分析到位、</w:t>
            </w:r>
            <w:r>
              <w:rPr>
                <w:rFonts w:hint="eastAsia" w:ascii="宋体" w:hAnsi="宋体"/>
                <w:sz w:val="24"/>
                <w:lang w:bidi="zh-CN"/>
              </w:rPr>
              <w:t>措施合理</w:t>
            </w:r>
            <w:r>
              <w:rPr>
                <w:rFonts w:hint="eastAsia" w:ascii="宋体" w:hAnsi="宋体"/>
                <w:sz w:val="24"/>
                <w:lang w:val="zh-CN" w:bidi="zh-CN"/>
              </w:rPr>
              <w:t>的得</w:t>
            </w:r>
            <w:r>
              <w:rPr>
                <w:rFonts w:hint="eastAsia" w:ascii="宋体" w:hAnsi="宋体"/>
                <w:sz w:val="24"/>
                <w:lang w:val="en-US" w:bidi="zh-CN"/>
              </w:rPr>
              <w:t>6</w:t>
            </w:r>
            <w:r>
              <w:rPr>
                <w:rFonts w:hint="eastAsia" w:ascii="宋体" w:hAnsi="宋体"/>
                <w:sz w:val="24"/>
                <w:lang w:val="zh-CN" w:bidi="zh-CN"/>
              </w:rPr>
              <w:t>分；阐述内容较完整、分析基本到位、</w:t>
            </w:r>
            <w:r>
              <w:rPr>
                <w:rFonts w:hint="eastAsia" w:ascii="宋体" w:hAnsi="宋体"/>
                <w:sz w:val="24"/>
                <w:lang w:bidi="zh-CN"/>
              </w:rPr>
              <w:t>措施基本合理</w:t>
            </w:r>
            <w:r>
              <w:rPr>
                <w:rFonts w:hint="eastAsia" w:ascii="宋体" w:hAnsi="宋体"/>
                <w:sz w:val="24"/>
                <w:lang w:val="zh-CN" w:bidi="zh-CN"/>
              </w:rPr>
              <w:t>的得</w:t>
            </w:r>
            <w:r>
              <w:rPr>
                <w:rFonts w:hint="eastAsia" w:ascii="宋体" w:hAnsi="宋体"/>
                <w:sz w:val="24"/>
                <w:lang w:val="en-US" w:bidi="zh-CN"/>
              </w:rPr>
              <w:t>4</w:t>
            </w:r>
            <w:r>
              <w:rPr>
                <w:rFonts w:hint="eastAsia" w:ascii="宋体" w:hAnsi="宋体"/>
                <w:sz w:val="24"/>
                <w:lang w:val="zh-CN" w:bidi="zh-CN"/>
              </w:rPr>
              <w:t>分；阐述内容一般、</w:t>
            </w:r>
            <w:r>
              <w:rPr>
                <w:rFonts w:hint="eastAsia" w:ascii="宋体" w:hAnsi="宋体"/>
                <w:sz w:val="24"/>
                <w:lang w:bidi="zh-CN"/>
              </w:rPr>
              <w:t>分析一般、措施一般的</w:t>
            </w:r>
            <w:r>
              <w:rPr>
                <w:rFonts w:hint="eastAsia" w:ascii="宋体" w:hAnsi="宋体"/>
                <w:sz w:val="24"/>
                <w:lang w:val="zh-CN" w:bidi="zh-CN"/>
              </w:rPr>
              <w:t>得</w:t>
            </w:r>
            <w:r>
              <w:rPr>
                <w:rFonts w:hint="eastAsia" w:ascii="宋体" w:hAnsi="宋体"/>
                <w:sz w:val="24"/>
                <w:lang w:val="en-US" w:bidi="zh-CN"/>
              </w:rPr>
              <w:t>2</w:t>
            </w:r>
            <w:r>
              <w:rPr>
                <w:rFonts w:hint="eastAsia" w:ascii="宋体" w:hAnsi="宋体"/>
                <w:sz w:val="24"/>
                <w:lang w:val="zh-CN" w:bidi="zh-CN"/>
              </w:rPr>
              <w:t>分；未提供得0分。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hint="eastAsia" w:ascii="宋体" w:hAnsi="宋体" w:eastAsia="宋体"/>
                <w:bCs/>
                <w:sz w:val="24"/>
                <w:highlight w:val="none"/>
                <w:lang w:eastAsia="zh-CN"/>
              </w:rPr>
            </w:pPr>
            <w:r>
              <w:rPr>
                <w:rFonts w:hint="eastAsia" w:ascii="宋体" w:hAnsi="宋体"/>
                <w:bCs/>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3" w:hRule="atLeast"/>
          <w:jc w:val="center"/>
        </w:trPr>
        <w:tc>
          <w:tcPr>
            <w:tcW w:w="718"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7</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质量保障</w:t>
            </w:r>
          </w:p>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bCs/>
                <w:sz w:val="24"/>
              </w:rPr>
              <w:t>（</w:t>
            </w:r>
            <w:r>
              <w:rPr>
                <w:rFonts w:hint="eastAsia" w:ascii="宋体" w:hAnsi="宋体"/>
                <w:bCs/>
                <w:sz w:val="24"/>
                <w:lang w:val="en-US" w:eastAsia="zh-CN"/>
              </w:rPr>
              <w:t>5</w:t>
            </w:r>
            <w:r>
              <w:rPr>
                <w:rFonts w:hint="eastAsia" w:ascii="宋体" w:hAnsi="宋体"/>
                <w:bCs/>
                <w:sz w:val="24"/>
              </w:rPr>
              <w:t>分）</w:t>
            </w:r>
          </w:p>
        </w:tc>
        <w:tc>
          <w:tcPr>
            <w:tcW w:w="7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rPr>
                <w:rFonts w:ascii="宋体" w:hAnsi="宋体"/>
                <w:bCs/>
                <w:sz w:val="24"/>
              </w:rPr>
            </w:pPr>
            <w:r>
              <w:rPr>
                <w:rFonts w:hint="eastAsia" w:ascii="宋体" w:hAnsi="宋体"/>
                <w:bCs/>
                <w:sz w:val="24"/>
              </w:rPr>
              <w:t>投标人需针对本项目拟定质量保障方案，方案优秀、内容完整详实、技术措施科学合理、针对性和操作性强、符合招标文件要求得</w:t>
            </w:r>
            <w:r>
              <w:rPr>
                <w:rFonts w:hint="eastAsia" w:ascii="宋体" w:hAnsi="宋体"/>
                <w:bCs/>
                <w:sz w:val="24"/>
                <w:lang w:val="en-US" w:eastAsia="zh-CN"/>
              </w:rPr>
              <w:t>5</w:t>
            </w:r>
            <w:r>
              <w:rPr>
                <w:rFonts w:hint="eastAsia" w:ascii="宋体" w:hAnsi="宋体"/>
                <w:bCs/>
                <w:sz w:val="24"/>
              </w:rPr>
              <w:t>分；方案较好的得</w:t>
            </w:r>
            <w:r>
              <w:rPr>
                <w:rFonts w:hint="eastAsia" w:ascii="宋体" w:hAnsi="宋体"/>
                <w:bCs/>
                <w:sz w:val="24"/>
                <w:lang w:val="en-US" w:eastAsia="zh-CN"/>
              </w:rPr>
              <w:t>3</w:t>
            </w:r>
            <w:r>
              <w:rPr>
                <w:rFonts w:hint="eastAsia" w:ascii="宋体" w:hAnsi="宋体"/>
                <w:bCs/>
                <w:sz w:val="24"/>
              </w:rPr>
              <w:t>分；方案一般的得</w:t>
            </w:r>
            <w:r>
              <w:rPr>
                <w:rFonts w:hint="eastAsia" w:ascii="宋体" w:hAnsi="宋体"/>
                <w:bCs/>
                <w:sz w:val="24"/>
                <w:lang w:val="en-US" w:eastAsia="zh-CN"/>
              </w:rPr>
              <w:t>1</w:t>
            </w:r>
            <w:r>
              <w:rPr>
                <w:rFonts w:hint="eastAsia" w:ascii="宋体" w:hAnsi="宋体"/>
                <w:bCs/>
                <w:sz w:val="24"/>
              </w:rPr>
              <w:t>分；未提供得0分。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highlight w:val="none"/>
              </w:rPr>
            </w:pPr>
            <w:r>
              <w:rPr>
                <w:rFonts w:ascii="宋体" w:hAnsi="宋体"/>
                <w:sz w:val="24"/>
                <w:highlight w:val="none"/>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3" w:hRule="atLeast"/>
          <w:jc w:val="center"/>
        </w:trPr>
        <w:tc>
          <w:tcPr>
            <w:tcW w:w="718"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highlight w:val="yellow"/>
              </w:rPr>
            </w:pPr>
            <w:r>
              <w:rPr>
                <w:rFonts w:hint="eastAsia" w:ascii="宋体" w:hAnsi="宋体"/>
                <w:sz w:val="24"/>
              </w:rPr>
              <w:t>8</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水质不达标解决措施</w:t>
            </w:r>
          </w:p>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color w:val="FF0000"/>
                <w:sz w:val="24"/>
              </w:rPr>
            </w:pPr>
            <w:r>
              <w:rPr>
                <w:rFonts w:hint="eastAsia" w:ascii="宋体" w:hAnsi="宋体"/>
                <w:sz w:val="24"/>
              </w:rPr>
              <w:t>（6分）</w:t>
            </w:r>
          </w:p>
        </w:tc>
        <w:tc>
          <w:tcPr>
            <w:tcW w:w="7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left"/>
              <w:textAlignment w:val="auto"/>
              <w:rPr>
                <w:rFonts w:ascii="宋体" w:hAnsi="宋体"/>
                <w:sz w:val="24"/>
              </w:rPr>
            </w:pPr>
            <w:r>
              <w:rPr>
                <w:rFonts w:hint="eastAsia" w:ascii="宋体" w:hAnsi="宋体"/>
                <w:bCs/>
                <w:sz w:val="24"/>
              </w:rPr>
              <w:t>投标人需针对本项目拟定</w:t>
            </w:r>
            <w:r>
              <w:rPr>
                <w:rFonts w:hint="eastAsia" w:ascii="宋体" w:hAnsi="宋体"/>
                <w:sz w:val="24"/>
              </w:rPr>
              <w:t>终端出水水质不达标的解决措施，解决措施科学合理、操作性强、符合实际的得6分；解决措施基本合理的得4分；解决措施一般的得2分</w:t>
            </w:r>
            <w:r>
              <w:rPr>
                <w:rFonts w:hint="eastAsia" w:ascii="宋体" w:hAnsi="宋体"/>
                <w:sz w:val="24"/>
                <w:lang w:val="zh-CN"/>
              </w:rPr>
              <w:t>；未提供得0分。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hint="eastAsia" w:ascii="宋体" w:hAnsi="宋体" w:eastAsia="宋体"/>
                <w:sz w:val="24"/>
                <w:highlight w:val="none"/>
                <w:lang w:eastAsia="zh-CN"/>
              </w:rPr>
            </w:pPr>
            <w:r>
              <w:rPr>
                <w:rFonts w:hint="eastAsia" w:ascii="宋体" w:hAnsi="宋体"/>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7" w:hRule="atLeast"/>
          <w:jc w:val="center"/>
        </w:trPr>
        <w:tc>
          <w:tcPr>
            <w:tcW w:w="718"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9</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hint="eastAsia" w:ascii="宋体" w:hAnsi="宋体"/>
                <w:sz w:val="24"/>
              </w:rPr>
            </w:pPr>
            <w:r>
              <w:rPr>
                <w:rFonts w:hint="eastAsia" w:ascii="宋体" w:hAnsi="宋体"/>
                <w:sz w:val="24"/>
              </w:rPr>
              <w:t>安全保障</w:t>
            </w:r>
          </w:p>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措施</w:t>
            </w:r>
          </w:p>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（5分）</w:t>
            </w:r>
          </w:p>
        </w:tc>
        <w:tc>
          <w:tcPr>
            <w:tcW w:w="751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left"/>
              <w:textAlignment w:val="auto"/>
              <w:rPr>
                <w:rFonts w:ascii="宋体" w:hAnsi="宋体"/>
                <w:sz w:val="24"/>
              </w:rPr>
            </w:pPr>
            <w:r>
              <w:rPr>
                <w:rFonts w:hint="eastAsia" w:ascii="宋体" w:hAnsi="宋体"/>
                <w:bCs/>
                <w:sz w:val="24"/>
              </w:rPr>
              <w:t>投标人需针</w:t>
            </w:r>
            <w:r>
              <w:rPr>
                <w:rFonts w:hint="eastAsia" w:ascii="宋体" w:hAnsi="宋体"/>
                <w:sz w:val="24"/>
              </w:rPr>
              <w:t>对本项目拟定运维人员的人身安全</w:t>
            </w:r>
            <w:r>
              <w:rPr>
                <w:rFonts w:hint="eastAsia" w:ascii="宋体" w:hAnsi="宋体"/>
                <w:sz w:val="24"/>
                <w:lang w:eastAsia="zh-CN"/>
              </w:rPr>
              <w:t>、</w:t>
            </w:r>
            <w:r>
              <w:rPr>
                <w:rFonts w:hint="eastAsia" w:ascii="宋体" w:hAnsi="宋体"/>
                <w:sz w:val="24"/>
              </w:rPr>
              <w:t>车辆安全</w:t>
            </w:r>
            <w:r>
              <w:rPr>
                <w:rFonts w:hint="eastAsia" w:ascii="宋体" w:hAnsi="宋体"/>
                <w:sz w:val="24"/>
                <w:lang w:eastAsia="zh-CN"/>
              </w:rPr>
              <w:t>、</w:t>
            </w:r>
            <w:r>
              <w:rPr>
                <w:rFonts w:hint="eastAsia" w:ascii="宋体" w:hAnsi="宋体"/>
                <w:sz w:val="24"/>
              </w:rPr>
              <w:t>实验室安全</w:t>
            </w:r>
            <w:r>
              <w:rPr>
                <w:rFonts w:hint="eastAsia" w:ascii="宋体" w:hAnsi="宋体"/>
                <w:sz w:val="24"/>
                <w:lang w:eastAsia="zh-CN"/>
              </w:rPr>
              <w:t>、</w:t>
            </w:r>
            <w:r>
              <w:rPr>
                <w:rFonts w:hint="eastAsia" w:ascii="宋体" w:hAnsi="宋体"/>
                <w:sz w:val="24"/>
              </w:rPr>
              <w:t>信息安全等保障措施，安全保障措施</w:t>
            </w:r>
            <w:r>
              <w:rPr>
                <w:rFonts w:hint="eastAsia" w:ascii="宋体" w:hAnsi="宋体"/>
                <w:sz w:val="24"/>
                <w:lang w:val="zh-CN"/>
              </w:rPr>
              <w:t>全面详细、分析到位、</w:t>
            </w:r>
            <w:r>
              <w:rPr>
                <w:rFonts w:hint="eastAsia" w:ascii="宋体" w:hAnsi="宋体"/>
                <w:sz w:val="24"/>
              </w:rPr>
              <w:t>科学合理</w:t>
            </w:r>
            <w:r>
              <w:rPr>
                <w:rFonts w:hint="eastAsia" w:ascii="宋体" w:hAnsi="宋体"/>
                <w:sz w:val="24"/>
                <w:lang w:val="zh-CN"/>
              </w:rPr>
              <w:t>的得</w:t>
            </w:r>
            <w:r>
              <w:rPr>
                <w:rFonts w:hint="eastAsia" w:ascii="宋体" w:hAnsi="宋体"/>
                <w:sz w:val="24"/>
              </w:rPr>
              <w:t>5</w:t>
            </w:r>
            <w:r>
              <w:rPr>
                <w:rFonts w:hint="eastAsia" w:ascii="宋体" w:hAnsi="宋体"/>
                <w:sz w:val="24"/>
                <w:lang w:val="zh-CN"/>
              </w:rPr>
              <w:t>分；</w:t>
            </w:r>
            <w:r>
              <w:rPr>
                <w:rFonts w:hint="eastAsia" w:ascii="宋体" w:hAnsi="宋体"/>
                <w:sz w:val="24"/>
              </w:rPr>
              <w:t>安全保障措施较好的</w:t>
            </w:r>
            <w:r>
              <w:rPr>
                <w:rFonts w:hint="eastAsia" w:ascii="宋体" w:hAnsi="宋体"/>
                <w:sz w:val="24"/>
                <w:lang w:val="zh-CN"/>
              </w:rPr>
              <w:t>得</w:t>
            </w:r>
            <w:r>
              <w:rPr>
                <w:rFonts w:hint="eastAsia" w:ascii="宋体" w:hAnsi="宋体"/>
                <w:sz w:val="24"/>
              </w:rPr>
              <w:t>3</w:t>
            </w:r>
            <w:r>
              <w:rPr>
                <w:rFonts w:hint="eastAsia" w:ascii="宋体" w:hAnsi="宋体"/>
                <w:sz w:val="24"/>
                <w:lang w:val="zh-CN"/>
              </w:rPr>
              <w:t>分；</w:t>
            </w:r>
            <w:r>
              <w:rPr>
                <w:rFonts w:hint="eastAsia" w:ascii="宋体" w:hAnsi="宋体"/>
                <w:sz w:val="24"/>
              </w:rPr>
              <w:t>安全保障措施一般</w:t>
            </w:r>
            <w:r>
              <w:rPr>
                <w:rFonts w:hint="eastAsia" w:ascii="宋体" w:hAnsi="宋体"/>
                <w:sz w:val="24"/>
                <w:lang w:val="zh-CN"/>
              </w:rPr>
              <w:t>的得</w:t>
            </w:r>
            <w:r>
              <w:rPr>
                <w:rFonts w:hint="eastAsia" w:ascii="宋体" w:hAnsi="宋体"/>
                <w:sz w:val="24"/>
              </w:rPr>
              <w:t>1</w:t>
            </w:r>
            <w:r>
              <w:rPr>
                <w:rFonts w:hint="eastAsia" w:ascii="宋体" w:hAnsi="宋体"/>
                <w:sz w:val="24"/>
                <w:lang w:val="zh-CN"/>
              </w:rPr>
              <w:t>分；未提供得0分。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718"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10</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hint="eastAsia" w:ascii="宋体" w:hAnsi="宋体"/>
                <w:bCs/>
                <w:sz w:val="24"/>
              </w:rPr>
              <w:t>应急预案</w:t>
            </w:r>
          </w:p>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lang w:bidi="zh-CN"/>
              </w:rPr>
            </w:pPr>
            <w:r>
              <w:rPr>
                <w:rFonts w:hint="eastAsia" w:ascii="宋体" w:hAnsi="宋体"/>
                <w:bCs/>
                <w:sz w:val="24"/>
              </w:rPr>
              <w:t>（5分）</w:t>
            </w:r>
          </w:p>
        </w:tc>
        <w:tc>
          <w:tcPr>
            <w:tcW w:w="751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rPr>
                <w:rFonts w:ascii="宋体" w:hAnsi="宋体"/>
                <w:sz w:val="24"/>
                <w:lang w:val="zh-CN" w:bidi="zh-CN"/>
              </w:rPr>
            </w:pPr>
            <w:r>
              <w:rPr>
                <w:rFonts w:hint="eastAsia" w:ascii="宋体" w:hAnsi="宋体"/>
                <w:bCs/>
                <w:sz w:val="24"/>
              </w:rPr>
              <w:t>投标人需针对本项目拟定突发事件应急预案（主要是地质灾害、恶劣天气、停水停电、设备故障、水质超标等），应急预案科学合理、内容全面、操作性强的得5分；应急预案较好的得3分；应急预案一般的得1分</w:t>
            </w:r>
            <w:r>
              <w:rPr>
                <w:rFonts w:hint="eastAsia" w:ascii="宋体" w:hAnsi="宋体"/>
                <w:sz w:val="24"/>
                <w:lang w:val="zh-CN" w:bidi="zh-CN"/>
              </w:rPr>
              <w:t>；未提供得0分。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bCs/>
                <w:sz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718"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11</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hint="eastAsia" w:ascii="宋体" w:hAnsi="宋体"/>
                <w:sz w:val="24"/>
                <w:lang w:bidi="zh-CN"/>
              </w:rPr>
              <w:t>台账资料管理</w:t>
            </w:r>
            <w:r>
              <w:rPr>
                <w:rFonts w:hint="eastAsia" w:ascii="宋体" w:hAnsi="宋体"/>
                <w:bCs/>
                <w:sz w:val="24"/>
              </w:rPr>
              <w:t>（5分）</w:t>
            </w:r>
          </w:p>
        </w:tc>
        <w:tc>
          <w:tcPr>
            <w:tcW w:w="751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rPr>
                <w:rFonts w:ascii="宋体" w:hAnsi="宋体"/>
                <w:bCs/>
                <w:sz w:val="24"/>
              </w:rPr>
            </w:pPr>
            <w:r>
              <w:rPr>
                <w:rFonts w:hint="eastAsia" w:ascii="宋体" w:hAnsi="宋体"/>
                <w:bCs/>
                <w:sz w:val="24"/>
              </w:rPr>
              <w:t>投标人需针对本项目拟定台账资料管理方案，台账资料管理方案</w:t>
            </w:r>
            <w:r>
              <w:rPr>
                <w:rFonts w:hint="eastAsia" w:ascii="宋体" w:hAnsi="宋体"/>
                <w:sz w:val="24"/>
                <w:lang w:val="zh-CN" w:bidi="zh-CN"/>
              </w:rPr>
              <w:t>内容</w:t>
            </w:r>
            <w:r>
              <w:rPr>
                <w:rFonts w:hint="eastAsia" w:ascii="宋体" w:hAnsi="宋体"/>
                <w:sz w:val="24"/>
                <w:lang w:bidi="zh-CN"/>
              </w:rPr>
              <w:t>详实</w:t>
            </w:r>
            <w:r>
              <w:rPr>
                <w:rFonts w:hint="eastAsia" w:ascii="宋体" w:hAnsi="宋体"/>
                <w:sz w:val="24"/>
                <w:lang w:val="zh-CN" w:bidi="zh-CN"/>
              </w:rPr>
              <w:t>、分析到位、</w:t>
            </w:r>
            <w:r>
              <w:rPr>
                <w:rFonts w:hint="eastAsia" w:ascii="宋体" w:hAnsi="宋体"/>
                <w:bCs/>
                <w:sz w:val="24"/>
              </w:rPr>
              <w:t>符合招标文件要求</w:t>
            </w:r>
            <w:r>
              <w:rPr>
                <w:rFonts w:hint="eastAsia" w:ascii="宋体" w:hAnsi="宋体"/>
                <w:sz w:val="24"/>
                <w:lang w:val="zh-CN" w:bidi="zh-CN"/>
              </w:rPr>
              <w:t>得</w:t>
            </w:r>
            <w:r>
              <w:rPr>
                <w:rFonts w:hint="eastAsia" w:ascii="宋体" w:hAnsi="宋体"/>
                <w:sz w:val="24"/>
                <w:lang w:bidi="zh-CN"/>
              </w:rPr>
              <w:t>5</w:t>
            </w:r>
            <w:r>
              <w:rPr>
                <w:rFonts w:hint="eastAsia" w:ascii="宋体" w:hAnsi="宋体"/>
                <w:sz w:val="24"/>
                <w:lang w:val="zh-CN" w:bidi="zh-CN"/>
              </w:rPr>
              <w:t>分；</w:t>
            </w:r>
            <w:r>
              <w:rPr>
                <w:rFonts w:hint="eastAsia" w:ascii="宋体" w:hAnsi="宋体"/>
                <w:sz w:val="24"/>
                <w:lang w:bidi="zh-CN"/>
              </w:rPr>
              <w:t>方案较好的</w:t>
            </w:r>
            <w:r>
              <w:rPr>
                <w:rFonts w:hint="eastAsia" w:ascii="宋体" w:hAnsi="宋体"/>
                <w:sz w:val="24"/>
                <w:lang w:val="zh-CN" w:bidi="zh-CN"/>
              </w:rPr>
              <w:t>得</w:t>
            </w:r>
            <w:r>
              <w:rPr>
                <w:rFonts w:hint="eastAsia" w:ascii="宋体" w:hAnsi="宋体"/>
                <w:sz w:val="24"/>
                <w:lang w:bidi="zh-CN"/>
              </w:rPr>
              <w:t>3</w:t>
            </w:r>
            <w:r>
              <w:rPr>
                <w:rFonts w:hint="eastAsia" w:ascii="宋体" w:hAnsi="宋体"/>
                <w:sz w:val="24"/>
                <w:lang w:val="zh-CN" w:bidi="zh-CN"/>
              </w:rPr>
              <w:t>分；</w:t>
            </w:r>
            <w:r>
              <w:rPr>
                <w:rFonts w:hint="eastAsia" w:ascii="宋体" w:hAnsi="宋体"/>
                <w:sz w:val="24"/>
                <w:lang w:bidi="zh-CN"/>
              </w:rPr>
              <w:t>方案</w:t>
            </w:r>
            <w:r>
              <w:rPr>
                <w:rFonts w:hint="eastAsia" w:ascii="宋体" w:hAnsi="宋体"/>
                <w:sz w:val="24"/>
                <w:lang w:val="zh-CN" w:bidi="zh-CN"/>
              </w:rPr>
              <w:t>一般的得</w:t>
            </w:r>
            <w:r>
              <w:rPr>
                <w:rFonts w:hint="eastAsia" w:ascii="宋体" w:hAnsi="宋体"/>
                <w:sz w:val="24"/>
                <w:lang w:bidi="zh-CN"/>
              </w:rPr>
              <w:t>1</w:t>
            </w:r>
            <w:r>
              <w:rPr>
                <w:rFonts w:hint="eastAsia" w:ascii="宋体" w:hAnsi="宋体"/>
                <w:sz w:val="24"/>
                <w:lang w:val="zh-CN" w:bidi="zh-CN"/>
              </w:rPr>
              <w:t>分；未提供得0分。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hint="eastAsia" w:ascii="宋体" w:hAnsi="宋体"/>
                <w:bCs/>
                <w:sz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718"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12</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ascii="宋体" w:hAnsi="宋体" w:cs="宋体"/>
                <w:sz w:val="24"/>
                <w:lang w:val="zh-CN"/>
              </w:rPr>
            </w:pPr>
            <w:r>
              <w:rPr>
                <w:rFonts w:hint="eastAsia" w:ascii="宋体" w:hAnsi="宋体" w:cs="宋体"/>
                <w:sz w:val="24"/>
                <w:lang w:val="zh-CN"/>
              </w:rPr>
              <w:t>报价</w:t>
            </w:r>
          </w:p>
          <w:p>
            <w:pPr>
              <w:keepNext w:val="0"/>
              <w:keepLines w:val="0"/>
              <w:pageBreakBefore w:val="0"/>
              <w:kinsoku/>
              <w:wordWrap/>
              <w:overflowPunct/>
              <w:topLinePunct w:val="0"/>
              <w:autoSpaceDE/>
              <w:autoSpaceDN/>
              <w:bidi w:val="0"/>
              <w:adjustRightInd/>
              <w:snapToGrid/>
              <w:spacing w:line="420" w:lineRule="exact"/>
              <w:jc w:val="center"/>
              <w:textAlignment w:val="auto"/>
              <w:rPr>
                <w:rFonts w:ascii="宋体" w:hAnsi="宋体"/>
                <w:sz w:val="24"/>
              </w:rPr>
            </w:pPr>
            <w:r>
              <w:rPr>
                <w:rFonts w:hint="eastAsia" w:ascii="宋体" w:hAnsi="宋体"/>
                <w:bCs/>
                <w:sz w:val="24"/>
              </w:rPr>
              <w:t>（15分）</w:t>
            </w:r>
          </w:p>
        </w:tc>
        <w:tc>
          <w:tcPr>
            <w:tcW w:w="7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rPr>
                <w:rFonts w:ascii="宋体" w:hAnsi="宋体"/>
                <w:bCs/>
                <w:color w:val="auto"/>
                <w:sz w:val="24"/>
                <w:lang w:val="zh-CN"/>
              </w:rPr>
            </w:pPr>
            <w:r>
              <w:rPr>
                <w:rFonts w:hint="eastAsia" w:ascii="宋体" w:hAnsi="宋体"/>
                <w:bCs/>
                <w:color w:val="auto"/>
                <w:sz w:val="24"/>
                <w:lang w:val="zh-CN"/>
              </w:rPr>
              <w:t>有效投标报价的最低价作为评标基准价，其最低报价为满分；按［投标报价得分=（评标基准价/投标报价）*</w:t>
            </w:r>
            <w:r>
              <w:rPr>
                <w:rFonts w:hint="eastAsia" w:ascii="宋体" w:hAnsi="宋体"/>
                <w:bCs/>
                <w:color w:val="auto"/>
                <w:sz w:val="24"/>
              </w:rPr>
              <w:t>15</w:t>
            </w:r>
            <w:r>
              <w:rPr>
                <w:rFonts w:hint="eastAsia" w:ascii="宋体" w:hAnsi="宋体"/>
                <w:bCs/>
                <w:color w:val="auto"/>
                <w:sz w:val="24"/>
                <w:lang w:val="zh-CN"/>
              </w:rPr>
              <w:t>］的公式计算。</w:t>
            </w:r>
          </w:p>
          <w:p>
            <w:pPr>
              <w:keepNext w:val="0"/>
              <w:keepLines w:val="0"/>
              <w:pageBreakBefore w:val="0"/>
              <w:kinsoku/>
              <w:wordWrap/>
              <w:overflowPunct/>
              <w:topLinePunct w:val="0"/>
              <w:autoSpaceDE/>
              <w:autoSpaceDN/>
              <w:bidi w:val="0"/>
              <w:snapToGrid/>
              <w:spacing w:line="420" w:lineRule="exact"/>
              <w:textAlignment w:val="auto"/>
              <w:rPr>
                <w:rFonts w:ascii="宋体" w:hAnsi="宋体"/>
                <w:bCs/>
                <w:color w:val="auto"/>
                <w:sz w:val="24"/>
                <w:lang w:val="zh-CN"/>
              </w:rPr>
            </w:pPr>
            <w:r>
              <w:rPr>
                <w:rFonts w:hint="eastAsia" w:ascii="宋体" w:hAnsi="宋体"/>
                <w:bCs/>
                <w:color w:val="auto"/>
                <w:sz w:val="24"/>
                <w:lang w:val="zh-CN"/>
              </w:rPr>
              <w:t>评标过程中，不得去掉报价中的最高报价和最低报价。</w:t>
            </w:r>
          </w:p>
          <w:p>
            <w:pPr>
              <w:keepNext w:val="0"/>
              <w:keepLines w:val="0"/>
              <w:pageBreakBefore w:val="0"/>
              <w:kinsoku/>
              <w:wordWrap/>
              <w:overflowPunct/>
              <w:topLinePunct w:val="0"/>
              <w:autoSpaceDE/>
              <w:autoSpaceDN/>
              <w:bidi w:val="0"/>
              <w:snapToGrid/>
              <w:spacing w:line="420" w:lineRule="exact"/>
              <w:textAlignment w:val="auto"/>
              <w:rPr>
                <w:rFonts w:ascii="宋体" w:hAnsi="宋体"/>
                <w:bCs/>
                <w:sz w:val="24"/>
              </w:rPr>
            </w:pPr>
            <w:r>
              <w:rPr>
                <w:rFonts w:hint="eastAsia" w:ascii="宋体" w:hAnsi="宋体"/>
                <w:bCs/>
                <w:color w:val="auto"/>
                <w:sz w:val="24"/>
                <w:lang w:val="zh-CN"/>
              </w:rPr>
              <w:t>因落实政府采购政策需要进行价格调整的，以调整后的价格计算评标基准价和投标报价。</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ind w:right="-20"/>
              <w:jc w:val="center"/>
              <w:textAlignment w:val="auto"/>
            </w:pPr>
            <w:r>
              <w:rPr>
                <w:rFonts w:hint="eastAsia" w:ascii="宋体" w:hAnsi="宋体" w:cs="宋体"/>
                <w:sz w:val="24"/>
              </w:rPr>
              <w:t>15</w:t>
            </w:r>
          </w:p>
        </w:tc>
      </w:tr>
    </w:tbl>
    <w:p>
      <w:pPr>
        <w:snapToGrid w:val="0"/>
        <w:jc w:val="center"/>
        <w:rPr>
          <w:rFonts w:hint="eastAsia" w:ascii="宋体" w:hAnsi="宋体" w:cs="宋体"/>
          <w:b/>
          <w:sz w:val="32"/>
          <w:szCs w:val="20"/>
        </w:rPr>
      </w:pPr>
    </w:p>
    <w:p>
      <w:pPr>
        <w:snapToGrid w:val="0"/>
        <w:jc w:val="center"/>
        <w:rPr>
          <w:rFonts w:hint="eastAsia" w:ascii="宋体" w:hAnsi="宋体" w:cs="宋体"/>
          <w:b/>
          <w:sz w:val="32"/>
          <w:szCs w:val="20"/>
        </w:rPr>
      </w:pPr>
    </w:p>
    <w:p>
      <w:pPr>
        <w:snapToGrid w:val="0"/>
        <w:jc w:val="center"/>
        <w:rPr>
          <w:rFonts w:hint="eastAsia" w:ascii="宋体" w:hAnsi="宋体" w:eastAsia="宋体" w:cs="宋体"/>
          <w:b/>
          <w:sz w:val="32"/>
          <w:szCs w:val="20"/>
          <w:lang w:val="en-US" w:eastAsia="zh-CN"/>
        </w:rPr>
      </w:pPr>
      <w:r>
        <w:rPr>
          <w:rFonts w:hint="eastAsia" w:ascii="宋体" w:hAnsi="宋体" w:cs="宋体"/>
          <w:b/>
          <w:sz w:val="32"/>
          <w:szCs w:val="20"/>
        </w:rPr>
        <w:t>评标办法表</w:t>
      </w:r>
      <w:r>
        <w:rPr>
          <w:rFonts w:hint="eastAsia" w:ascii="宋体" w:hAnsi="宋体" w:cs="宋体"/>
          <w:b/>
          <w:sz w:val="32"/>
          <w:szCs w:val="20"/>
          <w:lang w:val="en-US" w:eastAsia="zh-CN"/>
        </w:rPr>
        <w:t>二</w:t>
      </w:r>
    </w:p>
    <w:p>
      <w:pPr>
        <w:snapToGrid w:val="0"/>
        <w:jc w:val="center"/>
        <w:rPr>
          <w:rFonts w:ascii="宋体" w:hAnsi="宋体" w:cs="宋体"/>
          <w:b/>
          <w:color w:val="auto"/>
          <w:sz w:val="32"/>
          <w:szCs w:val="20"/>
        </w:rPr>
      </w:pPr>
      <w:r>
        <w:rPr>
          <w:rFonts w:hint="eastAsia" w:ascii="宋体" w:hAnsi="宋体" w:cs="宋体"/>
          <w:b/>
          <w:color w:val="FF0000"/>
          <w:sz w:val="28"/>
          <w:szCs w:val="28"/>
        </w:rPr>
        <w:t>适用于</w:t>
      </w:r>
      <w:r>
        <w:rPr>
          <w:rFonts w:hint="eastAsia" w:ascii="宋体" w:hAnsi="宋体" w:cs="宋体"/>
          <w:b/>
          <w:color w:val="FF0000"/>
          <w:sz w:val="28"/>
          <w:szCs w:val="28"/>
          <w:lang w:val="en-US" w:eastAsia="zh-CN"/>
        </w:rPr>
        <w:t>标项三（农污运维二类项目）</w:t>
      </w:r>
    </w:p>
    <w:tbl>
      <w:tblPr>
        <w:tblStyle w:val="21"/>
        <w:tblpPr w:leftFromText="180" w:rightFromText="180" w:vertAnchor="text" w:horzAnchor="page" w:tblpXSpec="center" w:tblpY="504"/>
        <w:tblOverlap w:val="never"/>
        <w:tblW w:w="105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3"/>
        <w:gridCol w:w="1461"/>
        <w:gridCol w:w="7518"/>
        <w:gridCol w:w="7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93" w:type="dxa"/>
            <w:tcBorders>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ascii="宋体" w:hAnsi="宋体"/>
                <w:bCs/>
                <w:sz w:val="24"/>
              </w:rPr>
              <w:t>序号</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ascii="宋体" w:hAnsi="宋体"/>
                <w:bCs/>
                <w:sz w:val="24"/>
              </w:rPr>
              <w:t>评审因素</w:t>
            </w:r>
          </w:p>
        </w:tc>
        <w:tc>
          <w:tcPr>
            <w:tcW w:w="7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ascii="宋体" w:hAnsi="宋体"/>
                <w:bCs/>
                <w:sz w:val="24"/>
              </w:rPr>
              <w:t>评审标准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ascii="宋体" w:hAnsi="宋体"/>
                <w:bCs/>
                <w:sz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93" w:type="dxa"/>
            <w:vMerge w:val="restart"/>
            <w:tcBorders>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1</w:t>
            </w:r>
          </w:p>
        </w:tc>
        <w:tc>
          <w:tcPr>
            <w:tcW w:w="1461"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pPr>
            <w:r>
              <w:rPr>
                <w:rFonts w:hint="eastAsia" w:ascii="宋体" w:hAnsi="宋体"/>
                <w:sz w:val="24"/>
              </w:rPr>
              <w:t>企业实力（13.5分）</w:t>
            </w:r>
          </w:p>
        </w:tc>
        <w:tc>
          <w:tcPr>
            <w:tcW w:w="7518" w:type="dxa"/>
            <w:tcBorders>
              <w:top w:val="single" w:color="auto" w:sz="4" w:space="0"/>
              <w:left w:val="single" w:color="auto" w:sz="4" w:space="0"/>
              <w:right w:val="single" w:color="auto" w:sz="4" w:space="0"/>
            </w:tcBorders>
            <w:vAlign w:val="center"/>
          </w:tcPr>
          <w:p>
            <w:pPr>
              <w:pStyle w:val="20"/>
              <w:keepNext w:val="0"/>
              <w:keepLines w:val="0"/>
              <w:pageBreakBefore w:val="0"/>
              <w:kinsoku/>
              <w:wordWrap/>
              <w:overflowPunct/>
              <w:topLinePunct w:val="0"/>
              <w:autoSpaceDE/>
              <w:autoSpaceDN/>
              <w:bidi w:val="0"/>
              <w:snapToGrid/>
              <w:spacing w:after="0" w:line="420" w:lineRule="exact"/>
              <w:ind w:left="0" w:leftChars="0" w:firstLine="0" w:firstLineChars="0"/>
              <w:textAlignment w:val="auto"/>
              <w:rPr>
                <w:bCs/>
                <w:sz w:val="24"/>
              </w:rPr>
            </w:pPr>
            <w:r>
              <w:rPr>
                <w:rFonts w:hint="eastAsia"/>
                <w:bCs/>
                <w:sz w:val="24"/>
              </w:rPr>
              <w:t>投标人具有有效的质量管理体系认证证书得1.5分；</w:t>
            </w:r>
          </w:p>
          <w:p>
            <w:pPr>
              <w:pStyle w:val="20"/>
              <w:keepNext w:val="0"/>
              <w:keepLines w:val="0"/>
              <w:pageBreakBefore w:val="0"/>
              <w:kinsoku/>
              <w:wordWrap/>
              <w:overflowPunct/>
              <w:topLinePunct w:val="0"/>
              <w:autoSpaceDE/>
              <w:autoSpaceDN/>
              <w:bidi w:val="0"/>
              <w:snapToGrid/>
              <w:spacing w:after="0" w:line="420" w:lineRule="exact"/>
              <w:ind w:left="0" w:leftChars="0" w:firstLine="0" w:firstLineChars="0"/>
              <w:textAlignment w:val="auto"/>
              <w:rPr>
                <w:bCs/>
                <w:sz w:val="24"/>
              </w:rPr>
            </w:pPr>
            <w:r>
              <w:rPr>
                <w:rFonts w:hint="eastAsia"/>
                <w:bCs/>
                <w:sz w:val="24"/>
              </w:rPr>
              <w:t>投标人具有有效的环境管理体系认证证书得1.5分；</w:t>
            </w:r>
          </w:p>
          <w:p>
            <w:pPr>
              <w:pStyle w:val="20"/>
              <w:keepNext w:val="0"/>
              <w:keepLines w:val="0"/>
              <w:pageBreakBefore w:val="0"/>
              <w:kinsoku/>
              <w:wordWrap/>
              <w:overflowPunct/>
              <w:topLinePunct w:val="0"/>
              <w:autoSpaceDE/>
              <w:autoSpaceDN/>
              <w:bidi w:val="0"/>
              <w:snapToGrid/>
              <w:spacing w:after="0" w:line="420" w:lineRule="exact"/>
              <w:ind w:left="0" w:leftChars="0" w:firstLine="0" w:firstLineChars="0"/>
              <w:textAlignment w:val="auto"/>
              <w:rPr>
                <w:bCs/>
                <w:sz w:val="24"/>
              </w:rPr>
            </w:pPr>
            <w:r>
              <w:rPr>
                <w:rFonts w:hint="eastAsia"/>
                <w:bCs/>
                <w:sz w:val="24"/>
              </w:rPr>
              <w:t>投标人具有有效的职业健康安全体系认证证书得1.5分；</w:t>
            </w:r>
          </w:p>
          <w:p>
            <w:pPr>
              <w:pStyle w:val="20"/>
              <w:keepNext w:val="0"/>
              <w:keepLines w:val="0"/>
              <w:pageBreakBefore w:val="0"/>
              <w:kinsoku/>
              <w:wordWrap/>
              <w:overflowPunct/>
              <w:topLinePunct w:val="0"/>
              <w:autoSpaceDE/>
              <w:autoSpaceDN/>
              <w:bidi w:val="0"/>
              <w:snapToGrid/>
              <w:spacing w:after="0" w:line="420" w:lineRule="exact"/>
              <w:ind w:left="0" w:leftChars="0" w:firstLine="0" w:firstLineChars="0"/>
              <w:textAlignment w:val="auto"/>
              <w:rPr>
                <w:bCs/>
                <w:sz w:val="24"/>
              </w:rPr>
            </w:pPr>
            <w:r>
              <w:rPr>
                <w:rFonts w:hint="eastAsia"/>
                <w:bCs/>
                <w:sz w:val="24"/>
              </w:rPr>
              <w:t>投标人具有有效的售后服务认证证书，服务能力达到五星得2分，四星得1.5分，三星得1分。</w:t>
            </w:r>
          </w:p>
          <w:p>
            <w:pPr>
              <w:keepNext w:val="0"/>
              <w:keepLines w:val="0"/>
              <w:pageBreakBefore w:val="0"/>
              <w:kinsoku/>
              <w:wordWrap/>
              <w:overflowPunct/>
              <w:topLinePunct w:val="0"/>
              <w:autoSpaceDE/>
              <w:autoSpaceDN/>
              <w:bidi w:val="0"/>
              <w:snapToGrid/>
              <w:spacing w:line="420" w:lineRule="exact"/>
              <w:textAlignment w:val="auto"/>
              <w:rPr>
                <w:rFonts w:ascii="宋体" w:hAnsi="宋体"/>
                <w:bCs/>
                <w:sz w:val="24"/>
              </w:rPr>
            </w:pPr>
            <w:r>
              <w:rPr>
                <w:rFonts w:hint="eastAsia"/>
                <w:b/>
                <w:sz w:val="24"/>
              </w:rPr>
              <w:t>注：需提供认监网（www.cnca.gov.cn）上的查询截图和有效期内的认证证书复印件，</w:t>
            </w:r>
            <w:r>
              <w:rPr>
                <w:b/>
                <w:sz w:val="24"/>
              </w:rPr>
              <w:t>未提供不得分。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hint="eastAsia" w:ascii="宋体" w:hAnsi="宋体"/>
                <w:bCs/>
                <w:sz w:val="24"/>
              </w:rPr>
              <w:t>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5" w:hRule="atLeast"/>
          <w:jc w:val="center"/>
        </w:trPr>
        <w:tc>
          <w:tcPr>
            <w:tcW w:w="793" w:type="dxa"/>
            <w:vMerge w:val="continue"/>
            <w:tcBorders>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pPr>
          </w:p>
        </w:tc>
        <w:tc>
          <w:tcPr>
            <w:tcW w:w="14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pPr>
          </w:p>
        </w:tc>
        <w:tc>
          <w:tcPr>
            <w:tcW w:w="751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rPr>
                <w:rFonts w:ascii="宋体" w:hAnsi="宋体"/>
                <w:bCs/>
                <w:sz w:val="24"/>
              </w:rPr>
            </w:pPr>
            <w:r>
              <w:rPr>
                <w:rFonts w:hint="eastAsia" w:ascii="宋体" w:hAnsi="宋体"/>
                <w:bCs/>
                <w:sz w:val="24"/>
              </w:rPr>
              <w:t>2018年1月1日以来投标人荣获省级及以上政府部门［含政府所属部、委、办、局（各类协会除外）］授予的污水治理或运维荣誉得4分；获地（市）级政府部门［含政府所属部、委、办、局（各类协会除外）］授予的污水治理或运维荣誉每个得2分；最高得4分。</w:t>
            </w:r>
          </w:p>
          <w:p>
            <w:pPr>
              <w:keepNext w:val="0"/>
              <w:keepLines w:val="0"/>
              <w:pageBreakBefore w:val="0"/>
              <w:kinsoku/>
              <w:wordWrap/>
              <w:overflowPunct/>
              <w:topLinePunct w:val="0"/>
              <w:autoSpaceDE/>
              <w:autoSpaceDN/>
              <w:bidi w:val="0"/>
              <w:snapToGrid/>
              <w:spacing w:line="420" w:lineRule="exact"/>
              <w:textAlignment w:val="auto"/>
              <w:rPr>
                <w:rFonts w:ascii="宋体" w:hAnsi="宋体"/>
                <w:bCs/>
                <w:sz w:val="24"/>
              </w:rPr>
            </w:pPr>
            <w:r>
              <w:rPr>
                <w:rFonts w:hint="eastAsia" w:ascii="宋体" w:hAnsi="宋体"/>
                <w:bCs/>
                <w:sz w:val="24"/>
              </w:rPr>
              <w:t>注：提供相关荣誉证明材料，未提供不得分。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b/>
                <w:sz w:val="24"/>
              </w:rPr>
            </w:pPr>
            <w:r>
              <w:rPr>
                <w:rFonts w:hint="eastAsia" w:ascii="宋体" w:hAnsi="宋体"/>
                <w:bCs/>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5" w:hRule="atLeast"/>
          <w:jc w:val="center"/>
        </w:trPr>
        <w:tc>
          <w:tcPr>
            <w:tcW w:w="793" w:type="dxa"/>
            <w:vMerge w:val="continue"/>
            <w:tcBorders>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pPr>
          </w:p>
        </w:tc>
        <w:tc>
          <w:tcPr>
            <w:tcW w:w="14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pPr>
          </w:p>
        </w:tc>
        <w:tc>
          <w:tcPr>
            <w:tcW w:w="751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rPr>
                <w:rFonts w:ascii="宋体" w:hAnsi="宋体"/>
                <w:bCs/>
                <w:sz w:val="24"/>
              </w:rPr>
            </w:pPr>
            <w:r>
              <w:rPr>
                <w:rFonts w:hint="eastAsia" w:ascii="宋体" w:hAnsi="宋体"/>
                <w:bCs/>
                <w:sz w:val="24"/>
              </w:rPr>
              <w:t>2018年1月1日以来投标人运维服务的区、县（市）获得省级考核优秀的，每次加1分；运维服务的区、县（市）获得地级市考核优秀的，每次加0.5分。最高得3分，不重复加分。</w:t>
            </w:r>
          </w:p>
          <w:p>
            <w:pPr>
              <w:keepNext w:val="0"/>
              <w:keepLines w:val="0"/>
              <w:pageBreakBefore w:val="0"/>
              <w:kinsoku/>
              <w:wordWrap/>
              <w:overflowPunct/>
              <w:topLinePunct w:val="0"/>
              <w:autoSpaceDE/>
              <w:autoSpaceDN/>
              <w:bidi w:val="0"/>
              <w:snapToGrid/>
              <w:spacing w:line="420" w:lineRule="exact"/>
              <w:textAlignment w:val="auto"/>
              <w:rPr>
                <w:rFonts w:ascii="宋体" w:hAnsi="宋体"/>
                <w:bCs/>
                <w:sz w:val="24"/>
              </w:rPr>
            </w:pPr>
            <w:r>
              <w:rPr>
                <w:rFonts w:hint="eastAsia" w:ascii="宋体" w:hAnsi="宋体"/>
                <w:bCs/>
                <w:sz w:val="24"/>
              </w:rPr>
              <w:t>注：须提供县（市）主管单位出具的证明复印件或省、市级部门发布的考核结果文件复印件，不提供不得分。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bCs/>
                <w:sz w:val="24"/>
              </w:rPr>
            </w:pPr>
            <w:r>
              <w:rPr>
                <w:rFonts w:hint="eastAsia"/>
                <w:bCs/>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3" w:hRule="atLeast"/>
          <w:jc w:val="center"/>
        </w:trPr>
        <w:tc>
          <w:tcPr>
            <w:tcW w:w="793"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hint="eastAsia" w:ascii="宋体" w:hAnsi="宋体"/>
                <w:bCs/>
                <w:sz w:val="24"/>
              </w:rPr>
              <w:t>2</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ascii="宋体" w:hAnsi="宋体"/>
                <w:bCs/>
                <w:sz w:val="24"/>
              </w:rPr>
              <w:t>类似业绩</w:t>
            </w:r>
            <w:r>
              <w:rPr>
                <w:rFonts w:hint="eastAsia" w:ascii="宋体" w:hAnsi="宋体"/>
                <w:bCs/>
                <w:sz w:val="24"/>
              </w:rPr>
              <w:t>（1.5分）</w:t>
            </w:r>
          </w:p>
        </w:tc>
        <w:tc>
          <w:tcPr>
            <w:tcW w:w="7518"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kinsoku/>
              <w:wordWrap/>
              <w:overflowPunct/>
              <w:topLinePunct w:val="0"/>
              <w:autoSpaceDE/>
              <w:autoSpaceDN/>
              <w:bidi w:val="0"/>
              <w:snapToGrid/>
              <w:spacing w:after="0" w:line="420" w:lineRule="exact"/>
              <w:ind w:left="0" w:leftChars="0" w:firstLine="0" w:firstLineChars="0"/>
              <w:textAlignment w:val="auto"/>
            </w:pPr>
            <w:r>
              <w:rPr>
                <w:rFonts w:hint="eastAsia"/>
                <w:bCs/>
                <w:sz w:val="24"/>
              </w:rPr>
              <w:t>2018年1月1日以来投标人承接过政府及相关部门委托的农污运维业绩，每提供一个证明材料的，得0.5分，满分1.5分。</w:t>
            </w:r>
          </w:p>
          <w:p>
            <w:pPr>
              <w:pStyle w:val="20"/>
              <w:keepNext w:val="0"/>
              <w:keepLines w:val="0"/>
              <w:pageBreakBefore w:val="0"/>
              <w:kinsoku/>
              <w:wordWrap/>
              <w:overflowPunct/>
              <w:topLinePunct w:val="0"/>
              <w:autoSpaceDE/>
              <w:autoSpaceDN/>
              <w:bidi w:val="0"/>
              <w:snapToGrid/>
              <w:spacing w:after="0" w:line="420" w:lineRule="exact"/>
              <w:ind w:left="0" w:leftChars="0" w:firstLine="0" w:firstLineChars="0"/>
              <w:textAlignment w:val="auto"/>
              <w:rPr>
                <w:bCs/>
                <w:sz w:val="24"/>
              </w:rPr>
            </w:pPr>
            <w:r>
              <w:rPr>
                <w:rFonts w:hint="eastAsia"/>
                <w:b/>
                <w:sz w:val="24"/>
              </w:rPr>
              <w:t>注：合同复印件加盖公章编入投标文件，若投标人提供 2 份及以上合同，发包方为同一个业主且同一个项目名称，且分多个年份签订的只算一个业绩。</w:t>
            </w:r>
          </w:p>
        </w:tc>
        <w:tc>
          <w:tcPr>
            <w:tcW w:w="776"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kinsoku/>
              <w:wordWrap/>
              <w:overflowPunct/>
              <w:topLinePunct w:val="0"/>
              <w:autoSpaceDE/>
              <w:autoSpaceDN/>
              <w:bidi w:val="0"/>
              <w:snapToGrid/>
              <w:spacing w:after="0" w:line="420" w:lineRule="exact"/>
              <w:ind w:left="0" w:leftChars="0" w:firstLine="0" w:firstLineChars="0"/>
              <w:jc w:val="center"/>
              <w:textAlignment w:val="auto"/>
              <w:rPr>
                <w:bCs/>
                <w:sz w:val="24"/>
              </w:rPr>
            </w:pPr>
            <w:r>
              <w:rPr>
                <w:rFonts w:hint="eastAsia"/>
                <w:bCs/>
                <w:sz w:val="24"/>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8" w:hRule="atLeast"/>
          <w:jc w:val="center"/>
        </w:trPr>
        <w:tc>
          <w:tcPr>
            <w:tcW w:w="793"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highlight w:val="yellow"/>
              </w:rPr>
            </w:pPr>
            <w:r>
              <w:rPr>
                <w:rFonts w:hint="eastAsia" w:ascii="宋体" w:hAnsi="宋体"/>
                <w:bCs/>
                <w:sz w:val="24"/>
              </w:rPr>
              <w:t>3</w:t>
            </w:r>
          </w:p>
        </w:tc>
        <w:tc>
          <w:tcPr>
            <w:tcW w:w="1461"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ascii="宋体" w:hAnsi="宋体"/>
                <w:bCs/>
                <w:sz w:val="24"/>
              </w:rPr>
              <w:t>拟派本项目团队人员的整体实力</w:t>
            </w:r>
          </w:p>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highlight w:val="yellow"/>
              </w:rPr>
            </w:pPr>
            <w:r>
              <w:rPr>
                <w:rFonts w:hint="eastAsia" w:ascii="宋体" w:hAnsi="宋体"/>
                <w:bCs/>
                <w:sz w:val="24"/>
              </w:rPr>
              <w:t>（15分）</w:t>
            </w:r>
          </w:p>
        </w:tc>
        <w:tc>
          <w:tcPr>
            <w:tcW w:w="7518" w:type="dxa"/>
            <w:tcBorders>
              <w:top w:val="single" w:color="auto" w:sz="4" w:space="0"/>
              <w:left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snapToGrid/>
              <w:spacing w:line="420" w:lineRule="exact"/>
              <w:jc w:val="left"/>
              <w:textAlignment w:val="auto"/>
              <w:rPr>
                <w:rFonts w:hint="eastAsia" w:ascii="宋体" w:hAnsi="宋体"/>
                <w:bCs/>
                <w:sz w:val="24"/>
                <w:highlight w:val="none"/>
              </w:rPr>
            </w:pPr>
            <w:r>
              <w:rPr>
                <w:rFonts w:hint="eastAsia" w:ascii="宋体" w:hAnsi="宋体"/>
                <w:bCs/>
                <w:sz w:val="24"/>
                <w:highlight w:val="none"/>
                <w:lang w:val="en-US" w:eastAsia="zh-CN"/>
              </w:rPr>
              <w:t>1、</w:t>
            </w:r>
            <w:r>
              <w:rPr>
                <w:rFonts w:hint="eastAsia" w:ascii="宋体" w:hAnsi="宋体"/>
                <w:bCs/>
                <w:sz w:val="24"/>
                <w:highlight w:val="none"/>
              </w:rPr>
              <w:t>拟派项目负责人具备</w:t>
            </w:r>
            <w:r>
              <w:rPr>
                <w:rFonts w:hint="eastAsia" w:ascii="宋体" w:hAnsi="宋体"/>
                <w:bCs/>
                <w:sz w:val="24"/>
                <w:highlight w:val="none"/>
                <w:lang w:val="en-US" w:eastAsia="zh-CN"/>
              </w:rPr>
              <w:t>1名</w:t>
            </w:r>
            <w:r>
              <w:rPr>
                <w:rFonts w:hint="eastAsia" w:ascii="宋体" w:hAnsi="宋体"/>
                <w:bCs/>
                <w:sz w:val="24"/>
                <w:highlight w:val="none"/>
              </w:rPr>
              <w:t>环境保护类或市政工程类的中级工程师</w:t>
            </w:r>
            <w:r>
              <w:rPr>
                <w:rFonts w:hint="eastAsia" w:ascii="宋体" w:hAnsi="宋体"/>
                <w:bCs/>
                <w:sz w:val="24"/>
                <w:highlight w:val="none"/>
                <w:lang w:eastAsia="zh-CN"/>
              </w:rPr>
              <w:t>及以上</w:t>
            </w:r>
            <w:r>
              <w:rPr>
                <w:rFonts w:hint="eastAsia" w:ascii="宋体" w:hAnsi="宋体"/>
                <w:bCs/>
                <w:sz w:val="24"/>
                <w:highlight w:val="none"/>
              </w:rPr>
              <w:t>职称（年龄60岁以下），得</w:t>
            </w:r>
            <w:r>
              <w:rPr>
                <w:rFonts w:hint="eastAsia" w:ascii="宋体" w:hAnsi="宋体"/>
                <w:bCs/>
                <w:sz w:val="24"/>
                <w:highlight w:val="none"/>
                <w:lang w:val="en-US" w:eastAsia="zh-CN"/>
              </w:rPr>
              <w:t>2</w:t>
            </w:r>
            <w:r>
              <w:rPr>
                <w:rFonts w:hint="eastAsia" w:ascii="宋体" w:hAnsi="宋体"/>
                <w:bCs/>
                <w:sz w:val="24"/>
                <w:highlight w:val="none"/>
              </w:rPr>
              <w:t>分；</w:t>
            </w:r>
          </w:p>
          <w:p>
            <w:pPr>
              <w:keepNext w:val="0"/>
              <w:keepLines w:val="0"/>
              <w:pageBreakBefore w:val="0"/>
              <w:numPr>
                <w:ilvl w:val="0"/>
                <w:numId w:val="0"/>
              </w:numPr>
              <w:kinsoku/>
              <w:wordWrap/>
              <w:overflowPunct/>
              <w:topLinePunct w:val="0"/>
              <w:autoSpaceDE/>
              <w:autoSpaceDN/>
              <w:bidi w:val="0"/>
              <w:snapToGrid/>
              <w:spacing w:line="420" w:lineRule="exact"/>
              <w:jc w:val="left"/>
              <w:textAlignment w:val="auto"/>
              <w:rPr>
                <w:rFonts w:ascii="宋体" w:hAnsi="宋体"/>
                <w:bCs/>
                <w:sz w:val="24"/>
                <w:highlight w:val="none"/>
              </w:rPr>
            </w:pPr>
            <w:r>
              <w:rPr>
                <w:rFonts w:hint="eastAsia" w:ascii="宋体" w:hAnsi="宋体"/>
                <w:bCs/>
                <w:sz w:val="24"/>
                <w:highlight w:val="none"/>
              </w:rPr>
              <w:t>2、拟派运维技术负责人（运维站长）具备</w:t>
            </w:r>
            <w:r>
              <w:rPr>
                <w:rFonts w:hint="eastAsia" w:ascii="宋体" w:hAnsi="宋体"/>
                <w:bCs/>
                <w:sz w:val="24"/>
                <w:highlight w:val="none"/>
                <w:lang w:val="en-US" w:eastAsia="zh-CN"/>
              </w:rPr>
              <w:t>1名</w:t>
            </w:r>
            <w:r>
              <w:rPr>
                <w:rFonts w:hint="eastAsia" w:ascii="宋体" w:hAnsi="宋体"/>
                <w:bCs/>
                <w:sz w:val="24"/>
                <w:highlight w:val="none"/>
              </w:rPr>
              <w:t>环境保护类的中级工程师及以上职称（年龄60</w:t>
            </w:r>
            <w:r>
              <w:rPr>
                <w:rFonts w:hint="eastAsia" w:ascii="宋体" w:hAnsi="宋体"/>
                <w:bCs/>
                <w:sz w:val="24"/>
                <w:highlight w:val="none"/>
                <w:lang w:val="en-US" w:eastAsia="zh-CN"/>
              </w:rPr>
              <w:t>周</w:t>
            </w:r>
            <w:r>
              <w:rPr>
                <w:rFonts w:hint="eastAsia" w:ascii="宋体" w:hAnsi="宋体"/>
                <w:bCs/>
                <w:sz w:val="24"/>
                <w:highlight w:val="none"/>
              </w:rPr>
              <w:t>岁以下），得2分；</w:t>
            </w:r>
          </w:p>
          <w:p>
            <w:pPr>
              <w:keepNext w:val="0"/>
              <w:keepLines w:val="0"/>
              <w:pageBreakBefore w:val="0"/>
              <w:kinsoku/>
              <w:wordWrap/>
              <w:overflowPunct/>
              <w:topLinePunct w:val="0"/>
              <w:autoSpaceDE/>
              <w:autoSpaceDN/>
              <w:bidi w:val="0"/>
              <w:snapToGrid/>
              <w:spacing w:line="420" w:lineRule="exact"/>
              <w:jc w:val="left"/>
              <w:textAlignment w:val="auto"/>
              <w:rPr>
                <w:rFonts w:ascii="宋体" w:hAnsi="宋体"/>
                <w:bCs/>
                <w:sz w:val="24"/>
                <w:highlight w:val="none"/>
              </w:rPr>
            </w:pPr>
            <w:r>
              <w:rPr>
                <w:rFonts w:hint="eastAsia" w:ascii="宋体" w:hAnsi="宋体"/>
                <w:bCs/>
                <w:sz w:val="24"/>
                <w:highlight w:val="none"/>
              </w:rPr>
              <w:t>3、拟</w:t>
            </w:r>
            <w:r>
              <w:rPr>
                <w:rFonts w:hint="eastAsia" w:ascii="宋体" w:hAnsi="宋体"/>
                <w:bCs/>
                <w:sz w:val="24"/>
                <w:highlight w:val="none"/>
                <w:lang w:eastAsia="zh-CN"/>
              </w:rPr>
              <w:t>设立</w:t>
            </w:r>
            <w:r>
              <w:rPr>
                <w:rFonts w:hint="eastAsia" w:ascii="宋体" w:hAnsi="宋体"/>
                <w:bCs/>
                <w:sz w:val="24"/>
                <w:highlight w:val="none"/>
              </w:rPr>
              <w:t>化验室</w:t>
            </w:r>
            <w:r>
              <w:rPr>
                <w:rFonts w:hint="eastAsia" w:ascii="宋体" w:hAnsi="宋体"/>
                <w:bCs/>
                <w:sz w:val="24"/>
                <w:highlight w:val="none"/>
                <w:lang w:eastAsia="zh-CN"/>
              </w:rPr>
              <w:t>的</w:t>
            </w:r>
            <w:r>
              <w:rPr>
                <w:rFonts w:hint="eastAsia" w:ascii="宋体" w:hAnsi="宋体"/>
                <w:bCs/>
                <w:sz w:val="24"/>
                <w:highlight w:val="none"/>
              </w:rPr>
              <w:t>负责人具备</w:t>
            </w:r>
            <w:r>
              <w:rPr>
                <w:rFonts w:hint="eastAsia" w:ascii="宋体" w:hAnsi="宋体"/>
                <w:bCs/>
                <w:sz w:val="24"/>
                <w:highlight w:val="none"/>
                <w:lang w:val="en-US" w:eastAsia="zh-CN"/>
              </w:rPr>
              <w:t>1名</w:t>
            </w:r>
            <w:r>
              <w:rPr>
                <w:rFonts w:hint="eastAsia" w:ascii="宋体" w:hAnsi="宋体"/>
                <w:bCs/>
                <w:sz w:val="24"/>
                <w:highlight w:val="none"/>
              </w:rPr>
              <w:t>环境类或化学类中级工程师及以上职称，得2分；</w:t>
            </w:r>
          </w:p>
          <w:p>
            <w:pPr>
              <w:keepNext w:val="0"/>
              <w:keepLines w:val="0"/>
              <w:pageBreakBefore w:val="0"/>
              <w:kinsoku/>
              <w:wordWrap/>
              <w:overflowPunct/>
              <w:topLinePunct w:val="0"/>
              <w:autoSpaceDE/>
              <w:autoSpaceDN/>
              <w:bidi w:val="0"/>
              <w:snapToGrid/>
              <w:spacing w:line="420" w:lineRule="exact"/>
              <w:jc w:val="left"/>
              <w:textAlignment w:val="auto"/>
              <w:rPr>
                <w:rFonts w:ascii="宋体" w:hAnsi="宋体"/>
                <w:bCs/>
                <w:sz w:val="24"/>
              </w:rPr>
            </w:pPr>
            <w:r>
              <w:rPr>
                <w:rFonts w:hint="eastAsia" w:ascii="宋体" w:hAnsi="宋体"/>
                <w:bCs/>
                <w:sz w:val="24"/>
              </w:rPr>
              <w:t>4、专业技术管理人员具备</w:t>
            </w:r>
            <w:r>
              <w:rPr>
                <w:rFonts w:hint="eastAsia" w:ascii="宋体" w:hAnsi="宋体"/>
                <w:bCs/>
                <w:sz w:val="24"/>
                <w:lang w:val="en-US" w:eastAsia="zh-CN"/>
              </w:rPr>
              <w:t>2</w:t>
            </w:r>
            <w:r>
              <w:rPr>
                <w:rFonts w:hint="eastAsia" w:ascii="宋体" w:hAnsi="宋体"/>
                <w:bCs/>
                <w:sz w:val="24"/>
              </w:rPr>
              <w:t>名</w:t>
            </w:r>
            <w:r>
              <w:rPr>
                <w:rFonts w:hint="eastAsia" w:ascii="宋体" w:hAnsi="宋体"/>
                <w:bCs/>
                <w:sz w:val="24"/>
                <w:lang w:eastAsia="zh-CN"/>
              </w:rPr>
              <w:t>及以上</w:t>
            </w:r>
            <w:r>
              <w:rPr>
                <w:rFonts w:hint="eastAsia" w:ascii="宋体" w:hAnsi="宋体"/>
                <w:bCs/>
                <w:sz w:val="24"/>
              </w:rPr>
              <w:t>中级工程师(环境保护类），</w:t>
            </w:r>
            <w:r>
              <w:rPr>
                <w:rFonts w:hint="eastAsia" w:ascii="宋体" w:hAnsi="宋体"/>
                <w:bCs/>
                <w:color w:val="auto"/>
                <w:sz w:val="24"/>
              </w:rPr>
              <w:t>得</w:t>
            </w:r>
            <w:r>
              <w:rPr>
                <w:rFonts w:hint="eastAsia" w:ascii="宋体" w:hAnsi="宋体"/>
                <w:bCs/>
                <w:color w:val="auto"/>
                <w:sz w:val="24"/>
                <w:lang w:val="en-US" w:eastAsia="zh-CN"/>
              </w:rPr>
              <w:t>2</w:t>
            </w:r>
            <w:r>
              <w:rPr>
                <w:rFonts w:hint="eastAsia" w:ascii="宋体" w:hAnsi="宋体"/>
                <w:bCs/>
                <w:color w:val="auto"/>
                <w:sz w:val="24"/>
              </w:rPr>
              <w:t>分</w:t>
            </w:r>
            <w:r>
              <w:rPr>
                <w:rFonts w:hint="eastAsia" w:ascii="宋体" w:hAnsi="宋体"/>
                <w:bCs/>
                <w:sz w:val="24"/>
              </w:rPr>
              <w:t>；</w:t>
            </w:r>
          </w:p>
          <w:p>
            <w:pPr>
              <w:keepNext w:val="0"/>
              <w:keepLines w:val="0"/>
              <w:pageBreakBefore w:val="0"/>
              <w:kinsoku/>
              <w:wordWrap/>
              <w:overflowPunct/>
              <w:topLinePunct w:val="0"/>
              <w:autoSpaceDE/>
              <w:autoSpaceDN/>
              <w:bidi w:val="0"/>
              <w:snapToGrid/>
              <w:spacing w:line="420" w:lineRule="exact"/>
              <w:jc w:val="left"/>
              <w:textAlignment w:val="auto"/>
              <w:rPr>
                <w:rFonts w:hint="eastAsia" w:ascii="宋体" w:hAnsi="宋体"/>
                <w:bCs/>
                <w:sz w:val="24"/>
              </w:rPr>
            </w:pPr>
            <w:r>
              <w:rPr>
                <w:rFonts w:hint="eastAsia" w:ascii="宋体" w:hAnsi="宋体"/>
                <w:bCs/>
                <w:sz w:val="24"/>
              </w:rPr>
              <w:t>5、专业技术管理人员具备1名及以上二级建造师（机电专业）</w:t>
            </w:r>
            <w:r>
              <w:rPr>
                <w:rFonts w:hint="eastAsia" w:ascii="宋体" w:hAnsi="宋体"/>
                <w:bCs/>
                <w:sz w:val="24"/>
                <w:lang w:eastAsia="zh-CN"/>
              </w:rPr>
              <w:t>或有中级及以上</w:t>
            </w:r>
            <w:r>
              <w:rPr>
                <w:rFonts w:hint="eastAsia" w:ascii="宋体" w:hAnsi="宋体"/>
                <w:bCs/>
                <w:sz w:val="24"/>
              </w:rPr>
              <w:t>工程师（机电专业或自动化专业），得</w:t>
            </w:r>
            <w:r>
              <w:rPr>
                <w:rFonts w:hint="eastAsia" w:ascii="宋体" w:hAnsi="宋体"/>
                <w:bCs/>
                <w:sz w:val="24"/>
                <w:lang w:val="en-US" w:eastAsia="zh-CN"/>
              </w:rPr>
              <w:t>2</w:t>
            </w:r>
            <w:r>
              <w:rPr>
                <w:rFonts w:hint="eastAsia" w:ascii="宋体" w:hAnsi="宋体"/>
                <w:bCs/>
                <w:sz w:val="24"/>
              </w:rPr>
              <w:t>分；</w:t>
            </w:r>
          </w:p>
          <w:p>
            <w:pPr>
              <w:keepNext w:val="0"/>
              <w:keepLines w:val="0"/>
              <w:pageBreakBefore w:val="0"/>
              <w:kinsoku/>
              <w:wordWrap/>
              <w:overflowPunct/>
              <w:topLinePunct w:val="0"/>
              <w:autoSpaceDE/>
              <w:autoSpaceDN/>
              <w:bidi w:val="0"/>
              <w:snapToGrid/>
              <w:spacing w:line="420" w:lineRule="exact"/>
              <w:jc w:val="left"/>
              <w:textAlignment w:val="auto"/>
              <w:rPr>
                <w:rFonts w:ascii="宋体" w:hAnsi="宋体"/>
                <w:bCs/>
                <w:sz w:val="24"/>
              </w:rPr>
            </w:pPr>
            <w:r>
              <w:rPr>
                <w:rFonts w:hint="eastAsia" w:ascii="宋体" w:hAnsi="宋体"/>
                <w:bCs/>
                <w:sz w:val="24"/>
              </w:rPr>
              <w:t>6、专业技术管理人员具备1名及以上二级建造师（</w:t>
            </w:r>
            <w:r>
              <w:rPr>
                <w:rFonts w:hint="eastAsia" w:ascii="宋体" w:hAnsi="宋体"/>
                <w:bCs/>
                <w:sz w:val="24"/>
                <w:lang w:eastAsia="zh-CN"/>
              </w:rPr>
              <w:t>市政</w:t>
            </w:r>
            <w:r>
              <w:rPr>
                <w:rFonts w:hint="eastAsia" w:ascii="宋体" w:hAnsi="宋体"/>
                <w:bCs/>
                <w:sz w:val="24"/>
              </w:rPr>
              <w:t>专业）</w:t>
            </w:r>
            <w:r>
              <w:rPr>
                <w:rFonts w:hint="eastAsia" w:ascii="宋体" w:hAnsi="宋体"/>
                <w:bCs/>
                <w:sz w:val="24"/>
                <w:lang w:eastAsia="zh-CN"/>
              </w:rPr>
              <w:t>或有中级及以上</w:t>
            </w:r>
            <w:r>
              <w:rPr>
                <w:rFonts w:hint="eastAsia" w:ascii="宋体" w:hAnsi="宋体"/>
                <w:bCs/>
                <w:sz w:val="24"/>
              </w:rPr>
              <w:t>工程师（</w:t>
            </w:r>
            <w:r>
              <w:rPr>
                <w:rFonts w:hint="eastAsia" w:ascii="宋体" w:hAnsi="宋体"/>
                <w:bCs/>
                <w:sz w:val="24"/>
                <w:lang w:eastAsia="zh-CN"/>
              </w:rPr>
              <w:t>市政</w:t>
            </w:r>
            <w:r>
              <w:rPr>
                <w:rFonts w:hint="eastAsia" w:ascii="宋体" w:hAnsi="宋体"/>
                <w:bCs/>
                <w:sz w:val="24"/>
              </w:rPr>
              <w:t>专业），得</w:t>
            </w:r>
            <w:r>
              <w:rPr>
                <w:rFonts w:hint="eastAsia" w:ascii="宋体" w:hAnsi="宋体"/>
                <w:bCs/>
                <w:sz w:val="24"/>
                <w:lang w:val="en-US" w:eastAsia="zh-CN"/>
              </w:rPr>
              <w:t>2</w:t>
            </w:r>
            <w:r>
              <w:rPr>
                <w:rFonts w:hint="eastAsia" w:ascii="宋体" w:hAnsi="宋体"/>
                <w:bCs/>
                <w:sz w:val="24"/>
              </w:rPr>
              <w:t>分；</w:t>
            </w:r>
          </w:p>
          <w:p>
            <w:pPr>
              <w:keepNext w:val="0"/>
              <w:keepLines w:val="0"/>
              <w:pageBreakBefore w:val="0"/>
              <w:kinsoku/>
              <w:wordWrap/>
              <w:overflowPunct/>
              <w:topLinePunct w:val="0"/>
              <w:autoSpaceDE/>
              <w:autoSpaceDN/>
              <w:bidi w:val="0"/>
              <w:snapToGrid/>
              <w:spacing w:line="420" w:lineRule="exact"/>
              <w:jc w:val="left"/>
              <w:textAlignment w:val="auto"/>
              <w:rPr>
                <w:rFonts w:hint="eastAsia" w:ascii="宋体" w:hAnsi="宋体"/>
                <w:bCs/>
                <w:color w:val="auto"/>
                <w:sz w:val="24"/>
              </w:rPr>
            </w:pPr>
            <w:r>
              <w:rPr>
                <w:rFonts w:hint="eastAsia" w:ascii="宋体" w:hAnsi="宋体"/>
                <w:bCs/>
                <w:color w:val="auto"/>
                <w:sz w:val="24"/>
              </w:rPr>
              <w:t>7、经过专业培训</w:t>
            </w:r>
            <w:r>
              <w:rPr>
                <w:rFonts w:hint="eastAsia" w:ascii="宋体" w:hAnsi="宋体"/>
                <w:bCs/>
                <w:color w:val="auto"/>
                <w:sz w:val="24"/>
                <w:lang w:eastAsia="zh-CN"/>
              </w:rPr>
              <w:t>、持有培训证书的</w:t>
            </w:r>
            <w:r>
              <w:rPr>
                <w:rFonts w:hint="eastAsia" w:ascii="宋体" w:hAnsi="宋体"/>
                <w:bCs/>
                <w:color w:val="auto"/>
                <w:sz w:val="24"/>
              </w:rPr>
              <w:t>农污运维养护员</w:t>
            </w:r>
            <w:r>
              <w:rPr>
                <w:rFonts w:hint="eastAsia" w:ascii="宋体" w:hAnsi="宋体"/>
                <w:bCs/>
                <w:color w:val="auto"/>
                <w:sz w:val="24"/>
                <w:lang w:val="en-US" w:eastAsia="zh-CN"/>
              </w:rPr>
              <w:t>2</w:t>
            </w:r>
            <w:r>
              <w:rPr>
                <w:rFonts w:hint="eastAsia" w:ascii="宋体" w:hAnsi="宋体"/>
                <w:bCs/>
                <w:color w:val="auto"/>
                <w:sz w:val="24"/>
              </w:rPr>
              <w:t>0名</w:t>
            </w:r>
            <w:r>
              <w:rPr>
                <w:rFonts w:hint="eastAsia" w:ascii="宋体" w:hAnsi="宋体"/>
                <w:bCs/>
                <w:color w:val="auto"/>
                <w:sz w:val="24"/>
                <w:lang w:eastAsia="zh-CN"/>
              </w:rPr>
              <w:t>及以上</w:t>
            </w:r>
            <w:r>
              <w:rPr>
                <w:rFonts w:hint="eastAsia" w:ascii="宋体" w:hAnsi="宋体"/>
                <w:bCs/>
                <w:color w:val="auto"/>
                <w:sz w:val="24"/>
              </w:rPr>
              <w:t>的，得</w:t>
            </w:r>
            <w:r>
              <w:rPr>
                <w:rFonts w:hint="eastAsia" w:ascii="宋体" w:hAnsi="宋体"/>
                <w:bCs/>
                <w:color w:val="auto"/>
                <w:sz w:val="24"/>
                <w:lang w:val="en-US" w:eastAsia="zh-CN"/>
              </w:rPr>
              <w:t>3</w:t>
            </w:r>
            <w:r>
              <w:rPr>
                <w:rFonts w:hint="eastAsia" w:ascii="宋体" w:hAnsi="宋体"/>
                <w:bCs/>
                <w:color w:val="auto"/>
                <w:sz w:val="24"/>
              </w:rPr>
              <w:t>分；</w:t>
            </w:r>
          </w:p>
          <w:p>
            <w:pPr>
              <w:keepNext w:val="0"/>
              <w:keepLines w:val="0"/>
              <w:pageBreakBefore w:val="0"/>
              <w:kinsoku/>
              <w:wordWrap/>
              <w:overflowPunct/>
              <w:topLinePunct w:val="0"/>
              <w:autoSpaceDE/>
              <w:autoSpaceDN/>
              <w:bidi w:val="0"/>
              <w:snapToGrid/>
              <w:spacing w:line="420" w:lineRule="exact"/>
              <w:jc w:val="left"/>
              <w:textAlignment w:val="auto"/>
              <w:rPr>
                <w:rFonts w:ascii="宋体" w:hAnsi="宋体"/>
                <w:b/>
                <w:sz w:val="24"/>
              </w:rPr>
            </w:pPr>
            <w:r>
              <w:rPr>
                <w:rFonts w:hint="eastAsia" w:ascii="宋体" w:hAnsi="宋体"/>
                <w:b/>
                <w:sz w:val="24"/>
              </w:rPr>
              <w:t>注：1、其他专业操作人员须在中标后30日内按照《农村生活污水处理设施运行维护单位基本条件》相关要求配置；</w:t>
            </w:r>
          </w:p>
          <w:p>
            <w:pPr>
              <w:keepNext w:val="0"/>
              <w:keepLines w:val="0"/>
              <w:pageBreakBefore w:val="0"/>
              <w:kinsoku/>
              <w:wordWrap/>
              <w:overflowPunct/>
              <w:topLinePunct w:val="0"/>
              <w:autoSpaceDE/>
              <w:autoSpaceDN/>
              <w:bidi w:val="0"/>
              <w:snapToGrid/>
              <w:spacing w:line="420" w:lineRule="exact"/>
              <w:jc w:val="left"/>
              <w:textAlignment w:val="auto"/>
              <w:rPr>
                <w:rFonts w:ascii="宋体" w:hAnsi="宋体"/>
                <w:bCs/>
                <w:sz w:val="24"/>
                <w:highlight w:val="yellow"/>
              </w:rPr>
            </w:pPr>
            <w:r>
              <w:rPr>
                <w:rFonts w:hint="eastAsia" w:ascii="宋体" w:hAnsi="宋体"/>
                <w:b/>
                <w:sz w:val="24"/>
              </w:rPr>
              <w:t>2、以上人员均须提供在本单位缴纳的近三个月社保缴纳证明材料加盖公章和相关证书清晰扫描件加盖公章，未提供不得分，一人一证，多种证书不累计得分。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highlight w:val="yellow"/>
              </w:rPr>
            </w:pPr>
            <w:r>
              <w:rPr>
                <w:rFonts w:hint="eastAsia" w:ascii="宋体" w:hAnsi="宋体"/>
                <w:bCs/>
                <w:sz w:val="24"/>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93"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highlight w:val="yellow"/>
              </w:rPr>
            </w:pPr>
            <w:r>
              <w:rPr>
                <w:rFonts w:hint="eastAsia" w:ascii="宋体" w:hAnsi="宋体"/>
                <w:bCs/>
                <w:sz w:val="24"/>
              </w:rPr>
              <w:t>4</w:t>
            </w:r>
          </w:p>
        </w:tc>
        <w:tc>
          <w:tcPr>
            <w:tcW w:w="1461" w:type="dxa"/>
            <w:tcBorders>
              <w:top w:val="single" w:color="auto" w:sz="4" w:space="0"/>
              <w:left w:val="single" w:color="auto" w:sz="4" w:space="0"/>
              <w:right w:val="single" w:color="auto" w:sz="4" w:space="0"/>
            </w:tcBorders>
            <w:vAlign w:val="center"/>
          </w:tcPr>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center"/>
              <w:textAlignment w:val="auto"/>
              <w:rPr>
                <w:rFonts w:cs="Times New Roman"/>
                <w:bCs/>
                <w:kern w:val="2"/>
              </w:rPr>
            </w:pPr>
            <w:r>
              <w:rPr>
                <w:rFonts w:hint="eastAsia" w:cs="Times New Roman"/>
                <w:bCs/>
                <w:kern w:val="2"/>
              </w:rPr>
              <w:t>拟投入本项目机械设备及场地情况</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center"/>
              <w:textAlignment w:val="auto"/>
              <w:rPr>
                <w:rFonts w:cs="Times New Roman"/>
                <w:highlight w:val="yellow"/>
              </w:rPr>
            </w:pPr>
            <w:r>
              <w:rPr>
                <w:rFonts w:hint="eastAsia" w:cs="Times New Roman"/>
                <w:bCs/>
                <w:kern w:val="2"/>
              </w:rPr>
              <w:t>（1</w:t>
            </w:r>
            <w:r>
              <w:rPr>
                <w:rFonts w:hint="eastAsia" w:cs="Times New Roman"/>
                <w:bCs/>
                <w:kern w:val="2"/>
                <w:lang w:val="en-US" w:eastAsia="zh-CN"/>
              </w:rPr>
              <w:t>1</w:t>
            </w:r>
            <w:r>
              <w:rPr>
                <w:rFonts w:hint="eastAsia" w:cs="Times New Roman"/>
                <w:bCs/>
                <w:kern w:val="2"/>
              </w:rPr>
              <w:t>分）</w:t>
            </w:r>
          </w:p>
        </w:tc>
        <w:tc>
          <w:tcPr>
            <w:tcW w:w="7518"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cs="Times New Roman"/>
                <w:bCs/>
                <w:kern w:val="2"/>
                <w:highlight w:val="none"/>
                <w:lang w:val="en-GB"/>
              </w:rPr>
            </w:pPr>
            <w:r>
              <w:rPr>
                <w:rFonts w:hint="eastAsia" w:cs="Times New Roman"/>
                <w:bCs/>
                <w:kern w:val="2"/>
                <w:highlight w:val="none"/>
              </w:rPr>
              <w:t>1、具有CCTV管道检测仪1套及以上的，得</w:t>
            </w:r>
            <w:r>
              <w:rPr>
                <w:rFonts w:hint="eastAsia" w:cs="Times New Roman"/>
                <w:bCs/>
                <w:kern w:val="2"/>
                <w:highlight w:val="none"/>
                <w:lang w:val="en-US" w:eastAsia="zh-CN"/>
              </w:rPr>
              <w:t>0.5</w:t>
            </w:r>
            <w:r>
              <w:rPr>
                <w:rFonts w:hint="eastAsia" w:cs="Times New Roman"/>
                <w:bCs/>
                <w:kern w:val="2"/>
                <w:highlight w:val="none"/>
              </w:rPr>
              <w:t>分；</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cs="Times New Roman"/>
                <w:bCs/>
                <w:kern w:val="2"/>
                <w:highlight w:val="none"/>
              </w:rPr>
            </w:pPr>
            <w:r>
              <w:rPr>
                <w:rFonts w:hint="eastAsia" w:cs="Times New Roman"/>
                <w:bCs/>
                <w:kern w:val="2"/>
                <w:highlight w:val="none"/>
              </w:rPr>
              <w:t>2、具有移动水质检测设备（</w:t>
            </w:r>
            <w:r>
              <w:rPr>
                <w:rFonts w:hint="eastAsia"/>
                <w:highlight w:val="none"/>
              </w:rPr>
              <w:t>至少具备检测化学需氧量，总磷，氨氮三项的能力</w:t>
            </w:r>
            <w:r>
              <w:rPr>
                <w:rFonts w:hint="eastAsia" w:cs="Times New Roman"/>
                <w:bCs/>
                <w:kern w:val="2"/>
                <w:highlight w:val="none"/>
              </w:rPr>
              <w:t>）1套及以上的，得</w:t>
            </w:r>
            <w:r>
              <w:rPr>
                <w:rFonts w:hint="eastAsia" w:cs="Times New Roman"/>
                <w:bCs/>
                <w:kern w:val="2"/>
                <w:highlight w:val="none"/>
                <w:lang w:val="en-US" w:eastAsia="zh-CN"/>
              </w:rPr>
              <w:t>0.5</w:t>
            </w:r>
            <w:r>
              <w:rPr>
                <w:rFonts w:hint="eastAsia" w:cs="Times New Roman"/>
                <w:bCs/>
                <w:kern w:val="2"/>
                <w:highlight w:val="none"/>
              </w:rPr>
              <w:t>分；</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cs="Times New Roman"/>
                <w:bCs/>
                <w:kern w:val="2"/>
                <w:highlight w:val="none"/>
              </w:rPr>
            </w:pPr>
            <w:r>
              <w:rPr>
                <w:rFonts w:hint="eastAsia" w:cs="Times New Roman"/>
                <w:bCs/>
                <w:kern w:val="2"/>
                <w:highlight w:val="none"/>
              </w:rPr>
              <w:t>3、具有毒气检测仪5套及以上的，得</w:t>
            </w:r>
            <w:r>
              <w:rPr>
                <w:rFonts w:hint="eastAsia" w:cs="Times New Roman"/>
                <w:bCs/>
                <w:kern w:val="2"/>
                <w:highlight w:val="none"/>
                <w:lang w:val="en-US" w:eastAsia="zh-CN"/>
              </w:rPr>
              <w:t>1</w:t>
            </w:r>
            <w:r>
              <w:rPr>
                <w:rFonts w:hint="eastAsia" w:cs="Times New Roman"/>
                <w:bCs/>
                <w:kern w:val="2"/>
                <w:highlight w:val="none"/>
              </w:rPr>
              <w:t>分</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cs="Times New Roman"/>
                <w:bCs/>
                <w:kern w:val="2"/>
                <w:highlight w:val="none"/>
              </w:rPr>
            </w:pPr>
            <w:r>
              <w:rPr>
                <w:rFonts w:hint="eastAsia" w:cs="Times New Roman"/>
                <w:bCs/>
                <w:kern w:val="2"/>
                <w:highlight w:val="none"/>
              </w:rPr>
              <w:t>4、具有移动供电设备1套及以上的，得</w:t>
            </w:r>
            <w:r>
              <w:rPr>
                <w:rFonts w:hint="eastAsia" w:cs="Times New Roman"/>
                <w:bCs/>
                <w:kern w:val="2"/>
                <w:highlight w:val="none"/>
                <w:lang w:val="en-US" w:eastAsia="zh-CN"/>
              </w:rPr>
              <w:t>0.5</w:t>
            </w:r>
            <w:r>
              <w:rPr>
                <w:rFonts w:hint="eastAsia" w:cs="Times New Roman"/>
                <w:bCs/>
                <w:kern w:val="2"/>
                <w:highlight w:val="none"/>
              </w:rPr>
              <w:t>分；</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cs="Times New Roman"/>
                <w:bCs/>
                <w:kern w:val="2"/>
                <w:highlight w:val="none"/>
                <w:lang w:val="en-GB"/>
              </w:rPr>
            </w:pPr>
            <w:r>
              <w:rPr>
                <w:rFonts w:hint="eastAsia" w:cs="Times New Roman"/>
                <w:bCs/>
                <w:kern w:val="2"/>
                <w:highlight w:val="none"/>
              </w:rPr>
              <w:t>5、</w:t>
            </w:r>
            <w:r>
              <w:rPr>
                <w:rFonts w:hint="eastAsia" w:cs="Times New Roman"/>
                <w:bCs/>
                <w:kern w:val="2"/>
                <w:highlight w:val="none"/>
                <w:lang w:val="en-GB"/>
              </w:rPr>
              <w:t>具有管道内窥镜</w:t>
            </w:r>
            <w:r>
              <w:rPr>
                <w:rFonts w:hint="eastAsia" w:cs="Times New Roman"/>
                <w:bCs/>
                <w:kern w:val="2"/>
                <w:highlight w:val="none"/>
              </w:rPr>
              <w:t>1套及以上</w:t>
            </w:r>
            <w:r>
              <w:rPr>
                <w:rFonts w:hint="eastAsia" w:cs="Times New Roman"/>
                <w:bCs/>
                <w:kern w:val="2"/>
                <w:highlight w:val="none"/>
                <w:lang w:val="en-GB"/>
              </w:rPr>
              <w:t>，得</w:t>
            </w:r>
            <w:r>
              <w:rPr>
                <w:rFonts w:hint="eastAsia" w:cs="Times New Roman"/>
                <w:bCs/>
                <w:kern w:val="2"/>
                <w:highlight w:val="none"/>
                <w:lang w:val="en-US" w:eastAsia="zh-CN"/>
              </w:rPr>
              <w:t>0.5</w:t>
            </w:r>
            <w:r>
              <w:rPr>
                <w:rFonts w:hint="eastAsia" w:cs="Times New Roman"/>
                <w:bCs/>
                <w:kern w:val="2"/>
                <w:highlight w:val="none"/>
                <w:lang w:val="en-GB"/>
              </w:rPr>
              <w:t>分；</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hint="eastAsia" w:eastAsia="宋体" w:cs="Times New Roman"/>
                <w:bCs/>
                <w:kern w:val="2"/>
                <w:highlight w:val="none"/>
                <w:lang w:eastAsia="zh-CN"/>
              </w:rPr>
            </w:pPr>
            <w:r>
              <w:rPr>
                <w:rFonts w:hint="eastAsia" w:cs="Times New Roman"/>
                <w:bCs/>
                <w:kern w:val="2"/>
                <w:highlight w:val="none"/>
              </w:rPr>
              <w:t>6、具有专用吸污车</w:t>
            </w:r>
            <w:r>
              <w:rPr>
                <w:rFonts w:hint="eastAsia" w:cs="Times New Roman"/>
                <w:bCs/>
                <w:kern w:val="2"/>
                <w:highlight w:val="none"/>
                <w:lang w:val="en-US" w:eastAsia="zh-CN"/>
              </w:rPr>
              <w:t>2</w:t>
            </w:r>
            <w:r>
              <w:rPr>
                <w:rFonts w:hint="eastAsia" w:cs="Times New Roman"/>
                <w:bCs/>
                <w:kern w:val="2"/>
                <w:highlight w:val="none"/>
              </w:rPr>
              <w:t>辆及以上</w:t>
            </w:r>
            <w:r>
              <w:rPr>
                <w:rFonts w:hint="eastAsia" w:cs="Times New Roman"/>
                <w:bCs/>
                <w:kern w:val="2"/>
                <w:highlight w:val="none"/>
                <w:lang w:eastAsia="zh-CN"/>
              </w:rPr>
              <w:t>（</w:t>
            </w:r>
            <w:r>
              <w:rPr>
                <w:rFonts w:hint="eastAsia" w:cs="Times New Roman"/>
                <w:bCs/>
                <w:kern w:val="2"/>
                <w:highlight w:val="none"/>
              </w:rPr>
              <w:t>至少1辆4吨以上</w:t>
            </w:r>
            <w:r>
              <w:rPr>
                <w:rFonts w:hint="eastAsia" w:cs="Times New Roman"/>
                <w:bCs/>
                <w:kern w:val="2"/>
                <w:highlight w:val="none"/>
                <w:lang w:eastAsia="zh-CN"/>
              </w:rPr>
              <w:t>）</w:t>
            </w:r>
            <w:r>
              <w:rPr>
                <w:rFonts w:hint="eastAsia" w:cs="Times New Roman"/>
                <w:bCs/>
                <w:kern w:val="2"/>
                <w:highlight w:val="none"/>
              </w:rPr>
              <w:t>的，得</w:t>
            </w:r>
            <w:r>
              <w:rPr>
                <w:rFonts w:hint="eastAsia" w:cs="Times New Roman"/>
                <w:bCs/>
                <w:kern w:val="2"/>
                <w:highlight w:val="none"/>
                <w:lang w:val="en-US" w:eastAsia="zh-CN"/>
              </w:rPr>
              <w:t>2</w:t>
            </w:r>
            <w:r>
              <w:rPr>
                <w:rFonts w:hint="eastAsia" w:cs="Times New Roman"/>
                <w:bCs/>
                <w:kern w:val="2"/>
                <w:highlight w:val="none"/>
              </w:rPr>
              <w:t>分</w:t>
            </w:r>
            <w:r>
              <w:rPr>
                <w:rFonts w:hint="eastAsia" w:cs="Times New Roman"/>
                <w:bCs/>
                <w:kern w:val="2"/>
                <w:highlight w:val="none"/>
                <w:lang w:eastAsia="zh-CN"/>
              </w:rPr>
              <w:t>；</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cs="Times New Roman"/>
                <w:bCs/>
                <w:kern w:val="2"/>
                <w:highlight w:val="none"/>
              </w:rPr>
            </w:pPr>
            <w:r>
              <w:rPr>
                <w:rFonts w:hint="eastAsia" w:cs="Times New Roman"/>
                <w:bCs/>
                <w:kern w:val="2"/>
                <w:highlight w:val="none"/>
              </w:rPr>
              <w:t>7、具有管道冲洗车1辆及以上的，得1分；</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cs="Times New Roman"/>
                <w:bCs/>
                <w:kern w:val="2"/>
                <w:highlight w:val="none"/>
              </w:rPr>
            </w:pPr>
            <w:r>
              <w:rPr>
                <w:rFonts w:hint="eastAsia" w:cs="Times New Roman"/>
                <w:bCs/>
                <w:kern w:val="2"/>
                <w:highlight w:val="none"/>
              </w:rPr>
              <w:t>8、具有小型管道疏通车1辆及以上的，得1分；</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hint="default" w:eastAsia="宋体" w:cs="Times New Roman"/>
                <w:b/>
                <w:color w:val="auto"/>
                <w:kern w:val="2"/>
                <w:highlight w:val="none"/>
                <w:lang w:val="en-US" w:eastAsia="zh-CN"/>
              </w:rPr>
            </w:pPr>
            <w:r>
              <w:rPr>
                <w:rFonts w:hint="eastAsia" w:cs="Times New Roman"/>
                <w:bCs/>
                <w:color w:val="auto"/>
                <w:kern w:val="2"/>
                <w:highlight w:val="none"/>
              </w:rPr>
              <w:t>9、具有养护运维车辆</w:t>
            </w:r>
            <w:r>
              <w:rPr>
                <w:rFonts w:hint="eastAsia" w:cs="Times New Roman"/>
                <w:bCs/>
                <w:color w:val="auto"/>
                <w:kern w:val="2"/>
                <w:highlight w:val="none"/>
                <w:lang w:val="en-US" w:eastAsia="zh-CN"/>
              </w:rPr>
              <w:t>5辆及以上的，得1分；</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cs="Times New Roman"/>
                <w:bCs/>
                <w:kern w:val="2"/>
                <w:highlight w:val="none"/>
              </w:rPr>
            </w:pPr>
            <w:r>
              <w:rPr>
                <w:rFonts w:hint="eastAsia" w:cs="Times New Roman"/>
                <w:bCs/>
                <w:kern w:val="2"/>
                <w:highlight w:val="none"/>
              </w:rPr>
              <w:t>10、化验室具备检测能力：PH，悬浮物（SS），化学需氧量（CODCR），总磷，总氮，氨氮（NH3-N），动植物油，粪大肠杆菌</w:t>
            </w:r>
            <w:r>
              <w:rPr>
                <w:rFonts w:hint="eastAsia" w:cs="Times New Roman"/>
                <w:bCs/>
                <w:kern w:val="2"/>
                <w:highlight w:val="none"/>
                <w:lang w:eastAsia="zh-CN"/>
              </w:rPr>
              <w:t>（粪大肠杆菌可委托第三方具有专业资质认证的实验室进行化验）</w:t>
            </w:r>
            <w:r>
              <w:rPr>
                <w:rFonts w:hint="eastAsia" w:cs="Times New Roman"/>
                <w:bCs/>
                <w:kern w:val="2"/>
                <w:highlight w:val="none"/>
              </w:rPr>
              <w:t>得</w:t>
            </w:r>
            <w:r>
              <w:rPr>
                <w:rFonts w:cs="Times New Roman"/>
                <w:bCs/>
                <w:kern w:val="2"/>
                <w:highlight w:val="none"/>
              </w:rPr>
              <w:t>2</w:t>
            </w:r>
            <w:r>
              <w:rPr>
                <w:rFonts w:hint="eastAsia" w:cs="Times New Roman"/>
                <w:bCs/>
                <w:kern w:val="2"/>
                <w:highlight w:val="none"/>
              </w:rPr>
              <w:t>分，每少一样扣0.</w:t>
            </w:r>
            <w:r>
              <w:rPr>
                <w:rFonts w:cs="Times New Roman"/>
                <w:bCs/>
                <w:kern w:val="2"/>
                <w:highlight w:val="none"/>
              </w:rPr>
              <w:t>2</w:t>
            </w:r>
            <w:r>
              <w:rPr>
                <w:rFonts w:hint="eastAsia" w:cs="Times New Roman"/>
                <w:bCs/>
                <w:kern w:val="2"/>
                <w:highlight w:val="none"/>
              </w:rPr>
              <w:t>5分，扣完为止；</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hint="eastAsia" w:cs="Times New Roman"/>
                <w:bCs/>
                <w:kern w:val="2"/>
                <w:highlight w:val="none"/>
              </w:rPr>
            </w:pPr>
            <w:r>
              <w:rPr>
                <w:rFonts w:hint="eastAsia" w:cs="Times New Roman"/>
                <w:bCs/>
                <w:kern w:val="2"/>
                <w:highlight w:val="none"/>
              </w:rPr>
              <w:t>11、承诺运维车辆按采购人要求进行喷色、喷涂标记标识的，得1分。</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hint="eastAsia" w:cs="Times New Roman"/>
                <w:b/>
                <w:bCs w:val="0"/>
                <w:color w:val="FF0000"/>
                <w:kern w:val="2"/>
                <w:highlight w:val="none"/>
              </w:rPr>
            </w:pPr>
            <w:r>
              <w:rPr>
                <w:rFonts w:hint="eastAsia" w:cs="Times New Roman"/>
                <w:b/>
                <w:bCs w:val="0"/>
                <w:kern w:val="2"/>
                <w:highlight w:val="none"/>
              </w:rPr>
              <w:t>注：</w:t>
            </w:r>
            <w:r>
              <w:rPr>
                <w:rFonts w:hint="eastAsia" w:cs="Times New Roman"/>
                <w:b/>
                <w:bCs w:val="0"/>
                <w:color w:val="auto"/>
                <w:kern w:val="2"/>
                <w:highlight w:val="none"/>
              </w:rPr>
              <w:t>1、本项全部设备均为自有的</w:t>
            </w:r>
            <w:r>
              <w:rPr>
                <w:rFonts w:hint="eastAsia" w:cs="Times New Roman"/>
                <w:b/>
                <w:bCs w:val="0"/>
                <w:color w:val="auto"/>
                <w:kern w:val="2"/>
                <w:highlight w:val="none"/>
                <w:lang w:eastAsia="zh-CN"/>
              </w:rPr>
              <w:t>，</w:t>
            </w:r>
            <w:r>
              <w:rPr>
                <w:rFonts w:hint="eastAsia" w:cs="Times New Roman"/>
                <w:b/>
                <w:bCs w:val="0"/>
                <w:color w:val="auto"/>
                <w:kern w:val="2"/>
                <w:highlight w:val="none"/>
              </w:rPr>
              <w:t>得</w:t>
            </w:r>
            <w:r>
              <w:rPr>
                <w:rFonts w:hint="eastAsia" w:cs="Times New Roman"/>
                <w:b/>
                <w:bCs w:val="0"/>
                <w:color w:val="auto"/>
                <w:kern w:val="2"/>
                <w:highlight w:val="none"/>
                <w:lang w:val="en-US" w:eastAsia="zh-CN"/>
              </w:rPr>
              <w:t>10</w:t>
            </w:r>
            <w:r>
              <w:rPr>
                <w:rFonts w:hint="eastAsia" w:cs="Times New Roman"/>
                <w:b/>
                <w:bCs w:val="0"/>
                <w:color w:val="auto"/>
                <w:kern w:val="2"/>
                <w:highlight w:val="none"/>
              </w:rPr>
              <w:t>分</w:t>
            </w:r>
            <w:r>
              <w:rPr>
                <w:rFonts w:hint="eastAsia" w:cs="Times New Roman"/>
                <w:b/>
                <w:bCs w:val="0"/>
                <w:color w:val="auto"/>
                <w:kern w:val="2"/>
                <w:highlight w:val="none"/>
                <w:lang w:eastAsia="zh-CN"/>
              </w:rPr>
              <w:t>；</w:t>
            </w:r>
            <w:r>
              <w:rPr>
                <w:rFonts w:hint="eastAsia" w:cs="Times New Roman"/>
                <w:b/>
                <w:bCs w:val="0"/>
                <w:color w:val="auto"/>
                <w:kern w:val="2"/>
                <w:highlight w:val="none"/>
              </w:rPr>
              <w:t>若设备为租赁的</w:t>
            </w:r>
            <w:r>
              <w:rPr>
                <w:rFonts w:hint="eastAsia" w:cs="Times New Roman"/>
                <w:b/>
                <w:bCs w:val="0"/>
                <w:color w:val="auto"/>
                <w:kern w:val="2"/>
                <w:highlight w:val="none"/>
                <w:lang w:eastAsia="zh-CN"/>
              </w:rPr>
              <w:t>，该项</w:t>
            </w:r>
            <w:r>
              <w:rPr>
                <w:rFonts w:hint="eastAsia" w:cs="Times New Roman"/>
                <w:b/>
                <w:bCs w:val="0"/>
                <w:color w:val="auto"/>
                <w:kern w:val="2"/>
                <w:highlight w:val="none"/>
              </w:rPr>
              <w:t>得分减半；</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hint="eastAsia" w:cs="Times New Roman"/>
                <w:b/>
                <w:bCs w:val="0"/>
                <w:kern w:val="2"/>
                <w:highlight w:val="none"/>
              </w:rPr>
            </w:pPr>
            <w:r>
              <w:rPr>
                <w:rFonts w:hint="eastAsia" w:cs="Times New Roman"/>
                <w:b/>
                <w:bCs w:val="0"/>
                <w:kern w:val="2"/>
                <w:highlight w:val="none"/>
              </w:rPr>
              <w:t>2、自有：提供相关设备、车辆购置合同、化验室检测能力证明材料、发票及车辆行驶证（投标人名下）；</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hint="eastAsia" w:cs="Times New Roman"/>
                <w:b/>
                <w:bCs w:val="0"/>
                <w:kern w:val="2"/>
                <w:highlight w:val="none"/>
              </w:rPr>
            </w:pPr>
            <w:r>
              <w:rPr>
                <w:rFonts w:hint="eastAsia" w:cs="Times New Roman"/>
                <w:b/>
                <w:bCs w:val="0"/>
                <w:kern w:val="2"/>
                <w:highlight w:val="none"/>
              </w:rPr>
              <w:t>3、租赁：提供相关设备、车辆租赁合同、化验室检测能力证明材料、发票及车辆行驶证。</w:t>
            </w:r>
          </w:p>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both"/>
              <w:textAlignment w:val="auto"/>
              <w:rPr>
                <w:rFonts w:cs="Times New Roman"/>
                <w:bCs/>
                <w:color w:val="FF0000"/>
                <w:kern w:val="2"/>
                <w:highlight w:val="yellow"/>
              </w:rPr>
            </w:pPr>
            <w:r>
              <w:rPr>
                <w:rFonts w:hint="eastAsia" w:cs="Times New Roman"/>
                <w:b/>
                <w:bCs w:val="0"/>
                <w:kern w:val="2"/>
                <w:highlight w:val="none"/>
              </w:rPr>
              <w:t>4、承诺的提供相关承诺函，未提供的不得分。</w:t>
            </w:r>
          </w:p>
        </w:tc>
        <w:tc>
          <w:tcPr>
            <w:tcW w:w="776"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autoSpaceDN/>
              <w:bidi w:val="0"/>
              <w:snapToGrid/>
              <w:spacing w:before="0" w:beforeAutospacing="0" w:after="0" w:afterAutospacing="0" w:line="420" w:lineRule="exact"/>
              <w:jc w:val="center"/>
              <w:textAlignment w:val="auto"/>
              <w:rPr>
                <w:rFonts w:hint="default" w:eastAsia="宋体" w:cs="Times New Roman"/>
                <w:highlight w:val="none"/>
                <w:lang w:val="en-US" w:eastAsia="zh-CN"/>
              </w:rPr>
            </w:pPr>
            <w:r>
              <w:rPr>
                <w:rFonts w:hint="eastAsia" w:cs="Times New Roman"/>
                <w:bCs/>
                <w:kern w:val="2"/>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5" w:hRule="atLeast"/>
          <w:jc w:val="center"/>
        </w:trPr>
        <w:tc>
          <w:tcPr>
            <w:tcW w:w="793" w:type="dxa"/>
            <w:vMerge w:val="restart"/>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highlight w:val="yellow"/>
              </w:rPr>
            </w:pPr>
            <w:r>
              <w:rPr>
                <w:rFonts w:hint="eastAsia" w:ascii="宋体" w:hAnsi="宋体"/>
                <w:sz w:val="24"/>
              </w:rPr>
              <w:t>5</w:t>
            </w:r>
          </w:p>
        </w:tc>
        <w:tc>
          <w:tcPr>
            <w:tcW w:w="146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lang w:bidi="zh-CN"/>
              </w:rPr>
            </w:pPr>
            <w:r>
              <w:rPr>
                <w:rFonts w:hint="eastAsia" w:ascii="宋体" w:hAnsi="宋体"/>
                <w:sz w:val="24"/>
                <w:lang w:bidi="zh-CN"/>
              </w:rPr>
              <w:t>运维方案</w:t>
            </w:r>
          </w:p>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highlight w:val="yellow"/>
              </w:rPr>
            </w:pPr>
            <w:r>
              <w:rPr>
                <w:rFonts w:hint="eastAsia" w:ascii="宋体" w:hAnsi="宋体"/>
                <w:sz w:val="24"/>
                <w:lang w:bidi="zh-CN"/>
              </w:rPr>
              <w:t>（12分）</w:t>
            </w:r>
          </w:p>
        </w:tc>
        <w:tc>
          <w:tcPr>
            <w:tcW w:w="7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rPr>
                <w:rFonts w:ascii="宋体" w:hAnsi="宋体"/>
                <w:bCs/>
                <w:color w:val="auto"/>
                <w:sz w:val="24"/>
              </w:rPr>
            </w:pPr>
            <w:r>
              <w:rPr>
                <w:rFonts w:hint="eastAsia" w:ascii="宋体" w:hAnsi="宋体"/>
                <w:bCs/>
                <w:color w:val="auto"/>
                <w:sz w:val="24"/>
              </w:rPr>
              <w:t>投标人针对本项目拟定的运维方案</w:t>
            </w:r>
            <w:r>
              <w:rPr>
                <w:rFonts w:hint="eastAsia" w:ascii="宋体" w:hAnsi="宋体"/>
                <w:bCs/>
                <w:color w:val="auto"/>
                <w:sz w:val="24"/>
                <w:lang w:eastAsia="zh-CN"/>
              </w:rPr>
              <w:t>（</w:t>
            </w:r>
            <w:r>
              <w:rPr>
                <w:rFonts w:hint="eastAsia" w:ascii="宋体" w:hAnsi="宋体"/>
                <w:bCs/>
                <w:color w:val="auto"/>
                <w:sz w:val="24"/>
              </w:rPr>
              <w:t>第一部分</w:t>
            </w:r>
            <w:r>
              <w:rPr>
                <w:rFonts w:hint="eastAsia" w:ascii="宋体" w:hAnsi="宋体"/>
                <w:bCs/>
                <w:color w:val="auto"/>
                <w:sz w:val="24"/>
                <w:lang w:eastAsia="zh-CN"/>
              </w:rPr>
              <w:t>）</w:t>
            </w:r>
            <w:r>
              <w:rPr>
                <w:rFonts w:hint="eastAsia" w:ascii="宋体" w:hAnsi="宋体"/>
                <w:bCs/>
                <w:color w:val="auto"/>
                <w:sz w:val="24"/>
              </w:rPr>
              <w:t>，主要内容包括项目概况、工作</w:t>
            </w:r>
            <w:r>
              <w:rPr>
                <w:rFonts w:hint="eastAsia" w:ascii="宋体" w:hAnsi="宋体"/>
                <w:bCs/>
                <w:color w:val="auto"/>
                <w:sz w:val="24"/>
                <w:lang w:val="en-US" w:eastAsia="zh-CN"/>
              </w:rPr>
              <w:t>举措、工作</w:t>
            </w:r>
            <w:r>
              <w:rPr>
                <w:rFonts w:hint="eastAsia" w:ascii="宋体" w:hAnsi="宋体"/>
                <w:bCs/>
                <w:color w:val="auto"/>
                <w:sz w:val="24"/>
              </w:rPr>
              <w:t>目标等。方案优秀、内容完整详实</w:t>
            </w:r>
            <w:r>
              <w:rPr>
                <w:rFonts w:hint="eastAsia" w:ascii="宋体" w:hAnsi="宋体"/>
                <w:bCs/>
                <w:color w:val="auto"/>
                <w:sz w:val="24"/>
                <w:lang w:val="en-US" w:eastAsia="zh-CN"/>
              </w:rPr>
              <w:t>、工作举措科学</w:t>
            </w:r>
            <w:r>
              <w:rPr>
                <w:rFonts w:hint="eastAsia" w:ascii="宋体" w:hAnsi="宋体"/>
                <w:bCs/>
                <w:color w:val="auto"/>
                <w:sz w:val="24"/>
              </w:rPr>
              <w:t>、符合</w:t>
            </w:r>
            <w:r>
              <w:rPr>
                <w:rFonts w:hint="eastAsia" w:ascii="宋体" w:hAnsi="宋体"/>
                <w:bCs/>
                <w:color w:val="auto"/>
                <w:sz w:val="24"/>
                <w:lang w:val="en-US" w:eastAsia="zh-CN"/>
              </w:rPr>
              <w:t>农污标准化运维</w:t>
            </w:r>
            <w:r>
              <w:rPr>
                <w:rFonts w:hint="eastAsia" w:ascii="宋体" w:hAnsi="宋体"/>
                <w:bCs/>
                <w:color w:val="auto"/>
                <w:sz w:val="24"/>
              </w:rPr>
              <w:t>要求的得6分；方案较好的得4分；方案一般的得2分</w:t>
            </w:r>
            <w:r>
              <w:rPr>
                <w:rFonts w:hint="eastAsia" w:ascii="宋体" w:hAnsi="宋体"/>
                <w:bCs/>
                <w:color w:val="auto"/>
                <w:sz w:val="24"/>
                <w:lang w:val="zh-CN"/>
              </w:rPr>
              <w:t>；</w:t>
            </w:r>
            <w:r>
              <w:rPr>
                <w:rFonts w:hint="eastAsia" w:ascii="宋体" w:hAnsi="宋体"/>
                <w:bCs/>
                <w:color w:val="auto"/>
                <w:sz w:val="24"/>
              </w:rPr>
              <w:t>方案</w:t>
            </w:r>
            <w:r>
              <w:rPr>
                <w:rFonts w:hint="eastAsia" w:ascii="宋体" w:hAnsi="宋体"/>
                <w:bCs/>
                <w:color w:val="auto"/>
                <w:sz w:val="24"/>
                <w:lang w:val="zh-CN"/>
              </w:rPr>
              <w:t>未提供</w:t>
            </w:r>
            <w:r>
              <w:rPr>
                <w:rFonts w:hint="eastAsia" w:ascii="宋体" w:hAnsi="宋体"/>
                <w:bCs/>
                <w:color w:val="auto"/>
                <w:sz w:val="24"/>
              </w:rPr>
              <w:t>的</w:t>
            </w:r>
            <w:r>
              <w:rPr>
                <w:rFonts w:hint="eastAsia" w:ascii="宋体" w:hAnsi="宋体"/>
                <w:bCs/>
                <w:color w:val="auto"/>
                <w:sz w:val="24"/>
                <w:lang w:val="zh-CN"/>
              </w:rPr>
              <w:t>得0分。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hint="eastAsia" w:ascii="宋体" w:hAnsi="宋体" w:eastAsia="宋体"/>
                <w:sz w:val="24"/>
                <w:highlight w:val="none"/>
                <w:lang w:eastAsia="zh-CN"/>
              </w:rPr>
            </w:pPr>
            <w:r>
              <w:rPr>
                <w:rFonts w:hint="eastAsia" w:ascii="宋体" w:hAnsi="宋体"/>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5" w:hRule="atLeast"/>
          <w:jc w:val="center"/>
        </w:trPr>
        <w:tc>
          <w:tcPr>
            <w:tcW w:w="793" w:type="dxa"/>
            <w:vMerge w:val="continue"/>
            <w:tcBorders>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pPr>
          </w:p>
        </w:tc>
        <w:tc>
          <w:tcPr>
            <w:tcW w:w="1461"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pPr>
          </w:p>
        </w:tc>
        <w:tc>
          <w:tcPr>
            <w:tcW w:w="7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rPr>
                <w:rFonts w:ascii="宋体" w:hAnsi="宋体"/>
                <w:bCs/>
                <w:color w:val="auto"/>
                <w:sz w:val="24"/>
              </w:rPr>
            </w:pPr>
            <w:r>
              <w:rPr>
                <w:rFonts w:hint="eastAsia" w:ascii="宋体" w:hAnsi="宋体"/>
                <w:bCs/>
                <w:color w:val="auto"/>
                <w:sz w:val="24"/>
              </w:rPr>
              <w:t>投标人针对本项目拟定的运维方案</w:t>
            </w:r>
            <w:r>
              <w:rPr>
                <w:rFonts w:hint="eastAsia" w:ascii="宋体" w:hAnsi="宋体"/>
                <w:bCs/>
                <w:color w:val="auto"/>
                <w:sz w:val="24"/>
                <w:lang w:eastAsia="zh-CN"/>
              </w:rPr>
              <w:t>（</w:t>
            </w:r>
            <w:r>
              <w:rPr>
                <w:rFonts w:hint="eastAsia" w:ascii="宋体" w:hAnsi="宋体"/>
                <w:bCs/>
                <w:color w:val="auto"/>
                <w:sz w:val="24"/>
              </w:rPr>
              <w:t>第二部分</w:t>
            </w:r>
            <w:r>
              <w:rPr>
                <w:rFonts w:hint="eastAsia" w:ascii="宋体" w:hAnsi="宋体"/>
                <w:bCs/>
                <w:color w:val="auto"/>
                <w:sz w:val="24"/>
                <w:lang w:eastAsia="zh-CN"/>
              </w:rPr>
              <w:t>）</w:t>
            </w:r>
            <w:r>
              <w:rPr>
                <w:rFonts w:hint="eastAsia" w:ascii="宋体" w:hAnsi="宋体"/>
                <w:bCs/>
                <w:color w:val="auto"/>
                <w:sz w:val="24"/>
              </w:rPr>
              <w:t>，主要内容包括运维岗位职责、人员、设备、车辆等各项管理制度。方案优秀、内容完整详实、</w:t>
            </w:r>
            <w:r>
              <w:rPr>
                <w:rFonts w:hint="eastAsia" w:ascii="宋体" w:hAnsi="宋体"/>
                <w:bCs/>
                <w:color w:val="auto"/>
                <w:sz w:val="24"/>
                <w:lang w:val="en-US" w:eastAsia="zh-CN"/>
              </w:rPr>
              <w:t>操作性强、符合农污标准化运维</w:t>
            </w:r>
            <w:r>
              <w:rPr>
                <w:rFonts w:hint="eastAsia" w:ascii="宋体" w:hAnsi="宋体"/>
                <w:bCs/>
                <w:color w:val="auto"/>
                <w:sz w:val="24"/>
              </w:rPr>
              <w:t>要求的得6分；方案较好的得4分；方案一般的得2分</w:t>
            </w:r>
            <w:r>
              <w:rPr>
                <w:rFonts w:hint="eastAsia" w:ascii="宋体" w:hAnsi="宋体"/>
                <w:bCs/>
                <w:color w:val="auto"/>
                <w:sz w:val="24"/>
                <w:lang w:val="zh-CN"/>
              </w:rPr>
              <w:t>；</w:t>
            </w:r>
            <w:r>
              <w:rPr>
                <w:rFonts w:hint="eastAsia" w:ascii="宋体" w:hAnsi="宋体"/>
                <w:bCs/>
                <w:color w:val="auto"/>
                <w:sz w:val="24"/>
              </w:rPr>
              <w:t>方案</w:t>
            </w:r>
            <w:r>
              <w:rPr>
                <w:rFonts w:hint="eastAsia" w:ascii="宋体" w:hAnsi="宋体"/>
                <w:bCs/>
                <w:color w:val="auto"/>
                <w:sz w:val="24"/>
                <w:lang w:val="zh-CN"/>
              </w:rPr>
              <w:t>未提供</w:t>
            </w:r>
            <w:r>
              <w:rPr>
                <w:rFonts w:hint="eastAsia" w:ascii="宋体" w:hAnsi="宋体"/>
                <w:bCs/>
                <w:color w:val="auto"/>
                <w:sz w:val="24"/>
              </w:rPr>
              <w:t>的</w:t>
            </w:r>
            <w:r>
              <w:rPr>
                <w:rFonts w:hint="eastAsia" w:ascii="宋体" w:hAnsi="宋体"/>
                <w:bCs/>
                <w:color w:val="auto"/>
                <w:sz w:val="24"/>
                <w:lang w:val="zh-CN"/>
              </w:rPr>
              <w:t>得0分。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hint="eastAsia" w:ascii="宋体" w:hAnsi="宋体" w:eastAsia="宋体"/>
                <w:sz w:val="24"/>
                <w:highlight w:val="none"/>
                <w:lang w:eastAsia="zh-CN"/>
              </w:rPr>
            </w:pPr>
            <w:r>
              <w:rPr>
                <w:rFonts w:hint="eastAsia" w:ascii="宋体" w:hAnsi="宋体"/>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8" w:hRule="atLeast"/>
          <w:jc w:val="center"/>
        </w:trPr>
        <w:tc>
          <w:tcPr>
            <w:tcW w:w="793"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6</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lang w:bidi="zh-CN"/>
              </w:rPr>
            </w:pPr>
            <w:r>
              <w:rPr>
                <w:rFonts w:hint="eastAsia" w:ascii="宋体" w:hAnsi="宋体"/>
                <w:sz w:val="24"/>
                <w:lang w:bidi="zh-CN"/>
              </w:rPr>
              <w:t>重点难点解决措施</w:t>
            </w:r>
          </w:p>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bCs/>
                <w:sz w:val="24"/>
              </w:rPr>
              <w:t>（</w:t>
            </w:r>
            <w:r>
              <w:rPr>
                <w:rFonts w:hint="eastAsia" w:ascii="宋体" w:hAnsi="宋体"/>
                <w:bCs/>
                <w:sz w:val="24"/>
                <w:lang w:val="en-US" w:eastAsia="zh-CN"/>
              </w:rPr>
              <w:t>6</w:t>
            </w:r>
            <w:r>
              <w:rPr>
                <w:rFonts w:hint="eastAsia" w:ascii="宋体" w:hAnsi="宋体"/>
                <w:bCs/>
                <w:sz w:val="24"/>
              </w:rPr>
              <w:t>分）</w:t>
            </w:r>
          </w:p>
        </w:tc>
        <w:tc>
          <w:tcPr>
            <w:tcW w:w="7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rPr>
                <w:rFonts w:ascii="宋体" w:hAnsi="宋体"/>
                <w:bCs/>
                <w:sz w:val="24"/>
              </w:rPr>
            </w:pPr>
            <w:r>
              <w:rPr>
                <w:rFonts w:hint="eastAsia" w:ascii="宋体" w:hAnsi="宋体"/>
                <w:bCs/>
                <w:sz w:val="24"/>
              </w:rPr>
              <w:t>投标人需</w:t>
            </w:r>
            <w:r>
              <w:rPr>
                <w:rFonts w:hint="eastAsia" w:ascii="宋体" w:hAnsi="宋体"/>
                <w:sz w:val="24"/>
                <w:lang w:bidi="zh-CN"/>
              </w:rPr>
              <w:t>阐明</w:t>
            </w:r>
            <w:r>
              <w:rPr>
                <w:rFonts w:hint="eastAsia" w:ascii="宋体" w:hAnsi="宋体"/>
                <w:sz w:val="24"/>
                <w:lang w:val="zh-CN" w:bidi="zh-CN"/>
              </w:rPr>
              <w:t>本项目</w:t>
            </w:r>
            <w:r>
              <w:rPr>
                <w:rFonts w:hint="eastAsia" w:ascii="宋体" w:hAnsi="宋体"/>
                <w:sz w:val="24"/>
                <w:lang w:bidi="zh-CN"/>
              </w:rPr>
              <w:t>重点</w:t>
            </w:r>
            <w:r>
              <w:rPr>
                <w:rFonts w:hint="eastAsia" w:ascii="宋体" w:hAnsi="宋体"/>
                <w:sz w:val="24"/>
                <w:lang w:val="zh-CN" w:bidi="zh-CN"/>
              </w:rPr>
              <w:t>难点，</w:t>
            </w:r>
            <w:r>
              <w:rPr>
                <w:rFonts w:hint="eastAsia" w:ascii="宋体" w:hAnsi="宋体"/>
                <w:sz w:val="24"/>
                <w:lang w:val="en-US" w:bidi="zh-CN"/>
              </w:rPr>
              <w:t>分析存在主要问题</w:t>
            </w:r>
            <w:r>
              <w:rPr>
                <w:rFonts w:hint="eastAsia" w:ascii="宋体" w:hAnsi="宋体"/>
                <w:sz w:val="24"/>
                <w:lang w:bidi="zh-CN"/>
              </w:rPr>
              <w:t>，并</w:t>
            </w:r>
            <w:r>
              <w:rPr>
                <w:rFonts w:hint="eastAsia" w:ascii="宋体" w:hAnsi="宋体"/>
                <w:sz w:val="24"/>
                <w:lang w:val="zh-CN" w:bidi="zh-CN"/>
              </w:rPr>
              <w:t>针对</w:t>
            </w:r>
            <w:r>
              <w:rPr>
                <w:rFonts w:hint="eastAsia" w:ascii="宋体" w:hAnsi="宋体"/>
                <w:sz w:val="24"/>
                <w:lang w:bidi="zh-CN"/>
              </w:rPr>
              <w:t>重点</w:t>
            </w:r>
            <w:r>
              <w:rPr>
                <w:rFonts w:hint="eastAsia" w:ascii="宋体" w:hAnsi="宋体"/>
                <w:sz w:val="24"/>
                <w:lang w:val="zh-CN" w:bidi="zh-CN"/>
              </w:rPr>
              <w:t>难点</w:t>
            </w:r>
            <w:r>
              <w:rPr>
                <w:rFonts w:hint="eastAsia" w:ascii="宋体" w:hAnsi="宋体"/>
                <w:sz w:val="24"/>
                <w:lang w:val="en-US" w:bidi="zh-CN"/>
              </w:rPr>
              <w:t>和主要问题</w:t>
            </w:r>
            <w:r>
              <w:rPr>
                <w:rFonts w:hint="eastAsia" w:ascii="宋体" w:hAnsi="宋体"/>
                <w:sz w:val="24"/>
                <w:lang w:bidi="zh-CN"/>
              </w:rPr>
              <w:t>提出</w:t>
            </w:r>
            <w:r>
              <w:rPr>
                <w:rFonts w:hint="eastAsia" w:ascii="宋体" w:hAnsi="宋体"/>
                <w:sz w:val="24"/>
                <w:lang w:val="zh-CN" w:bidi="zh-CN"/>
              </w:rPr>
              <w:t>相应解决措施。</w:t>
            </w:r>
            <w:r>
              <w:rPr>
                <w:rFonts w:hint="eastAsia" w:ascii="宋体" w:hAnsi="宋体"/>
                <w:bCs/>
                <w:sz w:val="24"/>
              </w:rPr>
              <w:t>阐述</w:t>
            </w:r>
            <w:r>
              <w:rPr>
                <w:rFonts w:hint="eastAsia" w:ascii="宋体" w:hAnsi="宋体"/>
                <w:sz w:val="24"/>
                <w:lang w:val="zh-CN" w:bidi="zh-CN"/>
              </w:rPr>
              <w:t>内容全面详细、分析到位、</w:t>
            </w:r>
            <w:r>
              <w:rPr>
                <w:rFonts w:hint="eastAsia" w:ascii="宋体" w:hAnsi="宋体"/>
                <w:sz w:val="24"/>
                <w:lang w:bidi="zh-CN"/>
              </w:rPr>
              <w:t>措施合理</w:t>
            </w:r>
            <w:r>
              <w:rPr>
                <w:rFonts w:hint="eastAsia" w:ascii="宋体" w:hAnsi="宋体"/>
                <w:sz w:val="24"/>
                <w:lang w:val="zh-CN" w:bidi="zh-CN"/>
              </w:rPr>
              <w:t>的得</w:t>
            </w:r>
            <w:r>
              <w:rPr>
                <w:rFonts w:hint="eastAsia" w:ascii="宋体" w:hAnsi="宋体"/>
                <w:sz w:val="24"/>
                <w:lang w:val="en-US" w:bidi="zh-CN"/>
              </w:rPr>
              <w:t>6</w:t>
            </w:r>
            <w:r>
              <w:rPr>
                <w:rFonts w:hint="eastAsia" w:ascii="宋体" w:hAnsi="宋体"/>
                <w:sz w:val="24"/>
                <w:lang w:val="zh-CN" w:bidi="zh-CN"/>
              </w:rPr>
              <w:t>分；阐述内容较完整、分析基本到位、</w:t>
            </w:r>
            <w:r>
              <w:rPr>
                <w:rFonts w:hint="eastAsia" w:ascii="宋体" w:hAnsi="宋体"/>
                <w:sz w:val="24"/>
                <w:lang w:bidi="zh-CN"/>
              </w:rPr>
              <w:t>措施基本合理</w:t>
            </w:r>
            <w:r>
              <w:rPr>
                <w:rFonts w:hint="eastAsia" w:ascii="宋体" w:hAnsi="宋体"/>
                <w:sz w:val="24"/>
                <w:lang w:val="zh-CN" w:bidi="zh-CN"/>
              </w:rPr>
              <w:t>的得</w:t>
            </w:r>
            <w:r>
              <w:rPr>
                <w:rFonts w:hint="eastAsia" w:ascii="宋体" w:hAnsi="宋体"/>
                <w:sz w:val="24"/>
                <w:lang w:val="en-US" w:bidi="zh-CN"/>
              </w:rPr>
              <w:t>4</w:t>
            </w:r>
            <w:r>
              <w:rPr>
                <w:rFonts w:hint="eastAsia" w:ascii="宋体" w:hAnsi="宋体"/>
                <w:sz w:val="24"/>
                <w:lang w:val="zh-CN" w:bidi="zh-CN"/>
              </w:rPr>
              <w:t>分；阐述内容一般、</w:t>
            </w:r>
            <w:r>
              <w:rPr>
                <w:rFonts w:hint="eastAsia" w:ascii="宋体" w:hAnsi="宋体"/>
                <w:sz w:val="24"/>
                <w:lang w:bidi="zh-CN"/>
              </w:rPr>
              <w:t>分析一般、措施一般的</w:t>
            </w:r>
            <w:r>
              <w:rPr>
                <w:rFonts w:hint="eastAsia" w:ascii="宋体" w:hAnsi="宋体"/>
                <w:sz w:val="24"/>
                <w:lang w:val="zh-CN" w:bidi="zh-CN"/>
              </w:rPr>
              <w:t>得</w:t>
            </w:r>
            <w:r>
              <w:rPr>
                <w:rFonts w:hint="eastAsia" w:ascii="宋体" w:hAnsi="宋体"/>
                <w:sz w:val="24"/>
                <w:lang w:val="en-US" w:bidi="zh-CN"/>
              </w:rPr>
              <w:t>2</w:t>
            </w:r>
            <w:r>
              <w:rPr>
                <w:rFonts w:hint="eastAsia" w:ascii="宋体" w:hAnsi="宋体"/>
                <w:sz w:val="24"/>
                <w:lang w:val="zh-CN" w:bidi="zh-CN"/>
              </w:rPr>
              <w:t>分；未提供得0分。</w:t>
            </w:r>
            <w:bookmarkStart w:id="548" w:name="_GoBack"/>
            <w:bookmarkEnd w:id="548"/>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hint="eastAsia" w:ascii="宋体" w:hAnsi="宋体" w:eastAsia="宋体"/>
                <w:bCs/>
                <w:sz w:val="24"/>
                <w:highlight w:val="none"/>
                <w:lang w:eastAsia="zh-CN"/>
              </w:rPr>
            </w:pPr>
            <w:r>
              <w:rPr>
                <w:rFonts w:hint="eastAsia" w:ascii="宋体" w:hAnsi="宋体"/>
                <w:bCs/>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1" w:hRule="atLeast"/>
          <w:jc w:val="center"/>
        </w:trPr>
        <w:tc>
          <w:tcPr>
            <w:tcW w:w="793"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7</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质量保障</w:t>
            </w:r>
          </w:p>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bCs/>
                <w:sz w:val="24"/>
              </w:rPr>
              <w:t>（</w:t>
            </w:r>
            <w:r>
              <w:rPr>
                <w:rFonts w:hint="eastAsia" w:ascii="宋体" w:hAnsi="宋体"/>
                <w:bCs/>
                <w:sz w:val="24"/>
                <w:lang w:val="en-US" w:eastAsia="zh-CN"/>
              </w:rPr>
              <w:t>5</w:t>
            </w:r>
            <w:r>
              <w:rPr>
                <w:rFonts w:hint="eastAsia" w:ascii="宋体" w:hAnsi="宋体"/>
                <w:bCs/>
                <w:sz w:val="24"/>
              </w:rPr>
              <w:t>分）</w:t>
            </w:r>
          </w:p>
        </w:tc>
        <w:tc>
          <w:tcPr>
            <w:tcW w:w="7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rPr>
                <w:rFonts w:ascii="宋体" w:hAnsi="宋体"/>
                <w:bCs/>
                <w:sz w:val="24"/>
              </w:rPr>
            </w:pPr>
            <w:r>
              <w:rPr>
                <w:rFonts w:hint="eastAsia" w:ascii="宋体" w:hAnsi="宋体"/>
                <w:bCs/>
                <w:sz w:val="24"/>
              </w:rPr>
              <w:t>投标人需针对本项目拟定质量保障方案，方案优秀、内容完整详实、技术措施科学合理、针对性和操作性强、符合招标文件要求得</w:t>
            </w:r>
            <w:r>
              <w:rPr>
                <w:rFonts w:hint="eastAsia" w:ascii="宋体" w:hAnsi="宋体"/>
                <w:bCs/>
                <w:sz w:val="24"/>
                <w:lang w:val="en-US" w:eastAsia="zh-CN"/>
              </w:rPr>
              <w:t>5</w:t>
            </w:r>
            <w:r>
              <w:rPr>
                <w:rFonts w:hint="eastAsia" w:ascii="宋体" w:hAnsi="宋体"/>
                <w:bCs/>
                <w:sz w:val="24"/>
              </w:rPr>
              <w:t>分；方案较好的得</w:t>
            </w:r>
            <w:r>
              <w:rPr>
                <w:rFonts w:hint="eastAsia" w:ascii="宋体" w:hAnsi="宋体"/>
                <w:bCs/>
                <w:sz w:val="24"/>
                <w:lang w:val="en-US" w:eastAsia="zh-CN"/>
              </w:rPr>
              <w:t>3</w:t>
            </w:r>
            <w:r>
              <w:rPr>
                <w:rFonts w:hint="eastAsia" w:ascii="宋体" w:hAnsi="宋体"/>
                <w:bCs/>
                <w:sz w:val="24"/>
              </w:rPr>
              <w:t>分；方案一般的得</w:t>
            </w:r>
            <w:r>
              <w:rPr>
                <w:rFonts w:hint="eastAsia" w:ascii="宋体" w:hAnsi="宋体"/>
                <w:bCs/>
                <w:sz w:val="24"/>
                <w:lang w:val="en-US" w:eastAsia="zh-CN"/>
              </w:rPr>
              <w:t>1</w:t>
            </w:r>
            <w:r>
              <w:rPr>
                <w:rFonts w:hint="eastAsia" w:ascii="宋体" w:hAnsi="宋体"/>
                <w:bCs/>
                <w:sz w:val="24"/>
              </w:rPr>
              <w:t>分；未提供得0分。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highlight w:val="none"/>
              </w:rPr>
            </w:pPr>
            <w:r>
              <w:rPr>
                <w:rFonts w:ascii="宋体" w:hAnsi="宋体"/>
                <w:sz w:val="24"/>
                <w:highlight w:val="none"/>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5" w:hRule="atLeast"/>
          <w:jc w:val="center"/>
        </w:trPr>
        <w:tc>
          <w:tcPr>
            <w:tcW w:w="793"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highlight w:val="yellow"/>
              </w:rPr>
            </w:pPr>
            <w:r>
              <w:rPr>
                <w:rFonts w:hint="eastAsia" w:ascii="宋体" w:hAnsi="宋体"/>
                <w:sz w:val="24"/>
              </w:rPr>
              <w:t>8</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水质不达标解决措施</w:t>
            </w:r>
          </w:p>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color w:val="FF0000"/>
                <w:sz w:val="24"/>
              </w:rPr>
            </w:pPr>
            <w:r>
              <w:rPr>
                <w:rFonts w:hint="eastAsia" w:ascii="宋体" w:hAnsi="宋体"/>
                <w:sz w:val="24"/>
              </w:rPr>
              <w:t>（6分）</w:t>
            </w:r>
          </w:p>
        </w:tc>
        <w:tc>
          <w:tcPr>
            <w:tcW w:w="7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left"/>
              <w:textAlignment w:val="auto"/>
              <w:rPr>
                <w:rFonts w:ascii="宋体" w:hAnsi="宋体"/>
                <w:sz w:val="24"/>
              </w:rPr>
            </w:pPr>
            <w:r>
              <w:rPr>
                <w:rFonts w:hint="eastAsia" w:ascii="宋体" w:hAnsi="宋体"/>
                <w:bCs/>
                <w:sz w:val="24"/>
              </w:rPr>
              <w:t>投标人需针对本项目拟定</w:t>
            </w:r>
            <w:r>
              <w:rPr>
                <w:rFonts w:hint="eastAsia" w:ascii="宋体" w:hAnsi="宋体"/>
                <w:sz w:val="24"/>
              </w:rPr>
              <w:t>终端出水水质不达标的解决措施，解决措施科学合理、操作性强、符合实际的得6分；解决措施基本合理的得4分；解决措施一般的得2分</w:t>
            </w:r>
            <w:r>
              <w:rPr>
                <w:rFonts w:hint="eastAsia" w:ascii="宋体" w:hAnsi="宋体"/>
                <w:sz w:val="24"/>
                <w:lang w:val="zh-CN"/>
              </w:rPr>
              <w:t>；未提供得0分。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hint="eastAsia" w:ascii="宋体" w:hAnsi="宋体" w:eastAsia="宋体"/>
                <w:sz w:val="24"/>
                <w:highlight w:val="none"/>
                <w:lang w:eastAsia="zh-CN"/>
              </w:rPr>
            </w:pPr>
            <w:r>
              <w:rPr>
                <w:rFonts w:hint="eastAsia" w:ascii="宋体" w:hAnsi="宋体"/>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7" w:hRule="atLeast"/>
          <w:jc w:val="center"/>
        </w:trPr>
        <w:tc>
          <w:tcPr>
            <w:tcW w:w="793"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9</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hint="eastAsia" w:ascii="宋体" w:hAnsi="宋体"/>
                <w:sz w:val="24"/>
              </w:rPr>
            </w:pPr>
            <w:r>
              <w:rPr>
                <w:rFonts w:hint="eastAsia" w:ascii="宋体" w:hAnsi="宋体"/>
                <w:sz w:val="24"/>
              </w:rPr>
              <w:t>安全保障</w:t>
            </w:r>
          </w:p>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措施</w:t>
            </w:r>
          </w:p>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（5分）</w:t>
            </w:r>
          </w:p>
        </w:tc>
        <w:tc>
          <w:tcPr>
            <w:tcW w:w="751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left"/>
              <w:textAlignment w:val="auto"/>
              <w:rPr>
                <w:rFonts w:ascii="宋体" w:hAnsi="宋体"/>
                <w:sz w:val="24"/>
              </w:rPr>
            </w:pPr>
            <w:r>
              <w:rPr>
                <w:rFonts w:hint="eastAsia" w:ascii="宋体" w:hAnsi="宋体"/>
                <w:bCs/>
                <w:sz w:val="24"/>
              </w:rPr>
              <w:t>投标人需针</w:t>
            </w:r>
            <w:r>
              <w:rPr>
                <w:rFonts w:hint="eastAsia" w:ascii="宋体" w:hAnsi="宋体"/>
                <w:sz w:val="24"/>
              </w:rPr>
              <w:t>对本项目拟定运维人员的人身安全</w:t>
            </w:r>
            <w:r>
              <w:rPr>
                <w:rFonts w:hint="eastAsia" w:ascii="宋体" w:hAnsi="宋体"/>
                <w:sz w:val="24"/>
                <w:lang w:eastAsia="zh-CN"/>
              </w:rPr>
              <w:t>、</w:t>
            </w:r>
            <w:r>
              <w:rPr>
                <w:rFonts w:hint="eastAsia" w:ascii="宋体" w:hAnsi="宋体"/>
                <w:sz w:val="24"/>
              </w:rPr>
              <w:t>车辆安全</w:t>
            </w:r>
            <w:r>
              <w:rPr>
                <w:rFonts w:hint="eastAsia" w:ascii="宋体" w:hAnsi="宋体"/>
                <w:sz w:val="24"/>
                <w:lang w:eastAsia="zh-CN"/>
              </w:rPr>
              <w:t>、</w:t>
            </w:r>
            <w:r>
              <w:rPr>
                <w:rFonts w:hint="eastAsia" w:ascii="宋体" w:hAnsi="宋体"/>
                <w:sz w:val="24"/>
              </w:rPr>
              <w:t>实验室安全</w:t>
            </w:r>
            <w:r>
              <w:rPr>
                <w:rFonts w:hint="eastAsia" w:ascii="宋体" w:hAnsi="宋体"/>
                <w:sz w:val="24"/>
                <w:lang w:eastAsia="zh-CN"/>
              </w:rPr>
              <w:t>、</w:t>
            </w:r>
            <w:r>
              <w:rPr>
                <w:rFonts w:hint="eastAsia" w:ascii="宋体" w:hAnsi="宋体"/>
                <w:sz w:val="24"/>
              </w:rPr>
              <w:t>信息安全等保障措施，安全保障措施</w:t>
            </w:r>
            <w:r>
              <w:rPr>
                <w:rFonts w:hint="eastAsia" w:ascii="宋体" w:hAnsi="宋体"/>
                <w:sz w:val="24"/>
                <w:lang w:val="zh-CN"/>
              </w:rPr>
              <w:t>全面详细、分析到位、</w:t>
            </w:r>
            <w:r>
              <w:rPr>
                <w:rFonts w:hint="eastAsia" w:ascii="宋体" w:hAnsi="宋体"/>
                <w:sz w:val="24"/>
              </w:rPr>
              <w:t>科学合理</w:t>
            </w:r>
            <w:r>
              <w:rPr>
                <w:rFonts w:hint="eastAsia" w:ascii="宋体" w:hAnsi="宋体"/>
                <w:sz w:val="24"/>
                <w:lang w:val="zh-CN"/>
              </w:rPr>
              <w:t>的得</w:t>
            </w:r>
            <w:r>
              <w:rPr>
                <w:rFonts w:hint="eastAsia" w:ascii="宋体" w:hAnsi="宋体"/>
                <w:sz w:val="24"/>
              </w:rPr>
              <w:t>5</w:t>
            </w:r>
            <w:r>
              <w:rPr>
                <w:rFonts w:hint="eastAsia" w:ascii="宋体" w:hAnsi="宋体"/>
                <w:sz w:val="24"/>
                <w:lang w:val="zh-CN"/>
              </w:rPr>
              <w:t>分；</w:t>
            </w:r>
            <w:r>
              <w:rPr>
                <w:rFonts w:hint="eastAsia" w:ascii="宋体" w:hAnsi="宋体"/>
                <w:sz w:val="24"/>
              </w:rPr>
              <w:t>安全保障措施较好的</w:t>
            </w:r>
            <w:r>
              <w:rPr>
                <w:rFonts w:hint="eastAsia" w:ascii="宋体" w:hAnsi="宋体"/>
                <w:sz w:val="24"/>
                <w:lang w:val="zh-CN"/>
              </w:rPr>
              <w:t>得</w:t>
            </w:r>
            <w:r>
              <w:rPr>
                <w:rFonts w:hint="eastAsia" w:ascii="宋体" w:hAnsi="宋体"/>
                <w:sz w:val="24"/>
              </w:rPr>
              <w:t>3</w:t>
            </w:r>
            <w:r>
              <w:rPr>
                <w:rFonts w:hint="eastAsia" w:ascii="宋体" w:hAnsi="宋体"/>
                <w:sz w:val="24"/>
                <w:lang w:val="zh-CN"/>
              </w:rPr>
              <w:t>分；</w:t>
            </w:r>
            <w:r>
              <w:rPr>
                <w:rFonts w:hint="eastAsia" w:ascii="宋体" w:hAnsi="宋体"/>
                <w:sz w:val="24"/>
              </w:rPr>
              <w:t>安全保障措施一般</w:t>
            </w:r>
            <w:r>
              <w:rPr>
                <w:rFonts w:hint="eastAsia" w:ascii="宋体" w:hAnsi="宋体"/>
                <w:sz w:val="24"/>
                <w:lang w:val="zh-CN"/>
              </w:rPr>
              <w:t>的得</w:t>
            </w:r>
            <w:r>
              <w:rPr>
                <w:rFonts w:hint="eastAsia" w:ascii="宋体" w:hAnsi="宋体"/>
                <w:sz w:val="24"/>
              </w:rPr>
              <w:t>1</w:t>
            </w:r>
            <w:r>
              <w:rPr>
                <w:rFonts w:hint="eastAsia" w:ascii="宋体" w:hAnsi="宋体"/>
                <w:sz w:val="24"/>
                <w:lang w:val="zh-CN"/>
              </w:rPr>
              <w:t>分；未提供得0分。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3" w:hRule="atLeast"/>
          <w:jc w:val="center"/>
        </w:trPr>
        <w:tc>
          <w:tcPr>
            <w:tcW w:w="793"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10</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hint="eastAsia" w:ascii="宋体" w:hAnsi="宋体"/>
                <w:bCs/>
                <w:sz w:val="24"/>
              </w:rPr>
              <w:t>应急预案</w:t>
            </w:r>
          </w:p>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lang w:bidi="zh-CN"/>
              </w:rPr>
            </w:pPr>
            <w:r>
              <w:rPr>
                <w:rFonts w:hint="eastAsia" w:ascii="宋体" w:hAnsi="宋体"/>
                <w:bCs/>
                <w:sz w:val="24"/>
              </w:rPr>
              <w:t>（5分）</w:t>
            </w:r>
          </w:p>
        </w:tc>
        <w:tc>
          <w:tcPr>
            <w:tcW w:w="751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rPr>
                <w:rFonts w:ascii="宋体" w:hAnsi="宋体"/>
                <w:sz w:val="24"/>
                <w:lang w:val="zh-CN" w:bidi="zh-CN"/>
              </w:rPr>
            </w:pPr>
            <w:r>
              <w:rPr>
                <w:rFonts w:hint="eastAsia" w:ascii="宋体" w:hAnsi="宋体"/>
                <w:bCs/>
                <w:sz w:val="24"/>
              </w:rPr>
              <w:t>投标人需针对本项目拟定突发事件应急预案（主要是地质灾害、恶劣天气、停水停电、设备故障、水质超标等），应急预案科学合理、内容全面、操作性强的得5分；应急预案较好的得3分；应急预案一般的得1分</w:t>
            </w:r>
            <w:r>
              <w:rPr>
                <w:rFonts w:hint="eastAsia" w:ascii="宋体" w:hAnsi="宋体"/>
                <w:sz w:val="24"/>
                <w:lang w:val="zh-CN" w:bidi="zh-CN"/>
              </w:rPr>
              <w:t>；未提供得0分。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bCs/>
                <w:sz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793"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11</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hint="eastAsia" w:ascii="宋体" w:hAnsi="宋体"/>
                <w:sz w:val="24"/>
                <w:lang w:bidi="zh-CN"/>
              </w:rPr>
              <w:t>台账资料管理</w:t>
            </w:r>
            <w:r>
              <w:rPr>
                <w:rFonts w:hint="eastAsia" w:ascii="宋体" w:hAnsi="宋体"/>
                <w:bCs/>
                <w:sz w:val="24"/>
              </w:rPr>
              <w:t>（5分）</w:t>
            </w:r>
          </w:p>
        </w:tc>
        <w:tc>
          <w:tcPr>
            <w:tcW w:w="751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rPr>
                <w:rFonts w:ascii="宋体" w:hAnsi="宋体"/>
                <w:bCs/>
                <w:sz w:val="24"/>
              </w:rPr>
            </w:pPr>
            <w:r>
              <w:rPr>
                <w:rFonts w:hint="eastAsia" w:ascii="宋体" w:hAnsi="宋体"/>
                <w:bCs/>
                <w:sz w:val="24"/>
              </w:rPr>
              <w:t>投标人需针对本项目拟定台账资料管理方案，台账资料管理方案</w:t>
            </w:r>
            <w:r>
              <w:rPr>
                <w:rFonts w:hint="eastAsia" w:ascii="宋体" w:hAnsi="宋体"/>
                <w:sz w:val="24"/>
                <w:lang w:val="zh-CN" w:bidi="zh-CN"/>
              </w:rPr>
              <w:t>内容</w:t>
            </w:r>
            <w:r>
              <w:rPr>
                <w:rFonts w:hint="eastAsia" w:ascii="宋体" w:hAnsi="宋体"/>
                <w:sz w:val="24"/>
                <w:lang w:bidi="zh-CN"/>
              </w:rPr>
              <w:t>详实</w:t>
            </w:r>
            <w:r>
              <w:rPr>
                <w:rFonts w:hint="eastAsia" w:ascii="宋体" w:hAnsi="宋体"/>
                <w:sz w:val="24"/>
                <w:lang w:val="zh-CN" w:bidi="zh-CN"/>
              </w:rPr>
              <w:t>、分析到位、</w:t>
            </w:r>
            <w:r>
              <w:rPr>
                <w:rFonts w:hint="eastAsia" w:ascii="宋体" w:hAnsi="宋体"/>
                <w:bCs/>
                <w:sz w:val="24"/>
              </w:rPr>
              <w:t>符合招标文件要求</w:t>
            </w:r>
            <w:r>
              <w:rPr>
                <w:rFonts w:hint="eastAsia" w:ascii="宋体" w:hAnsi="宋体"/>
                <w:sz w:val="24"/>
                <w:lang w:val="zh-CN" w:bidi="zh-CN"/>
              </w:rPr>
              <w:t>得</w:t>
            </w:r>
            <w:r>
              <w:rPr>
                <w:rFonts w:hint="eastAsia" w:ascii="宋体" w:hAnsi="宋体"/>
                <w:sz w:val="24"/>
                <w:lang w:bidi="zh-CN"/>
              </w:rPr>
              <w:t>5</w:t>
            </w:r>
            <w:r>
              <w:rPr>
                <w:rFonts w:hint="eastAsia" w:ascii="宋体" w:hAnsi="宋体"/>
                <w:sz w:val="24"/>
                <w:lang w:val="zh-CN" w:bidi="zh-CN"/>
              </w:rPr>
              <w:t>分；</w:t>
            </w:r>
            <w:r>
              <w:rPr>
                <w:rFonts w:hint="eastAsia" w:ascii="宋体" w:hAnsi="宋体"/>
                <w:sz w:val="24"/>
                <w:lang w:bidi="zh-CN"/>
              </w:rPr>
              <w:t>方案较好的</w:t>
            </w:r>
            <w:r>
              <w:rPr>
                <w:rFonts w:hint="eastAsia" w:ascii="宋体" w:hAnsi="宋体"/>
                <w:sz w:val="24"/>
                <w:lang w:val="zh-CN" w:bidi="zh-CN"/>
              </w:rPr>
              <w:t>得</w:t>
            </w:r>
            <w:r>
              <w:rPr>
                <w:rFonts w:hint="eastAsia" w:ascii="宋体" w:hAnsi="宋体"/>
                <w:sz w:val="24"/>
                <w:lang w:bidi="zh-CN"/>
              </w:rPr>
              <w:t>3</w:t>
            </w:r>
            <w:r>
              <w:rPr>
                <w:rFonts w:hint="eastAsia" w:ascii="宋体" w:hAnsi="宋体"/>
                <w:sz w:val="24"/>
                <w:lang w:val="zh-CN" w:bidi="zh-CN"/>
              </w:rPr>
              <w:t>分；</w:t>
            </w:r>
            <w:r>
              <w:rPr>
                <w:rFonts w:hint="eastAsia" w:ascii="宋体" w:hAnsi="宋体"/>
                <w:sz w:val="24"/>
                <w:lang w:bidi="zh-CN"/>
              </w:rPr>
              <w:t>方案</w:t>
            </w:r>
            <w:r>
              <w:rPr>
                <w:rFonts w:hint="eastAsia" w:ascii="宋体" w:hAnsi="宋体"/>
                <w:sz w:val="24"/>
                <w:lang w:val="zh-CN" w:bidi="zh-CN"/>
              </w:rPr>
              <w:t>一般的得</w:t>
            </w:r>
            <w:r>
              <w:rPr>
                <w:rFonts w:hint="eastAsia" w:ascii="宋体" w:hAnsi="宋体"/>
                <w:sz w:val="24"/>
                <w:lang w:bidi="zh-CN"/>
              </w:rPr>
              <w:t>1</w:t>
            </w:r>
            <w:r>
              <w:rPr>
                <w:rFonts w:hint="eastAsia" w:ascii="宋体" w:hAnsi="宋体"/>
                <w:sz w:val="24"/>
                <w:lang w:val="zh-CN" w:bidi="zh-CN"/>
              </w:rPr>
              <w:t>分；未提供得0分。</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bCs/>
                <w:sz w:val="24"/>
              </w:rPr>
            </w:pPr>
            <w:r>
              <w:rPr>
                <w:rFonts w:hint="eastAsia" w:ascii="宋体" w:hAnsi="宋体"/>
                <w:bCs/>
                <w:sz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793"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jc w:val="center"/>
              <w:textAlignment w:val="auto"/>
              <w:rPr>
                <w:rFonts w:ascii="宋体" w:hAnsi="宋体"/>
                <w:sz w:val="24"/>
              </w:rPr>
            </w:pPr>
            <w:r>
              <w:rPr>
                <w:rFonts w:hint="eastAsia" w:ascii="宋体" w:hAnsi="宋体"/>
                <w:sz w:val="24"/>
              </w:rPr>
              <w:t>12</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ascii="宋体" w:hAnsi="宋体" w:cs="宋体"/>
                <w:sz w:val="24"/>
                <w:lang w:val="zh-CN"/>
              </w:rPr>
            </w:pPr>
            <w:r>
              <w:rPr>
                <w:rFonts w:hint="eastAsia" w:ascii="宋体" w:hAnsi="宋体" w:cs="宋体"/>
                <w:sz w:val="24"/>
                <w:lang w:val="zh-CN"/>
              </w:rPr>
              <w:t>报价</w:t>
            </w:r>
          </w:p>
          <w:p>
            <w:pPr>
              <w:keepNext w:val="0"/>
              <w:keepLines w:val="0"/>
              <w:pageBreakBefore w:val="0"/>
              <w:kinsoku/>
              <w:wordWrap/>
              <w:overflowPunct/>
              <w:topLinePunct w:val="0"/>
              <w:autoSpaceDE/>
              <w:autoSpaceDN/>
              <w:bidi w:val="0"/>
              <w:adjustRightInd/>
              <w:snapToGrid/>
              <w:spacing w:line="420" w:lineRule="exact"/>
              <w:jc w:val="center"/>
              <w:textAlignment w:val="auto"/>
              <w:rPr>
                <w:rFonts w:ascii="宋体" w:hAnsi="宋体"/>
                <w:sz w:val="24"/>
              </w:rPr>
            </w:pPr>
            <w:r>
              <w:rPr>
                <w:rFonts w:hint="eastAsia" w:ascii="宋体" w:hAnsi="宋体"/>
                <w:bCs/>
                <w:sz w:val="24"/>
              </w:rPr>
              <w:t>（15分）</w:t>
            </w:r>
          </w:p>
        </w:tc>
        <w:tc>
          <w:tcPr>
            <w:tcW w:w="7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textAlignment w:val="auto"/>
              <w:rPr>
                <w:rFonts w:ascii="宋体" w:hAnsi="宋体"/>
                <w:bCs/>
                <w:color w:val="auto"/>
                <w:sz w:val="24"/>
                <w:lang w:val="zh-CN"/>
              </w:rPr>
            </w:pPr>
            <w:r>
              <w:rPr>
                <w:rFonts w:hint="eastAsia" w:ascii="宋体" w:hAnsi="宋体"/>
                <w:bCs/>
                <w:color w:val="auto"/>
                <w:sz w:val="24"/>
                <w:lang w:val="zh-CN"/>
              </w:rPr>
              <w:t>有效投标报价的最低价作为评标基准价，其最低报价为满分；按［投标报价得分=（评标基准价/投标报价）*</w:t>
            </w:r>
            <w:r>
              <w:rPr>
                <w:rFonts w:hint="eastAsia" w:ascii="宋体" w:hAnsi="宋体"/>
                <w:bCs/>
                <w:color w:val="auto"/>
                <w:sz w:val="24"/>
              </w:rPr>
              <w:t>15</w:t>
            </w:r>
            <w:r>
              <w:rPr>
                <w:rFonts w:hint="eastAsia" w:ascii="宋体" w:hAnsi="宋体"/>
                <w:bCs/>
                <w:color w:val="auto"/>
                <w:sz w:val="24"/>
                <w:lang w:val="zh-CN"/>
              </w:rPr>
              <w:t>］的公式计算。</w:t>
            </w:r>
          </w:p>
          <w:p>
            <w:pPr>
              <w:keepNext w:val="0"/>
              <w:keepLines w:val="0"/>
              <w:pageBreakBefore w:val="0"/>
              <w:kinsoku/>
              <w:wordWrap/>
              <w:overflowPunct/>
              <w:topLinePunct w:val="0"/>
              <w:autoSpaceDE/>
              <w:autoSpaceDN/>
              <w:bidi w:val="0"/>
              <w:snapToGrid/>
              <w:spacing w:line="420" w:lineRule="exact"/>
              <w:textAlignment w:val="auto"/>
              <w:rPr>
                <w:rFonts w:ascii="宋体" w:hAnsi="宋体"/>
                <w:bCs/>
                <w:color w:val="auto"/>
                <w:sz w:val="24"/>
                <w:lang w:val="zh-CN"/>
              </w:rPr>
            </w:pPr>
            <w:r>
              <w:rPr>
                <w:rFonts w:hint="eastAsia" w:ascii="宋体" w:hAnsi="宋体"/>
                <w:bCs/>
                <w:color w:val="auto"/>
                <w:sz w:val="24"/>
                <w:lang w:val="zh-CN"/>
              </w:rPr>
              <w:t>评标过程中，不得去掉报价中的最高报价和最低报价。</w:t>
            </w:r>
          </w:p>
          <w:p>
            <w:pPr>
              <w:keepNext w:val="0"/>
              <w:keepLines w:val="0"/>
              <w:pageBreakBefore w:val="0"/>
              <w:kinsoku/>
              <w:wordWrap/>
              <w:overflowPunct/>
              <w:topLinePunct w:val="0"/>
              <w:autoSpaceDE/>
              <w:autoSpaceDN/>
              <w:bidi w:val="0"/>
              <w:snapToGrid/>
              <w:spacing w:line="420" w:lineRule="exact"/>
              <w:textAlignment w:val="auto"/>
              <w:rPr>
                <w:rFonts w:ascii="宋体" w:hAnsi="宋体"/>
                <w:bCs/>
                <w:sz w:val="24"/>
              </w:rPr>
            </w:pPr>
            <w:r>
              <w:rPr>
                <w:rFonts w:hint="eastAsia" w:ascii="宋体" w:hAnsi="宋体"/>
                <w:bCs/>
                <w:color w:val="auto"/>
                <w:sz w:val="24"/>
                <w:lang w:val="zh-CN"/>
              </w:rPr>
              <w:t>因落实政府采购政策需要进行价格调整的，以调整后的价格计算评标基准价和投标报价。</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20" w:lineRule="exact"/>
              <w:ind w:right="-20"/>
              <w:jc w:val="center"/>
              <w:textAlignment w:val="auto"/>
            </w:pPr>
            <w:r>
              <w:rPr>
                <w:rFonts w:hint="eastAsia" w:ascii="宋体" w:hAnsi="宋体" w:cs="宋体"/>
                <w:sz w:val="24"/>
              </w:rPr>
              <w:t>15</w:t>
            </w:r>
          </w:p>
        </w:tc>
      </w:tr>
    </w:tbl>
    <w:p>
      <w:pPr>
        <w:snapToGrid w:val="0"/>
        <w:spacing w:line="440" w:lineRule="exact"/>
        <w:ind w:firstLine="400" w:firstLineChars="200"/>
        <w:rPr>
          <w:rFonts w:hint="eastAsia" w:ascii="宋体" w:hAnsi="宋体" w:cs="宋体"/>
          <w:sz w:val="20"/>
          <w:szCs w:val="20"/>
          <w:shd w:val="clear" w:color="auto" w:fill="FFFFFF"/>
        </w:rPr>
      </w:pPr>
    </w:p>
    <w:p>
      <w:pPr>
        <w:snapToGrid w:val="0"/>
        <w:spacing w:line="440" w:lineRule="exact"/>
        <w:ind w:firstLine="400" w:firstLineChars="200"/>
        <w:rPr>
          <w:rFonts w:ascii="宋体" w:hAnsi="宋体" w:cs="宋体"/>
          <w:b/>
          <w:sz w:val="24"/>
        </w:rPr>
      </w:pPr>
      <w:r>
        <w:rPr>
          <w:rFonts w:hint="eastAsia" w:ascii="宋体" w:hAnsi="宋体" w:cs="宋体"/>
          <w:sz w:val="20"/>
          <w:szCs w:val="20"/>
          <w:shd w:val="clear" w:color="auto" w:fill="FFFFFF"/>
        </w:rPr>
        <w:t>*</w:t>
      </w:r>
      <w:r>
        <w:rPr>
          <w:rFonts w:hint="eastAsia" w:ascii="宋体" w:hAnsi="宋体" w:cs="宋体"/>
          <w:b/>
          <w:sz w:val="24"/>
        </w:rPr>
        <w:t>备注：</w:t>
      </w:r>
    </w:p>
    <w:p>
      <w:pPr>
        <w:snapToGrid w:val="0"/>
        <w:spacing w:line="440" w:lineRule="exact"/>
        <w:ind w:firstLine="480" w:firstLineChars="200"/>
        <w:rPr>
          <w:rFonts w:ascii="宋体" w:hAnsi="宋体" w:cs="宋体"/>
          <w:sz w:val="24"/>
        </w:rPr>
      </w:pPr>
      <w:r>
        <w:rPr>
          <w:rFonts w:hint="eastAsia" w:ascii="宋体" w:hAnsi="宋体" w:cs="宋体"/>
          <w:sz w:val="24"/>
        </w:rPr>
        <w:t>1、投标人编制投标文件（商务技术文件部分）时，建议按此目录（序号和内容）提供评标标准相应的商务技术资料。 </w:t>
      </w:r>
    </w:p>
    <w:p>
      <w:pPr>
        <w:snapToGrid w:val="0"/>
        <w:spacing w:line="440" w:lineRule="exact"/>
        <w:ind w:firstLine="482" w:firstLineChars="200"/>
        <w:rPr>
          <w:rFonts w:ascii="宋体" w:hAnsi="宋体" w:cs="宋体"/>
          <w:sz w:val="24"/>
        </w:rPr>
      </w:pPr>
      <w:r>
        <w:rPr>
          <w:rFonts w:hint="eastAsia" w:ascii="宋体" w:hAnsi="宋体" w:cs="宋体"/>
          <w:b/>
          <w:sz w:val="24"/>
        </w:rPr>
        <w:t>2、</w:t>
      </w:r>
      <w:r>
        <w:rPr>
          <w:rFonts w:hint="eastAsia" w:ascii="宋体" w:hAnsi="宋体" w:cs="宋体"/>
          <w:sz w:val="24"/>
        </w:rPr>
        <w:t>投标人提供的合同、证书等资料弄虚作假的，报政府采购监督部门查处。</w:t>
      </w:r>
    </w:p>
    <w:p>
      <w:pPr>
        <w:snapToGrid w:val="0"/>
        <w:spacing w:line="440" w:lineRule="exact"/>
        <w:ind w:firstLine="482" w:firstLineChars="200"/>
      </w:pPr>
      <w:r>
        <w:rPr>
          <w:rFonts w:hint="eastAsia" w:ascii="宋体" w:hAnsi="宋体" w:cs="宋体"/>
          <w:b/>
          <w:sz w:val="24"/>
        </w:rPr>
        <w:t>3、</w:t>
      </w:r>
      <w:r>
        <w:rPr>
          <w:rFonts w:hint="eastAsia" w:ascii="宋体" w:hAnsi="宋体" w:cs="宋体"/>
          <w:sz w:val="24"/>
        </w:rPr>
        <w:t>以上评分项目，以投标人在投标书中做出的书面承诺或加盖公章的相关材料复印件为准。若未按上述要求提供书面及相关材料，或提供的书面及相关材料与事实不符，或提供的书面及相关材料无法提供完整的投标响应信息的均不给分。任何由于投标人原因导致书面及相关材料缺失、字迹模糊无法分辨、内容错漏的情形，均可能导致该投标人的评审项失分。</w:t>
      </w:r>
    </w:p>
    <w:p>
      <w:pPr>
        <w:snapToGrid w:val="0"/>
        <w:spacing w:line="440" w:lineRule="exact"/>
        <w:jc w:val="left"/>
        <w:rPr>
          <w:rFonts w:ascii="宋体" w:hAnsi="宋体" w:cs="宋体"/>
          <w:b/>
          <w:sz w:val="28"/>
          <w:szCs w:val="28"/>
        </w:rPr>
      </w:pPr>
      <w:r>
        <w:rPr>
          <w:rFonts w:hint="eastAsia" w:ascii="宋体" w:hAnsi="宋体" w:cs="宋体"/>
          <w:b/>
          <w:sz w:val="32"/>
        </w:rPr>
        <w:t>一、评标方法</w:t>
      </w:r>
    </w:p>
    <w:p>
      <w:pPr>
        <w:adjustRightInd/>
        <w:spacing w:line="440" w:lineRule="exact"/>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440" w:lineRule="exact"/>
        <w:jc w:val="left"/>
        <w:rPr>
          <w:rFonts w:ascii="宋体" w:hAnsi="宋体" w:cs="宋体"/>
          <w:kern w:val="0"/>
          <w:sz w:val="24"/>
        </w:rPr>
      </w:pPr>
      <w:r>
        <w:rPr>
          <w:rFonts w:hint="eastAsia" w:ascii="宋体" w:hAnsi="宋体" w:cs="宋体"/>
          <w:b/>
          <w:sz w:val="24"/>
        </w:rPr>
        <w:t>二、评标标准</w:t>
      </w:r>
    </w:p>
    <w:p>
      <w:pPr>
        <w:spacing w:line="440" w:lineRule="exact"/>
        <w:ind w:firstLine="472" w:firstLineChars="196"/>
        <w:rPr>
          <w:rFonts w:ascii="宋体" w:hAnsi="宋体" w:cs="宋体"/>
          <w:b/>
          <w:sz w:val="24"/>
        </w:rPr>
      </w:pPr>
      <w:r>
        <w:rPr>
          <w:rFonts w:hint="eastAsia" w:ascii="宋体" w:hAnsi="宋体" w:cs="宋体"/>
          <w:b/>
          <w:sz w:val="24"/>
        </w:rPr>
        <w:t>2.评标标准：</w:t>
      </w:r>
      <w:r>
        <w:rPr>
          <w:rFonts w:hint="eastAsia" w:ascii="宋体" w:hAnsi="宋体" w:cs="宋体"/>
          <w:kern w:val="0"/>
          <w:sz w:val="24"/>
        </w:rPr>
        <w:t>见评标办法表。</w:t>
      </w:r>
    </w:p>
    <w:p>
      <w:pPr>
        <w:spacing w:line="440" w:lineRule="exact"/>
        <w:jc w:val="left"/>
        <w:outlineLvl w:val="0"/>
        <w:rPr>
          <w:rFonts w:ascii="宋体" w:hAnsi="宋体" w:cs="宋体"/>
          <w:b/>
          <w:sz w:val="24"/>
        </w:rPr>
      </w:pPr>
      <w:r>
        <w:rPr>
          <w:rFonts w:hint="eastAsia" w:ascii="宋体" w:hAnsi="宋体" w:cs="宋体"/>
          <w:b/>
          <w:sz w:val="24"/>
        </w:rPr>
        <w:t>三、评标程序</w:t>
      </w:r>
    </w:p>
    <w:p>
      <w:pPr>
        <w:spacing w:line="440" w:lineRule="exact"/>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440" w:lineRule="exact"/>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440" w:lineRule="exact"/>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440" w:lineRule="exact"/>
        <w:ind w:firstLine="472" w:firstLineChars="196"/>
        <w:rPr>
          <w:rFonts w:ascii="宋体" w:hAnsi="宋体" w:cs="宋体"/>
          <w:b/>
          <w:kern w:val="0"/>
          <w:sz w:val="24"/>
        </w:rPr>
      </w:pPr>
      <w:r>
        <w:rPr>
          <w:rFonts w:hint="eastAsia" w:ascii="宋体" w:hAnsi="宋体" w:cs="宋体"/>
          <w:b/>
          <w:kern w:val="0"/>
          <w:sz w:val="24"/>
        </w:rPr>
        <w:t>3.4报价评审。</w:t>
      </w:r>
    </w:p>
    <w:p>
      <w:pPr>
        <w:pStyle w:val="29"/>
        <w:spacing w:before="0" w:line="440" w:lineRule="exact"/>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29"/>
        <w:spacing w:before="0" w:line="440" w:lineRule="exact"/>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29"/>
        <w:spacing w:before="0" w:line="440" w:lineRule="exact"/>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29"/>
        <w:spacing w:before="0" w:line="440" w:lineRule="exact"/>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29"/>
        <w:spacing w:before="0" w:line="440" w:lineRule="exact"/>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29"/>
        <w:spacing w:before="0" w:line="440" w:lineRule="exact"/>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440" w:lineRule="exact"/>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440" w:lineRule="exact"/>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29"/>
        <w:spacing w:before="0" w:line="440" w:lineRule="exact"/>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29"/>
        <w:spacing w:before="0" w:line="440" w:lineRule="exact"/>
        <w:ind w:firstLine="480"/>
        <w:rPr>
          <w:rFonts w:ascii="宋体" w:hAnsi="宋体" w:cs="宋体"/>
          <w:kern w:val="0"/>
          <w:szCs w:val="24"/>
        </w:rPr>
      </w:pPr>
      <w:r>
        <w:rPr>
          <w:rFonts w:hint="eastAsia" w:ascii="宋体" w:hAnsi="宋体" w:cs="宋体"/>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440" w:lineRule="exact"/>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napToGrid w:val="0"/>
        <w:spacing w:line="440" w:lineRule="exact"/>
        <w:ind w:firstLine="482" w:firstLineChars="200"/>
        <w:rPr>
          <w:rFonts w:ascii="宋体" w:hAnsi="宋体" w:cs="宋体"/>
          <w:kern w:val="0"/>
          <w:sz w:val="24"/>
        </w:rPr>
      </w:pPr>
      <w:r>
        <w:rPr>
          <w:rFonts w:hint="eastAsia" w:ascii="宋体" w:hAnsi="宋体" w:cs="宋体"/>
          <w:b/>
          <w:bCs/>
          <w:sz w:val="24"/>
        </w:rPr>
        <w:t>注：本项目共分五个标项，按标项一至标项五顺序开标，每个投标人最多可中二个标项。已中二个标项的供应商不得作为其余标项的有效投标人。</w:t>
      </w:r>
    </w:p>
    <w:p>
      <w:pPr>
        <w:spacing w:line="440" w:lineRule="exact"/>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供应商推荐资格；评审得分相同的，采取随机抽取方式确定，其他同品牌投标人不作为中标候选人。</w:t>
      </w:r>
    </w:p>
    <w:p>
      <w:pPr>
        <w:spacing w:line="440" w:lineRule="exact"/>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pacing w:line="440" w:lineRule="exact"/>
        <w:jc w:val="left"/>
        <w:outlineLvl w:val="0"/>
        <w:rPr>
          <w:rFonts w:hint="eastAsia" w:ascii="宋体" w:hAnsi="宋体" w:cs="宋体"/>
          <w:b/>
          <w:sz w:val="24"/>
        </w:rPr>
      </w:pPr>
      <w:r>
        <w:rPr>
          <w:rFonts w:hint="eastAsia" w:ascii="宋体" w:hAnsi="宋体" w:cs="宋体"/>
          <w:b/>
          <w:sz w:val="24"/>
        </w:rPr>
        <w:t>四、评标中的其他事项</w:t>
      </w:r>
    </w:p>
    <w:p>
      <w:pPr>
        <w:pStyle w:val="29"/>
        <w:spacing w:before="0" w:line="440" w:lineRule="exact"/>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9"/>
        <w:spacing w:line="440" w:lineRule="exact"/>
        <w:ind w:left="954" w:leftChars="226" w:hanging="479" w:firstLineChars="0"/>
        <w:rPr>
          <w:rFonts w:cs="宋体"/>
          <w:szCs w:val="21"/>
        </w:rPr>
      </w:pPr>
      <w:r>
        <w:rPr>
          <w:rFonts w:hint="eastAsia" w:cs="宋体"/>
          <w:b/>
          <w:kern w:val="0"/>
        </w:rPr>
        <w:t>4.2投标无效。</w:t>
      </w:r>
      <w:r>
        <w:rPr>
          <w:rFonts w:hint="eastAsia" w:cs="宋体"/>
          <w:szCs w:val="21"/>
        </w:rPr>
        <w:t>有下列情况之一的，投标无效：</w:t>
      </w:r>
    </w:p>
    <w:p>
      <w:pPr>
        <w:spacing w:line="440" w:lineRule="exact"/>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440" w:lineRule="exact"/>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440" w:lineRule="exact"/>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440" w:lineRule="exact"/>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440" w:lineRule="exact"/>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440" w:lineRule="exact"/>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440" w:lineRule="exact"/>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440" w:lineRule="exact"/>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440" w:lineRule="exact"/>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440" w:lineRule="exact"/>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440" w:lineRule="exact"/>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440" w:lineRule="exact"/>
        <w:ind w:firstLine="480" w:firstLineChars="200"/>
        <w:rPr>
          <w:rFonts w:ascii="宋体" w:hAnsi="宋体" w:cs="宋体"/>
          <w:kern w:val="0"/>
          <w:sz w:val="24"/>
        </w:rPr>
      </w:pPr>
      <w:r>
        <w:rPr>
          <w:rFonts w:hint="eastAsia" w:ascii="宋体" w:hAnsi="宋体" w:cs="宋体"/>
          <w:kern w:val="0"/>
          <w:sz w:val="24"/>
        </w:rPr>
        <w:t>4.2.12投标人仅提交备份投标文件，没有在电子交易平台传输递交投标文件的，投标无效；</w:t>
      </w:r>
    </w:p>
    <w:p>
      <w:pPr>
        <w:pStyle w:val="3"/>
        <w:spacing w:line="440" w:lineRule="exact"/>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440" w:lineRule="exact"/>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9"/>
        <w:snapToGrid w:val="0"/>
        <w:spacing w:line="440" w:lineRule="exact"/>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9"/>
        <w:snapToGrid w:val="0"/>
        <w:spacing w:line="440" w:lineRule="exact"/>
        <w:rPr>
          <w:rFonts w:cs="宋体"/>
        </w:rPr>
      </w:pPr>
      <w:r>
        <w:rPr>
          <w:rFonts w:hint="eastAsia" w:cs="宋体"/>
        </w:rPr>
        <w:t>5.1符合专业条件的供应商或者对招标文件作实质响应的供应商不足3家的；</w:t>
      </w:r>
    </w:p>
    <w:p>
      <w:pPr>
        <w:pStyle w:val="9"/>
        <w:snapToGrid w:val="0"/>
        <w:spacing w:line="440" w:lineRule="exact"/>
        <w:rPr>
          <w:rFonts w:cs="宋体"/>
        </w:rPr>
      </w:pPr>
      <w:r>
        <w:rPr>
          <w:rFonts w:hint="eastAsia" w:cs="宋体"/>
        </w:rPr>
        <w:t>5.2出现影响采购公正的违法、违规行为的；</w:t>
      </w:r>
    </w:p>
    <w:p>
      <w:pPr>
        <w:pStyle w:val="9"/>
        <w:snapToGrid w:val="0"/>
        <w:spacing w:line="440" w:lineRule="exact"/>
        <w:rPr>
          <w:rFonts w:cs="宋体"/>
        </w:rPr>
      </w:pPr>
      <w:r>
        <w:rPr>
          <w:rFonts w:hint="eastAsia" w:cs="宋体"/>
        </w:rPr>
        <w:t>5.3投标人的报价均超过了采购预算，采购人不能支付的；</w:t>
      </w:r>
    </w:p>
    <w:p>
      <w:pPr>
        <w:pStyle w:val="9"/>
        <w:snapToGrid w:val="0"/>
        <w:spacing w:line="440" w:lineRule="exact"/>
        <w:rPr>
          <w:rFonts w:cs="宋体"/>
        </w:rPr>
      </w:pPr>
      <w:r>
        <w:rPr>
          <w:rFonts w:hint="eastAsia" w:cs="宋体"/>
        </w:rPr>
        <w:t>5.4因重大变故，采购任务取消的。</w:t>
      </w:r>
    </w:p>
    <w:p>
      <w:pPr>
        <w:pStyle w:val="9"/>
        <w:snapToGrid w:val="0"/>
        <w:spacing w:line="440" w:lineRule="exact"/>
        <w:rPr>
          <w:rFonts w:cs="宋体"/>
        </w:rPr>
      </w:pPr>
      <w:r>
        <w:rPr>
          <w:rFonts w:hint="eastAsia" w:cs="宋体"/>
        </w:rPr>
        <w:t>废标后，采购机构应当将废标理由通知所有投标人。</w:t>
      </w:r>
    </w:p>
    <w:p>
      <w:pPr>
        <w:pStyle w:val="9"/>
        <w:snapToGrid w:val="0"/>
        <w:spacing w:line="440" w:lineRule="exact"/>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9"/>
        <w:snapToGrid w:val="0"/>
        <w:spacing w:line="440" w:lineRule="exact"/>
        <w:ind w:firstLine="590" w:firstLineChars="245"/>
        <w:rPr>
          <w:rFonts w:cs="宋体"/>
        </w:rPr>
      </w:pPr>
      <w:r>
        <w:rPr>
          <w:rFonts w:hint="eastAsia" w:cs="宋体"/>
          <w:b/>
          <w:kern w:val="0"/>
        </w:rPr>
        <w:t>7.重新开展采购。</w:t>
      </w:r>
      <w:r>
        <w:rPr>
          <w:rFonts w:hint="eastAsia" w:cs="宋体"/>
        </w:rPr>
        <w:t>有政府采购法第七十一条、第七十二条规定的违法行为之一，影响或者可能影响中标、成交结果的，依照下列规定处理：</w:t>
      </w:r>
    </w:p>
    <w:p>
      <w:pPr>
        <w:pStyle w:val="9"/>
        <w:snapToGrid w:val="0"/>
        <w:spacing w:line="440" w:lineRule="exact"/>
        <w:ind w:firstLine="600" w:firstLineChars="250"/>
        <w:rPr>
          <w:rFonts w:cs="宋体"/>
        </w:rPr>
      </w:pPr>
      <w:r>
        <w:rPr>
          <w:rFonts w:hint="eastAsia" w:cs="宋体"/>
        </w:rPr>
        <w:t>7.1未确定中标或者中标供应商的，终止本次政府采购活动，重新开展政府采购活动。</w:t>
      </w:r>
    </w:p>
    <w:p>
      <w:pPr>
        <w:pStyle w:val="9"/>
        <w:snapToGrid w:val="0"/>
        <w:spacing w:line="440" w:lineRule="exact"/>
        <w:ind w:firstLine="600" w:firstLineChars="250"/>
        <w:rPr>
          <w:rFonts w:cs="宋体"/>
        </w:rPr>
      </w:pPr>
      <w:r>
        <w:rPr>
          <w:rFonts w:hint="eastAsia" w:cs="宋体"/>
        </w:rPr>
        <w:t>7.2已确定中标或者中标供应商但尚未签订政府采购合同的，中标或者成交结果无效，从合格的中标或者成交候选人中另行确定中标或者中标供应商；没有合格的中标或者成交候选人的，重新开展政府采购活动。</w:t>
      </w:r>
    </w:p>
    <w:p>
      <w:pPr>
        <w:pStyle w:val="9"/>
        <w:snapToGrid w:val="0"/>
        <w:spacing w:line="440" w:lineRule="exact"/>
        <w:ind w:firstLine="600" w:firstLineChars="250"/>
        <w:rPr>
          <w:rFonts w:cs="宋体"/>
        </w:rPr>
      </w:pPr>
      <w:r>
        <w:rPr>
          <w:rFonts w:hint="eastAsia" w:cs="宋体"/>
        </w:rPr>
        <w:t>7.3政府采购合同已签订但尚未履行的，撤销合同，从合格的中标或者成交候选人中另行确定中标或者中标供应商；没有合格的中标或者成交候选人的，重新开展政府采购活动。</w:t>
      </w:r>
    </w:p>
    <w:p>
      <w:pPr>
        <w:pStyle w:val="9"/>
        <w:snapToGrid w:val="0"/>
        <w:spacing w:line="440" w:lineRule="exact"/>
        <w:ind w:firstLine="600" w:firstLineChars="250"/>
        <w:rPr>
          <w:rFonts w:cs="宋体"/>
        </w:rPr>
      </w:pPr>
      <w:r>
        <w:rPr>
          <w:rFonts w:hint="eastAsia" w:cs="宋体"/>
        </w:rPr>
        <w:t>7.4政府采购合同已经履行，给采购人、供应商造成损失的，由责任人承担赔偿责任。</w:t>
      </w:r>
    </w:p>
    <w:p>
      <w:pPr>
        <w:pStyle w:val="9"/>
        <w:snapToGrid w:val="0"/>
        <w:spacing w:line="440" w:lineRule="exact"/>
        <w:ind w:firstLine="600" w:firstLineChars="250"/>
        <w:rPr>
          <w:rFonts w:cs="宋体"/>
        </w:rPr>
      </w:pPr>
      <w:r>
        <w:rPr>
          <w:rFonts w:hint="eastAsia" w:cs="宋体"/>
        </w:rPr>
        <w:t>7.5政府采购当事人有其他违反政府采购法或者政府采购法实施条例等法律法规规定的行为，经改正后仍然影响或者可能影响中标、成交结果或者依法被认定为中标、成交无效的，依照7.1-7.4规定处理。</w:t>
      </w:r>
    </w:p>
    <w:bookmarkEnd w:id="24"/>
    <w:p>
      <w:pPr>
        <w:spacing w:line="360" w:lineRule="auto"/>
        <w:outlineLvl w:val="0"/>
        <w:rPr>
          <w:rFonts w:ascii="宋体" w:hAnsi="宋体" w:cs="宋体"/>
          <w:b/>
          <w:sz w:val="36"/>
          <w:szCs w:val="36"/>
        </w:rPr>
      </w:pPr>
      <w:bookmarkStart w:id="391" w:name="第五部分"/>
      <w:bookmarkStart w:id="392" w:name="_Toc86217003"/>
    </w:p>
    <w:p>
      <w:pPr>
        <w:rPr>
          <w:rFonts w:ascii="宋体" w:hAnsi="宋体" w:cs="宋体"/>
          <w:b/>
          <w:sz w:val="36"/>
          <w:szCs w:val="36"/>
        </w:rPr>
      </w:pPr>
      <w:r>
        <w:rPr>
          <w:rFonts w:hint="eastAsia" w:ascii="宋体" w:hAnsi="宋体" w:cs="宋体"/>
          <w:b/>
          <w:sz w:val="36"/>
          <w:szCs w:val="36"/>
        </w:rPr>
        <w:br w:type="page"/>
      </w:r>
    </w:p>
    <w:p>
      <w:pPr>
        <w:spacing w:line="360" w:lineRule="auto"/>
        <w:jc w:val="center"/>
        <w:outlineLvl w:val="0"/>
        <w:rPr>
          <w:rFonts w:ascii="宋体" w:hAnsi="宋体" w:cs="宋体"/>
          <w:b/>
          <w:sz w:val="36"/>
          <w:szCs w:val="36"/>
        </w:rPr>
      </w:pPr>
      <w:r>
        <w:rPr>
          <w:rFonts w:hint="eastAsia" w:ascii="宋体" w:hAnsi="宋体" w:cs="宋体"/>
          <w:b/>
          <w:sz w:val="36"/>
          <w:szCs w:val="36"/>
        </w:rPr>
        <w:t>第五部分 拟签订的合同文本</w:t>
      </w:r>
    </w:p>
    <w:p>
      <w:pPr>
        <w:spacing w:line="480" w:lineRule="auto"/>
        <w:jc w:val="center"/>
        <w:rPr>
          <w:rFonts w:ascii="宋体" w:hAnsi="宋体" w:cs="宋体"/>
          <w:b/>
          <w:sz w:val="24"/>
        </w:rPr>
      </w:pPr>
      <w:r>
        <w:rPr>
          <w:rFonts w:hint="eastAsia" w:ascii="宋体" w:hAnsi="宋体" w:cs="宋体"/>
          <w:b/>
          <w:sz w:val="24"/>
        </w:rPr>
        <w:t>（以最终合同为准）</w:t>
      </w:r>
    </w:p>
    <w:p>
      <w:pPr>
        <w:spacing w:line="480" w:lineRule="auto"/>
        <w:jc w:val="left"/>
        <w:rPr>
          <w:rFonts w:ascii="宋体" w:hAnsi="宋体" w:cs="宋体"/>
          <w:b/>
          <w:sz w:val="24"/>
        </w:rPr>
      </w:pPr>
    </w:p>
    <w:p>
      <w:pPr>
        <w:spacing w:line="480" w:lineRule="auto"/>
        <w:jc w:val="left"/>
        <w:rPr>
          <w:rFonts w:ascii="宋体" w:hAnsi="宋体" w:cs="宋体"/>
          <w:b/>
          <w:sz w:val="24"/>
          <w:u w:val="single"/>
        </w:rPr>
      </w:pPr>
      <w:r>
        <w:rPr>
          <w:rFonts w:hint="eastAsia" w:ascii="宋体" w:hAnsi="宋体" w:cs="宋体"/>
          <w:b/>
          <w:sz w:val="24"/>
        </w:rPr>
        <w:t>合同编号：</w:t>
      </w:r>
      <w:r>
        <w:rPr>
          <w:rFonts w:hint="eastAsia" w:ascii="宋体" w:hAnsi="宋体" w:cs="宋体"/>
          <w:b/>
          <w:sz w:val="24"/>
          <w:u w:val="single"/>
        </w:rPr>
        <w:t xml:space="preserve">           </w:t>
      </w:r>
    </w:p>
    <w:p>
      <w:pPr>
        <w:spacing w:line="480" w:lineRule="auto"/>
        <w:rPr>
          <w:rFonts w:ascii="宋体" w:hAnsi="宋体" w:cs="宋体"/>
          <w:b/>
          <w:sz w:val="36"/>
          <w:szCs w:val="36"/>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（购买服务类）</w:t>
      </w:r>
    </w:p>
    <w:p>
      <w:pPr>
        <w:pStyle w:val="31"/>
        <w:rPr>
          <w:rFonts w:ascii="宋体" w:hAnsi="宋体" w:cs="宋体"/>
          <w:szCs w:val="24"/>
        </w:rPr>
      </w:pPr>
    </w:p>
    <w:p>
      <w:pPr>
        <w:pStyle w:val="31"/>
        <w:ind w:left="0" w:leftChars="0" w:firstLine="0" w:firstLineChars="0"/>
        <w:jc w:val="center"/>
        <w:rPr>
          <w:rFonts w:ascii="宋体" w:hAnsi="宋体" w:cs="宋体"/>
          <w:szCs w:val="24"/>
        </w:rPr>
      </w:pPr>
      <w:r>
        <w:rPr>
          <w:rFonts w:hint="eastAsia" w:ascii="宋体" w:hAnsi="宋体" w:cs="宋体"/>
          <w:szCs w:val="24"/>
        </w:rPr>
        <w:t>第一部分 合同书</w:t>
      </w:r>
    </w:p>
    <w:p>
      <w:pPr>
        <w:pStyle w:val="31"/>
        <w:ind w:left="0" w:leftChars="0" w:firstLine="0" w:firstLineChars="0"/>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32"/>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kern w:val="0"/>
          <w:sz w:val="24"/>
        </w:rPr>
        <w:sectPr>
          <w:pgSz w:w="11907" w:h="16840"/>
          <w:pgMar w:top="1474" w:right="1814" w:bottom="1474" w:left="1814" w:header="851" w:footer="851" w:gutter="0"/>
          <w:cols w:space="720" w:num="1"/>
        </w:sect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2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u w:val="single"/>
        </w:rPr>
        <w:t>2023</w:t>
      </w: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桐庐县城乡建设管理处 </w:t>
      </w:r>
      <w:r>
        <w:rPr>
          <w:rFonts w:hint="eastAsia" w:ascii="宋体" w:hAnsi="宋体" w:cs="宋体"/>
          <w:sz w:val="24"/>
        </w:rPr>
        <w:t>以</w:t>
      </w:r>
      <w:r>
        <w:rPr>
          <w:rFonts w:hint="eastAsia" w:ascii="宋体" w:hAnsi="宋体" w:cs="宋体"/>
          <w:sz w:val="24"/>
          <w:u w:val="single"/>
        </w:rPr>
        <w:t xml:space="preserve">  公开招标  </w:t>
      </w:r>
      <w:r>
        <w:rPr>
          <w:rFonts w:hint="eastAsia" w:ascii="宋体" w:hAnsi="宋体" w:cs="宋体"/>
          <w:sz w:val="24"/>
        </w:rPr>
        <w:t>对</w:t>
      </w:r>
      <w:r>
        <w:rPr>
          <w:rFonts w:hint="eastAsia" w:ascii="宋体" w:hAnsi="宋体" w:cs="宋体"/>
          <w:sz w:val="24"/>
          <w:u w:val="single"/>
        </w:rPr>
        <w:t xml:space="preserve">   （同前页项目名称）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（中标供应商名称）</w:t>
      </w:r>
      <w:r>
        <w:rPr>
          <w:rFonts w:hint="eastAsia" w:ascii="宋体" w:hAnsi="宋体" w:cs="宋体"/>
          <w:sz w:val="24"/>
        </w:rPr>
        <w:t>为该项目中标供应商。现于中标通知书发出之日起三十日内，按照采购文件确定的事项签订本合同。</w:t>
      </w:r>
    </w:p>
    <w:p>
      <w:pPr>
        <w:spacing w:line="42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桐庐县城乡建设管理处 </w:t>
      </w:r>
      <w:r>
        <w:rPr>
          <w:rFonts w:hint="eastAsia" w:ascii="宋体" w:hAnsi="宋体" w:cs="宋体"/>
          <w:sz w:val="24"/>
          <w:lang w:val="zh-CN"/>
        </w:rPr>
        <w:t>(以下简称：甲方)和</w:t>
      </w:r>
      <w:r>
        <w:rPr>
          <w:rFonts w:hint="eastAsia" w:ascii="宋体" w:hAnsi="宋体" w:cs="宋体"/>
          <w:sz w:val="24"/>
          <w:u w:val="single"/>
        </w:rPr>
        <w:t xml:space="preserve">   （中标供应商名称）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420" w:lineRule="exact"/>
        <w:ind w:firstLine="482" w:firstLineChars="200"/>
        <w:outlineLvl w:val="0"/>
        <w:rPr>
          <w:rFonts w:ascii="宋体" w:hAnsi="宋体" w:cs="宋体"/>
          <w:b/>
          <w:sz w:val="24"/>
        </w:rPr>
      </w:pPr>
      <w:bookmarkStart w:id="393" w:name="_Toc2232"/>
      <w:bookmarkStart w:id="394" w:name="_Toc3029"/>
      <w:bookmarkStart w:id="395" w:name="_Toc24059"/>
      <w:r>
        <w:rPr>
          <w:rFonts w:hint="eastAsia" w:ascii="宋体" w:hAnsi="宋体" w:cs="宋体"/>
          <w:b/>
          <w:sz w:val="24"/>
        </w:rPr>
        <w:t>1.1 合同组成部分</w:t>
      </w:r>
      <w:bookmarkEnd w:id="393"/>
      <w:bookmarkEnd w:id="394"/>
      <w:bookmarkEnd w:id="395"/>
    </w:p>
    <w:p>
      <w:pPr>
        <w:spacing w:line="42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2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420" w:lineRule="exact"/>
        <w:ind w:firstLine="480" w:firstLineChars="200"/>
        <w:rPr>
          <w:rFonts w:ascii="宋体" w:hAnsi="宋体" w:cs="宋体"/>
          <w:sz w:val="24"/>
        </w:rPr>
      </w:pPr>
      <w:r>
        <w:rPr>
          <w:rFonts w:hint="eastAsia" w:ascii="宋体" w:hAnsi="宋体" w:cs="宋体"/>
          <w:sz w:val="24"/>
        </w:rPr>
        <w:t>1.1.2 中标通知书；</w:t>
      </w:r>
    </w:p>
    <w:p>
      <w:pPr>
        <w:spacing w:line="420" w:lineRule="exact"/>
        <w:ind w:firstLine="480" w:firstLineChars="200"/>
        <w:rPr>
          <w:rFonts w:ascii="宋体" w:hAnsi="宋体" w:cs="宋体"/>
          <w:sz w:val="24"/>
        </w:rPr>
      </w:pPr>
      <w:r>
        <w:rPr>
          <w:rFonts w:hint="eastAsia" w:ascii="宋体" w:hAnsi="宋体" w:cs="宋体"/>
          <w:sz w:val="24"/>
        </w:rPr>
        <w:t>1.1.3 投标文件（含澄清或者说明文件）；</w:t>
      </w:r>
    </w:p>
    <w:p>
      <w:pPr>
        <w:spacing w:line="420" w:lineRule="exact"/>
        <w:ind w:firstLine="480" w:firstLineChars="200"/>
        <w:rPr>
          <w:rFonts w:ascii="宋体" w:hAnsi="宋体" w:cs="宋体"/>
          <w:sz w:val="24"/>
        </w:rPr>
      </w:pPr>
      <w:r>
        <w:rPr>
          <w:rFonts w:hint="eastAsia" w:ascii="宋体" w:hAnsi="宋体" w:cs="宋体"/>
          <w:sz w:val="24"/>
        </w:rPr>
        <w:t>1.1.4 招标文件（含澄清或者修改文件）；</w:t>
      </w:r>
    </w:p>
    <w:p>
      <w:pPr>
        <w:spacing w:line="420" w:lineRule="exact"/>
        <w:ind w:firstLine="480" w:firstLineChars="200"/>
        <w:rPr>
          <w:rFonts w:ascii="宋体" w:hAnsi="宋体" w:cs="宋体"/>
          <w:sz w:val="24"/>
        </w:rPr>
      </w:pPr>
      <w:r>
        <w:rPr>
          <w:rFonts w:hint="eastAsia" w:ascii="宋体" w:hAnsi="宋体" w:cs="宋体"/>
          <w:sz w:val="24"/>
        </w:rPr>
        <w:t>1.1.5 其他相关采购文件。</w:t>
      </w:r>
    </w:p>
    <w:p>
      <w:pPr>
        <w:spacing w:line="420" w:lineRule="exact"/>
        <w:ind w:firstLine="482" w:firstLineChars="200"/>
        <w:outlineLvl w:val="0"/>
        <w:rPr>
          <w:rFonts w:ascii="宋体" w:hAnsi="宋体" w:cs="宋体"/>
          <w:b/>
          <w:sz w:val="24"/>
        </w:rPr>
      </w:pPr>
      <w:bookmarkStart w:id="396" w:name="_Toc21295"/>
      <w:bookmarkStart w:id="397" w:name="_Toc24300"/>
      <w:bookmarkStart w:id="398" w:name="_Toc27126"/>
      <w:bookmarkStart w:id="399" w:name="_Toc22618"/>
      <w:bookmarkStart w:id="400" w:name="_Toc1814"/>
      <w:bookmarkStart w:id="401" w:name="_Toc10340"/>
      <w:r>
        <w:rPr>
          <w:rFonts w:hint="eastAsia" w:ascii="宋体" w:hAnsi="宋体" w:cs="宋体"/>
          <w:b/>
          <w:sz w:val="24"/>
        </w:rPr>
        <w:t xml:space="preserve">1.2 </w:t>
      </w:r>
      <w:bookmarkEnd w:id="396"/>
      <w:bookmarkEnd w:id="397"/>
      <w:bookmarkEnd w:id="398"/>
      <w:r>
        <w:rPr>
          <w:rFonts w:hint="eastAsia" w:ascii="宋体" w:hAnsi="宋体" w:cs="宋体"/>
          <w:b/>
          <w:sz w:val="24"/>
        </w:rPr>
        <w:t>服务</w:t>
      </w:r>
    </w:p>
    <w:p>
      <w:pPr>
        <w:spacing w:line="420" w:lineRule="exact"/>
        <w:ind w:left="2399" w:leftChars="228" w:hanging="1920" w:hangingChars="800"/>
        <w:rPr>
          <w:rFonts w:ascii="宋体" w:hAnsi="宋体" w:cs="宋体"/>
          <w:sz w:val="24"/>
          <w:u w:val="single"/>
        </w:rPr>
      </w:pPr>
      <w:r>
        <w:rPr>
          <w:rFonts w:hint="eastAsia" w:ascii="宋体" w:hAnsi="宋体" w:cs="宋体"/>
          <w:sz w:val="24"/>
        </w:rPr>
        <w:t xml:space="preserve">1.2.1 </w:t>
      </w:r>
      <w:r>
        <w:rPr>
          <w:rFonts w:hint="eastAsia" w:ascii="宋体" w:hAnsi="宋体" w:cs="宋体"/>
          <w:bCs/>
          <w:sz w:val="24"/>
        </w:rPr>
        <w:t>服务</w:t>
      </w:r>
      <w:r>
        <w:rPr>
          <w:rFonts w:hint="eastAsia" w:ascii="宋体" w:hAnsi="宋体" w:cs="宋体"/>
          <w:sz w:val="24"/>
        </w:rPr>
        <w:t>名称：</w:t>
      </w:r>
      <w:r>
        <w:rPr>
          <w:rFonts w:hint="eastAsia" w:ascii="宋体" w:hAnsi="宋体" w:cs="宋体"/>
          <w:sz w:val="24"/>
          <w:u w:val="single"/>
        </w:rPr>
        <w:t>2024-2026年度桐庐县农村生活污水处理设施运行维护项目</w:t>
      </w:r>
      <w:r>
        <w:rPr>
          <w:rFonts w:hint="eastAsia" w:ascii="宋体" w:hAnsi="宋体" w:cs="宋体"/>
          <w:sz w:val="24"/>
        </w:rPr>
        <w:t>；</w:t>
      </w:r>
    </w:p>
    <w:p>
      <w:pPr>
        <w:spacing w:line="420" w:lineRule="exact"/>
        <w:ind w:firstLine="480" w:firstLineChars="200"/>
        <w:rPr>
          <w:rFonts w:ascii="宋体" w:hAnsi="宋体" w:cs="宋体"/>
          <w:sz w:val="24"/>
          <w:u w:val="single"/>
        </w:rPr>
      </w:pPr>
      <w:r>
        <w:rPr>
          <w:rFonts w:hint="eastAsia" w:ascii="宋体" w:hAnsi="宋体" w:cs="宋体"/>
          <w:sz w:val="24"/>
        </w:rPr>
        <w:t xml:space="preserve">1.2.2 </w:t>
      </w:r>
      <w:r>
        <w:rPr>
          <w:rFonts w:hint="eastAsia" w:ascii="宋体" w:hAnsi="宋体" w:cs="宋体"/>
          <w:bCs/>
          <w:sz w:val="24"/>
        </w:rPr>
        <w:t>服务</w:t>
      </w:r>
      <w:r>
        <w:rPr>
          <w:rFonts w:hint="eastAsia" w:ascii="宋体" w:hAnsi="宋体" w:cs="宋体"/>
          <w:sz w:val="24"/>
        </w:rPr>
        <w:t>内容：</w:t>
      </w:r>
      <w:r>
        <w:rPr>
          <w:rFonts w:hint="eastAsia" w:ascii="宋体" w:hAnsi="宋体" w:cs="宋体"/>
          <w:sz w:val="24"/>
          <w:u w:val="single"/>
        </w:rPr>
        <w:t>详见采购文件                                ；</w:t>
      </w:r>
    </w:p>
    <w:p>
      <w:pPr>
        <w:spacing w:line="420" w:lineRule="exact"/>
        <w:ind w:firstLine="480" w:firstLineChars="200"/>
        <w:rPr>
          <w:rFonts w:ascii="宋体" w:hAnsi="宋体" w:cs="宋体"/>
          <w:sz w:val="24"/>
          <w:u w:val="single"/>
        </w:rPr>
      </w:pPr>
      <w:r>
        <w:rPr>
          <w:rFonts w:hint="eastAsia" w:ascii="宋体" w:hAnsi="宋体" w:cs="宋体"/>
          <w:sz w:val="24"/>
        </w:rPr>
        <w:t xml:space="preserve">1.2.3 </w:t>
      </w:r>
      <w:r>
        <w:rPr>
          <w:rFonts w:hint="eastAsia" w:ascii="宋体" w:hAnsi="宋体" w:cs="宋体"/>
          <w:bCs/>
          <w:sz w:val="24"/>
        </w:rPr>
        <w:t>服务</w:t>
      </w:r>
      <w:r>
        <w:rPr>
          <w:rFonts w:hint="eastAsia" w:ascii="宋体" w:hAnsi="宋体" w:cs="宋体"/>
          <w:sz w:val="24"/>
        </w:rPr>
        <w:t>质量：</w:t>
      </w:r>
      <w:r>
        <w:rPr>
          <w:rFonts w:hint="eastAsia" w:ascii="宋体" w:hAnsi="宋体" w:cs="宋体"/>
          <w:sz w:val="24"/>
          <w:u w:val="single"/>
        </w:rPr>
        <w:t>符合国家或部门有关技术规范要求和技术标准。</w:t>
      </w:r>
    </w:p>
    <w:p>
      <w:pPr>
        <w:spacing w:line="420" w:lineRule="exact"/>
        <w:ind w:firstLine="482" w:firstLineChars="200"/>
        <w:outlineLvl w:val="0"/>
        <w:rPr>
          <w:rFonts w:ascii="宋体" w:hAnsi="宋体" w:cs="宋体"/>
          <w:b/>
          <w:sz w:val="24"/>
        </w:rPr>
      </w:pPr>
      <w:bookmarkStart w:id="402" w:name="_Toc21631"/>
      <w:bookmarkStart w:id="403" w:name="_Toc23292"/>
      <w:bookmarkStart w:id="404" w:name="_Toc21551"/>
      <w:r>
        <w:rPr>
          <w:rFonts w:hint="eastAsia" w:ascii="宋体" w:hAnsi="宋体" w:cs="宋体"/>
          <w:b/>
          <w:sz w:val="24"/>
        </w:rPr>
        <w:t>1.3 价款</w:t>
      </w:r>
      <w:bookmarkEnd w:id="402"/>
      <w:bookmarkEnd w:id="403"/>
      <w:bookmarkEnd w:id="404"/>
    </w:p>
    <w:p>
      <w:pPr>
        <w:spacing w:line="420" w:lineRule="exact"/>
        <w:ind w:firstLine="480" w:firstLineChars="200"/>
        <w:outlineLvl w:val="0"/>
        <w:rPr>
          <w:rFonts w:ascii="宋体" w:hAnsi="宋体" w:cs="宋体"/>
          <w:bCs/>
          <w:sz w:val="24"/>
        </w:rPr>
      </w:pPr>
      <w:r>
        <w:rPr>
          <w:rFonts w:hint="eastAsia" w:ascii="宋体" w:hAnsi="宋体" w:cs="宋体"/>
          <w:bCs/>
          <w:sz w:val="24"/>
        </w:rPr>
        <w:t>本合同总价为：￥</w:t>
      </w:r>
      <w:r>
        <w:rPr>
          <w:rFonts w:hint="eastAsia" w:ascii="宋体" w:hAnsi="宋体" w:cs="宋体"/>
          <w:bCs/>
          <w:sz w:val="24"/>
          <w:u w:val="single"/>
        </w:rPr>
        <w:t xml:space="preserve">           </w:t>
      </w:r>
      <w:r>
        <w:rPr>
          <w:rFonts w:hint="eastAsia" w:ascii="宋体" w:hAnsi="宋体" w:cs="宋体"/>
          <w:bCs/>
          <w:sz w:val="24"/>
        </w:rPr>
        <w:t>元/年 ，（大写：</w:t>
      </w:r>
      <w:r>
        <w:rPr>
          <w:rFonts w:hint="eastAsia" w:ascii="宋体" w:hAnsi="宋体" w:cs="宋体"/>
          <w:bCs/>
          <w:sz w:val="24"/>
          <w:u w:val="single"/>
        </w:rPr>
        <w:t xml:space="preserve">                 </w:t>
      </w:r>
      <w:r>
        <w:rPr>
          <w:rFonts w:hint="eastAsia" w:ascii="宋体" w:hAnsi="宋体" w:cs="宋体"/>
          <w:bCs/>
          <w:sz w:val="24"/>
        </w:rPr>
        <w:t>元人民币）。</w:t>
      </w:r>
    </w:p>
    <w:p>
      <w:pPr>
        <w:spacing w:line="420" w:lineRule="exact"/>
        <w:ind w:firstLine="480" w:firstLineChars="200"/>
        <w:rPr>
          <w:rFonts w:ascii="宋体" w:hAnsi="宋体" w:cs="宋体"/>
          <w:sz w:val="24"/>
          <w:u w:val="single"/>
        </w:rPr>
      </w:pPr>
      <w:r>
        <w:rPr>
          <w:rFonts w:hint="eastAsia" w:ascii="宋体" w:hAnsi="宋体" w:cs="宋体"/>
          <w:sz w:val="24"/>
        </w:rPr>
        <w:t>分项价格：</w:t>
      </w:r>
    </w:p>
    <w:tbl>
      <w:tblPr>
        <w:tblStyle w:val="21"/>
        <w:tblW w:w="7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627"/>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1"/>
              <w:spacing w:line="420" w:lineRule="exact"/>
              <w:jc w:val="center"/>
              <w:rPr>
                <w:rFonts w:hAnsi="宋体" w:cs="宋体"/>
                <w:sz w:val="24"/>
                <w:szCs w:val="24"/>
              </w:rPr>
            </w:pPr>
            <w:r>
              <w:rPr>
                <w:rFonts w:hint="eastAsia" w:hAnsi="宋体" w:cs="宋体"/>
                <w:sz w:val="24"/>
                <w:szCs w:val="24"/>
              </w:rPr>
              <w:t>序号</w:t>
            </w:r>
          </w:p>
        </w:tc>
        <w:tc>
          <w:tcPr>
            <w:tcW w:w="3627" w:type="dxa"/>
            <w:tcBorders>
              <w:top w:val="single" w:color="auto" w:sz="4" w:space="0"/>
              <w:left w:val="single" w:color="auto" w:sz="4" w:space="0"/>
              <w:bottom w:val="single" w:color="auto" w:sz="4" w:space="0"/>
              <w:right w:val="single" w:color="auto" w:sz="4" w:space="0"/>
            </w:tcBorders>
            <w:vAlign w:val="center"/>
          </w:tcPr>
          <w:p>
            <w:pPr>
              <w:pStyle w:val="41"/>
              <w:spacing w:line="420" w:lineRule="exact"/>
              <w:ind w:firstLine="200"/>
              <w:jc w:val="center"/>
              <w:rPr>
                <w:rFonts w:hAnsi="宋体" w:cs="宋体"/>
                <w:sz w:val="24"/>
                <w:szCs w:val="24"/>
              </w:rPr>
            </w:pPr>
            <w:r>
              <w:rPr>
                <w:rFonts w:hint="eastAsia" w:hAnsi="宋体" w:cs="宋体"/>
                <w:sz w:val="24"/>
                <w:szCs w:val="24"/>
              </w:rPr>
              <w:t>分项名称</w:t>
            </w:r>
          </w:p>
        </w:tc>
        <w:tc>
          <w:tcPr>
            <w:tcW w:w="2848" w:type="dxa"/>
            <w:tcBorders>
              <w:top w:val="single" w:color="auto" w:sz="4" w:space="0"/>
              <w:left w:val="single" w:color="auto" w:sz="4" w:space="0"/>
              <w:bottom w:val="single" w:color="auto" w:sz="4" w:space="0"/>
              <w:right w:val="single" w:color="auto" w:sz="4" w:space="0"/>
            </w:tcBorders>
            <w:vAlign w:val="center"/>
          </w:tcPr>
          <w:p>
            <w:pPr>
              <w:pStyle w:val="41"/>
              <w:spacing w:line="42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1"/>
              <w:spacing w:line="420" w:lineRule="exact"/>
              <w:ind w:firstLine="200"/>
              <w:jc w:val="center"/>
              <w:rPr>
                <w:rFonts w:hAnsi="宋体" w:cs="宋体"/>
                <w:sz w:val="24"/>
                <w:szCs w:val="24"/>
              </w:rPr>
            </w:pPr>
          </w:p>
        </w:tc>
        <w:tc>
          <w:tcPr>
            <w:tcW w:w="3627" w:type="dxa"/>
            <w:tcBorders>
              <w:top w:val="single" w:color="auto" w:sz="4" w:space="0"/>
              <w:left w:val="single" w:color="auto" w:sz="4" w:space="0"/>
              <w:bottom w:val="single" w:color="auto" w:sz="4" w:space="0"/>
              <w:right w:val="single" w:color="auto" w:sz="4" w:space="0"/>
            </w:tcBorders>
            <w:vAlign w:val="center"/>
          </w:tcPr>
          <w:p>
            <w:pPr>
              <w:pStyle w:val="41"/>
              <w:spacing w:line="420" w:lineRule="exact"/>
              <w:ind w:firstLine="200"/>
              <w:jc w:val="center"/>
              <w:rPr>
                <w:rFonts w:hAnsi="宋体" w:cs="宋体"/>
                <w:sz w:val="24"/>
                <w:szCs w:val="24"/>
              </w:rPr>
            </w:pPr>
          </w:p>
        </w:tc>
        <w:tc>
          <w:tcPr>
            <w:tcW w:w="2848" w:type="dxa"/>
            <w:tcBorders>
              <w:top w:val="single" w:color="auto" w:sz="4" w:space="0"/>
              <w:left w:val="single" w:color="auto" w:sz="4" w:space="0"/>
              <w:bottom w:val="single" w:color="auto" w:sz="4" w:space="0"/>
              <w:right w:val="single" w:color="auto" w:sz="4" w:space="0"/>
            </w:tcBorders>
            <w:vAlign w:val="center"/>
          </w:tcPr>
          <w:p>
            <w:pPr>
              <w:pStyle w:val="41"/>
              <w:spacing w:line="42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1"/>
              <w:spacing w:line="420" w:lineRule="exact"/>
              <w:ind w:firstLine="200"/>
              <w:jc w:val="center"/>
              <w:rPr>
                <w:rFonts w:hAnsi="宋体" w:cs="宋体"/>
                <w:sz w:val="24"/>
                <w:szCs w:val="24"/>
              </w:rPr>
            </w:pPr>
          </w:p>
        </w:tc>
        <w:tc>
          <w:tcPr>
            <w:tcW w:w="3627" w:type="dxa"/>
            <w:tcBorders>
              <w:top w:val="single" w:color="auto" w:sz="4" w:space="0"/>
              <w:left w:val="single" w:color="auto" w:sz="4" w:space="0"/>
              <w:bottom w:val="single" w:color="auto" w:sz="4" w:space="0"/>
              <w:right w:val="single" w:color="auto" w:sz="4" w:space="0"/>
            </w:tcBorders>
            <w:vAlign w:val="center"/>
          </w:tcPr>
          <w:p>
            <w:pPr>
              <w:pStyle w:val="41"/>
              <w:spacing w:line="420" w:lineRule="exact"/>
              <w:ind w:firstLine="200"/>
              <w:jc w:val="center"/>
              <w:rPr>
                <w:rFonts w:hAnsi="宋体" w:cs="宋体"/>
                <w:sz w:val="24"/>
                <w:szCs w:val="24"/>
              </w:rPr>
            </w:pPr>
          </w:p>
        </w:tc>
        <w:tc>
          <w:tcPr>
            <w:tcW w:w="2848" w:type="dxa"/>
            <w:tcBorders>
              <w:top w:val="single" w:color="auto" w:sz="4" w:space="0"/>
              <w:left w:val="single" w:color="auto" w:sz="4" w:space="0"/>
              <w:bottom w:val="single" w:color="auto" w:sz="4" w:space="0"/>
              <w:right w:val="single" w:color="auto" w:sz="4" w:space="0"/>
            </w:tcBorders>
            <w:vAlign w:val="center"/>
          </w:tcPr>
          <w:p>
            <w:pPr>
              <w:pStyle w:val="41"/>
              <w:spacing w:line="42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1"/>
              <w:spacing w:line="420" w:lineRule="exact"/>
              <w:ind w:firstLine="200"/>
              <w:jc w:val="center"/>
              <w:rPr>
                <w:rFonts w:hAnsi="宋体" w:cs="宋体"/>
                <w:sz w:val="24"/>
                <w:szCs w:val="24"/>
              </w:rPr>
            </w:pPr>
          </w:p>
        </w:tc>
        <w:tc>
          <w:tcPr>
            <w:tcW w:w="3627" w:type="dxa"/>
            <w:tcBorders>
              <w:top w:val="single" w:color="auto" w:sz="4" w:space="0"/>
              <w:left w:val="single" w:color="auto" w:sz="4" w:space="0"/>
              <w:bottom w:val="single" w:color="auto" w:sz="4" w:space="0"/>
              <w:right w:val="single" w:color="auto" w:sz="4" w:space="0"/>
            </w:tcBorders>
            <w:vAlign w:val="center"/>
          </w:tcPr>
          <w:p>
            <w:pPr>
              <w:pStyle w:val="41"/>
              <w:spacing w:line="420" w:lineRule="exact"/>
              <w:ind w:firstLine="200"/>
              <w:jc w:val="center"/>
              <w:rPr>
                <w:rFonts w:hAnsi="宋体" w:cs="宋体"/>
                <w:sz w:val="24"/>
                <w:szCs w:val="24"/>
              </w:rPr>
            </w:pPr>
          </w:p>
        </w:tc>
        <w:tc>
          <w:tcPr>
            <w:tcW w:w="2848" w:type="dxa"/>
            <w:tcBorders>
              <w:top w:val="single" w:color="auto" w:sz="4" w:space="0"/>
              <w:left w:val="single" w:color="auto" w:sz="4" w:space="0"/>
              <w:bottom w:val="single" w:color="auto" w:sz="4" w:space="0"/>
              <w:right w:val="single" w:color="auto" w:sz="4" w:space="0"/>
            </w:tcBorders>
            <w:vAlign w:val="center"/>
          </w:tcPr>
          <w:p>
            <w:pPr>
              <w:pStyle w:val="41"/>
              <w:spacing w:line="42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1"/>
              <w:spacing w:line="420" w:lineRule="exact"/>
              <w:ind w:firstLine="200"/>
              <w:jc w:val="center"/>
              <w:rPr>
                <w:rFonts w:hAnsi="宋体" w:cs="宋体"/>
                <w:sz w:val="24"/>
                <w:szCs w:val="24"/>
              </w:rPr>
            </w:pPr>
          </w:p>
        </w:tc>
        <w:tc>
          <w:tcPr>
            <w:tcW w:w="3627" w:type="dxa"/>
            <w:tcBorders>
              <w:top w:val="single" w:color="auto" w:sz="4" w:space="0"/>
              <w:left w:val="single" w:color="auto" w:sz="4" w:space="0"/>
              <w:bottom w:val="single" w:color="auto" w:sz="4" w:space="0"/>
              <w:right w:val="single" w:color="auto" w:sz="4" w:space="0"/>
            </w:tcBorders>
            <w:vAlign w:val="center"/>
          </w:tcPr>
          <w:p>
            <w:pPr>
              <w:pStyle w:val="41"/>
              <w:spacing w:line="420" w:lineRule="exact"/>
              <w:ind w:firstLine="200"/>
              <w:jc w:val="center"/>
              <w:rPr>
                <w:rFonts w:hAnsi="宋体" w:cs="宋体"/>
                <w:sz w:val="24"/>
                <w:szCs w:val="24"/>
              </w:rPr>
            </w:pPr>
          </w:p>
        </w:tc>
        <w:tc>
          <w:tcPr>
            <w:tcW w:w="2848" w:type="dxa"/>
            <w:tcBorders>
              <w:top w:val="single" w:color="auto" w:sz="4" w:space="0"/>
              <w:left w:val="single" w:color="auto" w:sz="4" w:space="0"/>
              <w:bottom w:val="single" w:color="auto" w:sz="4" w:space="0"/>
              <w:right w:val="single" w:color="auto" w:sz="4" w:space="0"/>
            </w:tcBorders>
            <w:vAlign w:val="center"/>
          </w:tcPr>
          <w:p>
            <w:pPr>
              <w:pStyle w:val="41"/>
              <w:spacing w:line="42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28" w:type="dxa"/>
            <w:gridSpan w:val="2"/>
            <w:tcBorders>
              <w:top w:val="single" w:color="auto" w:sz="4" w:space="0"/>
              <w:left w:val="single" w:color="auto" w:sz="4" w:space="0"/>
              <w:bottom w:val="single" w:color="auto" w:sz="4" w:space="0"/>
              <w:right w:val="single" w:color="auto" w:sz="4" w:space="0"/>
            </w:tcBorders>
            <w:vAlign w:val="center"/>
          </w:tcPr>
          <w:p>
            <w:pPr>
              <w:pStyle w:val="41"/>
              <w:spacing w:line="420" w:lineRule="exact"/>
              <w:ind w:firstLine="200"/>
              <w:jc w:val="center"/>
              <w:rPr>
                <w:rFonts w:hAnsi="宋体" w:cs="宋体"/>
                <w:sz w:val="24"/>
                <w:szCs w:val="24"/>
              </w:rPr>
            </w:pPr>
            <w:r>
              <w:rPr>
                <w:rFonts w:hint="eastAsia" w:hAnsi="宋体" w:cs="宋体"/>
                <w:sz w:val="24"/>
                <w:szCs w:val="24"/>
              </w:rPr>
              <w:t>总价</w:t>
            </w:r>
          </w:p>
        </w:tc>
        <w:tc>
          <w:tcPr>
            <w:tcW w:w="2848" w:type="dxa"/>
            <w:tcBorders>
              <w:top w:val="single" w:color="auto" w:sz="4" w:space="0"/>
              <w:left w:val="single" w:color="auto" w:sz="4" w:space="0"/>
              <w:bottom w:val="single" w:color="auto" w:sz="4" w:space="0"/>
              <w:right w:val="single" w:color="auto" w:sz="4" w:space="0"/>
            </w:tcBorders>
            <w:vAlign w:val="center"/>
          </w:tcPr>
          <w:p>
            <w:pPr>
              <w:pStyle w:val="41"/>
              <w:spacing w:line="420" w:lineRule="exact"/>
              <w:ind w:firstLine="200"/>
              <w:jc w:val="center"/>
              <w:rPr>
                <w:rFonts w:hAnsi="宋体" w:cs="宋体"/>
                <w:sz w:val="24"/>
                <w:szCs w:val="24"/>
              </w:rPr>
            </w:pPr>
          </w:p>
        </w:tc>
      </w:tr>
    </w:tbl>
    <w:p>
      <w:pPr>
        <w:spacing w:line="420" w:lineRule="exact"/>
        <w:ind w:firstLine="482" w:firstLineChars="200"/>
        <w:outlineLvl w:val="0"/>
        <w:rPr>
          <w:rFonts w:ascii="宋体" w:hAnsi="宋体" w:cs="宋体"/>
          <w:b/>
          <w:sz w:val="24"/>
        </w:rPr>
      </w:pPr>
      <w:r>
        <w:rPr>
          <w:rFonts w:hint="eastAsia" w:ascii="宋体" w:hAnsi="宋体" w:cs="宋体"/>
          <w:b/>
          <w:sz w:val="24"/>
        </w:rPr>
        <w:t>1.4 付款</w:t>
      </w:r>
      <w:bookmarkEnd w:id="399"/>
      <w:bookmarkEnd w:id="400"/>
      <w:bookmarkEnd w:id="401"/>
      <w:r>
        <w:rPr>
          <w:rFonts w:hint="eastAsia" w:ascii="宋体" w:hAnsi="宋体" w:cs="宋体"/>
          <w:b/>
          <w:sz w:val="24"/>
        </w:rPr>
        <w:t>方式、时间和条件</w:t>
      </w:r>
    </w:p>
    <w:p>
      <w:pPr>
        <w:pStyle w:val="42"/>
        <w:spacing w:before="0" w:beforeAutospacing="0" w:after="0" w:afterAutospacing="0" w:line="420" w:lineRule="exact"/>
        <w:ind w:firstLine="480"/>
      </w:pPr>
      <w:bookmarkStart w:id="405" w:name="_Toc32071"/>
      <w:bookmarkStart w:id="406" w:name="_Toc19304"/>
      <w:bookmarkStart w:id="407" w:name="_Toc2846"/>
      <w:r>
        <w:rPr>
          <w:rFonts w:hint="eastAsia"/>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420" w:lineRule="exact"/>
        <w:ind w:firstLine="480" w:firstLineChars="200"/>
        <w:rPr>
          <w:rFonts w:ascii="宋体" w:hAnsi="宋体" w:cs="宋体"/>
          <w:sz w:val="24"/>
        </w:rPr>
      </w:pPr>
      <w:r>
        <w:rPr>
          <w:rFonts w:hint="eastAsia" w:ascii="宋体" w:hAnsi="宋体" w:cs="宋体"/>
          <w:sz w:val="24"/>
        </w:rPr>
        <w:t>1.4.2甲方在政府采购合同中约定预付款，预付款比例为合同金额的60％。乙方可登录政采云前台大厅选择金融服务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420" w:lineRule="exact"/>
        <w:ind w:firstLine="480" w:firstLineChars="200"/>
        <w:rPr>
          <w:rFonts w:ascii="宋体" w:hAnsi="宋体" w:cs="宋体"/>
          <w:sz w:val="24"/>
        </w:rPr>
      </w:pPr>
      <w:r>
        <w:rPr>
          <w:rFonts w:hint="eastAsia" w:ascii="宋体" w:hAnsi="宋体" w:cs="宋体"/>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420" w:lineRule="exact"/>
        <w:ind w:firstLine="480" w:firstLineChars="200"/>
        <w:outlineLvl w:val="0"/>
        <w:rPr>
          <w:rFonts w:ascii="宋体" w:hAnsi="宋体" w:cs="宋体"/>
          <w:sz w:val="24"/>
        </w:rPr>
      </w:pPr>
      <w:r>
        <w:rPr>
          <w:rFonts w:hint="eastAsia" w:ascii="宋体" w:hAnsi="宋体" w:cs="宋体"/>
          <w:sz w:val="24"/>
        </w:rPr>
        <w:t>1.4.4资金支付的方式、时间和条件详见</w:t>
      </w:r>
      <w:r>
        <w:rPr>
          <w:rFonts w:hint="eastAsia" w:ascii="宋体" w:hAnsi="宋体" w:cs="宋体"/>
          <w:b/>
          <w:iCs/>
          <w:sz w:val="24"/>
          <w:u w:val="single"/>
        </w:rPr>
        <w:t>合同专用条款</w:t>
      </w:r>
      <w:r>
        <w:rPr>
          <w:rFonts w:hint="eastAsia" w:ascii="宋体" w:hAnsi="宋体" w:cs="宋体"/>
          <w:sz w:val="24"/>
        </w:rPr>
        <w:t>。</w:t>
      </w:r>
    </w:p>
    <w:bookmarkEnd w:id="405"/>
    <w:bookmarkEnd w:id="406"/>
    <w:bookmarkEnd w:id="407"/>
    <w:p>
      <w:pPr>
        <w:spacing w:line="420" w:lineRule="exact"/>
        <w:ind w:firstLine="482" w:firstLineChars="200"/>
        <w:outlineLvl w:val="0"/>
        <w:rPr>
          <w:rFonts w:ascii="宋体" w:hAnsi="宋体" w:cs="宋体"/>
          <w:b/>
          <w:sz w:val="24"/>
        </w:rPr>
      </w:pPr>
      <w:bookmarkStart w:id="408" w:name="_Toc331685783"/>
      <w:r>
        <w:rPr>
          <w:rFonts w:hint="eastAsia" w:ascii="宋体" w:hAnsi="宋体" w:cs="宋体"/>
          <w:b/>
          <w:sz w:val="24"/>
        </w:rPr>
        <w:t>1.5 服务期限、地点和内容</w:t>
      </w:r>
    </w:p>
    <w:p>
      <w:pPr>
        <w:spacing w:line="420" w:lineRule="exact"/>
        <w:ind w:firstLine="480" w:firstLineChars="200"/>
        <w:rPr>
          <w:rFonts w:ascii="宋体" w:hAnsi="宋体" w:cs="宋体"/>
          <w:sz w:val="24"/>
          <w:u w:val="single"/>
        </w:rPr>
      </w:pPr>
      <w:r>
        <w:rPr>
          <w:rFonts w:hint="eastAsia" w:ascii="宋体" w:hAnsi="宋体" w:cs="宋体"/>
          <w:sz w:val="24"/>
        </w:rPr>
        <w:t>1.5.1服务期限：详见</w:t>
      </w:r>
      <w:r>
        <w:rPr>
          <w:rFonts w:hint="eastAsia" w:ascii="宋体" w:hAnsi="宋体" w:cs="宋体"/>
          <w:b/>
          <w:iCs/>
          <w:sz w:val="24"/>
          <w:u w:val="single"/>
        </w:rPr>
        <w:t>合同专用条款</w:t>
      </w:r>
      <w:r>
        <w:rPr>
          <w:rFonts w:hint="eastAsia" w:ascii="宋体" w:hAnsi="宋体" w:cs="宋体"/>
          <w:sz w:val="24"/>
        </w:rPr>
        <w:t>；</w:t>
      </w:r>
    </w:p>
    <w:p>
      <w:pPr>
        <w:spacing w:line="420" w:lineRule="exact"/>
        <w:ind w:firstLine="480" w:firstLineChars="200"/>
        <w:rPr>
          <w:rFonts w:ascii="宋体" w:hAnsi="宋体" w:cs="宋体"/>
          <w:iCs/>
          <w:sz w:val="24"/>
        </w:rPr>
      </w:pPr>
      <w:r>
        <w:rPr>
          <w:rFonts w:hint="eastAsia" w:ascii="宋体" w:hAnsi="宋体" w:cs="宋体"/>
          <w:sz w:val="24"/>
        </w:rPr>
        <w:t>1.5.2服务地点：</w:t>
      </w:r>
      <w:r>
        <w:rPr>
          <w:rFonts w:hint="eastAsia" w:ascii="宋体" w:hAnsi="宋体" w:cs="宋体"/>
          <w:b/>
          <w:iCs/>
          <w:sz w:val="24"/>
          <w:u w:val="single"/>
        </w:rPr>
        <w:t>合同专用条款</w:t>
      </w:r>
      <w:r>
        <w:rPr>
          <w:rFonts w:hint="eastAsia" w:ascii="宋体" w:hAnsi="宋体" w:cs="宋体"/>
          <w:iCs/>
          <w:sz w:val="24"/>
        </w:rPr>
        <w:t>；</w:t>
      </w:r>
    </w:p>
    <w:p>
      <w:pPr>
        <w:spacing w:line="420" w:lineRule="exact"/>
        <w:ind w:firstLine="482" w:firstLineChars="200"/>
        <w:outlineLvl w:val="0"/>
        <w:rPr>
          <w:rFonts w:ascii="宋体" w:hAnsi="宋体" w:cs="宋体"/>
          <w:b/>
          <w:sz w:val="24"/>
        </w:rPr>
      </w:pPr>
      <w:bookmarkStart w:id="409" w:name="_Toc21423"/>
      <w:bookmarkStart w:id="410" w:name="_Toc19554"/>
      <w:bookmarkStart w:id="411" w:name="_Toc27250"/>
      <w:r>
        <w:rPr>
          <w:rFonts w:hint="eastAsia" w:ascii="宋体" w:hAnsi="宋体" w:cs="宋体"/>
          <w:b/>
          <w:sz w:val="24"/>
        </w:rPr>
        <w:t>1.6 违约责任</w:t>
      </w:r>
      <w:bookmarkEnd w:id="409"/>
      <w:bookmarkEnd w:id="410"/>
      <w:bookmarkEnd w:id="411"/>
    </w:p>
    <w:p>
      <w:pPr>
        <w:spacing w:line="420" w:lineRule="exact"/>
        <w:ind w:firstLine="480" w:firstLineChars="200"/>
        <w:rPr>
          <w:rFonts w:ascii="宋体" w:hAnsi="宋体" w:cs="宋体"/>
          <w:sz w:val="24"/>
        </w:rPr>
      </w:pPr>
      <w:r>
        <w:rPr>
          <w:rFonts w:hint="eastAsia" w:ascii="宋体" w:hAnsi="宋体" w:cs="宋体"/>
          <w:sz w:val="24"/>
        </w:rPr>
        <w:t>1.6.1 除不可抗力外，如果乙方没有按照本合同约定的期限、地点和内容完成服务，那么甲方可要求乙方支付违约金，违约金按每迟延完成服务一日的应交付而未完成服务价格的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%；迟延完成服务的违约金计算数额达到前述最高限额之日起，甲方有权在要求乙方支付违约金的同时，书面通知乙方解除本合同；</w:t>
      </w:r>
    </w:p>
    <w:p>
      <w:pPr>
        <w:spacing w:line="420" w:lineRule="exact"/>
        <w:ind w:firstLine="480" w:firstLineChars="200"/>
        <w:rPr>
          <w:rFonts w:ascii="宋体" w:hAnsi="宋体" w:cs="宋体"/>
          <w:sz w:val="24"/>
        </w:rPr>
      </w:pPr>
      <w:r>
        <w:rPr>
          <w:rFonts w:hint="eastAsia" w:ascii="宋体" w:hAnsi="宋体" w:cs="宋体"/>
          <w:sz w:val="24"/>
        </w:rPr>
        <w:t>1.6.2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420" w:lineRule="exact"/>
        <w:ind w:firstLine="480" w:firstLineChars="200"/>
        <w:rPr>
          <w:rFonts w:ascii="宋体" w:hAnsi="宋体" w:cs="宋体"/>
          <w:sz w:val="24"/>
        </w:rPr>
      </w:pPr>
      <w:r>
        <w:rPr>
          <w:rFonts w:hint="eastAsia" w:ascii="宋体" w:hAnsi="宋体" w:cs="宋体"/>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20" w:lineRule="exact"/>
        <w:ind w:firstLine="480" w:firstLineChars="200"/>
        <w:rPr>
          <w:rFonts w:ascii="宋体" w:hAnsi="宋体" w:cs="宋体"/>
          <w:sz w:val="24"/>
        </w:rPr>
      </w:pPr>
      <w:r>
        <w:rPr>
          <w:rFonts w:hint="eastAsia" w:ascii="宋体" w:hAnsi="宋体" w:cs="宋体"/>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20" w:lineRule="exact"/>
        <w:ind w:firstLine="480" w:firstLineChars="200"/>
        <w:rPr>
          <w:rFonts w:ascii="宋体" w:hAnsi="宋体" w:cs="宋体"/>
          <w:sz w:val="24"/>
        </w:rPr>
      </w:pPr>
      <w:r>
        <w:rPr>
          <w:rFonts w:hint="eastAsia" w:ascii="宋体" w:hAnsi="宋体" w:cs="宋体"/>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20" w:lineRule="exact"/>
        <w:ind w:firstLine="480" w:firstLineChars="200"/>
        <w:rPr>
          <w:rFonts w:ascii="宋体" w:hAnsi="宋体" w:cs="宋体"/>
          <w:sz w:val="24"/>
        </w:rPr>
      </w:pPr>
      <w:r>
        <w:rPr>
          <w:rFonts w:hint="eastAsia" w:ascii="宋体" w:hAnsi="宋体" w:cs="宋体"/>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420" w:lineRule="exact"/>
        <w:ind w:left="-420" w:leftChars="-200" w:right="-420" w:rightChars="-200" w:firstLine="960" w:firstLineChars="400"/>
        <w:rPr>
          <w:rFonts w:ascii="宋体" w:hAnsi="宋体" w:cs="宋体"/>
        </w:rPr>
      </w:pPr>
      <w:r>
        <w:rPr>
          <w:rFonts w:hint="eastAsia" w:ascii="宋体" w:hAnsi="宋体" w:cs="宋体"/>
          <w:sz w:val="24"/>
        </w:rPr>
        <w:t>1.6.7违约责任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420" w:lineRule="exact"/>
        <w:ind w:firstLine="482" w:firstLineChars="200"/>
        <w:outlineLvl w:val="0"/>
        <w:rPr>
          <w:rFonts w:ascii="宋体" w:hAnsi="宋体" w:cs="宋体"/>
          <w:b/>
          <w:sz w:val="24"/>
        </w:rPr>
      </w:pPr>
      <w:bookmarkStart w:id="412" w:name="_Toc16021"/>
      <w:bookmarkStart w:id="413" w:name="_Toc28375"/>
      <w:bookmarkStart w:id="414" w:name="_Toc15583"/>
      <w:r>
        <w:rPr>
          <w:rFonts w:hint="eastAsia" w:ascii="宋体" w:hAnsi="宋体" w:cs="宋体"/>
          <w:b/>
          <w:sz w:val="24"/>
        </w:rPr>
        <w:t>1.7 合同争议的解决</w:t>
      </w:r>
      <w:bookmarkEnd w:id="412"/>
      <w:bookmarkEnd w:id="413"/>
      <w:bookmarkEnd w:id="414"/>
    </w:p>
    <w:p>
      <w:pPr>
        <w:spacing w:line="42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合同专用条款  </w:t>
      </w:r>
      <w:r>
        <w:rPr>
          <w:rFonts w:hint="eastAsia" w:ascii="宋体" w:hAnsi="宋体" w:cs="宋体"/>
          <w:sz w:val="24"/>
        </w:rPr>
        <w:t>条款规定的方式解决：</w:t>
      </w:r>
    </w:p>
    <w:p>
      <w:pPr>
        <w:spacing w:line="420" w:lineRule="exact"/>
        <w:ind w:left="-420" w:leftChars="-200" w:right="-420" w:rightChars="-200" w:firstLine="600" w:firstLineChars="250"/>
        <w:rPr>
          <w:rFonts w:ascii="宋体" w:hAnsi="宋体" w:cs="宋体"/>
          <w:sz w:val="24"/>
        </w:rPr>
      </w:pPr>
      <w:r>
        <w:rPr>
          <w:rFonts w:hint="eastAsia" w:ascii="宋体" w:hAnsi="宋体" w:cs="宋体"/>
          <w:sz w:val="24"/>
        </w:rPr>
        <w:t>1.7.1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420" w:lineRule="exact"/>
        <w:ind w:left="-420" w:leftChars="-200" w:right="-420" w:rightChars="-200" w:firstLine="600" w:firstLineChars="250"/>
        <w:rPr>
          <w:rFonts w:ascii="宋体" w:hAnsi="宋体" w:cs="宋体"/>
          <w:sz w:val="24"/>
        </w:rPr>
      </w:pPr>
      <w:r>
        <w:rPr>
          <w:rFonts w:hint="eastAsia" w:ascii="宋体" w:hAnsi="宋体" w:cs="宋体"/>
          <w:sz w:val="24"/>
        </w:rPr>
        <w:t>1.7.2 向</w:t>
      </w:r>
      <w:r>
        <w:rPr>
          <w:rFonts w:hint="eastAsia" w:ascii="宋体" w:hAnsi="宋体" w:cs="宋体"/>
          <w:b/>
          <w:i/>
          <w:sz w:val="24"/>
          <w:u w:val="single"/>
        </w:rPr>
        <w:t>合同专用条款</w:t>
      </w:r>
      <w:r>
        <w:rPr>
          <w:rFonts w:hint="eastAsia" w:ascii="宋体" w:hAnsi="宋体" w:cs="宋体"/>
          <w:sz w:val="24"/>
        </w:rPr>
        <w:t>人民法院起诉。</w:t>
      </w:r>
    </w:p>
    <w:p>
      <w:pPr>
        <w:spacing w:line="420" w:lineRule="exact"/>
        <w:ind w:firstLine="482" w:firstLineChars="200"/>
        <w:outlineLvl w:val="0"/>
        <w:rPr>
          <w:rFonts w:ascii="宋体" w:hAnsi="宋体" w:cs="宋体"/>
          <w:b/>
          <w:sz w:val="24"/>
        </w:rPr>
      </w:pPr>
      <w:bookmarkStart w:id="415" w:name="_Toc15322"/>
      <w:bookmarkStart w:id="416" w:name="_Toc11173"/>
      <w:bookmarkStart w:id="417" w:name="_Toc7245"/>
      <w:r>
        <w:rPr>
          <w:rFonts w:hint="eastAsia" w:ascii="宋体" w:hAnsi="宋体" w:cs="宋体"/>
          <w:b/>
          <w:sz w:val="24"/>
        </w:rPr>
        <w:t>1.8 合同生效</w:t>
      </w:r>
      <w:bookmarkEnd w:id="415"/>
      <w:bookmarkEnd w:id="416"/>
      <w:bookmarkEnd w:id="417"/>
    </w:p>
    <w:p>
      <w:pPr>
        <w:spacing w:line="420" w:lineRule="exact"/>
        <w:ind w:firstLine="480" w:firstLineChars="200"/>
        <w:rPr>
          <w:rFonts w:ascii="宋体" w:hAnsi="宋体" w:cs="宋体"/>
          <w:b/>
          <w:sz w:val="24"/>
        </w:rPr>
      </w:pPr>
      <w:r>
        <w:rPr>
          <w:rFonts w:hint="eastAsia" w:ascii="宋体" w:hAnsi="宋体" w:cs="宋体"/>
          <w:sz w:val="24"/>
        </w:rPr>
        <w:t>本合同自双方当事人盖章或者签字时生效。</w:t>
      </w:r>
    </w:p>
    <w:p>
      <w:pPr>
        <w:autoSpaceDE w:val="0"/>
        <w:autoSpaceDN w:val="0"/>
        <w:spacing w:line="420" w:lineRule="exact"/>
        <w:rPr>
          <w:rFonts w:ascii="宋体" w:hAnsi="宋体" w:cs="宋体"/>
          <w:sz w:val="24"/>
          <w:lang w:val="zh-CN"/>
        </w:rPr>
      </w:pPr>
    </w:p>
    <w:p>
      <w:pPr>
        <w:autoSpaceDE w:val="0"/>
        <w:autoSpaceDN w:val="0"/>
        <w:spacing w:line="42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42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420" w:lineRule="exact"/>
        <w:rPr>
          <w:rFonts w:ascii="宋体" w:hAnsi="宋体" w:cs="宋体"/>
          <w:sz w:val="24"/>
          <w:lang w:val="zh-CN"/>
        </w:rPr>
      </w:pPr>
    </w:p>
    <w:p>
      <w:pPr>
        <w:autoSpaceDE w:val="0"/>
        <w:autoSpaceDN w:val="0"/>
        <w:spacing w:line="42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42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42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42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42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42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42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42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42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42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42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420" w:lineRule="exact"/>
        <w:rPr>
          <w:rFonts w:ascii="宋体" w:hAnsi="宋体" w:cs="宋体"/>
          <w:b/>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pStyle w:val="31"/>
        <w:spacing w:line="560" w:lineRule="exact"/>
        <w:ind w:firstLine="2409" w:firstLineChars="1000"/>
        <w:rPr>
          <w:rFonts w:ascii="宋体" w:hAnsi="宋体" w:cs="宋体"/>
          <w:b/>
          <w:szCs w:val="24"/>
        </w:rPr>
      </w:pPr>
    </w:p>
    <w:p>
      <w:pPr>
        <w:pStyle w:val="31"/>
        <w:spacing w:line="560" w:lineRule="exact"/>
        <w:ind w:firstLine="2409" w:firstLineChars="1000"/>
        <w:rPr>
          <w:rFonts w:ascii="宋体" w:hAnsi="宋体" w:cs="宋体"/>
          <w:b/>
          <w:szCs w:val="24"/>
        </w:rPr>
      </w:pPr>
      <w:r>
        <w:rPr>
          <w:rFonts w:hint="eastAsia" w:ascii="宋体" w:hAnsi="宋体" w:cs="宋体"/>
          <w:b/>
          <w:szCs w:val="24"/>
        </w:rPr>
        <w:t>第二部分 合同一般条款</w:t>
      </w:r>
      <w:bookmarkEnd w:id="408"/>
    </w:p>
    <w:p>
      <w:pPr>
        <w:spacing w:line="560" w:lineRule="exact"/>
        <w:ind w:firstLine="482" w:firstLineChars="200"/>
        <w:outlineLvl w:val="0"/>
        <w:rPr>
          <w:rFonts w:ascii="宋体" w:hAnsi="宋体" w:cs="宋体"/>
          <w:b/>
          <w:sz w:val="24"/>
        </w:rPr>
      </w:pPr>
      <w:bookmarkStart w:id="418" w:name="_Ref467379101"/>
      <w:bookmarkStart w:id="419" w:name="_Toc259093669"/>
      <w:bookmarkStart w:id="420" w:name="_Ref467378499"/>
      <w:bookmarkStart w:id="421" w:name="_Ref467379214"/>
      <w:bookmarkStart w:id="422" w:name="_Ref467379195"/>
      <w:bookmarkStart w:id="423" w:name="_Ref467379205"/>
      <w:bookmarkStart w:id="424" w:name="_Ref467378404"/>
      <w:bookmarkStart w:id="425" w:name="_Toc28763"/>
      <w:bookmarkStart w:id="426" w:name="_Toc487900349"/>
      <w:bookmarkStart w:id="427" w:name="_Ref467379109"/>
      <w:bookmarkStart w:id="428" w:name="_Toc16917"/>
      <w:bookmarkStart w:id="429" w:name="_Ref467379094"/>
      <w:bookmarkStart w:id="430" w:name="_Ref467378463"/>
      <w:bookmarkStart w:id="431" w:name="_Toc279701240"/>
      <w:bookmarkStart w:id="432" w:name="_Ref467379225"/>
      <w:bookmarkStart w:id="433" w:name="_Toc19614"/>
      <w:r>
        <w:rPr>
          <w:rFonts w:hint="eastAsia" w:ascii="宋体" w:hAnsi="宋体" w:cs="宋体"/>
          <w:b/>
          <w:sz w:val="24"/>
        </w:rPr>
        <w:t>2.1 定义</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“合同价”系指根据合同约定，中标供应商在完全履行合同义务后，采购人应支付给中标供应商的价格。</w:t>
      </w:r>
    </w:p>
    <w:p>
      <w:pPr>
        <w:spacing w:line="560" w:lineRule="exact"/>
        <w:ind w:firstLine="480" w:firstLineChars="200"/>
        <w:rPr>
          <w:rFonts w:ascii="宋体" w:hAnsi="宋体" w:cs="宋体"/>
          <w:sz w:val="24"/>
        </w:rPr>
      </w:pPr>
      <w:r>
        <w:rPr>
          <w:rFonts w:hint="eastAsia" w:ascii="宋体" w:hAnsi="宋体" w:cs="宋体"/>
          <w:sz w:val="24"/>
        </w:rPr>
        <w:t>2.1.3 “服务”系指成交供应商根据合同约定应向采购人交付的一切各种形态和种类的服务和成果，包括咨询服务、评审服务、编制成果、项目实施过程中的质量、进度的控制、合同、文档的管理等相关资料。</w:t>
      </w:r>
    </w:p>
    <w:p>
      <w:pPr>
        <w:spacing w:line="560" w:lineRule="exact"/>
        <w:ind w:firstLine="480" w:firstLineChars="200"/>
        <w:rPr>
          <w:rFonts w:ascii="宋体" w:hAnsi="宋体" w:cs="宋体"/>
          <w:sz w:val="24"/>
        </w:rPr>
      </w:pPr>
      <w:bookmarkStart w:id="434" w:name="_Ref467378840"/>
      <w:r>
        <w:rPr>
          <w:rFonts w:hint="eastAsia" w:ascii="宋体" w:hAnsi="宋体" w:cs="宋体"/>
          <w:sz w:val="24"/>
        </w:rPr>
        <w:t>2.1.4 “甲方”系指与中标供应商签署合同的采购人</w:t>
      </w:r>
      <w:bookmarkEnd w:id="434"/>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35" w:name="_Ref467379400"/>
      <w:r>
        <w:rPr>
          <w:rFonts w:hint="eastAsia" w:ascii="宋体" w:hAnsi="宋体" w:cs="宋体"/>
          <w:sz w:val="24"/>
        </w:rPr>
        <w:t>2.1.5 “乙方”系指根据合同约定交付货物的中标供应商</w:t>
      </w:r>
      <w:bookmarkEnd w:id="43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36" w:name="_Ref467379436"/>
      <w:r>
        <w:rPr>
          <w:rFonts w:hint="eastAsia" w:ascii="宋体" w:hAnsi="宋体" w:cs="宋体"/>
          <w:sz w:val="24"/>
        </w:rPr>
        <w:t xml:space="preserve">2.1.6 </w:t>
      </w:r>
      <w:bookmarkEnd w:id="436"/>
      <w:r>
        <w:rPr>
          <w:rFonts w:hint="eastAsia" w:ascii="宋体" w:hAnsi="宋体" w:cs="宋体"/>
          <w:sz w:val="24"/>
        </w:rPr>
        <w:t>“现场”系指将要进行服务的工程地点。</w:t>
      </w:r>
    </w:p>
    <w:p>
      <w:pPr>
        <w:spacing w:line="440" w:lineRule="exact"/>
        <w:ind w:firstLine="482" w:firstLineChars="200"/>
        <w:outlineLvl w:val="0"/>
        <w:rPr>
          <w:rFonts w:ascii="宋体" w:hAnsi="宋体" w:cs="宋体"/>
          <w:b/>
          <w:sz w:val="24"/>
        </w:rPr>
      </w:pPr>
      <w:bookmarkStart w:id="437" w:name="_Toc279701241"/>
      <w:bookmarkStart w:id="438" w:name="_Toc27635"/>
      <w:bookmarkStart w:id="439" w:name="_Toc487900350"/>
      <w:bookmarkStart w:id="440" w:name="_Toc32504"/>
      <w:bookmarkStart w:id="441" w:name="_Toc13336"/>
      <w:bookmarkStart w:id="442" w:name="_Toc259093670"/>
      <w:r>
        <w:rPr>
          <w:rFonts w:hint="eastAsia" w:ascii="宋体" w:hAnsi="宋体" w:cs="宋体"/>
          <w:b/>
          <w:sz w:val="24"/>
        </w:rPr>
        <w:t>2.2 技术规范</w:t>
      </w:r>
      <w:bookmarkEnd w:id="437"/>
      <w:bookmarkEnd w:id="438"/>
      <w:bookmarkEnd w:id="439"/>
      <w:bookmarkEnd w:id="440"/>
      <w:bookmarkEnd w:id="441"/>
      <w:bookmarkEnd w:id="442"/>
    </w:p>
    <w:p>
      <w:pPr>
        <w:spacing w:line="440" w:lineRule="exact"/>
        <w:ind w:firstLine="480" w:firstLineChars="200"/>
        <w:rPr>
          <w:rFonts w:ascii="宋体" w:hAnsi="宋体" w:cs="宋体"/>
          <w:sz w:val="24"/>
        </w:rPr>
      </w:pPr>
      <w:r>
        <w:rPr>
          <w:rFonts w:hint="eastAsia" w:ascii="宋体" w:hAnsi="宋体" w:cs="宋体"/>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40" w:lineRule="exact"/>
        <w:ind w:firstLine="482" w:firstLineChars="200"/>
        <w:outlineLvl w:val="0"/>
        <w:rPr>
          <w:rFonts w:ascii="宋体" w:hAnsi="宋体" w:cs="宋体"/>
          <w:b/>
          <w:sz w:val="24"/>
        </w:rPr>
      </w:pPr>
      <w:bookmarkStart w:id="443" w:name="_Toc31634"/>
      <w:bookmarkStart w:id="444" w:name="_Toc279701242"/>
      <w:bookmarkStart w:id="445" w:name="_Toc9829"/>
      <w:bookmarkStart w:id="446" w:name="_Toc27853"/>
      <w:bookmarkStart w:id="447" w:name="_Toc259093671"/>
      <w:bookmarkStart w:id="448" w:name="_Toc487900351"/>
      <w:r>
        <w:rPr>
          <w:rFonts w:hint="eastAsia" w:ascii="宋体" w:hAnsi="宋体" w:cs="宋体"/>
          <w:b/>
          <w:sz w:val="24"/>
        </w:rPr>
        <w:t>2.3 知识产权</w:t>
      </w:r>
      <w:bookmarkEnd w:id="443"/>
      <w:bookmarkEnd w:id="444"/>
      <w:bookmarkEnd w:id="445"/>
      <w:bookmarkEnd w:id="446"/>
      <w:bookmarkEnd w:id="447"/>
      <w:bookmarkEnd w:id="448"/>
    </w:p>
    <w:p>
      <w:pPr>
        <w:spacing w:line="440" w:lineRule="exact"/>
        <w:ind w:firstLine="480" w:firstLineChars="200"/>
        <w:rPr>
          <w:rFonts w:ascii="宋体" w:hAnsi="宋体" w:cs="宋体"/>
          <w:sz w:val="24"/>
        </w:rPr>
      </w:pPr>
      <w:r>
        <w:rPr>
          <w:rFonts w:hint="eastAsia" w:ascii="宋体" w:hAnsi="宋体" w:cs="宋体"/>
          <w:sz w:val="24"/>
        </w:rPr>
        <w:t>2.3.1 乙方应保证甲方在使用该服务或其任何一部分时不受任何第三方提出的侵犯其著作权、商标权、专利权等知识产权方面的起诉；如果任何第三方提出侵权指控，那么乙方须与该第三方交涉并承担由此发生的一切责任、费用和赔偿；</w:t>
      </w:r>
    </w:p>
    <w:p>
      <w:pPr>
        <w:spacing w:line="44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440" w:lineRule="exact"/>
        <w:ind w:firstLine="482" w:firstLineChars="200"/>
        <w:outlineLvl w:val="0"/>
        <w:rPr>
          <w:rFonts w:ascii="宋体" w:hAnsi="宋体" w:cs="宋体"/>
          <w:b/>
          <w:sz w:val="24"/>
        </w:rPr>
      </w:pPr>
      <w:bookmarkStart w:id="449" w:name="_Ref467378591"/>
      <w:bookmarkStart w:id="450" w:name="_Toc487900354"/>
      <w:bookmarkStart w:id="451" w:name="_Ref467379536"/>
      <w:bookmarkStart w:id="452" w:name="_Toc279701245"/>
      <w:bookmarkStart w:id="453" w:name="_Ref467379542"/>
      <w:bookmarkStart w:id="454" w:name="_Ref467379527"/>
      <w:bookmarkStart w:id="455" w:name="_Ref467378541"/>
      <w:bookmarkStart w:id="456" w:name="_Toc259093674"/>
      <w:bookmarkStart w:id="457" w:name="_Toc19074"/>
      <w:bookmarkStart w:id="458" w:name="_Toc26182"/>
      <w:bookmarkStart w:id="459" w:name="_Toc30272"/>
      <w:r>
        <w:rPr>
          <w:rFonts w:hint="eastAsia" w:ascii="宋体" w:hAnsi="宋体" w:cs="宋体"/>
          <w:b/>
          <w:sz w:val="24"/>
        </w:rPr>
        <w:t>2.</w:t>
      </w:r>
      <w:bookmarkEnd w:id="449"/>
      <w:bookmarkEnd w:id="450"/>
      <w:bookmarkEnd w:id="451"/>
      <w:bookmarkEnd w:id="452"/>
      <w:bookmarkEnd w:id="453"/>
      <w:bookmarkEnd w:id="454"/>
      <w:bookmarkEnd w:id="455"/>
      <w:bookmarkEnd w:id="456"/>
      <w:r>
        <w:rPr>
          <w:rFonts w:hint="eastAsia" w:ascii="宋体" w:hAnsi="宋体" w:cs="宋体"/>
          <w:b/>
          <w:sz w:val="24"/>
        </w:rPr>
        <w:t>4 履约检查和问题反馈</w:t>
      </w:r>
      <w:bookmarkEnd w:id="457"/>
      <w:bookmarkEnd w:id="458"/>
      <w:bookmarkEnd w:id="459"/>
    </w:p>
    <w:p>
      <w:pPr>
        <w:spacing w:line="440" w:lineRule="exact"/>
        <w:ind w:firstLine="480" w:firstLineChars="200"/>
        <w:rPr>
          <w:rFonts w:ascii="宋体" w:hAnsi="宋体" w:cs="宋体"/>
          <w:sz w:val="24"/>
        </w:rPr>
      </w:pPr>
      <w:bookmarkStart w:id="460" w:name="_Ref467379657"/>
      <w:r>
        <w:rPr>
          <w:rFonts w:hint="eastAsia" w:ascii="宋体" w:hAnsi="宋体" w:cs="宋体"/>
          <w:sz w:val="24"/>
        </w:rPr>
        <w:t>2.4.1</w:t>
      </w:r>
      <w:bookmarkEnd w:id="460"/>
      <w:bookmarkStart w:id="461" w:name="_Toc186431854"/>
      <w:bookmarkStart w:id="462" w:name="_Toc259093676"/>
      <w:bookmarkStart w:id="463" w:name="_Toc279701247"/>
      <w:bookmarkStart w:id="464" w:name="_Ref467379793"/>
      <w:bookmarkStart w:id="465" w:name="_Ref467379807"/>
      <w:bookmarkStart w:id="466" w:name="_Toc487900357"/>
      <w:r>
        <w:rPr>
          <w:rFonts w:hint="eastAsia" w:ascii="宋体" w:hAnsi="宋体" w:cs="宋体"/>
          <w:sz w:val="24"/>
        </w:rPr>
        <w:t>甲方有权在其认为必要时，对乙方是否能够按照合同约定完成服务进行履约检查，以确保乙方所交付的成果能够依约满足甲方之项目需求，但不得因履约检查妨碍乙方的正常工作，乙方应予积极配合；</w:t>
      </w:r>
    </w:p>
    <w:p>
      <w:pPr>
        <w:spacing w:line="440" w:lineRule="exact"/>
        <w:ind w:firstLine="480" w:firstLineChars="200"/>
        <w:rPr>
          <w:rFonts w:ascii="宋体" w:hAnsi="宋体" w:cs="宋体"/>
          <w:sz w:val="24"/>
        </w:rPr>
      </w:pPr>
      <w:r>
        <w:rPr>
          <w:rFonts w:hint="eastAsia" w:ascii="宋体" w:hAnsi="宋体" w:cs="宋体"/>
          <w:sz w:val="24"/>
        </w:rPr>
        <w:t>2.4.2 合同履行期间，甲方有权将履行过程中出现的问题反馈给乙方，双方当事人应以书面形式约定需要完善和改进的内容</w:t>
      </w:r>
      <w:bookmarkEnd w:id="461"/>
      <w:bookmarkStart w:id="467" w:name="_Toc186431855"/>
      <w:r>
        <w:rPr>
          <w:rFonts w:hint="eastAsia" w:ascii="宋体" w:hAnsi="宋体" w:cs="宋体"/>
          <w:sz w:val="24"/>
        </w:rPr>
        <w:t>。</w:t>
      </w:r>
    </w:p>
    <w:bookmarkEnd w:id="462"/>
    <w:bookmarkEnd w:id="463"/>
    <w:bookmarkEnd w:id="464"/>
    <w:bookmarkEnd w:id="465"/>
    <w:bookmarkEnd w:id="466"/>
    <w:bookmarkEnd w:id="467"/>
    <w:p>
      <w:pPr>
        <w:spacing w:line="440" w:lineRule="exact"/>
        <w:ind w:firstLine="482" w:firstLineChars="200"/>
        <w:outlineLvl w:val="0"/>
        <w:rPr>
          <w:rFonts w:ascii="宋体" w:hAnsi="宋体" w:cs="宋体"/>
          <w:b/>
          <w:sz w:val="24"/>
        </w:rPr>
      </w:pPr>
      <w:bookmarkStart w:id="468" w:name="_Ref467379923"/>
      <w:bookmarkStart w:id="469" w:name="_Toc487900358"/>
      <w:bookmarkStart w:id="470" w:name="_Ref467379852"/>
      <w:bookmarkStart w:id="471" w:name="_Toc279701248"/>
      <w:bookmarkStart w:id="472" w:name="_Ref467379863"/>
      <w:bookmarkStart w:id="473" w:name="_Toc259093677"/>
      <w:bookmarkStart w:id="474" w:name="_Toc16110"/>
      <w:bookmarkStart w:id="475" w:name="_Toc774"/>
      <w:bookmarkStart w:id="476" w:name="_Toc3225"/>
      <w:r>
        <w:rPr>
          <w:rFonts w:hint="eastAsia" w:ascii="宋体" w:hAnsi="宋体" w:cs="宋体"/>
          <w:b/>
          <w:sz w:val="24"/>
        </w:rPr>
        <w:t>2.5 技术资料</w:t>
      </w:r>
      <w:bookmarkEnd w:id="468"/>
      <w:bookmarkEnd w:id="469"/>
      <w:bookmarkEnd w:id="470"/>
      <w:bookmarkEnd w:id="471"/>
      <w:bookmarkEnd w:id="472"/>
      <w:bookmarkEnd w:id="473"/>
      <w:r>
        <w:rPr>
          <w:rFonts w:hint="eastAsia" w:ascii="宋体" w:hAnsi="宋体" w:cs="宋体"/>
          <w:b/>
          <w:sz w:val="24"/>
        </w:rPr>
        <w:t>和保密义务</w:t>
      </w:r>
      <w:bookmarkEnd w:id="474"/>
      <w:bookmarkEnd w:id="475"/>
      <w:bookmarkEnd w:id="476"/>
    </w:p>
    <w:p>
      <w:pPr>
        <w:spacing w:line="440" w:lineRule="exact"/>
        <w:ind w:firstLine="480" w:firstLineChars="200"/>
        <w:rPr>
          <w:rFonts w:ascii="宋体" w:hAnsi="宋体" w:cs="宋体"/>
          <w:sz w:val="24"/>
        </w:rPr>
      </w:pPr>
      <w:r>
        <w:rPr>
          <w:rFonts w:hint="eastAsia" w:ascii="宋体" w:hAnsi="宋体" w:cs="宋体"/>
          <w:sz w:val="24"/>
        </w:rPr>
        <w:t>2.5.1 乙方有权依据合同约定和项目需要，向甲方了解有关情况，调阅有关资料等，甲方应予积极配合；</w:t>
      </w:r>
    </w:p>
    <w:p>
      <w:pPr>
        <w:spacing w:line="440" w:lineRule="exact"/>
        <w:ind w:firstLine="480" w:firstLineChars="200"/>
        <w:rPr>
          <w:rFonts w:ascii="宋体" w:hAnsi="宋体" w:cs="宋体"/>
          <w:sz w:val="24"/>
        </w:rPr>
      </w:pPr>
      <w:r>
        <w:rPr>
          <w:rFonts w:hint="eastAsia" w:ascii="宋体" w:hAnsi="宋体" w:cs="宋体"/>
          <w:sz w:val="24"/>
        </w:rPr>
        <w:t>2.5.2 乙方有义务妥善保管和保护由甲方提供的前款信息和资料等；</w:t>
      </w:r>
    </w:p>
    <w:p>
      <w:pPr>
        <w:spacing w:line="440" w:lineRule="exact"/>
        <w:ind w:firstLine="480" w:firstLineChars="200"/>
        <w:rPr>
          <w:rFonts w:ascii="宋体" w:hAnsi="宋体" w:cs="宋体"/>
          <w:sz w:val="24"/>
        </w:rPr>
      </w:pPr>
      <w:r>
        <w:rPr>
          <w:rFonts w:hint="eastAsia" w:ascii="宋体" w:hAnsi="宋体" w:cs="宋体"/>
          <w:sz w:val="24"/>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ind w:firstLine="482" w:firstLineChars="200"/>
        <w:outlineLvl w:val="0"/>
        <w:rPr>
          <w:rFonts w:ascii="宋体" w:hAnsi="宋体" w:cs="宋体"/>
          <w:b/>
          <w:sz w:val="24"/>
        </w:rPr>
      </w:pPr>
      <w:bookmarkStart w:id="477" w:name="_Toc7860"/>
      <w:r>
        <w:rPr>
          <w:rFonts w:hint="eastAsia" w:ascii="宋体" w:hAnsi="宋体" w:cs="宋体"/>
          <w:b/>
          <w:sz w:val="24"/>
        </w:rPr>
        <w:t>2.6 质量保证</w:t>
      </w:r>
      <w:bookmarkEnd w:id="477"/>
    </w:p>
    <w:p>
      <w:pPr>
        <w:spacing w:line="440" w:lineRule="exact"/>
        <w:ind w:firstLine="480" w:firstLineChars="200"/>
        <w:rPr>
          <w:rFonts w:ascii="宋体" w:hAnsi="宋体" w:cs="宋体"/>
          <w:sz w:val="24"/>
        </w:rPr>
      </w:pPr>
      <w:r>
        <w:rPr>
          <w:rFonts w:hint="eastAsia" w:ascii="宋体" w:hAnsi="宋体" w:cs="宋体"/>
          <w:sz w:val="24"/>
        </w:rPr>
        <w:t>2.6.1 乙方应建立和完善履行合同的内部质量保证体系，并提供相关内部规章制度给甲方，以便甲方进行监督检查；</w:t>
      </w:r>
    </w:p>
    <w:p>
      <w:pPr>
        <w:spacing w:line="440" w:lineRule="exact"/>
        <w:ind w:firstLine="480" w:firstLineChars="200"/>
        <w:rPr>
          <w:rFonts w:ascii="宋体" w:hAnsi="宋体" w:cs="宋体"/>
          <w:b/>
          <w:sz w:val="24"/>
        </w:rPr>
      </w:pPr>
      <w:r>
        <w:rPr>
          <w:rFonts w:hint="eastAsia" w:ascii="宋体" w:hAnsi="宋体" w:cs="宋体"/>
          <w:sz w:val="24"/>
        </w:rPr>
        <w:t>2.6.2 乙方应保证履行合同的人员数量和素质、软件和硬件设备的配置、场地、环境和设施等满足全面履行合同的要求，并应接受甲方的监督检查。</w:t>
      </w:r>
      <w:bookmarkStart w:id="478" w:name="_Toc279701252"/>
      <w:bookmarkStart w:id="479" w:name="_Toc259093681"/>
      <w:bookmarkStart w:id="480" w:name="_Toc487900362"/>
    </w:p>
    <w:p>
      <w:pPr>
        <w:spacing w:line="440" w:lineRule="exact"/>
        <w:ind w:firstLine="482" w:firstLineChars="200"/>
        <w:outlineLvl w:val="0"/>
        <w:rPr>
          <w:rFonts w:ascii="宋体" w:hAnsi="宋体" w:cs="宋体"/>
          <w:b/>
          <w:sz w:val="24"/>
        </w:rPr>
      </w:pPr>
      <w:bookmarkStart w:id="481" w:name="_Toc14055"/>
      <w:r>
        <w:rPr>
          <w:rFonts w:hint="eastAsia" w:ascii="宋体" w:hAnsi="宋体" w:cs="宋体"/>
          <w:b/>
          <w:sz w:val="24"/>
        </w:rPr>
        <w:t>2.7 延迟</w:t>
      </w:r>
      <w:bookmarkEnd w:id="478"/>
      <w:bookmarkEnd w:id="479"/>
      <w:bookmarkEnd w:id="480"/>
      <w:bookmarkEnd w:id="481"/>
      <w:r>
        <w:rPr>
          <w:rFonts w:hint="eastAsia" w:ascii="宋体" w:hAnsi="宋体" w:cs="宋体"/>
          <w:b/>
          <w:sz w:val="24"/>
        </w:rPr>
        <w:t>服务</w:t>
      </w:r>
    </w:p>
    <w:p>
      <w:pPr>
        <w:spacing w:line="440" w:lineRule="exact"/>
        <w:ind w:firstLine="480" w:firstLineChars="200"/>
        <w:rPr>
          <w:rFonts w:ascii="宋体" w:hAnsi="宋体" w:cs="宋体"/>
          <w:sz w:val="24"/>
        </w:rPr>
      </w:pPr>
      <w:r>
        <w:rPr>
          <w:rFonts w:hint="eastAsia" w:ascii="宋体" w:hAnsi="宋体" w:cs="宋体"/>
          <w:sz w:val="24"/>
        </w:rPr>
        <w:t>在合同履行过程中，如果乙方遇到不能按时完成服务的情况，应及时以书面形式将不能按时完成服务的理由、预期延误时间通知甲方；甲方收到乙方通知后，认为其理由正当的，可以书面形式酌情同意乙方可以延长交货的具体时间。</w:t>
      </w:r>
    </w:p>
    <w:p>
      <w:pPr>
        <w:spacing w:line="440" w:lineRule="exact"/>
        <w:ind w:firstLine="482" w:firstLineChars="200"/>
        <w:outlineLvl w:val="0"/>
        <w:rPr>
          <w:rFonts w:ascii="宋体" w:hAnsi="宋体" w:cs="宋体"/>
          <w:b/>
          <w:sz w:val="24"/>
        </w:rPr>
      </w:pPr>
      <w:bookmarkStart w:id="482" w:name="_Toc7502"/>
      <w:bookmarkStart w:id="483" w:name="_Toc259093683"/>
      <w:bookmarkStart w:id="484" w:name="_Toc279701254"/>
      <w:bookmarkStart w:id="485" w:name="_Toc487900364"/>
      <w:bookmarkStart w:id="486" w:name="_Ref467378121"/>
      <w:r>
        <w:rPr>
          <w:rFonts w:hint="eastAsia" w:ascii="宋体" w:hAnsi="宋体" w:cs="宋体"/>
          <w:b/>
          <w:sz w:val="24"/>
        </w:rPr>
        <w:t>2.8 合同变更</w:t>
      </w:r>
      <w:bookmarkEnd w:id="482"/>
    </w:p>
    <w:p>
      <w:pPr>
        <w:spacing w:line="44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87" w:name="_Toc487900369"/>
      <w:bookmarkStart w:id="488" w:name="_Toc259093688"/>
      <w:bookmarkStart w:id="489" w:name="_Toc279701259"/>
    </w:p>
    <w:p>
      <w:pPr>
        <w:spacing w:line="440" w:lineRule="exact"/>
        <w:ind w:firstLine="482" w:firstLineChars="200"/>
        <w:outlineLvl w:val="0"/>
        <w:rPr>
          <w:rFonts w:ascii="宋体" w:hAnsi="宋体" w:cs="宋体"/>
          <w:b/>
          <w:sz w:val="24"/>
        </w:rPr>
      </w:pPr>
      <w:bookmarkStart w:id="490" w:name="_Toc22955"/>
      <w:bookmarkStart w:id="491" w:name="_Toc10366"/>
      <w:bookmarkStart w:id="492" w:name="_Toc15237"/>
      <w:r>
        <w:rPr>
          <w:rFonts w:hint="eastAsia" w:ascii="宋体" w:hAnsi="宋体" w:cs="宋体"/>
          <w:b/>
          <w:sz w:val="24"/>
        </w:rPr>
        <w:t>2.9 合同转让</w:t>
      </w:r>
      <w:bookmarkEnd w:id="487"/>
      <w:bookmarkEnd w:id="488"/>
      <w:bookmarkEnd w:id="489"/>
      <w:r>
        <w:rPr>
          <w:rFonts w:hint="eastAsia" w:ascii="宋体" w:hAnsi="宋体" w:cs="宋体"/>
          <w:b/>
          <w:sz w:val="24"/>
        </w:rPr>
        <w:t>和分包</w:t>
      </w:r>
      <w:bookmarkEnd w:id="490"/>
      <w:bookmarkEnd w:id="491"/>
      <w:bookmarkEnd w:id="492"/>
    </w:p>
    <w:p>
      <w:pPr>
        <w:spacing w:line="440" w:lineRule="exact"/>
        <w:ind w:firstLine="480" w:firstLineChars="200"/>
        <w:rPr>
          <w:rFonts w:ascii="宋体" w:hAnsi="宋体" w:cs="宋体"/>
          <w:sz w:val="24"/>
        </w:rPr>
      </w:pPr>
      <w:r>
        <w:rPr>
          <w:rFonts w:hint="eastAsia" w:ascii="宋体" w:hAnsi="宋体" w:cs="宋体"/>
          <w:sz w:val="24"/>
        </w:rPr>
        <w:t>2.9.1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40" w:lineRule="exact"/>
        <w:ind w:firstLine="480" w:firstLineChars="200"/>
        <w:rPr>
          <w:rFonts w:ascii="宋体" w:hAnsi="宋体" w:cs="宋体"/>
          <w:sz w:val="24"/>
        </w:rPr>
      </w:pPr>
      <w:r>
        <w:rPr>
          <w:rFonts w:hint="eastAsia" w:ascii="宋体" w:hAnsi="宋体" w:cs="宋体"/>
          <w:sz w:val="24"/>
        </w:rPr>
        <w:t>2.9.2乙方采取分包方式履行合同的，甲方可直接向分包供应商支付款项。</w:t>
      </w:r>
    </w:p>
    <w:p>
      <w:pPr>
        <w:spacing w:line="440" w:lineRule="exact"/>
        <w:ind w:firstLine="482" w:firstLineChars="200"/>
        <w:outlineLvl w:val="0"/>
        <w:rPr>
          <w:rFonts w:ascii="宋体" w:hAnsi="宋体" w:cs="宋体"/>
          <w:b/>
          <w:sz w:val="24"/>
        </w:rPr>
      </w:pPr>
      <w:bookmarkStart w:id="493" w:name="_Toc13566"/>
      <w:bookmarkStart w:id="494" w:name="_Toc14066"/>
      <w:bookmarkStart w:id="495" w:name="_Toc16508"/>
      <w:r>
        <w:rPr>
          <w:rFonts w:hint="eastAsia" w:ascii="宋体" w:hAnsi="宋体" w:cs="宋体"/>
          <w:b/>
          <w:sz w:val="24"/>
        </w:rPr>
        <w:t>2.10 不可抗力</w:t>
      </w:r>
      <w:bookmarkEnd w:id="493"/>
      <w:bookmarkEnd w:id="494"/>
      <w:bookmarkEnd w:id="495"/>
    </w:p>
    <w:p>
      <w:pPr>
        <w:spacing w:line="440" w:lineRule="exact"/>
        <w:ind w:firstLine="480" w:firstLineChars="200"/>
        <w:rPr>
          <w:rFonts w:ascii="宋体" w:hAnsi="宋体" w:cs="宋体"/>
          <w:sz w:val="24"/>
        </w:rPr>
      </w:pPr>
      <w:r>
        <w:rPr>
          <w:rFonts w:hint="eastAsia" w:ascii="宋体" w:hAnsi="宋体" w:cs="宋体"/>
          <w:sz w:val="24"/>
        </w:rPr>
        <w:t>2.10.1如果任何一方遭遇法律规定的不可抗力，致使合同履行受阻时，履行合同的期限应予延长，延长的期限应相当于不可抗力所影响的时间；</w:t>
      </w:r>
    </w:p>
    <w:p>
      <w:pPr>
        <w:spacing w:line="440" w:lineRule="exact"/>
        <w:ind w:firstLine="480" w:firstLineChars="200"/>
        <w:rPr>
          <w:rFonts w:ascii="宋体" w:hAnsi="宋体" w:cs="宋体"/>
          <w:sz w:val="24"/>
        </w:rPr>
      </w:pPr>
      <w:r>
        <w:rPr>
          <w:rFonts w:hint="eastAsia" w:ascii="宋体" w:hAnsi="宋体" w:cs="宋体"/>
          <w:sz w:val="24"/>
        </w:rPr>
        <w:t>2.10.2 因不可抗力致使不能实现合同目的的，当事人可以解除合同；</w:t>
      </w:r>
    </w:p>
    <w:p>
      <w:pPr>
        <w:spacing w:line="440" w:lineRule="exact"/>
        <w:ind w:firstLine="480" w:firstLineChars="200"/>
        <w:rPr>
          <w:rFonts w:ascii="宋体" w:hAnsi="宋体" w:cs="宋体"/>
          <w:sz w:val="24"/>
        </w:rPr>
      </w:pPr>
      <w:r>
        <w:rPr>
          <w:rFonts w:hint="eastAsia" w:ascii="宋体" w:hAnsi="宋体" w:cs="宋体"/>
          <w:sz w:val="24"/>
        </w:rPr>
        <w:t>2.10.3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440" w:lineRule="exact"/>
        <w:ind w:firstLine="480" w:firstLineChars="200"/>
        <w:rPr>
          <w:rFonts w:ascii="宋体" w:hAnsi="宋体" w:cs="宋体"/>
          <w:sz w:val="24"/>
        </w:rPr>
      </w:pPr>
      <w:r>
        <w:rPr>
          <w:rFonts w:hint="eastAsia" w:ascii="宋体" w:hAnsi="宋体" w:cs="宋体"/>
          <w:sz w:val="24"/>
        </w:rPr>
        <w:t>2.10.4受不可抗力影响的一方在不可抗力发生后，应在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440" w:lineRule="exact"/>
        <w:ind w:firstLine="482" w:firstLineChars="200"/>
        <w:outlineLvl w:val="0"/>
        <w:rPr>
          <w:rFonts w:ascii="宋体" w:hAnsi="宋体" w:cs="宋体"/>
          <w:b/>
          <w:sz w:val="24"/>
        </w:rPr>
      </w:pPr>
      <w:bookmarkStart w:id="496" w:name="_Toc259093684"/>
      <w:bookmarkStart w:id="497" w:name="_Toc487900365"/>
      <w:bookmarkStart w:id="498" w:name="_Toc689"/>
      <w:bookmarkStart w:id="499" w:name="_Toc6969"/>
      <w:bookmarkStart w:id="500" w:name="_Toc279701255"/>
      <w:bookmarkStart w:id="501" w:name="_Toc30676"/>
      <w:r>
        <w:rPr>
          <w:rFonts w:hint="eastAsia" w:ascii="宋体" w:hAnsi="宋体" w:cs="宋体"/>
          <w:b/>
          <w:sz w:val="24"/>
        </w:rPr>
        <w:t>2.11 税费</w:t>
      </w:r>
      <w:bookmarkEnd w:id="496"/>
      <w:bookmarkEnd w:id="497"/>
      <w:bookmarkEnd w:id="498"/>
      <w:bookmarkEnd w:id="499"/>
      <w:bookmarkEnd w:id="500"/>
      <w:bookmarkEnd w:id="501"/>
    </w:p>
    <w:p>
      <w:pPr>
        <w:spacing w:line="44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440" w:lineRule="exact"/>
        <w:ind w:firstLine="482" w:firstLineChars="200"/>
        <w:outlineLvl w:val="0"/>
        <w:rPr>
          <w:rFonts w:ascii="宋体" w:hAnsi="宋体" w:cs="宋体"/>
          <w:b/>
          <w:sz w:val="24"/>
        </w:rPr>
      </w:pPr>
      <w:bookmarkStart w:id="502" w:name="_Toc8298"/>
      <w:bookmarkStart w:id="503" w:name="_Toc259093687"/>
      <w:bookmarkStart w:id="504" w:name="_Toc7102"/>
      <w:bookmarkStart w:id="505" w:name="_Toc487900368"/>
      <w:bookmarkStart w:id="506" w:name="_Toc279701258"/>
      <w:bookmarkStart w:id="507" w:name="_Toc16959"/>
      <w:r>
        <w:rPr>
          <w:rFonts w:hint="eastAsia" w:ascii="宋体" w:hAnsi="宋体" w:cs="宋体"/>
          <w:b/>
          <w:sz w:val="24"/>
        </w:rPr>
        <w:t>2.12乙方破产</w:t>
      </w:r>
      <w:bookmarkEnd w:id="502"/>
      <w:bookmarkEnd w:id="503"/>
      <w:bookmarkEnd w:id="504"/>
      <w:bookmarkEnd w:id="505"/>
      <w:bookmarkEnd w:id="506"/>
      <w:bookmarkEnd w:id="507"/>
    </w:p>
    <w:p>
      <w:pPr>
        <w:spacing w:line="44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40" w:lineRule="exact"/>
        <w:ind w:firstLine="482" w:firstLineChars="200"/>
        <w:outlineLvl w:val="0"/>
        <w:rPr>
          <w:rFonts w:ascii="宋体" w:hAnsi="宋体" w:cs="宋体"/>
          <w:b/>
          <w:sz w:val="24"/>
        </w:rPr>
      </w:pPr>
      <w:bookmarkStart w:id="508" w:name="_Toc15387"/>
      <w:bookmarkStart w:id="509" w:name="_Toc6134"/>
      <w:bookmarkStart w:id="510" w:name="_Toc29333"/>
      <w:r>
        <w:rPr>
          <w:rFonts w:hint="eastAsia" w:ascii="宋体" w:hAnsi="宋体" w:cs="宋体"/>
          <w:b/>
          <w:sz w:val="24"/>
        </w:rPr>
        <w:t>2.13 合同中止、终止</w:t>
      </w:r>
      <w:bookmarkEnd w:id="508"/>
      <w:bookmarkEnd w:id="509"/>
      <w:bookmarkEnd w:id="510"/>
    </w:p>
    <w:p>
      <w:pPr>
        <w:spacing w:line="440" w:lineRule="exact"/>
        <w:ind w:firstLine="480" w:firstLineChars="200"/>
        <w:rPr>
          <w:rFonts w:ascii="宋体" w:hAnsi="宋体" w:cs="宋体"/>
          <w:sz w:val="24"/>
        </w:rPr>
      </w:pPr>
      <w:r>
        <w:rPr>
          <w:rFonts w:hint="eastAsia" w:ascii="宋体" w:hAnsi="宋体" w:cs="宋体"/>
          <w:sz w:val="24"/>
        </w:rPr>
        <w:t>2.13.1 双方当事人不得擅自中止或者终止合同；</w:t>
      </w:r>
    </w:p>
    <w:p>
      <w:pPr>
        <w:spacing w:line="440" w:lineRule="exact"/>
        <w:ind w:firstLine="480" w:firstLineChars="200"/>
        <w:rPr>
          <w:rFonts w:ascii="宋体" w:hAnsi="宋体" w:cs="宋体"/>
          <w:sz w:val="24"/>
        </w:rPr>
      </w:pPr>
      <w:r>
        <w:rPr>
          <w:rFonts w:hint="eastAsia" w:ascii="宋体" w:hAnsi="宋体" w:cs="宋体"/>
          <w:sz w:val="24"/>
        </w:rPr>
        <w:t>2.13.2合同继续履行将损害国家利益和社会公共利益的，双方当事人应当中止或者终止合同。有过错的一方应当承担赔偿责任，双方当事人都有过错的，各自承担相应的责任。</w:t>
      </w:r>
    </w:p>
    <w:p>
      <w:pPr>
        <w:spacing w:line="440" w:lineRule="exact"/>
        <w:ind w:firstLine="482" w:firstLineChars="200"/>
        <w:outlineLvl w:val="0"/>
        <w:rPr>
          <w:rFonts w:ascii="宋体" w:hAnsi="宋体" w:cs="宋体"/>
          <w:b/>
          <w:sz w:val="24"/>
        </w:rPr>
      </w:pPr>
      <w:bookmarkStart w:id="511" w:name="_Toc14563"/>
      <w:bookmarkStart w:id="512" w:name="_Toc1125"/>
      <w:bookmarkStart w:id="513" w:name="_Toc6596"/>
      <w:r>
        <w:rPr>
          <w:rFonts w:hint="eastAsia" w:ascii="宋体" w:hAnsi="宋体" w:cs="宋体"/>
          <w:b/>
          <w:sz w:val="24"/>
        </w:rPr>
        <w:t>2.14检验和验收</w:t>
      </w:r>
      <w:bookmarkEnd w:id="511"/>
      <w:bookmarkEnd w:id="512"/>
      <w:bookmarkEnd w:id="513"/>
    </w:p>
    <w:bookmarkEnd w:id="483"/>
    <w:bookmarkEnd w:id="484"/>
    <w:bookmarkEnd w:id="485"/>
    <w:bookmarkEnd w:id="486"/>
    <w:p>
      <w:pPr>
        <w:tabs>
          <w:tab w:val="left" w:pos="360"/>
          <w:tab w:val="left" w:pos="540"/>
          <w:tab w:val="left" w:pos="1080"/>
        </w:tabs>
        <w:spacing w:line="440" w:lineRule="exact"/>
        <w:ind w:firstLine="480" w:firstLineChars="200"/>
        <w:rPr>
          <w:rFonts w:ascii="宋体" w:hAnsi="宋体" w:cs="宋体"/>
          <w:sz w:val="24"/>
        </w:rPr>
      </w:pPr>
      <w:bookmarkStart w:id="514" w:name="_Toc279701261"/>
      <w:bookmarkStart w:id="515" w:name="_Toc259093690"/>
      <w:bookmarkStart w:id="516" w:name="_Toc487900371"/>
      <w:bookmarkStart w:id="517" w:name="_Toc11284"/>
      <w:bookmarkStart w:id="518" w:name="_Toc19604"/>
      <w:bookmarkStart w:id="519" w:name="_Toc25182"/>
      <w:r>
        <w:rPr>
          <w:rFonts w:hint="eastAsia" w:ascii="宋体" w:hAnsi="宋体" w:cs="宋体"/>
          <w:sz w:val="24"/>
        </w:rPr>
        <w:t>2.14.1项目完工交付前，乙方应对服务的质量进行详细、全面的检验，并向甲方出具证明符合合同约定的文件；服务结束时，乙方在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440" w:lineRule="exact"/>
        <w:ind w:firstLine="480" w:firstLineChars="200"/>
        <w:rPr>
          <w:rFonts w:ascii="宋体" w:hAnsi="宋体" w:cs="宋体"/>
          <w:sz w:val="24"/>
        </w:rPr>
      </w:pPr>
      <w:r>
        <w:rPr>
          <w:rFonts w:hint="eastAsia" w:ascii="宋体" w:hAnsi="宋体" w:cs="宋体"/>
          <w:sz w:val="24"/>
        </w:rPr>
        <w:t>2.14.2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440" w:lineRule="exact"/>
        <w:ind w:firstLine="480" w:firstLineChars="200"/>
        <w:outlineLvl w:val="0"/>
        <w:rPr>
          <w:rFonts w:ascii="宋体" w:hAnsi="宋体" w:cs="宋体"/>
          <w:i/>
          <w:sz w:val="24"/>
        </w:rPr>
      </w:pPr>
      <w:r>
        <w:rPr>
          <w:rFonts w:hint="eastAsia" w:ascii="宋体" w:hAnsi="宋体" w:cs="宋体"/>
          <w:sz w:val="24"/>
        </w:rPr>
        <w:t>2.14.3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p>
      <w:pPr>
        <w:spacing w:line="440" w:lineRule="exact"/>
        <w:ind w:firstLine="482" w:firstLineChars="200"/>
        <w:outlineLvl w:val="0"/>
        <w:rPr>
          <w:rFonts w:ascii="宋体" w:hAnsi="宋体" w:cs="宋体"/>
          <w:b/>
          <w:sz w:val="24"/>
        </w:rPr>
      </w:pPr>
      <w:r>
        <w:rPr>
          <w:rFonts w:hint="eastAsia" w:ascii="宋体" w:hAnsi="宋体" w:cs="宋体"/>
          <w:b/>
          <w:sz w:val="24"/>
        </w:rPr>
        <w:t>2.15 通知</w:t>
      </w:r>
      <w:bookmarkEnd w:id="514"/>
      <w:bookmarkEnd w:id="515"/>
      <w:bookmarkEnd w:id="516"/>
      <w:r>
        <w:rPr>
          <w:rFonts w:hint="eastAsia" w:ascii="宋体" w:hAnsi="宋体" w:cs="宋体"/>
          <w:b/>
          <w:sz w:val="24"/>
        </w:rPr>
        <w:t>和送达</w:t>
      </w:r>
      <w:bookmarkEnd w:id="517"/>
      <w:bookmarkEnd w:id="518"/>
      <w:bookmarkEnd w:id="519"/>
    </w:p>
    <w:p>
      <w:pPr>
        <w:spacing w:line="440" w:lineRule="exact"/>
        <w:ind w:firstLine="480" w:firstLineChars="200"/>
        <w:rPr>
          <w:rFonts w:ascii="宋体" w:hAnsi="宋体" w:cs="宋体"/>
          <w:sz w:val="24"/>
        </w:rPr>
      </w:pPr>
      <w:bookmarkStart w:id="520" w:name="_Toc3135"/>
      <w:bookmarkStart w:id="521" w:name="_Toc6698"/>
      <w:bookmarkStart w:id="522" w:name="_Toc279701262"/>
      <w:bookmarkStart w:id="523" w:name="_Toc487900372"/>
      <w:bookmarkStart w:id="524" w:name="_Toc259093691"/>
      <w:r>
        <w:rPr>
          <w:rFonts w:hint="eastAsia" w:ascii="宋体" w:hAnsi="宋体" w:cs="宋体"/>
          <w:sz w:val="24"/>
        </w:rPr>
        <w:t xml:space="preserve">2.15.1任何一方因履行合同而以合同第一部分尾部所列明的传真或电子邮件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20"/>
      <w:bookmarkEnd w:id="521"/>
    </w:p>
    <w:p>
      <w:pPr>
        <w:spacing w:line="440" w:lineRule="exact"/>
        <w:ind w:firstLine="480" w:firstLineChars="200"/>
        <w:rPr>
          <w:rFonts w:ascii="宋体" w:hAnsi="宋体" w:cs="宋体"/>
          <w:sz w:val="24"/>
        </w:rPr>
      </w:pPr>
      <w:bookmarkStart w:id="525" w:name="_Toc23128"/>
      <w:bookmarkStart w:id="526" w:name="_Toc23294"/>
      <w:r>
        <w:rPr>
          <w:rFonts w:hint="eastAsia" w:ascii="宋体" w:hAnsi="宋体" w:cs="宋体"/>
          <w:sz w:val="24"/>
        </w:rPr>
        <w:t>2.15.2以当面交付方式送达的，交付之时视为送达；以电子邮件方式送达的，发出电子邮件之时视为送达；以传真方式送达的，发出传真之时视为送达；以邮寄方式送达的，邮件挂号寄出或者交邮之日之次日视为送达。</w:t>
      </w:r>
      <w:bookmarkEnd w:id="525"/>
      <w:bookmarkEnd w:id="526"/>
    </w:p>
    <w:p>
      <w:pPr>
        <w:spacing w:line="440" w:lineRule="exact"/>
        <w:ind w:firstLine="482" w:firstLineChars="200"/>
        <w:outlineLvl w:val="0"/>
        <w:rPr>
          <w:rFonts w:ascii="宋体" w:hAnsi="宋体" w:cs="宋体"/>
          <w:b/>
          <w:sz w:val="24"/>
        </w:rPr>
      </w:pPr>
      <w:bookmarkStart w:id="527" w:name="_Toc4355"/>
      <w:bookmarkStart w:id="528" w:name="_Toc18540"/>
      <w:bookmarkStart w:id="529" w:name="_Toc30599"/>
      <w:r>
        <w:rPr>
          <w:rFonts w:hint="eastAsia" w:ascii="宋体" w:hAnsi="宋体" w:cs="宋体"/>
          <w:b/>
          <w:sz w:val="24"/>
        </w:rPr>
        <w:t>2.16 计量单位</w:t>
      </w:r>
      <w:bookmarkEnd w:id="522"/>
      <w:bookmarkEnd w:id="523"/>
      <w:bookmarkEnd w:id="524"/>
      <w:bookmarkEnd w:id="527"/>
      <w:bookmarkEnd w:id="528"/>
      <w:bookmarkEnd w:id="529"/>
    </w:p>
    <w:p>
      <w:pPr>
        <w:spacing w:line="44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440" w:lineRule="exact"/>
        <w:ind w:firstLine="482" w:firstLineChars="200"/>
        <w:outlineLvl w:val="0"/>
        <w:rPr>
          <w:rFonts w:ascii="宋体" w:hAnsi="宋体" w:cs="宋体"/>
          <w:b/>
          <w:sz w:val="24"/>
        </w:rPr>
      </w:pPr>
      <w:bookmarkStart w:id="530" w:name="_Toc279701263"/>
      <w:bookmarkStart w:id="531" w:name="_Toc259093692"/>
      <w:bookmarkStart w:id="532" w:name="_Toc18567"/>
      <w:bookmarkStart w:id="533" w:name="_Toc12773"/>
      <w:bookmarkStart w:id="534" w:name="_Toc487900373"/>
      <w:bookmarkStart w:id="535" w:name="_Toc10330"/>
      <w:r>
        <w:rPr>
          <w:rFonts w:hint="eastAsia" w:ascii="宋体" w:hAnsi="宋体" w:cs="宋体"/>
          <w:b/>
          <w:sz w:val="24"/>
        </w:rPr>
        <w:t>2.17 合同使用的文字和适用的法律</w:t>
      </w:r>
      <w:bookmarkEnd w:id="530"/>
      <w:bookmarkEnd w:id="531"/>
      <w:bookmarkEnd w:id="532"/>
      <w:bookmarkEnd w:id="533"/>
      <w:bookmarkEnd w:id="534"/>
      <w:bookmarkEnd w:id="535"/>
    </w:p>
    <w:p>
      <w:pPr>
        <w:spacing w:line="440" w:lineRule="exact"/>
        <w:ind w:firstLine="480" w:firstLineChars="200"/>
        <w:rPr>
          <w:rFonts w:ascii="宋体" w:hAnsi="宋体" w:cs="宋体"/>
          <w:sz w:val="24"/>
        </w:rPr>
      </w:pPr>
      <w:r>
        <w:rPr>
          <w:rFonts w:hint="eastAsia" w:ascii="宋体" w:hAnsi="宋体" w:cs="宋体"/>
          <w:sz w:val="24"/>
        </w:rPr>
        <w:t>2.17.1 合同使用汉语书就、变更和解释；</w:t>
      </w:r>
    </w:p>
    <w:p>
      <w:pPr>
        <w:spacing w:line="440" w:lineRule="exact"/>
        <w:ind w:firstLine="480" w:firstLineChars="200"/>
        <w:rPr>
          <w:rFonts w:ascii="宋体" w:hAnsi="宋体" w:cs="宋体"/>
          <w:sz w:val="24"/>
        </w:rPr>
      </w:pPr>
      <w:r>
        <w:rPr>
          <w:rFonts w:hint="eastAsia" w:ascii="宋体" w:hAnsi="宋体" w:cs="宋体"/>
          <w:sz w:val="24"/>
        </w:rPr>
        <w:t>2.17.2 合同适用中华人民共和国法律。</w:t>
      </w:r>
    </w:p>
    <w:p>
      <w:pPr>
        <w:spacing w:line="440" w:lineRule="exact"/>
        <w:ind w:firstLine="482" w:firstLineChars="200"/>
        <w:outlineLvl w:val="0"/>
        <w:rPr>
          <w:rFonts w:ascii="宋体" w:hAnsi="宋体" w:cs="宋体"/>
          <w:b/>
          <w:sz w:val="24"/>
        </w:rPr>
      </w:pPr>
      <w:bookmarkStart w:id="536" w:name="_Toc3148"/>
      <w:bookmarkStart w:id="537" w:name="_Toc16673"/>
      <w:bookmarkStart w:id="538" w:name="_Toc279701264"/>
      <w:bookmarkStart w:id="539" w:name="_Toc259093693"/>
      <w:bookmarkStart w:id="540" w:name="_Toc12004"/>
      <w:bookmarkStart w:id="541" w:name="_Toc487900374"/>
      <w:r>
        <w:rPr>
          <w:rFonts w:hint="eastAsia" w:ascii="宋体" w:hAnsi="宋体" w:cs="宋体"/>
          <w:b/>
          <w:sz w:val="24"/>
        </w:rPr>
        <w:t>2.18 履约保证金</w:t>
      </w:r>
      <w:bookmarkEnd w:id="536"/>
      <w:bookmarkEnd w:id="537"/>
      <w:bookmarkEnd w:id="538"/>
      <w:bookmarkEnd w:id="539"/>
      <w:bookmarkEnd w:id="540"/>
    </w:p>
    <w:p>
      <w:pPr>
        <w:pStyle w:val="42"/>
        <w:spacing w:before="0" w:beforeAutospacing="0" w:after="0" w:afterAutospacing="0" w:line="440" w:lineRule="exact"/>
        <w:ind w:firstLine="420"/>
      </w:pPr>
      <w:r>
        <w:rPr>
          <w:rFonts w:hint="eastAsia"/>
        </w:rPr>
        <w:t>2.18.1 采购文件要求乙方提交履约保证金的，乙方应按</w:t>
      </w:r>
      <w:r>
        <w:rPr>
          <w:rFonts w:hint="eastAsia"/>
          <w:b/>
          <w:i/>
          <w:u w:val="single"/>
        </w:rPr>
        <w:t>合同专用条款</w:t>
      </w:r>
      <w:r>
        <w:rPr>
          <w:rFonts w:hint="eastAsia"/>
        </w:rPr>
        <w:t>约定的方式，以支票、汇票、本票或者金融机构、担保机构出具的保函等非现金形式，提交不超过合同金额1%的履约保证金；鼓励和支持乙方以银行、保险公司出具的保函形式提供履约保证。</w:t>
      </w:r>
    </w:p>
    <w:p>
      <w:pPr>
        <w:spacing w:line="440" w:lineRule="exact"/>
        <w:ind w:firstLine="480" w:firstLineChars="200"/>
        <w:rPr>
          <w:rFonts w:ascii="宋体" w:hAnsi="宋体" w:cs="宋体"/>
          <w:sz w:val="24"/>
        </w:rPr>
      </w:pPr>
      <w:r>
        <w:rPr>
          <w:rFonts w:hint="eastAsia" w:ascii="宋体" w:hAnsi="宋体" w:cs="宋体"/>
          <w:sz w:val="24"/>
        </w:rPr>
        <w:t>2.18.2  履约保证金在</w:t>
      </w:r>
      <w:r>
        <w:rPr>
          <w:rFonts w:hint="eastAsia" w:ascii="宋体" w:hAnsi="宋体" w:cs="宋体"/>
          <w:b/>
          <w:i/>
          <w:sz w:val="24"/>
          <w:u w:val="single"/>
        </w:rPr>
        <w:t>合同专用条款</w:t>
      </w:r>
      <w:r>
        <w:rPr>
          <w:rFonts w:hint="eastAsia" w:ascii="宋体" w:hAnsi="宋体" w:cs="宋体"/>
          <w:sz w:val="24"/>
        </w:rPr>
        <w:t>约定期间内不予退还。乙方在前述约定期间届满前能履行完合同约定义务事项的，甲方在前述约定期间届满之日起</w:t>
      </w:r>
      <w:r>
        <w:rPr>
          <w:rFonts w:hint="eastAsia" w:ascii="宋体" w:hAnsi="宋体" w:cs="宋体"/>
          <w:sz w:val="24"/>
          <w:u w:val="single"/>
        </w:rPr>
        <w:t xml:space="preserve"> 5 </w:t>
      </w:r>
      <w:r>
        <w:rPr>
          <w:rFonts w:hint="eastAsia" w:ascii="宋体" w:hAnsi="宋体" w:cs="宋体"/>
          <w:sz w:val="24"/>
        </w:rPr>
        <w:t>个工作日内，按</w:t>
      </w:r>
      <w:r>
        <w:rPr>
          <w:rFonts w:hint="eastAsia" w:ascii="宋体" w:hAnsi="宋体" w:cs="宋体"/>
          <w:b/>
          <w:i/>
          <w:sz w:val="24"/>
          <w:u w:val="single"/>
        </w:rPr>
        <w:t>合同专用条款</w:t>
      </w:r>
      <w:r>
        <w:rPr>
          <w:rFonts w:hint="eastAsia" w:ascii="宋体" w:hAnsi="宋体" w:cs="宋体"/>
          <w:sz w:val="24"/>
        </w:rPr>
        <w:t>约定的方式将履约保证金退还乙方，逾期退还的，乙方可要求甲方支付违约金，违约金按每迟延退还一日的应退还而未退还金额的</w:t>
      </w:r>
      <w:r>
        <w:rPr>
          <w:rFonts w:hint="eastAsia" w:ascii="宋体" w:hAnsi="宋体" w:cs="宋体"/>
          <w:sz w:val="24"/>
          <w:u w:val="single"/>
        </w:rPr>
        <w:t xml:space="preserve">  0.05  </w:t>
      </w:r>
      <w:r>
        <w:rPr>
          <w:rFonts w:hint="eastAsia" w:ascii="宋体" w:hAnsi="宋体" w:cs="宋体"/>
          <w:sz w:val="24"/>
        </w:rPr>
        <w:t>%计算，最高限额为本合同履约保证金的</w:t>
      </w:r>
      <w:r>
        <w:rPr>
          <w:rFonts w:hint="eastAsia" w:ascii="宋体" w:hAnsi="宋体" w:cs="宋体"/>
          <w:sz w:val="24"/>
          <w:u w:val="single"/>
        </w:rPr>
        <w:t xml:space="preserve">  20   </w:t>
      </w:r>
      <w:r>
        <w:rPr>
          <w:rFonts w:hint="eastAsia" w:ascii="宋体" w:hAnsi="宋体" w:cs="宋体"/>
          <w:sz w:val="24"/>
        </w:rPr>
        <w:t xml:space="preserve">%； </w:t>
      </w:r>
    </w:p>
    <w:p>
      <w:pPr>
        <w:spacing w:line="440" w:lineRule="exact"/>
        <w:ind w:firstLine="480" w:firstLineChars="200"/>
        <w:rPr>
          <w:rFonts w:ascii="宋体" w:hAnsi="宋体" w:cs="宋体"/>
          <w:sz w:val="24"/>
        </w:rPr>
      </w:pPr>
      <w:r>
        <w:rPr>
          <w:rFonts w:hint="eastAsia" w:ascii="宋体" w:hAnsi="宋体" w:cs="宋体"/>
          <w:sz w:val="24"/>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440" w:lineRule="exact"/>
        <w:ind w:firstLine="480" w:firstLineChars="200"/>
        <w:rPr>
          <w:rFonts w:ascii="宋体" w:hAnsi="宋体" w:cs="宋体"/>
        </w:rPr>
      </w:pPr>
      <w:r>
        <w:rPr>
          <w:rFonts w:hint="eastAsia" w:ascii="宋体" w:hAnsi="宋体" w:cs="宋体"/>
          <w:sz w:val="24"/>
        </w:rPr>
        <w:t>2.18.4甲方在乙方履行完合同约定义务事项后及时退还，延迟退还的，应当按照合同约定和法律规定承担相应的赔偿责任。</w:t>
      </w:r>
    </w:p>
    <w:p>
      <w:pPr>
        <w:spacing w:line="440" w:lineRule="exact"/>
        <w:ind w:firstLine="480" w:firstLineChars="200"/>
        <w:rPr>
          <w:rFonts w:ascii="宋体" w:hAnsi="宋体" w:cs="宋体"/>
          <w:sz w:val="24"/>
        </w:rPr>
      </w:pPr>
      <w:r>
        <w:rPr>
          <w:rFonts w:hint="eastAsia" w:ascii="宋体" w:hAnsi="宋体" w:cs="宋体"/>
          <w:sz w:val="24"/>
        </w:rPr>
        <w:t>2.19对于因甲方原因导致变更、中止或者终止政府采购合同的，甲方应当依照合同约定对供应商受到的损失予以赔偿或者补偿。</w:t>
      </w:r>
    </w:p>
    <w:bookmarkEnd w:id="541"/>
    <w:p>
      <w:pPr>
        <w:spacing w:line="440" w:lineRule="exact"/>
        <w:ind w:firstLine="482" w:firstLineChars="200"/>
        <w:outlineLvl w:val="0"/>
        <w:rPr>
          <w:rFonts w:ascii="宋体" w:hAnsi="宋体" w:cs="宋体"/>
          <w:b/>
          <w:sz w:val="24"/>
        </w:rPr>
      </w:pPr>
      <w:bookmarkStart w:id="542" w:name="_Toc19890"/>
      <w:bookmarkStart w:id="543" w:name="_Toc6885"/>
      <w:bookmarkStart w:id="544" w:name="_Toc14001"/>
      <w:r>
        <w:rPr>
          <w:rFonts w:hint="eastAsia" w:ascii="宋体" w:hAnsi="宋体" w:cs="宋体"/>
          <w:b/>
          <w:sz w:val="24"/>
        </w:rPr>
        <w:t>2.20合同份数</w:t>
      </w:r>
      <w:bookmarkEnd w:id="542"/>
      <w:bookmarkEnd w:id="543"/>
      <w:bookmarkEnd w:id="544"/>
    </w:p>
    <w:p>
      <w:pPr>
        <w:spacing w:line="440" w:lineRule="exact"/>
        <w:ind w:firstLine="480" w:firstLineChars="200"/>
        <w:rPr>
          <w:rFonts w:ascii="宋体" w:hAnsi="宋体" w:cs="宋体"/>
          <w:b/>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pStyle w:val="31"/>
        <w:spacing w:line="560" w:lineRule="exact"/>
        <w:ind w:left="0" w:leftChars="0" w:firstLine="2650" w:firstLineChars="1100"/>
        <w:rPr>
          <w:rFonts w:ascii="宋体" w:hAnsi="宋体" w:cs="宋体"/>
          <w:b/>
          <w:szCs w:val="24"/>
        </w:rPr>
      </w:pPr>
      <w:r>
        <w:rPr>
          <w:rFonts w:hint="eastAsia" w:ascii="宋体" w:hAnsi="宋体" w:cs="宋体"/>
          <w:b/>
          <w:szCs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1"/>
        <w:tblW w:w="953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6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51"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8685"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1.4.4</w:t>
            </w:r>
          </w:p>
        </w:tc>
        <w:tc>
          <w:tcPr>
            <w:tcW w:w="8685" w:type="dxa"/>
            <w:vAlign w:val="center"/>
          </w:tcPr>
          <w:p>
            <w:pPr>
              <w:widowControl/>
              <w:autoSpaceDE w:val="0"/>
              <w:autoSpaceDN w:val="0"/>
              <w:spacing w:line="480" w:lineRule="exact"/>
              <w:textAlignment w:val="bottom"/>
              <w:rPr>
                <w:rFonts w:ascii="宋体" w:hAnsi="宋体" w:cs="宋体"/>
                <w:b/>
                <w:bCs/>
                <w:sz w:val="24"/>
              </w:rPr>
            </w:pPr>
            <w:r>
              <w:rPr>
                <w:rFonts w:hint="eastAsia" w:ascii="宋体" w:hAnsi="宋体" w:cs="宋体"/>
                <w:b/>
                <w:bCs/>
                <w:sz w:val="24"/>
              </w:rPr>
              <w:t>资金支付的方式、时间和条件：</w:t>
            </w:r>
          </w:p>
          <w:p>
            <w:pPr>
              <w:snapToGrid w:val="0"/>
              <w:spacing w:line="440" w:lineRule="exact"/>
              <w:jc w:val="left"/>
              <w:rPr>
                <w:rFonts w:ascii="宋体" w:hAnsi="宋体" w:cs="宋体"/>
                <w:sz w:val="24"/>
              </w:rPr>
            </w:pPr>
            <w:r>
              <w:rPr>
                <w:rFonts w:hint="eastAsia" w:ascii="宋体" w:hAnsi="宋体" w:cs="宋体"/>
                <w:sz w:val="24"/>
              </w:rPr>
              <w:t>1、合同签订生效后7个工作日内支付合同价60%的预付款，剩余合同价款根据当年度桐庐县农村生活污水运行维护考核结果且完成相应问题整改后30日内一次性支付。</w:t>
            </w:r>
          </w:p>
          <w:p>
            <w:pPr>
              <w:widowControl/>
              <w:autoSpaceDE w:val="0"/>
              <w:autoSpaceDN w:val="0"/>
              <w:spacing w:line="480" w:lineRule="exact"/>
              <w:textAlignment w:val="bottom"/>
              <w:rPr>
                <w:rFonts w:ascii="宋体" w:hAnsi="宋体" w:cs="宋体"/>
                <w:sz w:val="24"/>
              </w:rPr>
            </w:pPr>
            <w:r>
              <w:rPr>
                <w:rFonts w:hint="eastAsia" w:ascii="宋体" w:hAnsi="宋体" w:cs="宋体"/>
                <w:sz w:val="24"/>
              </w:rPr>
              <w:t>2、根据《浙江省农村生活污水治理工作考核办法》《杭州市农村生活污水治理工作综合评价办法》等最新文件精神，按照《桐庐县农村生活污水处理设施运维考核办法》的要求，根据考核结果与供应商续签下一年度合同。考核标准采用百分制，考核由县级主管部门牵头，乡镇（街道）参与进行，其中县级主管部门考核分占比50%、乡镇（街道）考核分占比50%；考核分95分（含）以上的，按照中标合同价款全额支付，并续签下一年度合同；考核分90分（含）以上至95分的，按照中标合同价款95%支付，并续签下一年度合同；考核分85分（含）以上至90分的，按照中标合同价款90%支付，并续签下一年度合同；考核分80分（含）以上至85分的，按照中标合同价款85%支付，并续签下一年度合同；考核分80分以下的，按照中标合同价款80%支付，但不再续签下一年度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685" w:type="dxa"/>
            <w:vAlign w:val="center"/>
          </w:tcPr>
          <w:p>
            <w:pPr>
              <w:spacing w:line="360" w:lineRule="auto"/>
              <w:jc w:val="left"/>
              <w:rPr>
                <w:rFonts w:ascii="宋体" w:hAnsi="宋体" w:cs="宋体"/>
                <w:b/>
                <w:bCs/>
                <w:sz w:val="24"/>
              </w:rPr>
            </w:pPr>
            <w:r>
              <w:rPr>
                <w:rFonts w:hint="eastAsia" w:ascii="宋体" w:hAnsi="宋体" w:cs="宋体"/>
                <w:b/>
                <w:bCs/>
                <w:sz w:val="24"/>
              </w:rPr>
              <w:t>服务期限：</w:t>
            </w:r>
          </w:p>
          <w:p>
            <w:pPr>
              <w:spacing w:line="360" w:lineRule="auto"/>
              <w:jc w:val="left"/>
              <w:rPr>
                <w:rFonts w:hint="eastAsia" w:ascii="宋体" w:hAnsi="宋体" w:cs="宋体"/>
                <w:sz w:val="24"/>
              </w:rPr>
            </w:pPr>
            <w:r>
              <w:rPr>
                <w:rFonts w:hint="eastAsia" w:ascii="宋体" w:hAnsi="宋体" w:cs="宋体"/>
                <w:sz w:val="24"/>
              </w:rPr>
              <w:t>1、本次服务招标有效期为三年。</w:t>
            </w:r>
          </w:p>
          <w:p>
            <w:pPr>
              <w:spacing w:line="360" w:lineRule="auto"/>
              <w:jc w:val="left"/>
              <w:rPr>
                <w:rFonts w:hint="eastAsia" w:ascii="宋体" w:hAnsi="宋体" w:cs="宋体"/>
                <w:sz w:val="24"/>
              </w:rPr>
            </w:pPr>
            <w:r>
              <w:rPr>
                <w:rFonts w:hint="eastAsia" w:ascii="宋体" w:hAnsi="宋体" w:cs="宋体"/>
                <w:sz w:val="24"/>
              </w:rPr>
              <w:t>2、本次招标实行一年一考核一签合同的办法，年度合同期满后，考核分在80分（含）以上的，采购人根据考核结果与中标供应商续签下一年合同，续签次数≤2次且合同价款不予调整（按中标价）。（考核办法详见《桐庐县农村生活污水处理设施运维考核办法》，以采购人发布的最新考核办法为准。）</w:t>
            </w:r>
          </w:p>
          <w:p>
            <w:pPr>
              <w:spacing w:line="360" w:lineRule="auto"/>
              <w:jc w:val="left"/>
              <w:rPr>
                <w:rFonts w:hint="eastAsia" w:ascii="宋体" w:hAnsi="宋体" w:cs="宋体"/>
                <w:sz w:val="24"/>
              </w:rPr>
            </w:pPr>
            <w:r>
              <w:rPr>
                <w:rFonts w:hint="eastAsia" w:ascii="宋体" w:hAnsi="宋体" w:cs="宋体"/>
                <w:sz w:val="24"/>
              </w:rPr>
              <w:t>3、本次招标预算金额为一年服务期的运行维护费用。</w:t>
            </w:r>
          </w:p>
          <w:p>
            <w:pPr>
              <w:spacing w:line="360" w:lineRule="auto"/>
              <w:jc w:val="left"/>
              <w:rPr>
                <w:rFonts w:hint="eastAsia" w:ascii="宋体" w:hAnsi="宋体" w:cs="宋体"/>
                <w:sz w:val="24"/>
              </w:rPr>
            </w:pPr>
            <w:r>
              <w:rPr>
                <w:rFonts w:hint="eastAsia" w:ascii="宋体" w:hAnsi="宋体" w:cs="宋体"/>
                <w:sz w:val="24"/>
              </w:rPr>
              <w:t>4、一年合同期满因采购人未获得县财政预算批复，采购人应提前30天书面通知供应商，合同到期终止不再延续。</w:t>
            </w:r>
          </w:p>
          <w:p>
            <w:pPr>
              <w:spacing w:line="360" w:lineRule="auto"/>
              <w:jc w:val="left"/>
            </w:pPr>
            <w:r>
              <w:rPr>
                <w:rFonts w:hint="eastAsia" w:ascii="宋体" w:hAnsi="宋体" w:cs="宋体"/>
                <w:sz w:val="24"/>
              </w:rPr>
              <w:t>5、所有处理设施完成移交之日起合同生效。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685" w:type="dxa"/>
            <w:vAlign w:val="center"/>
          </w:tcPr>
          <w:p>
            <w:pPr>
              <w:spacing w:line="360" w:lineRule="auto"/>
              <w:rPr>
                <w:rFonts w:ascii="宋体" w:hAnsi="宋体" w:cs="宋体"/>
                <w:sz w:val="24"/>
              </w:rPr>
            </w:pPr>
            <w:r>
              <w:rPr>
                <w:rFonts w:hint="eastAsia" w:ascii="宋体" w:hAnsi="宋体" w:cs="宋体"/>
                <w:sz w:val="24"/>
              </w:rPr>
              <w:t>服务地点：</w:t>
            </w:r>
            <w:r>
              <w:rPr>
                <w:rFonts w:hint="eastAsia" w:ascii="宋体" w:hAnsi="宋体" w:cs="宋体"/>
                <w:b/>
                <w:bCs/>
                <w:sz w:val="24"/>
              </w:rPr>
              <w:t>由甲方指定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1.6.7</w:t>
            </w:r>
          </w:p>
        </w:tc>
        <w:tc>
          <w:tcPr>
            <w:tcW w:w="8685" w:type="dxa"/>
            <w:vAlign w:val="center"/>
          </w:tcPr>
          <w:p>
            <w:pPr>
              <w:widowControl/>
              <w:autoSpaceDE w:val="0"/>
              <w:autoSpaceDN w:val="0"/>
              <w:textAlignment w:val="bottom"/>
              <w:rPr>
                <w:rFonts w:ascii="宋体" w:hAnsi="宋体" w:cs="宋体"/>
                <w:b/>
                <w:bCs/>
                <w:sz w:val="24"/>
              </w:rPr>
            </w:pPr>
            <w:r>
              <w:rPr>
                <w:rFonts w:hint="eastAsia" w:ascii="宋体" w:hAnsi="宋体" w:cs="宋体"/>
                <w:b/>
                <w:bCs/>
                <w:sz w:val="24"/>
              </w:rPr>
              <w:t>违约责任：</w:t>
            </w:r>
          </w:p>
          <w:p>
            <w:pPr>
              <w:widowControl/>
              <w:autoSpaceDE w:val="0"/>
              <w:autoSpaceDN w:val="0"/>
              <w:ind w:firstLine="480" w:firstLineChars="200"/>
              <w:textAlignment w:val="bottom"/>
              <w:rPr>
                <w:rFonts w:ascii="宋体" w:hAnsi="宋体" w:cs="宋体"/>
                <w:sz w:val="24"/>
              </w:rPr>
            </w:pPr>
            <w:r>
              <w:rPr>
                <w:rFonts w:hint="eastAsia" w:ascii="宋体" w:hAnsi="宋体" w:cs="宋体"/>
                <w:sz w:val="24"/>
              </w:rPr>
              <w:t>1、除不可抗力外，如果乙方没有按照本合同约定的期限、地点和内容完成服务，那么甲方可要求乙方支付违约金，违约金按每迟延完成服务一日的应交付而未完成服务价格的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；迟延完成服务的违约金计算数额达到前述最高限额之日起，甲方有权在要求乙方支付违约金的同时，书面通知乙方解除本合同；</w:t>
            </w:r>
          </w:p>
          <w:p>
            <w:pPr>
              <w:widowControl/>
              <w:autoSpaceDE w:val="0"/>
              <w:autoSpaceDN w:val="0"/>
              <w:ind w:firstLine="480" w:firstLineChars="200"/>
              <w:textAlignment w:val="bottom"/>
              <w:rPr>
                <w:rFonts w:ascii="宋体" w:hAnsi="宋体" w:cs="宋体"/>
                <w:sz w:val="24"/>
              </w:rPr>
            </w:pPr>
            <w:r>
              <w:rPr>
                <w:rFonts w:hint="eastAsia" w:ascii="宋体" w:hAnsi="宋体" w:cs="宋体"/>
                <w:sz w:val="24"/>
              </w:rPr>
              <w:t xml:space="preserve">除不可抗力外，如果甲方没有按照本合同约定的付款方式付款，那么乙方可要求甲方支付违约金，违约金按每迟延付款一日的应付而未付款的 </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ind w:firstLine="480" w:firstLineChars="200"/>
              <w:rPr>
                <w:rFonts w:ascii="宋体" w:hAnsi="宋体" w:cs="宋体"/>
                <w:sz w:val="24"/>
              </w:rPr>
            </w:pPr>
            <w:r>
              <w:rPr>
                <w:rFonts w:hint="eastAsia" w:ascii="宋体" w:hAnsi="宋体" w:cs="宋体"/>
                <w:sz w:val="24"/>
              </w:rPr>
              <w:t>2、中标后30日历天内在片区内按照半小时服务圈，设立运维服务站，且办公面积40平方米及以上（含仓库），按照甲方要求进行装修。投标人若未按要求设立运维服务站或未按甲方要求进行装修的，甲方有权取消中标资格。</w:t>
            </w:r>
          </w:p>
          <w:p>
            <w:pPr>
              <w:ind w:firstLine="480" w:firstLineChars="200"/>
              <w:rPr>
                <w:rFonts w:ascii="宋体" w:hAnsi="宋体" w:cs="宋体"/>
                <w:color w:val="auto"/>
                <w:sz w:val="24"/>
              </w:rPr>
            </w:pPr>
            <w:r>
              <w:rPr>
                <w:rFonts w:hint="eastAsia" w:ascii="宋体" w:hAnsi="宋体" w:cs="宋体"/>
                <w:sz w:val="24"/>
              </w:rPr>
              <w:t>3、供应商如只中一个标项的，拟派团队人员中的项目负责人、运维技术负责人（运维站长）、专业技术管理人员不得更换，其他人员如要更换须经采购人同意并按采购文件要求进行配置，特殊情况需要更换的须经采购人同意，否则采购人有权取消中标资格；如中两个标项的，其中一个项目拟派团队人员经采购人同意后在中标后30天内按照采购文件要求配置到位，</w:t>
            </w:r>
            <w:r>
              <w:rPr>
                <w:rFonts w:hint="eastAsia" w:ascii="宋体" w:hAnsi="宋体" w:cs="宋体"/>
                <w:color w:val="auto"/>
                <w:sz w:val="24"/>
              </w:rPr>
              <w:t>同时满足《农村生活污水处理设施运行维护单位基本条件》文件要求，否则采购人有权取消中标资格；</w:t>
            </w:r>
          </w:p>
          <w:p>
            <w:pPr>
              <w:ind w:firstLine="480" w:firstLineChars="200"/>
              <w:rPr>
                <w:rFonts w:ascii="宋体" w:hAnsi="宋体" w:cs="宋体"/>
                <w:color w:val="auto"/>
                <w:sz w:val="24"/>
              </w:rPr>
            </w:pPr>
            <w:r>
              <w:rPr>
                <w:rFonts w:hint="eastAsia" w:ascii="宋体" w:hAnsi="宋体" w:cs="宋体"/>
                <w:color w:val="auto"/>
                <w:sz w:val="24"/>
              </w:rPr>
              <w:t>4、按要求组建运维团队人员，及时支付雇用人员工资，严格按规定给全部人员缴纳社会保障资金，不得出现集体讨薪或由此产生的维权事件。</w:t>
            </w:r>
          </w:p>
          <w:p>
            <w:pPr>
              <w:ind w:firstLine="480" w:firstLineChars="200"/>
              <w:rPr>
                <w:rFonts w:ascii="宋体" w:hAnsi="宋体" w:cs="宋体"/>
                <w:color w:val="FF0000"/>
                <w:sz w:val="24"/>
              </w:rPr>
            </w:pPr>
            <w:r>
              <w:rPr>
                <w:rFonts w:hint="eastAsia" w:ascii="宋体" w:hAnsi="宋体" w:cs="宋体"/>
                <w:color w:val="auto"/>
                <w:sz w:val="24"/>
              </w:rPr>
              <w:t>5、当运维单位不能满足采购人服务要求时，符合下列条件之一的采购人有权终止项目合同并追究采购人未按承诺要求造成的损失和责任：（1）受到县委县政府及以上单位、部门通报批评的，或一年内累计两次被市级以上主管部门通报批评的；（2）发生群体性信访事件的；（3）发生人员死亡等重大安全事故的；（4）丧失履约能力或被宣告破产的；（5）因违规操作触犯刑律的；（6）服务能力达不到《农村生活污水处理设施运行维护单位基本条件》且拒不整改的；（7）年末考核分80分以下的；（8）相关材料弄虚作假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w:t>
            </w:r>
          </w:p>
        </w:tc>
        <w:tc>
          <w:tcPr>
            <w:tcW w:w="8685" w:type="dxa"/>
            <w:vAlign w:val="center"/>
          </w:tcPr>
          <w:p>
            <w:pPr>
              <w:rPr>
                <w:rFonts w:ascii="宋体" w:hAnsi="宋体" w:cs="宋体"/>
                <w:sz w:val="24"/>
              </w:rPr>
            </w:pPr>
            <w:r>
              <w:rPr>
                <w:rFonts w:hint="eastAsia" w:ascii="宋体" w:hAnsi="宋体" w:cs="宋体"/>
                <w:sz w:val="24"/>
              </w:rPr>
              <w:t>本合同履行过程中发生的任何争议，双方当事人均可通过和解或者调解解决；不愿和解、调解或者和解、调解不成的，可以选择以下第</w:t>
            </w:r>
            <w:r>
              <w:rPr>
                <w:rFonts w:hint="eastAsia" w:ascii="宋体" w:hAnsi="宋体" w:cs="宋体"/>
                <w:b/>
                <w:iCs/>
                <w:sz w:val="24"/>
                <w:u w:val="single"/>
              </w:rPr>
              <w:t xml:space="preserve"> 1.7.2  </w:t>
            </w:r>
            <w:r>
              <w:rPr>
                <w:rFonts w:hint="eastAsia" w:ascii="宋体" w:hAnsi="宋体" w:cs="宋体"/>
                <w:sz w:val="24"/>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7" w:hRule="atLeast"/>
          <w:jc w:val="center"/>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685" w:type="dxa"/>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685" w:type="dxa"/>
            <w:vAlign w:val="center"/>
          </w:tcPr>
          <w:p>
            <w:pPr>
              <w:spacing w:line="360" w:lineRule="auto"/>
              <w:rPr>
                <w:rFonts w:ascii="宋体" w:hAnsi="宋体" w:cs="宋体"/>
                <w:sz w:val="24"/>
              </w:rPr>
            </w:pPr>
            <w:r>
              <w:rPr>
                <w:rFonts w:hint="eastAsia" w:ascii="宋体" w:hAnsi="宋体" w:cs="宋体"/>
                <w:sz w:val="24"/>
              </w:rPr>
              <w:t>向</w:t>
            </w:r>
            <w:r>
              <w:rPr>
                <w:rFonts w:hint="eastAsia" w:ascii="宋体" w:hAnsi="宋体" w:cs="宋体"/>
                <w:b/>
                <w:sz w:val="24"/>
                <w:u w:val="single"/>
              </w:rPr>
              <w:t>桐庐县人民法院</w:t>
            </w:r>
            <w:r>
              <w:rPr>
                <w:rFonts w:hint="eastAsia" w:ascii="宋体" w:hAnsi="宋体" w:cs="宋体"/>
                <w:sz w:val="24"/>
              </w:rPr>
              <w:t>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685" w:type="dxa"/>
            <w:vAlign w:val="center"/>
          </w:tcPr>
          <w:p>
            <w:pPr>
              <w:widowControl/>
              <w:autoSpaceDE w:val="0"/>
              <w:autoSpaceDN w:val="0"/>
              <w:spacing w:line="480" w:lineRule="exact"/>
              <w:textAlignment w:val="bottom"/>
              <w:rPr>
                <w:rFonts w:ascii="宋体" w:hAnsi="宋体" w:cs="宋体"/>
                <w:sz w:val="24"/>
              </w:rPr>
            </w:pPr>
            <w:r>
              <w:rPr>
                <w:rFonts w:hint="eastAsia" w:ascii="宋体" w:hAnsi="宋体" w:cs="宋体"/>
                <w:sz w:val="24"/>
              </w:rPr>
              <w:t>具有知识产权的计算机软件等货物的知识产权归属：归甲方所有。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2.10.3</w:t>
            </w:r>
          </w:p>
        </w:tc>
        <w:tc>
          <w:tcPr>
            <w:tcW w:w="8685" w:type="dxa"/>
            <w:vAlign w:val="center"/>
          </w:tcPr>
          <w:p>
            <w:pPr>
              <w:spacing w:line="360" w:lineRule="auto"/>
              <w:rPr>
                <w:rFonts w:ascii="宋体" w:hAnsi="宋体" w:cs="宋体"/>
                <w:sz w:val="24"/>
              </w:rPr>
            </w:pPr>
            <w:r>
              <w:rPr>
                <w:rFonts w:hint="eastAsia" w:ascii="宋体" w:hAnsi="宋体" w:cs="宋体"/>
                <w:sz w:val="24"/>
              </w:rPr>
              <w:t>因不可抗力致使合同有变更必要的，双方当事人应在</w:t>
            </w:r>
            <w:r>
              <w:rPr>
                <w:rFonts w:hint="eastAsia" w:ascii="宋体" w:hAnsi="宋体" w:cs="宋体"/>
                <w:b/>
                <w:iCs/>
                <w:sz w:val="24"/>
                <w:u w:val="single"/>
              </w:rPr>
              <w:t>30日</w:t>
            </w:r>
            <w:r>
              <w:rPr>
                <w:rFonts w:hint="eastAsia" w:ascii="宋体" w:hAnsi="宋体" w:cs="宋体"/>
                <w:b/>
                <w:i/>
                <w:sz w:val="24"/>
                <w:u w:val="single"/>
              </w:rPr>
              <w:t xml:space="preserve"> </w:t>
            </w:r>
            <w:r>
              <w:rPr>
                <w:rFonts w:hint="eastAsia" w:ascii="宋体" w:hAnsi="宋体" w:cs="宋体"/>
                <w:sz w:val="24"/>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2.10.4</w:t>
            </w:r>
          </w:p>
        </w:tc>
        <w:tc>
          <w:tcPr>
            <w:tcW w:w="8685" w:type="dxa"/>
            <w:vAlign w:val="center"/>
          </w:tcPr>
          <w:p>
            <w:pPr>
              <w:spacing w:line="360" w:lineRule="auto"/>
              <w:rPr>
                <w:rFonts w:ascii="宋体" w:hAnsi="宋体" w:cs="宋体"/>
                <w:sz w:val="24"/>
              </w:rPr>
            </w:pPr>
            <w:r>
              <w:rPr>
                <w:rFonts w:hint="eastAsia" w:ascii="宋体" w:hAnsi="宋体" w:cs="宋体"/>
                <w:sz w:val="24"/>
              </w:rPr>
              <w:t>受不可抗力影响的一方在不可抗力发生后，应在</w:t>
            </w:r>
            <w:r>
              <w:rPr>
                <w:rFonts w:hint="eastAsia" w:ascii="宋体" w:hAnsi="宋体" w:cs="宋体"/>
                <w:b/>
                <w:iCs/>
                <w:sz w:val="24"/>
                <w:u w:val="single"/>
              </w:rPr>
              <w:t>7日</w:t>
            </w:r>
            <w:r>
              <w:rPr>
                <w:rFonts w:hint="eastAsia" w:ascii="宋体" w:hAnsi="宋体" w:cs="宋体"/>
                <w:b/>
                <w:i/>
                <w:sz w:val="24"/>
                <w:u w:val="single"/>
              </w:rPr>
              <w:t xml:space="preserve"> </w:t>
            </w:r>
            <w:r>
              <w:rPr>
                <w:rFonts w:hint="eastAsia" w:ascii="宋体" w:hAnsi="宋体" w:cs="宋体"/>
                <w:sz w:val="24"/>
              </w:rPr>
              <w:t>内以书面形式通知对方当事人，并在</w:t>
            </w:r>
            <w:r>
              <w:rPr>
                <w:rFonts w:hint="eastAsia" w:ascii="宋体" w:hAnsi="宋体" w:cs="宋体"/>
                <w:b/>
                <w:iCs/>
                <w:sz w:val="24"/>
                <w:u w:val="single"/>
              </w:rPr>
              <w:t xml:space="preserve">14日 </w:t>
            </w:r>
            <w:r>
              <w:rPr>
                <w:rFonts w:hint="eastAsia" w:ascii="宋体" w:hAnsi="宋体" w:cs="宋体"/>
                <w:sz w:val="24"/>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2.14.1</w:t>
            </w:r>
          </w:p>
        </w:tc>
        <w:tc>
          <w:tcPr>
            <w:tcW w:w="8685" w:type="dxa"/>
            <w:vAlign w:val="center"/>
          </w:tcPr>
          <w:p>
            <w:pPr>
              <w:spacing w:line="360" w:lineRule="auto"/>
              <w:rPr>
                <w:rFonts w:ascii="宋体" w:hAnsi="宋体" w:cs="宋体"/>
                <w:sz w:val="24"/>
              </w:rPr>
            </w:pPr>
            <w:r>
              <w:rPr>
                <w:rFonts w:hint="eastAsia" w:ascii="宋体" w:hAnsi="宋体" w:cs="宋体"/>
                <w:sz w:val="24"/>
              </w:rPr>
              <w:t>服务结束时，乙方在</w:t>
            </w:r>
            <w:r>
              <w:rPr>
                <w:rFonts w:hint="eastAsia" w:ascii="宋体" w:hAnsi="宋体" w:cs="宋体"/>
                <w:b/>
                <w:iCs/>
                <w:sz w:val="24"/>
                <w:u w:val="single"/>
              </w:rPr>
              <w:t xml:space="preserve">30日内 </w:t>
            </w:r>
            <w:r>
              <w:rPr>
                <w:rFonts w:hint="eastAsia" w:ascii="宋体" w:hAnsi="宋体" w:cs="宋体"/>
                <w:sz w:val="24"/>
              </w:rPr>
              <w:t>约定时间内组织验收，并可依法邀请相关方参加，验收应出具验收书。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2.14.3</w:t>
            </w:r>
          </w:p>
        </w:tc>
        <w:tc>
          <w:tcPr>
            <w:tcW w:w="8685" w:type="dxa"/>
            <w:vAlign w:val="center"/>
          </w:tcPr>
          <w:p>
            <w:pPr>
              <w:spacing w:line="360" w:lineRule="auto"/>
              <w:rPr>
                <w:rFonts w:ascii="宋体" w:hAnsi="宋体" w:cs="宋体"/>
                <w:sz w:val="24"/>
              </w:rPr>
            </w:pPr>
            <w:r>
              <w:rPr>
                <w:rFonts w:hint="eastAsia" w:ascii="宋体" w:hAnsi="宋体" w:cs="宋体"/>
                <w:sz w:val="24"/>
              </w:rPr>
              <w:t>检验和验收标准、程序等具体内容：通过采购人验收要求。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3" w:hRule="atLeast"/>
          <w:jc w:val="center"/>
        </w:trPr>
        <w:tc>
          <w:tcPr>
            <w:tcW w:w="851" w:type="dxa"/>
            <w:tcBorders>
              <w:lef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2.18.1</w:t>
            </w:r>
          </w:p>
        </w:tc>
        <w:tc>
          <w:tcPr>
            <w:tcW w:w="8685" w:type="dxa"/>
          </w:tcPr>
          <w:p>
            <w:pPr>
              <w:spacing w:line="360" w:lineRule="auto"/>
              <w:rPr>
                <w:rFonts w:ascii="宋体" w:hAnsi="宋体" w:cs="宋体"/>
                <w:sz w:val="24"/>
              </w:rPr>
            </w:pPr>
            <w:r>
              <w:rPr>
                <w:rStyle w:val="43"/>
                <w:rFonts w:cs="宋体"/>
                <w:b w:val="0"/>
              </w:rPr>
              <w:t>签订合同时，中标供应商应向采购人足额交纳履约保证金合同的0.1%。中标供应商应当以支票、汇票、本票或者金融机构、担保机构出具的保函等非现金形式提交。履约完成后无息退还。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25" w:hRule="atLeast"/>
          <w:jc w:val="center"/>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2.18.2 </w:t>
            </w:r>
          </w:p>
        </w:tc>
        <w:tc>
          <w:tcPr>
            <w:tcW w:w="8685" w:type="dxa"/>
            <w:vAlign w:val="center"/>
          </w:tcPr>
          <w:p>
            <w:pPr>
              <w:spacing w:line="360" w:lineRule="auto"/>
              <w:rPr>
                <w:rFonts w:ascii="宋体" w:hAnsi="宋体" w:cs="宋体"/>
                <w:sz w:val="24"/>
              </w:rPr>
            </w:pPr>
            <w:r>
              <w:rPr>
                <w:rFonts w:hint="eastAsia" w:ascii="宋体" w:hAnsi="宋体" w:cs="宋体"/>
                <w:sz w:val="24"/>
              </w:rPr>
              <w:t>履约保证金在</w:t>
            </w:r>
            <w:r>
              <w:rPr>
                <w:rFonts w:hint="eastAsia" w:ascii="宋体" w:hAnsi="宋体" w:cs="宋体"/>
                <w:b/>
                <w:bCs/>
                <w:sz w:val="24"/>
                <w:u w:val="single"/>
              </w:rPr>
              <w:t>履约</w:t>
            </w:r>
            <w:r>
              <w:rPr>
                <w:rFonts w:hint="eastAsia" w:ascii="宋体" w:hAnsi="宋体" w:cs="宋体"/>
                <w:sz w:val="24"/>
              </w:rPr>
              <w:t>期间内不予退还。乙方在前述约定期间届满前能履行完合同约定义务事项的，甲方在前述约定期间届满之日起</w:t>
            </w:r>
            <w:r>
              <w:rPr>
                <w:rFonts w:hint="eastAsia" w:ascii="宋体" w:hAnsi="宋体" w:cs="宋体"/>
                <w:sz w:val="24"/>
                <w:u w:val="single"/>
              </w:rPr>
              <w:t xml:space="preserve"> 5 </w:t>
            </w:r>
            <w:r>
              <w:rPr>
                <w:rFonts w:hint="eastAsia" w:ascii="宋体" w:hAnsi="宋体" w:cs="宋体"/>
                <w:sz w:val="24"/>
              </w:rPr>
              <w:t>个工作日内，按</w:t>
            </w:r>
            <w:r>
              <w:rPr>
                <w:rFonts w:hint="eastAsia" w:ascii="宋体" w:hAnsi="宋体" w:cs="宋体"/>
                <w:b/>
                <w:iCs/>
                <w:sz w:val="24"/>
                <w:u w:val="single"/>
              </w:rPr>
              <w:t>100%</w:t>
            </w:r>
            <w:r>
              <w:rPr>
                <w:rFonts w:hint="eastAsia" w:ascii="宋体" w:hAnsi="宋体" w:cs="宋体"/>
                <w:sz w:val="24"/>
              </w:rPr>
              <w:t>将履约保证金退还乙方，逾期退还的，乙方可要求甲方支付违约金，违约金按每迟延退还一日的应退还而未退还金额的</w:t>
            </w:r>
            <w:r>
              <w:rPr>
                <w:rFonts w:hint="eastAsia" w:ascii="宋体" w:hAnsi="宋体" w:cs="宋体"/>
                <w:sz w:val="24"/>
                <w:u w:val="single"/>
              </w:rPr>
              <w:t xml:space="preserve">  0.05  </w:t>
            </w:r>
            <w:r>
              <w:rPr>
                <w:rFonts w:hint="eastAsia" w:ascii="宋体" w:hAnsi="宋体" w:cs="宋体"/>
                <w:sz w:val="24"/>
              </w:rPr>
              <w:t>%计算，最高限额为本合同履约保证金的</w:t>
            </w:r>
            <w:r>
              <w:rPr>
                <w:rFonts w:hint="eastAsia" w:ascii="宋体" w:hAnsi="宋体" w:cs="宋体"/>
                <w:sz w:val="24"/>
                <w:u w:val="single"/>
              </w:rPr>
              <w:t xml:space="preserve">  20 </w:t>
            </w: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3" w:hRule="atLeast"/>
          <w:jc w:val="center"/>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rPr>
            </w:pPr>
            <w:r>
              <w:rPr>
                <w:rFonts w:hint="eastAsia" w:ascii="宋体" w:hAnsi="宋体" w:cs="宋体"/>
                <w:sz w:val="24"/>
              </w:rPr>
              <w:t xml:space="preserve">2.20 </w:t>
            </w:r>
          </w:p>
        </w:tc>
        <w:tc>
          <w:tcPr>
            <w:tcW w:w="8685" w:type="dxa"/>
            <w:vAlign w:val="center"/>
          </w:tcPr>
          <w:p>
            <w:pPr>
              <w:spacing w:line="360" w:lineRule="auto"/>
              <w:rPr>
                <w:rFonts w:ascii="宋体" w:hAnsi="宋体" w:cs="宋体"/>
                <w:sz w:val="24"/>
              </w:rPr>
            </w:pPr>
            <w:r>
              <w:rPr>
                <w:rFonts w:hint="eastAsia" w:ascii="宋体" w:hAnsi="宋体" w:cs="宋体"/>
                <w:sz w:val="24"/>
              </w:rPr>
              <w:t>合同份数：</w:t>
            </w:r>
            <w:r>
              <w:rPr>
                <w:rFonts w:hint="eastAsia" w:ascii="宋体" w:hAnsi="宋体" w:cs="宋体"/>
                <w:kern w:val="0"/>
                <w:sz w:val="24"/>
              </w:rPr>
              <w:t>本合同壹式柒份，甲、乙双方各执叁份，代理单位壹份。</w:t>
            </w:r>
          </w:p>
        </w:tc>
      </w:tr>
    </w:tbl>
    <w:p/>
    <w:p/>
    <w:p>
      <w:pPr>
        <w:pStyle w:val="17"/>
      </w:pPr>
    </w:p>
    <w:p>
      <w:pPr>
        <w:spacing w:line="360" w:lineRule="auto"/>
        <w:jc w:val="center"/>
        <w:outlineLvl w:val="0"/>
        <w:rPr>
          <w:rFonts w:ascii="宋体" w:hAnsi="宋体" w:cs="宋体"/>
          <w:b/>
          <w:sz w:val="36"/>
          <w:szCs w:val="20"/>
        </w:rPr>
        <w:sectPr>
          <w:headerReference r:id="rId12" w:type="first"/>
          <w:footerReference r:id="rId14" w:type="first"/>
          <w:headerReference r:id="rId11" w:type="default"/>
          <w:footerReference r:id="rId13" w:type="default"/>
          <w:pgSz w:w="11906" w:h="16838"/>
          <w:pgMar w:top="1440" w:right="1418" w:bottom="1440" w:left="1418" w:header="851" w:footer="992" w:gutter="0"/>
          <w:cols w:space="0" w:num="1"/>
          <w:titlePg/>
          <w:docGrid w:linePitch="312" w:charSpace="0"/>
        </w:sectPr>
      </w:pPr>
    </w:p>
    <w:p>
      <w:pPr>
        <w:pStyle w:val="20"/>
        <w:ind w:firstLine="420"/>
      </w:pPr>
    </w:p>
    <w:p>
      <w:pPr>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391"/>
      <w:bookmarkEnd w:id="392"/>
      <w:r>
        <w:rPr>
          <w:rFonts w:hint="eastAsia" w:ascii="宋体" w:hAnsi="宋体" w:cs="宋体"/>
          <w:b/>
          <w:sz w:val="36"/>
          <w:szCs w:val="20"/>
        </w:rPr>
        <w:t>应提交的有关格式范例</w:t>
      </w:r>
    </w:p>
    <w:p>
      <w:pPr>
        <w:snapToGrid w:val="0"/>
        <w:jc w:val="center"/>
        <w:rPr>
          <w:rFonts w:ascii="宋体" w:hAnsi="宋体" w:cs="宋体"/>
          <w:b/>
          <w:kern w:val="0"/>
          <w:sz w:val="36"/>
          <w:szCs w:val="36"/>
        </w:rPr>
      </w:pPr>
      <w:r>
        <w:rPr>
          <w:rFonts w:hint="eastAsia" w:ascii="宋体" w:hAnsi="宋体" w:cs="宋体"/>
          <w:b/>
          <w:color w:val="FF0000"/>
          <w:sz w:val="32"/>
          <w:szCs w:val="20"/>
        </w:rPr>
        <w:t>（投标文件格式适用于各标段）</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（1）提供有效的营业执照副本并加盖公章（或事业单位法人登记证或其他工商等登记证明材料）…………………………………………………………………………… （页码）</w:t>
      </w:r>
    </w:p>
    <w:p>
      <w:pPr>
        <w:snapToGrid w:val="0"/>
        <w:spacing w:line="360" w:lineRule="auto"/>
        <w:rPr>
          <w:rFonts w:ascii="宋体" w:hAnsi="宋体" w:cs="宋体"/>
          <w:sz w:val="24"/>
        </w:rPr>
      </w:pPr>
      <w:r>
        <w:rPr>
          <w:rFonts w:hint="eastAsia" w:ascii="宋体" w:hAnsi="宋体" w:cs="宋体"/>
          <w:sz w:val="24"/>
        </w:rPr>
        <w:t>（2）符合参加政府采购活动应当具备的一般条件的承诺函………………………（页码）（3）联合协议（如有）………………………………………………………………（页码）</w:t>
      </w:r>
    </w:p>
    <w:p>
      <w:pPr>
        <w:snapToGrid w:val="0"/>
        <w:spacing w:line="360" w:lineRule="auto"/>
        <w:rPr>
          <w:rFonts w:ascii="宋体" w:hAnsi="宋体" w:cs="宋体"/>
          <w:sz w:val="24"/>
        </w:rPr>
      </w:pPr>
      <w:r>
        <w:rPr>
          <w:rFonts w:hint="eastAsia" w:ascii="宋体" w:hAnsi="宋体" w:cs="宋体"/>
          <w:sz w:val="24"/>
        </w:rPr>
        <w:t>（4）落实政府采购政策需满足的资格要求…………………………………………（页码）</w:t>
      </w:r>
    </w:p>
    <w:p>
      <w:pPr>
        <w:snapToGrid w:val="0"/>
        <w:spacing w:line="360" w:lineRule="auto"/>
        <w:rPr>
          <w:rFonts w:ascii="宋体" w:hAnsi="宋体" w:cs="宋体"/>
          <w:sz w:val="24"/>
        </w:rPr>
      </w:pPr>
      <w:r>
        <w:rPr>
          <w:rFonts w:hint="eastAsia" w:ascii="宋体" w:hAnsi="宋体" w:cs="宋体"/>
          <w:sz w:val="24"/>
        </w:rPr>
        <w:t>（5）本项目的特定资格要求（如有）………………………………………………（页码）</w:t>
      </w: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w:t>
      </w: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jc w:val="center"/>
        <w:rPr>
          <w:rFonts w:ascii="宋体" w:hAnsi="宋体" w:cs="宋体"/>
          <w:kern w:val="0"/>
          <w:sz w:val="24"/>
        </w:rPr>
      </w:pPr>
      <w:r>
        <w:rPr>
          <w:rFonts w:hint="eastAsia" w:ascii="宋体" w:hAnsi="宋体" w:cs="宋体"/>
          <w:kern w:val="0"/>
          <w:sz w:val="24"/>
        </w:rPr>
        <w:t xml:space="preserve">                                      </w:t>
      </w:r>
    </w:p>
    <w:p>
      <w:pPr>
        <w:snapToGrid w:val="0"/>
        <w:spacing w:line="360" w:lineRule="auto"/>
        <w:jc w:val="center"/>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二、联合协议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宋体" w:hAnsi="宋体" w:cs="宋体"/>
          <w:b/>
          <w:sz w:val="24"/>
        </w:rPr>
      </w:pPr>
    </w:p>
    <w:p>
      <w:pPr>
        <w:snapToGrid w:val="0"/>
        <w:spacing w:before="50" w:after="50" w:line="360" w:lineRule="auto"/>
        <w:jc w:val="center"/>
        <w:rPr>
          <w:rFonts w:ascii="宋体" w:hAnsi="宋体" w:cs="宋体"/>
          <w:b/>
          <w:sz w:val="24"/>
        </w:rPr>
      </w:pPr>
    </w:p>
    <w:p>
      <w:pPr>
        <w:widowControl/>
        <w:spacing w:line="360" w:lineRule="auto"/>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sectPr>
          <w:pgSz w:w="11906" w:h="16838"/>
          <w:pgMar w:top="1440" w:right="1418" w:bottom="1440" w:left="1418" w:header="851" w:footer="992" w:gutter="0"/>
          <w:cols w:space="0" w:num="1"/>
          <w:titlePg/>
          <w:docGrid w:linePitch="312" w:charSpace="0"/>
        </w:sectPr>
      </w:pPr>
    </w:p>
    <w:p>
      <w:pPr>
        <w:spacing w:line="360" w:lineRule="auto"/>
        <w:ind w:right="420"/>
        <w:jc w:val="center"/>
        <w:rPr>
          <w:rFonts w:ascii="宋体" w:hAnsi="宋体" w:cs="宋体"/>
          <w:b/>
          <w:kern w:val="0"/>
          <w:sz w:val="36"/>
          <w:szCs w:val="36"/>
        </w:rPr>
      </w:pPr>
    </w:p>
    <w:p>
      <w:pPr>
        <w:spacing w:line="360" w:lineRule="auto"/>
        <w:ind w:right="420"/>
        <w:jc w:val="center"/>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（3）符合性审查资料</w:t>
      </w:r>
      <w:r>
        <w:rPr>
          <w:rFonts w:hint="eastAsia" w:ascii="宋体" w:hAnsi="宋体" w:cs="宋体"/>
        </w:rPr>
        <w:t>………………………………………………………………………（页码）</w:t>
      </w:r>
      <w:r>
        <w:rPr>
          <w:rFonts w:hint="eastAsia" w:ascii="宋体" w:hAnsi="宋体" w:cs="宋体"/>
          <w:sz w:val="24"/>
        </w:rPr>
        <w:t>（4）水质检测委托协议（如有）</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（5）评标标准相应的商务技术资料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（6）商务技术偏离表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20"/>
        <w:ind w:firstLine="643"/>
        <w:rPr>
          <w:rFonts w:cs="宋体"/>
          <w:b/>
          <w:kern w:val="0"/>
          <w:sz w:val="32"/>
          <w:szCs w:val="32"/>
        </w:rPr>
      </w:pPr>
    </w:p>
    <w:p>
      <w:pPr>
        <w:pStyle w:val="12"/>
        <w:rPr>
          <w:rFonts w:hAnsi="宋体" w:cs="宋体"/>
          <w:b/>
          <w:kern w:val="0"/>
          <w:sz w:val="32"/>
          <w:szCs w:val="32"/>
        </w:rPr>
      </w:pPr>
    </w:p>
    <w:p>
      <w:pPr>
        <w:snapToGrid w:val="0"/>
        <w:spacing w:line="360" w:lineRule="auto"/>
        <w:outlineLvl w:val="0"/>
        <w:rPr>
          <w:rFonts w:ascii="宋体" w:hAnsi="宋体" w:cs="宋体"/>
          <w:b/>
          <w:kern w:val="0"/>
          <w:sz w:val="32"/>
          <w:szCs w:val="32"/>
        </w:rPr>
      </w:pP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w:t>
      </w:r>
      <w:r>
        <w:rPr>
          <w:rFonts w:hint="eastAsia" w:ascii="宋体" w:hAnsi="宋体" w:cs="宋体"/>
          <w:sz w:val="24"/>
          <w:highlight w:val="yellow"/>
        </w:rPr>
        <w:t>起</w:t>
      </w:r>
      <w:r>
        <w:rPr>
          <w:rFonts w:hint="eastAsia" w:ascii="宋体" w:hAnsi="宋体" w:cs="宋体"/>
          <w:sz w:val="24"/>
          <w:highlight w:val="yellow"/>
          <w:u w:val="single"/>
        </w:rPr>
        <w:t xml:space="preserve">    </w:t>
      </w:r>
      <w:r>
        <w:rPr>
          <w:rFonts w:hint="eastAsia" w:ascii="宋体" w:hAnsi="宋体" w:cs="宋体"/>
          <w:sz w:val="24"/>
          <w:highlight w:val="yellow"/>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ind w:left="210" w:leftChars="100" w:firstLine="480" w:firstLineChars="200"/>
        <w:rPr>
          <w:rFonts w:ascii="宋体" w:hAnsi="宋体" w:cs="宋体"/>
          <w:sz w:val="24"/>
        </w:rPr>
      </w:pPr>
      <w:r>
        <w:rPr>
          <w:rFonts w:hint="eastAsia" w:ascii="宋体" w:hAnsi="宋体" w:cs="宋体"/>
          <w:sz w:val="24"/>
        </w:rPr>
        <w:t>2.1资格文件：</w:t>
      </w:r>
    </w:p>
    <w:p>
      <w:pPr>
        <w:snapToGrid w:val="0"/>
        <w:ind w:left="420" w:leftChars="200" w:firstLine="480" w:firstLineChars="200"/>
        <w:rPr>
          <w:rFonts w:ascii="宋体" w:hAnsi="宋体" w:cs="宋体"/>
          <w:sz w:val="24"/>
        </w:rPr>
      </w:pPr>
      <w:r>
        <w:rPr>
          <w:rFonts w:hint="eastAsia" w:ascii="宋体" w:hAnsi="宋体" w:cs="宋体"/>
          <w:sz w:val="24"/>
        </w:rPr>
        <w:t>2.1.1提供有效的营业执照副本并加盖公章（或事业单位法人登记证或其他工商等登记证明材料）；</w:t>
      </w:r>
    </w:p>
    <w:p>
      <w:pPr>
        <w:snapToGrid w:val="0"/>
        <w:ind w:left="420" w:leftChars="200" w:firstLine="480" w:firstLineChars="200"/>
        <w:rPr>
          <w:rFonts w:ascii="宋体" w:hAnsi="宋体" w:cs="宋体"/>
          <w:sz w:val="24"/>
        </w:rPr>
      </w:pPr>
      <w:r>
        <w:rPr>
          <w:rFonts w:hint="eastAsia" w:ascii="宋体" w:hAnsi="宋体" w:cs="宋体"/>
          <w:sz w:val="24"/>
        </w:rPr>
        <w:t>2.1.2符合参加政府采购活动应当具备的一般条件的承诺函；</w:t>
      </w:r>
    </w:p>
    <w:p>
      <w:pPr>
        <w:snapToGrid w:val="0"/>
        <w:ind w:left="420" w:leftChars="200" w:firstLine="480" w:firstLineChars="200"/>
        <w:rPr>
          <w:rFonts w:ascii="宋体" w:hAnsi="宋体" w:cs="宋体"/>
          <w:sz w:val="24"/>
        </w:rPr>
      </w:pPr>
      <w:r>
        <w:rPr>
          <w:rFonts w:hint="eastAsia" w:ascii="宋体" w:hAnsi="宋体" w:cs="宋体"/>
          <w:sz w:val="24"/>
        </w:rPr>
        <w:t>2.1.3联合协议（如有）；</w:t>
      </w:r>
    </w:p>
    <w:p>
      <w:pPr>
        <w:snapToGrid w:val="0"/>
        <w:ind w:left="420" w:leftChars="200" w:firstLine="480" w:firstLineChars="200"/>
        <w:rPr>
          <w:rFonts w:ascii="宋体" w:hAnsi="宋体" w:cs="宋体"/>
          <w:sz w:val="24"/>
        </w:rPr>
      </w:pPr>
      <w:r>
        <w:rPr>
          <w:rFonts w:hint="eastAsia" w:ascii="宋体" w:hAnsi="宋体" w:cs="宋体"/>
          <w:sz w:val="24"/>
        </w:rPr>
        <w:t>2.1.4落实政府采购政策需满足的资格要求；</w:t>
      </w:r>
    </w:p>
    <w:p>
      <w:pPr>
        <w:snapToGrid w:val="0"/>
        <w:ind w:left="420" w:leftChars="200" w:firstLine="480" w:firstLineChars="200"/>
        <w:rPr>
          <w:rFonts w:ascii="宋体" w:hAnsi="宋体" w:cs="宋体"/>
          <w:sz w:val="24"/>
        </w:rPr>
      </w:pPr>
      <w:r>
        <w:rPr>
          <w:rFonts w:hint="eastAsia" w:ascii="宋体" w:hAnsi="宋体" w:cs="宋体"/>
          <w:sz w:val="24"/>
        </w:rPr>
        <w:t>2.1.5本项目的特定资格要求（如有）；</w:t>
      </w:r>
    </w:p>
    <w:p>
      <w:pPr>
        <w:snapToGrid w:val="0"/>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2商务技术</w:t>
      </w:r>
      <w:r>
        <w:rPr>
          <w:rFonts w:hint="eastAsia" w:ascii="宋体" w:hAnsi="宋体" w:cs="宋体"/>
          <w:sz w:val="24"/>
          <w:lang w:val="zh-CN"/>
        </w:rPr>
        <w:t>文件：</w:t>
      </w:r>
    </w:p>
    <w:p>
      <w:pPr>
        <w:snapToGrid w:val="0"/>
        <w:ind w:left="420" w:leftChars="200" w:firstLine="480" w:firstLineChars="200"/>
        <w:rPr>
          <w:rFonts w:ascii="宋体" w:hAnsi="宋体" w:cs="宋体"/>
          <w:sz w:val="24"/>
        </w:rPr>
      </w:pPr>
      <w:r>
        <w:rPr>
          <w:rFonts w:hint="eastAsia" w:ascii="宋体" w:hAnsi="宋体" w:cs="宋体"/>
          <w:sz w:val="24"/>
        </w:rPr>
        <w:t>2.2.1投标函；</w:t>
      </w:r>
    </w:p>
    <w:p>
      <w:pPr>
        <w:snapToGrid w:val="0"/>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ind w:left="420" w:leftChars="200" w:firstLine="480" w:firstLineChars="200"/>
        <w:rPr>
          <w:rFonts w:ascii="宋体" w:hAnsi="宋体" w:cs="宋体"/>
          <w:sz w:val="24"/>
        </w:rPr>
      </w:pPr>
      <w:r>
        <w:rPr>
          <w:rFonts w:hint="eastAsia" w:ascii="宋体" w:hAnsi="宋体" w:cs="宋体"/>
          <w:sz w:val="24"/>
        </w:rPr>
        <w:t>2.2.3符合性审查资料；</w:t>
      </w:r>
    </w:p>
    <w:p>
      <w:pPr>
        <w:snapToGrid w:val="0"/>
        <w:ind w:left="420" w:leftChars="200" w:firstLine="480" w:firstLineChars="200"/>
        <w:rPr>
          <w:rFonts w:ascii="宋体" w:hAnsi="宋体" w:cs="宋体"/>
          <w:sz w:val="24"/>
        </w:rPr>
      </w:pPr>
      <w:r>
        <w:rPr>
          <w:rFonts w:hint="eastAsia" w:ascii="宋体" w:hAnsi="宋体" w:cs="宋体"/>
          <w:sz w:val="24"/>
        </w:rPr>
        <w:t>2.2.4水质检测委托协议（如有）</w:t>
      </w:r>
    </w:p>
    <w:p>
      <w:pPr>
        <w:snapToGrid w:val="0"/>
        <w:ind w:left="420" w:leftChars="200" w:firstLine="480" w:firstLineChars="200"/>
        <w:rPr>
          <w:rFonts w:ascii="宋体" w:hAnsi="宋体" w:cs="宋体"/>
          <w:sz w:val="24"/>
        </w:rPr>
      </w:pPr>
      <w:r>
        <w:rPr>
          <w:rFonts w:hint="eastAsia" w:ascii="宋体" w:hAnsi="宋体" w:cs="宋体"/>
          <w:sz w:val="24"/>
        </w:rPr>
        <w:t>2.2.5评标标准相应的商务技术资料；</w:t>
      </w:r>
    </w:p>
    <w:p>
      <w:pPr>
        <w:snapToGrid w:val="0"/>
        <w:ind w:left="420" w:leftChars="200" w:firstLine="480" w:firstLineChars="200"/>
        <w:rPr>
          <w:rFonts w:ascii="宋体" w:hAnsi="宋体" w:cs="宋体"/>
          <w:sz w:val="24"/>
        </w:rPr>
      </w:pPr>
      <w:r>
        <w:rPr>
          <w:rFonts w:hint="eastAsia" w:ascii="宋体" w:hAnsi="宋体" w:cs="宋体"/>
          <w:sz w:val="24"/>
        </w:rPr>
        <w:t>2.2.6商务技术偏离表；</w:t>
      </w:r>
    </w:p>
    <w:p>
      <w:pPr>
        <w:snapToGrid w:val="0"/>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政府采购供应商廉洁自律承诺书；</w:t>
      </w:r>
    </w:p>
    <w:p>
      <w:pPr>
        <w:snapToGrid w:val="0"/>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ind w:left="420" w:leftChars="200" w:firstLine="480" w:firstLineChars="200"/>
        <w:rPr>
          <w:rFonts w:ascii="宋体" w:hAnsi="宋体" w:cs="宋体"/>
          <w:sz w:val="24"/>
        </w:rPr>
      </w:pPr>
      <w:r>
        <w:rPr>
          <w:rFonts w:hint="eastAsia" w:ascii="宋体" w:hAnsi="宋体" w:cs="宋体"/>
          <w:sz w:val="24"/>
        </w:rPr>
        <w:t>2.3.1开标一览表（报价表）；</w:t>
      </w:r>
    </w:p>
    <w:p>
      <w:pPr>
        <w:snapToGrid w:val="0"/>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jc w:val="both"/>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p>
    <w:p>
      <w:pPr>
        <w:snapToGrid w:val="0"/>
        <w:spacing w:line="360" w:lineRule="auto"/>
        <w:jc w:val="center"/>
        <w:rPr>
          <w:rFonts w:ascii="宋体" w:hAnsi="宋体" w:cs="宋体"/>
        </w:rPr>
      </w:pPr>
      <w:r>
        <w:rPr>
          <w:rFonts w:hint="eastAsia" w:ascii="宋体" w:hAnsi="宋体" w:cs="宋体"/>
          <w:b/>
          <w:kern w:val="0"/>
          <w:sz w:val="32"/>
          <w:szCs w:val="32"/>
          <w:lang w:val="zh-CN"/>
        </w:rPr>
        <w:t>授权委托书</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hAnsi="宋体" w:cs="宋体"/>
          <w:kern w:val="0"/>
          <w:sz w:val="24"/>
        </w:rPr>
      </w:pP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autoSpaceDE w:val="0"/>
        <w:autoSpaceDN w:val="0"/>
        <w:spacing w:line="360" w:lineRule="auto"/>
        <w:ind w:firstLine="643" w:firstLineChars="200"/>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33"/>
        <w:spacing w:line="360" w:lineRule="auto"/>
        <w:rPr>
          <w:rFonts w:hAnsi="宋体" w:cs="宋体"/>
          <w:bCs/>
          <w:sz w:val="24"/>
        </w:rPr>
      </w:pPr>
      <w:r>
        <w:rPr>
          <w:rFonts w:hint="eastAsia" w:hAnsi="宋体" w:cs="宋体"/>
          <w:bCs/>
          <w:sz w:val="24"/>
        </w:rPr>
        <w:t>身份证件扫描件：</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33"/>
              <w:adjustRightInd w:val="0"/>
              <w:spacing w:line="360" w:lineRule="auto"/>
              <w:rPr>
                <w:rFonts w:hAnsi="宋体" w:cs="宋体"/>
                <w:bCs/>
                <w:sz w:val="24"/>
              </w:rPr>
            </w:pPr>
            <w:r>
              <w:rPr>
                <w:rFonts w:hint="eastAsia" w:hAnsi="宋体" w:cs="宋体"/>
                <w:bCs/>
                <w:sz w:val="24"/>
              </w:rPr>
              <w:t>正面：                                 反面：</w:t>
            </w:r>
          </w:p>
          <w:p>
            <w:pPr>
              <w:pStyle w:val="33"/>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三、符合性审查资料</w:t>
      </w:r>
    </w:p>
    <w:p>
      <w:pPr>
        <w:jc w:val="center"/>
        <w:rPr>
          <w:rFonts w:ascii="宋体" w:hAnsi="宋体" w:cs="宋体"/>
          <w:b/>
          <w:kern w:val="0"/>
          <w:sz w:val="32"/>
          <w:szCs w:val="32"/>
        </w:rPr>
      </w:pPr>
    </w:p>
    <w:tbl>
      <w:tblPr>
        <w:tblStyle w:val="21"/>
        <w:tblW w:w="9668"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08"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08" w:type="dxa"/>
            <w:vAlign w:val="center"/>
          </w:tcPr>
          <w:p>
            <w:pPr>
              <w:jc w:val="center"/>
              <w:rPr>
                <w:rFonts w:ascii="宋体" w:hAnsi="宋体" w:cs="宋体"/>
                <w:sz w:val="24"/>
              </w:rPr>
            </w:pPr>
            <w:r>
              <w:rPr>
                <w:rFonts w:hint="eastAsia" w:ascii="宋体" w:hAnsi="宋体" w:cs="宋体"/>
                <w:sz w:val="24"/>
              </w:rPr>
              <w:t>1</w:t>
            </w:r>
          </w:p>
        </w:tc>
        <w:tc>
          <w:tcPr>
            <w:tcW w:w="4991" w:type="dxa"/>
            <w:vAlign w:val="center"/>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vAlign w:val="center"/>
          </w:tcPr>
          <w:p>
            <w:pPr>
              <w:rPr>
                <w:rFonts w:ascii="宋体" w:hAnsi="宋体" w:cs="宋体"/>
                <w:sz w:val="24"/>
              </w:rPr>
            </w:pPr>
            <w:r>
              <w:rPr>
                <w:rFonts w:hint="eastAsia" w:ascii="宋体" w:hAnsi="宋体" w:cs="宋体"/>
                <w:sz w:val="24"/>
              </w:rPr>
              <w:t>见投标文件</w:t>
            </w:r>
          </w:p>
          <w:p>
            <w:pPr>
              <w:jc w:val="cente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08" w:type="dxa"/>
            <w:vAlign w:val="center"/>
          </w:tcPr>
          <w:p>
            <w:pPr>
              <w:jc w:val="center"/>
              <w:rPr>
                <w:rFonts w:ascii="宋体" w:hAnsi="宋体" w:cs="宋体"/>
                <w:sz w:val="24"/>
              </w:rPr>
            </w:pPr>
            <w:r>
              <w:rPr>
                <w:rFonts w:hint="eastAsia" w:ascii="宋体" w:hAnsi="宋体" w:cs="宋体"/>
                <w:sz w:val="24"/>
              </w:rPr>
              <w:t>2</w:t>
            </w:r>
          </w:p>
        </w:tc>
        <w:tc>
          <w:tcPr>
            <w:tcW w:w="4991" w:type="dxa"/>
            <w:vAlign w:val="center"/>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vAlign w:val="center"/>
          </w:tcPr>
          <w:p>
            <w:pPr>
              <w:jc w:val="cente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08" w:type="dxa"/>
            <w:vAlign w:val="center"/>
          </w:tcPr>
          <w:p>
            <w:pPr>
              <w:jc w:val="center"/>
              <w:rPr>
                <w:rFonts w:ascii="宋体" w:hAnsi="宋体" w:cs="宋体"/>
                <w:sz w:val="24"/>
              </w:rPr>
            </w:pPr>
            <w:r>
              <w:rPr>
                <w:rFonts w:hint="eastAsia" w:ascii="宋体" w:hAnsi="宋体" w:cs="宋体"/>
                <w:sz w:val="24"/>
              </w:rPr>
              <w:t>3</w:t>
            </w:r>
          </w:p>
        </w:tc>
        <w:tc>
          <w:tcPr>
            <w:tcW w:w="4991" w:type="dxa"/>
            <w:vAlign w:val="center"/>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vAlign w:val="center"/>
          </w:tcPr>
          <w:p>
            <w:pPr>
              <w:jc w:val="cente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r>
        <w:rPr>
          <w:rFonts w:ascii="宋体" w:hAnsi="宋体" w:cs="宋体"/>
          <w:b/>
          <w:kern w:val="0"/>
          <w:sz w:val="32"/>
          <w:szCs w:val="32"/>
        </w:rPr>
        <w:br w:type="page"/>
      </w:r>
    </w:p>
    <w:p>
      <w:pPr>
        <w:numPr>
          <w:ilvl w:val="0"/>
          <w:numId w:val="2"/>
        </w:numPr>
        <w:jc w:val="center"/>
        <w:rPr>
          <w:rFonts w:ascii="宋体" w:hAnsi="宋体" w:cs="宋体"/>
          <w:b/>
          <w:kern w:val="0"/>
          <w:sz w:val="32"/>
          <w:szCs w:val="32"/>
        </w:rPr>
      </w:pPr>
      <w:r>
        <w:rPr>
          <w:rFonts w:hint="eastAsia" w:ascii="宋体" w:hAnsi="宋体" w:cs="宋体"/>
          <w:b/>
          <w:kern w:val="0"/>
          <w:sz w:val="32"/>
          <w:szCs w:val="32"/>
        </w:rPr>
        <w:t>水质检测委托协议</w:t>
      </w:r>
    </w:p>
    <w:p>
      <w:pPr>
        <w:snapToGrid w:val="0"/>
        <w:spacing w:line="360" w:lineRule="auto"/>
        <w:ind w:firstLine="576"/>
        <w:rPr>
          <w:rFonts w:ascii="宋体" w:hAnsi="宋体" w:cs="宋体"/>
          <w:kern w:val="0"/>
          <w:sz w:val="24"/>
        </w:rPr>
      </w:pP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w:t>
      </w:r>
      <w:r>
        <w:rPr>
          <w:rFonts w:hint="eastAsia" w:ascii="宋体" w:hAnsi="宋体" w:cs="宋体"/>
          <w:kern w:val="0"/>
          <w:sz w:val="28"/>
          <w:szCs w:val="28"/>
          <w:highlight w:val="yellow"/>
          <w:u w:val="single"/>
        </w:rPr>
        <w:t>水质检测工作</w:t>
      </w:r>
      <w:r>
        <w:rPr>
          <w:rFonts w:ascii="宋体" w:hAnsi="宋体" w:cs="宋体"/>
          <w:kern w:val="0"/>
          <w:sz w:val="24"/>
          <w:u w:val="single"/>
        </w:rPr>
        <w:t xml:space="preserve">   </w:t>
      </w:r>
      <w:r>
        <w:rPr>
          <w:rFonts w:hint="eastAsia" w:ascii="宋体" w:hAnsi="宋体" w:cs="宋体"/>
          <w:sz w:val="24"/>
        </w:rPr>
        <w:t>分包给</w:t>
      </w:r>
      <w:r>
        <w:rPr>
          <w:rFonts w:hint="eastAsia" w:ascii="宋体" w:hAnsi="宋体" w:cs="宋体"/>
          <w:kern w:val="0"/>
          <w:sz w:val="24"/>
          <w:u w:val="single"/>
        </w:rPr>
        <w:t>（分包供应商名称）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水质检测工作内容</w:t>
      </w:r>
      <w:r>
        <w:rPr>
          <w:rFonts w:hint="eastAsia" w:ascii="宋体" w:hAnsi="宋体" w:cs="宋体"/>
          <w:kern w:val="0"/>
          <w:sz w:val="24"/>
          <w:lang w:val="zh-CN"/>
        </w:rPr>
        <w:t>相应资质条件且不得再次分包；</w:t>
      </w:r>
    </w:p>
    <w:p>
      <w:pPr>
        <w:pStyle w:val="3"/>
        <w:ind w:left="664" w:leftChars="316" w:firstLine="229" w:firstLineChars="95"/>
        <w:rPr>
          <w:rFonts w:ascii="宋体" w:hAnsi="宋体" w:eastAsia="宋体" w:cs="宋体"/>
        </w:rPr>
      </w:pPr>
      <w:r>
        <w:rPr>
          <w:rFonts w:hint="eastAsia" w:ascii="宋体" w:hAnsi="宋体" w:eastAsia="宋体" w:cs="宋体"/>
          <w:kern w:val="0"/>
          <w:sz w:val="24"/>
          <w:szCs w:val="24"/>
        </w:rPr>
        <w:t>……</w:t>
      </w:r>
      <w:r>
        <w:rPr>
          <w:rFonts w:hint="eastAsia"/>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left="5758" w:leftChars="342" w:hanging="5040" w:hangingChars="2100"/>
        <w:jc w:val="right"/>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ind w:firstLine="5640" w:firstLineChars="2350"/>
        <w:jc w:val="right"/>
        <w:rPr>
          <w:rFonts w:ascii="宋体" w:hAnsi="宋体" w:cs="宋体"/>
          <w:kern w:val="0"/>
          <w:sz w:val="24"/>
          <w:lang w:val="zh-CN"/>
        </w:rPr>
      </w:pPr>
    </w:p>
    <w:p>
      <w:pPr>
        <w:snapToGrid w:val="0"/>
        <w:spacing w:line="360" w:lineRule="auto"/>
        <w:ind w:firstLine="5640" w:firstLineChars="2350"/>
        <w:jc w:val="right"/>
        <w:rPr>
          <w:rFonts w:ascii="宋体" w:hAnsi="宋体" w:cs="宋体"/>
          <w:kern w:val="0"/>
          <w:sz w:val="24"/>
          <w:lang w:val="zh-CN"/>
        </w:rPr>
      </w:pPr>
      <w:r>
        <w:rPr>
          <w:rFonts w:hint="eastAsia" w:ascii="宋体" w:hAnsi="宋体" w:cs="宋体"/>
          <w:kern w:val="0"/>
          <w:sz w:val="24"/>
          <w:lang w:val="zh-CN"/>
        </w:rPr>
        <w:t>分包供应商名称：</w:t>
      </w:r>
    </w:p>
    <w:p>
      <w:pPr>
        <w:jc w:val="right"/>
        <w:rPr>
          <w:rFonts w:ascii="宋体" w:hAnsi="宋体" w:cs="宋体"/>
          <w:kern w:val="0"/>
          <w:sz w:val="24"/>
          <w:lang w:val="zh-CN"/>
        </w:rPr>
      </w:pPr>
      <w:r>
        <w:rPr>
          <w:rFonts w:hint="eastAsia" w:ascii="宋体" w:hAnsi="宋体" w:cs="宋体"/>
          <w:kern w:val="0"/>
          <w:sz w:val="24"/>
          <w:lang w:val="zh-CN"/>
        </w:rPr>
        <w:t xml:space="preserve">                                        </w:t>
      </w:r>
    </w:p>
    <w:p>
      <w:pPr>
        <w:jc w:val="right"/>
        <w:rPr>
          <w:rFonts w:ascii="宋体" w:hAnsi="宋体" w:cs="宋体"/>
        </w:rPr>
      </w:pPr>
      <w:r>
        <w:rPr>
          <w:rFonts w:hint="eastAsia" w:ascii="宋体" w:hAnsi="宋体" w:cs="宋体"/>
          <w:kern w:val="0"/>
          <w:sz w:val="24"/>
          <w:lang w:val="zh-CN"/>
        </w:rPr>
        <w:t>日期：  年  月   日</w:t>
      </w:r>
    </w:p>
    <w:p>
      <w:pPr>
        <w:rPr>
          <w:rFonts w:ascii="宋体" w:hAnsi="宋体" w:cs="宋体"/>
          <w:b/>
          <w:kern w:val="0"/>
          <w:sz w:val="32"/>
          <w:szCs w:val="32"/>
        </w:rPr>
      </w:pPr>
      <w:r>
        <w:rPr>
          <w:rFonts w:hint="eastAsia"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p>
    <w:p>
      <w:pP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六、商务技术偏离表</w:t>
      </w:r>
    </w:p>
    <w:tbl>
      <w:tblPr>
        <w:tblStyle w:val="2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rPr>
          <w:rFonts w:ascii="宋体" w:hAnsi="宋体" w:cs="宋体"/>
          <w:b/>
          <w:kern w:val="0"/>
          <w:sz w:val="32"/>
          <w:szCs w:val="32"/>
        </w:rPr>
      </w:pPr>
    </w:p>
    <w:p>
      <w:pPr>
        <w:ind w:firstLine="1911" w:firstLineChars="595"/>
        <w:rPr>
          <w:rFonts w:ascii="宋体" w:hAnsi="宋体" w:cs="宋体"/>
          <w:b/>
          <w:kern w:val="0"/>
          <w:sz w:val="32"/>
          <w:szCs w:val="32"/>
        </w:rPr>
      </w:pPr>
      <w:r>
        <w:rPr>
          <w:rFonts w:hint="eastAsia" w:ascii="宋体" w:hAnsi="宋体" w:cs="宋体"/>
          <w:b/>
          <w:kern w:val="0"/>
          <w:sz w:val="32"/>
          <w:szCs w:val="32"/>
        </w:rPr>
        <w:t>七、</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进行项目建设或其他经营活动，并通报监管部门。由此引起的相应损失均由我单位承担。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pPr>
    </w:p>
    <w:p>
      <w:pPr>
        <w:spacing w:line="360" w:lineRule="auto"/>
        <w:jc w:val="center"/>
        <w:rPr>
          <w:rFonts w:ascii="宋体" w:hAnsi="宋体" w:cs="宋体"/>
          <w:b/>
          <w:bCs/>
          <w:sz w:val="24"/>
        </w:rPr>
        <w:sectPr>
          <w:pgSz w:w="11906" w:h="16838"/>
          <w:pgMar w:top="1440" w:right="1418" w:bottom="1440" w:left="1418" w:header="851" w:footer="992" w:gutter="0"/>
          <w:cols w:space="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35"/>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pStyle w:val="35"/>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（项目名称）</w:t>
      </w:r>
      <w:r>
        <w:rPr>
          <w:rFonts w:hint="eastAsia" w:ascii="宋体" w:hAnsi="宋体" w:cs="宋体"/>
          <w:kern w:val="0"/>
          <w:sz w:val="24"/>
          <w:lang w:val="zh-CN"/>
        </w:rPr>
        <w:t>【招标编号：</w:t>
      </w:r>
      <w:r>
        <w:rPr>
          <w:rFonts w:hint="eastAsia" w:ascii="宋体" w:hAnsi="宋体" w:cs="宋体"/>
          <w:sz w:val="24"/>
        </w:rPr>
        <w:t>（采购编号）】的实施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21"/>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076"/>
        <w:gridCol w:w="1434"/>
        <w:gridCol w:w="1813"/>
        <w:gridCol w:w="2035"/>
        <w:gridCol w:w="2321"/>
        <w:gridCol w:w="151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3076"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434"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813"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035"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321"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12"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1</w:t>
            </w:r>
          </w:p>
        </w:tc>
        <w:tc>
          <w:tcPr>
            <w:tcW w:w="3076" w:type="dxa"/>
            <w:vAlign w:val="center"/>
          </w:tcPr>
          <w:p>
            <w:pPr>
              <w:snapToGrid w:val="0"/>
              <w:spacing w:line="360" w:lineRule="auto"/>
              <w:jc w:val="center"/>
              <w:rPr>
                <w:rFonts w:ascii="宋体" w:hAnsi="宋体" w:cs="宋体"/>
                <w:sz w:val="24"/>
              </w:rPr>
            </w:pPr>
          </w:p>
        </w:tc>
        <w:tc>
          <w:tcPr>
            <w:tcW w:w="1434" w:type="dxa"/>
            <w:vAlign w:val="center"/>
          </w:tcPr>
          <w:p>
            <w:pPr>
              <w:snapToGrid w:val="0"/>
              <w:spacing w:line="360" w:lineRule="auto"/>
              <w:jc w:val="center"/>
              <w:rPr>
                <w:rFonts w:ascii="宋体" w:hAnsi="宋体" w:cs="宋体"/>
                <w:sz w:val="24"/>
              </w:rPr>
            </w:pPr>
          </w:p>
        </w:tc>
        <w:tc>
          <w:tcPr>
            <w:tcW w:w="1813" w:type="dxa"/>
            <w:vAlign w:val="center"/>
          </w:tcPr>
          <w:p>
            <w:pPr>
              <w:snapToGrid w:val="0"/>
              <w:spacing w:line="360" w:lineRule="auto"/>
              <w:jc w:val="center"/>
              <w:rPr>
                <w:rFonts w:ascii="宋体" w:hAnsi="宋体" w:cs="宋体"/>
                <w:sz w:val="24"/>
              </w:rPr>
            </w:pPr>
          </w:p>
        </w:tc>
        <w:tc>
          <w:tcPr>
            <w:tcW w:w="2035" w:type="dxa"/>
            <w:vAlign w:val="center"/>
          </w:tcPr>
          <w:p>
            <w:pPr>
              <w:snapToGrid w:val="0"/>
              <w:spacing w:line="360" w:lineRule="auto"/>
              <w:jc w:val="center"/>
              <w:rPr>
                <w:rFonts w:ascii="宋体" w:hAnsi="宋体" w:cs="宋体"/>
                <w:sz w:val="24"/>
              </w:rPr>
            </w:pPr>
          </w:p>
        </w:tc>
        <w:tc>
          <w:tcPr>
            <w:tcW w:w="2321" w:type="dxa"/>
            <w:vAlign w:val="center"/>
          </w:tcPr>
          <w:p>
            <w:pPr>
              <w:spacing w:line="360" w:lineRule="auto"/>
              <w:jc w:val="center"/>
              <w:rPr>
                <w:rFonts w:ascii="宋体" w:hAnsi="宋体" w:cs="宋体"/>
                <w:sz w:val="24"/>
              </w:rPr>
            </w:pPr>
          </w:p>
        </w:tc>
        <w:tc>
          <w:tcPr>
            <w:tcW w:w="1512"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2</w:t>
            </w:r>
          </w:p>
        </w:tc>
        <w:tc>
          <w:tcPr>
            <w:tcW w:w="3076" w:type="dxa"/>
            <w:vAlign w:val="center"/>
          </w:tcPr>
          <w:p>
            <w:pPr>
              <w:snapToGrid w:val="0"/>
              <w:spacing w:line="360" w:lineRule="auto"/>
              <w:jc w:val="center"/>
              <w:rPr>
                <w:rFonts w:ascii="宋体" w:hAnsi="宋体" w:cs="宋体"/>
                <w:sz w:val="24"/>
              </w:rPr>
            </w:pPr>
          </w:p>
        </w:tc>
        <w:tc>
          <w:tcPr>
            <w:tcW w:w="1434" w:type="dxa"/>
            <w:vAlign w:val="center"/>
          </w:tcPr>
          <w:p>
            <w:pPr>
              <w:snapToGrid w:val="0"/>
              <w:spacing w:line="360" w:lineRule="auto"/>
              <w:jc w:val="center"/>
              <w:rPr>
                <w:rFonts w:ascii="宋体" w:hAnsi="宋体" w:cs="宋体"/>
                <w:sz w:val="24"/>
              </w:rPr>
            </w:pPr>
          </w:p>
        </w:tc>
        <w:tc>
          <w:tcPr>
            <w:tcW w:w="1813" w:type="dxa"/>
            <w:vAlign w:val="center"/>
          </w:tcPr>
          <w:p>
            <w:pPr>
              <w:snapToGrid w:val="0"/>
              <w:spacing w:line="360" w:lineRule="auto"/>
              <w:jc w:val="center"/>
              <w:rPr>
                <w:rFonts w:ascii="宋体" w:hAnsi="宋体" w:cs="宋体"/>
                <w:sz w:val="24"/>
              </w:rPr>
            </w:pPr>
          </w:p>
        </w:tc>
        <w:tc>
          <w:tcPr>
            <w:tcW w:w="2035" w:type="dxa"/>
            <w:vAlign w:val="center"/>
          </w:tcPr>
          <w:p>
            <w:pPr>
              <w:snapToGrid w:val="0"/>
              <w:spacing w:line="360" w:lineRule="auto"/>
              <w:jc w:val="center"/>
              <w:rPr>
                <w:rFonts w:ascii="宋体" w:hAnsi="宋体" w:cs="宋体"/>
                <w:sz w:val="24"/>
              </w:rPr>
            </w:pPr>
          </w:p>
        </w:tc>
        <w:tc>
          <w:tcPr>
            <w:tcW w:w="2321" w:type="dxa"/>
            <w:vAlign w:val="center"/>
          </w:tcPr>
          <w:p>
            <w:pPr>
              <w:spacing w:line="360" w:lineRule="auto"/>
              <w:jc w:val="center"/>
              <w:rPr>
                <w:rFonts w:ascii="宋体" w:hAnsi="宋体" w:cs="宋体"/>
                <w:sz w:val="24"/>
              </w:rPr>
            </w:pPr>
          </w:p>
        </w:tc>
        <w:tc>
          <w:tcPr>
            <w:tcW w:w="1512"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3</w:t>
            </w:r>
          </w:p>
        </w:tc>
        <w:tc>
          <w:tcPr>
            <w:tcW w:w="3076" w:type="dxa"/>
            <w:vAlign w:val="center"/>
          </w:tcPr>
          <w:p>
            <w:pPr>
              <w:snapToGrid w:val="0"/>
              <w:spacing w:line="360" w:lineRule="auto"/>
              <w:jc w:val="center"/>
              <w:rPr>
                <w:rFonts w:ascii="宋体" w:hAnsi="宋体" w:cs="宋体"/>
                <w:sz w:val="24"/>
              </w:rPr>
            </w:pPr>
          </w:p>
        </w:tc>
        <w:tc>
          <w:tcPr>
            <w:tcW w:w="1434" w:type="dxa"/>
            <w:vAlign w:val="center"/>
          </w:tcPr>
          <w:p>
            <w:pPr>
              <w:snapToGrid w:val="0"/>
              <w:spacing w:line="360" w:lineRule="auto"/>
              <w:jc w:val="center"/>
              <w:rPr>
                <w:rFonts w:ascii="宋体" w:hAnsi="宋体" w:cs="宋体"/>
                <w:sz w:val="24"/>
              </w:rPr>
            </w:pPr>
          </w:p>
        </w:tc>
        <w:tc>
          <w:tcPr>
            <w:tcW w:w="1813" w:type="dxa"/>
            <w:vAlign w:val="center"/>
          </w:tcPr>
          <w:p>
            <w:pPr>
              <w:snapToGrid w:val="0"/>
              <w:spacing w:line="360" w:lineRule="auto"/>
              <w:jc w:val="center"/>
              <w:rPr>
                <w:rFonts w:ascii="宋体" w:hAnsi="宋体" w:cs="宋体"/>
                <w:sz w:val="24"/>
              </w:rPr>
            </w:pPr>
          </w:p>
        </w:tc>
        <w:tc>
          <w:tcPr>
            <w:tcW w:w="2035" w:type="dxa"/>
            <w:vAlign w:val="center"/>
          </w:tcPr>
          <w:p>
            <w:pPr>
              <w:snapToGrid w:val="0"/>
              <w:spacing w:line="360" w:lineRule="auto"/>
              <w:jc w:val="center"/>
              <w:rPr>
                <w:rFonts w:ascii="宋体" w:hAnsi="宋体" w:cs="宋体"/>
                <w:sz w:val="24"/>
              </w:rPr>
            </w:pPr>
          </w:p>
        </w:tc>
        <w:tc>
          <w:tcPr>
            <w:tcW w:w="2321" w:type="dxa"/>
            <w:vAlign w:val="center"/>
          </w:tcPr>
          <w:p>
            <w:pPr>
              <w:spacing w:line="360" w:lineRule="auto"/>
              <w:jc w:val="center"/>
              <w:rPr>
                <w:rFonts w:ascii="宋体" w:hAnsi="宋体" w:cs="宋体"/>
                <w:sz w:val="24"/>
              </w:rPr>
            </w:pPr>
          </w:p>
        </w:tc>
        <w:tc>
          <w:tcPr>
            <w:tcW w:w="1512"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4</w:t>
            </w:r>
          </w:p>
        </w:tc>
        <w:tc>
          <w:tcPr>
            <w:tcW w:w="3076" w:type="dxa"/>
            <w:vAlign w:val="center"/>
          </w:tcPr>
          <w:p>
            <w:pPr>
              <w:snapToGrid w:val="0"/>
              <w:spacing w:line="360" w:lineRule="auto"/>
              <w:jc w:val="center"/>
              <w:rPr>
                <w:rFonts w:ascii="宋体" w:hAnsi="宋体" w:cs="宋体"/>
                <w:sz w:val="24"/>
              </w:rPr>
            </w:pPr>
          </w:p>
        </w:tc>
        <w:tc>
          <w:tcPr>
            <w:tcW w:w="1434" w:type="dxa"/>
            <w:vAlign w:val="center"/>
          </w:tcPr>
          <w:p>
            <w:pPr>
              <w:snapToGrid w:val="0"/>
              <w:spacing w:line="360" w:lineRule="auto"/>
              <w:jc w:val="center"/>
              <w:rPr>
                <w:rFonts w:ascii="宋体" w:hAnsi="宋体" w:cs="宋体"/>
                <w:sz w:val="24"/>
              </w:rPr>
            </w:pPr>
          </w:p>
        </w:tc>
        <w:tc>
          <w:tcPr>
            <w:tcW w:w="1813" w:type="dxa"/>
            <w:vAlign w:val="center"/>
          </w:tcPr>
          <w:p>
            <w:pPr>
              <w:snapToGrid w:val="0"/>
              <w:spacing w:line="360" w:lineRule="auto"/>
              <w:jc w:val="center"/>
              <w:rPr>
                <w:rFonts w:ascii="宋体" w:hAnsi="宋体" w:cs="宋体"/>
                <w:sz w:val="24"/>
              </w:rPr>
            </w:pPr>
          </w:p>
        </w:tc>
        <w:tc>
          <w:tcPr>
            <w:tcW w:w="2035" w:type="dxa"/>
            <w:vAlign w:val="center"/>
          </w:tcPr>
          <w:p>
            <w:pPr>
              <w:snapToGrid w:val="0"/>
              <w:spacing w:line="360" w:lineRule="auto"/>
              <w:jc w:val="center"/>
              <w:rPr>
                <w:rFonts w:ascii="宋体" w:hAnsi="宋体" w:cs="宋体"/>
                <w:sz w:val="24"/>
              </w:rPr>
            </w:pPr>
          </w:p>
        </w:tc>
        <w:tc>
          <w:tcPr>
            <w:tcW w:w="2321" w:type="dxa"/>
            <w:vAlign w:val="center"/>
          </w:tcPr>
          <w:p>
            <w:pPr>
              <w:spacing w:line="360" w:lineRule="auto"/>
              <w:jc w:val="center"/>
              <w:rPr>
                <w:rFonts w:ascii="宋体" w:hAnsi="宋体" w:cs="宋体"/>
                <w:sz w:val="24"/>
              </w:rPr>
            </w:pPr>
          </w:p>
        </w:tc>
        <w:tc>
          <w:tcPr>
            <w:tcW w:w="1512"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5</w:t>
            </w:r>
          </w:p>
        </w:tc>
        <w:tc>
          <w:tcPr>
            <w:tcW w:w="3076" w:type="dxa"/>
            <w:vAlign w:val="center"/>
          </w:tcPr>
          <w:p>
            <w:pPr>
              <w:snapToGrid w:val="0"/>
              <w:spacing w:line="360" w:lineRule="auto"/>
              <w:jc w:val="center"/>
              <w:rPr>
                <w:rFonts w:ascii="宋体" w:hAnsi="宋体" w:cs="宋体"/>
                <w:sz w:val="24"/>
              </w:rPr>
            </w:pPr>
          </w:p>
        </w:tc>
        <w:tc>
          <w:tcPr>
            <w:tcW w:w="1434" w:type="dxa"/>
            <w:vAlign w:val="center"/>
          </w:tcPr>
          <w:p>
            <w:pPr>
              <w:snapToGrid w:val="0"/>
              <w:spacing w:line="360" w:lineRule="auto"/>
              <w:jc w:val="center"/>
              <w:rPr>
                <w:rFonts w:ascii="宋体" w:hAnsi="宋体" w:cs="宋体"/>
                <w:sz w:val="24"/>
              </w:rPr>
            </w:pPr>
          </w:p>
        </w:tc>
        <w:tc>
          <w:tcPr>
            <w:tcW w:w="1813" w:type="dxa"/>
            <w:vAlign w:val="center"/>
          </w:tcPr>
          <w:p>
            <w:pPr>
              <w:snapToGrid w:val="0"/>
              <w:spacing w:line="360" w:lineRule="auto"/>
              <w:jc w:val="center"/>
              <w:rPr>
                <w:rFonts w:ascii="宋体" w:hAnsi="宋体" w:cs="宋体"/>
                <w:sz w:val="24"/>
              </w:rPr>
            </w:pPr>
          </w:p>
        </w:tc>
        <w:tc>
          <w:tcPr>
            <w:tcW w:w="2035" w:type="dxa"/>
            <w:vAlign w:val="center"/>
          </w:tcPr>
          <w:p>
            <w:pPr>
              <w:snapToGrid w:val="0"/>
              <w:spacing w:line="360" w:lineRule="auto"/>
              <w:jc w:val="center"/>
              <w:rPr>
                <w:rFonts w:ascii="宋体" w:hAnsi="宋体" w:cs="宋体"/>
                <w:sz w:val="24"/>
              </w:rPr>
            </w:pPr>
          </w:p>
        </w:tc>
        <w:tc>
          <w:tcPr>
            <w:tcW w:w="2321" w:type="dxa"/>
            <w:vAlign w:val="center"/>
          </w:tcPr>
          <w:p>
            <w:pPr>
              <w:spacing w:line="360" w:lineRule="auto"/>
              <w:jc w:val="center"/>
              <w:rPr>
                <w:rFonts w:ascii="宋体" w:hAnsi="宋体" w:cs="宋体"/>
                <w:sz w:val="24"/>
              </w:rPr>
            </w:pPr>
          </w:p>
        </w:tc>
        <w:tc>
          <w:tcPr>
            <w:tcW w:w="1512"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6</w:t>
            </w:r>
          </w:p>
        </w:tc>
        <w:tc>
          <w:tcPr>
            <w:tcW w:w="3076" w:type="dxa"/>
            <w:vAlign w:val="center"/>
          </w:tcPr>
          <w:p>
            <w:pPr>
              <w:snapToGrid w:val="0"/>
              <w:spacing w:line="360" w:lineRule="auto"/>
              <w:jc w:val="center"/>
              <w:rPr>
                <w:rFonts w:ascii="宋体" w:hAnsi="宋体" w:cs="宋体"/>
                <w:sz w:val="24"/>
              </w:rPr>
            </w:pPr>
          </w:p>
        </w:tc>
        <w:tc>
          <w:tcPr>
            <w:tcW w:w="1434" w:type="dxa"/>
            <w:vAlign w:val="center"/>
          </w:tcPr>
          <w:p>
            <w:pPr>
              <w:snapToGrid w:val="0"/>
              <w:spacing w:line="360" w:lineRule="auto"/>
              <w:jc w:val="center"/>
              <w:rPr>
                <w:rFonts w:ascii="宋体" w:hAnsi="宋体" w:cs="宋体"/>
                <w:sz w:val="24"/>
              </w:rPr>
            </w:pPr>
          </w:p>
        </w:tc>
        <w:tc>
          <w:tcPr>
            <w:tcW w:w="1813" w:type="dxa"/>
            <w:vAlign w:val="center"/>
          </w:tcPr>
          <w:p>
            <w:pPr>
              <w:snapToGrid w:val="0"/>
              <w:spacing w:line="360" w:lineRule="auto"/>
              <w:jc w:val="center"/>
              <w:rPr>
                <w:rFonts w:ascii="宋体" w:hAnsi="宋体" w:cs="宋体"/>
                <w:sz w:val="24"/>
              </w:rPr>
            </w:pPr>
          </w:p>
        </w:tc>
        <w:tc>
          <w:tcPr>
            <w:tcW w:w="2035" w:type="dxa"/>
            <w:vAlign w:val="center"/>
          </w:tcPr>
          <w:p>
            <w:pPr>
              <w:snapToGrid w:val="0"/>
              <w:spacing w:line="360" w:lineRule="auto"/>
              <w:jc w:val="center"/>
              <w:rPr>
                <w:rFonts w:ascii="宋体" w:hAnsi="宋体" w:cs="宋体"/>
                <w:sz w:val="24"/>
              </w:rPr>
            </w:pPr>
          </w:p>
        </w:tc>
        <w:tc>
          <w:tcPr>
            <w:tcW w:w="2321" w:type="dxa"/>
            <w:vAlign w:val="center"/>
          </w:tcPr>
          <w:p>
            <w:pPr>
              <w:spacing w:line="360" w:lineRule="auto"/>
              <w:jc w:val="center"/>
              <w:rPr>
                <w:rFonts w:ascii="宋体" w:hAnsi="宋体" w:cs="宋体"/>
                <w:sz w:val="24"/>
              </w:rPr>
            </w:pPr>
          </w:p>
        </w:tc>
        <w:tc>
          <w:tcPr>
            <w:tcW w:w="1512"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140"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994"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140"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994" w:type="dxa"/>
            <w:gridSpan w:val="4"/>
          </w:tcPr>
          <w:p>
            <w:pPr>
              <w:spacing w:line="360" w:lineRule="auto"/>
              <w:jc w:val="center"/>
              <w:rPr>
                <w:rFonts w:ascii="宋体" w:hAnsi="宋体" w:cs="宋体"/>
                <w:sz w:val="24"/>
              </w:rPr>
            </w:pPr>
          </w:p>
        </w:tc>
      </w:tr>
    </w:tbl>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1、此表应按项目的明细情况列项填报,在填写时，如上表不适合本项目的实际情况，可在确保投标明细内容完整的情况下，根据</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上表格式自行划表填写。</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5"/>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spacing w:line="360" w:lineRule="auto"/>
        <w:ind w:left="4620" w:leftChars="2200"/>
        <w:jc w:val="center"/>
        <w:rPr>
          <w:rFonts w:ascii="宋体" w:hAnsi="宋体" w:cs="宋体"/>
          <w:kern w:val="0"/>
          <w:sz w:val="24"/>
          <w:lang w:val="zh-CN"/>
        </w:rPr>
      </w:pPr>
      <w:r>
        <w:rPr>
          <w:rFonts w:hint="eastAsia" w:ascii="宋体" w:hAnsi="宋体" w:cs="宋体"/>
          <w:kern w:val="0"/>
          <w:sz w:val="24"/>
        </w:rPr>
        <w:t xml:space="preserve">                                       </w:t>
      </w:r>
      <w:r>
        <w:rPr>
          <w:rFonts w:hint="eastAsia" w:ascii="宋体" w:hAnsi="宋体" w:cs="宋体"/>
          <w:kern w:val="0"/>
          <w:sz w:val="24"/>
          <w:lang w:val="zh-CN"/>
        </w:rPr>
        <w:t>投标人全称（电子签章）：</w:t>
      </w:r>
    </w:p>
    <w:p>
      <w:pPr>
        <w:spacing w:line="360" w:lineRule="auto"/>
        <w:ind w:left="4620" w:leftChars="2200"/>
        <w:jc w:val="center"/>
        <w:rPr>
          <w:rFonts w:ascii="宋体" w:hAnsi="宋体" w:cs="宋体"/>
          <w:kern w:val="0"/>
          <w:sz w:val="24"/>
          <w:lang w:val="zh-CN"/>
        </w:rPr>
        <w:sectPr>
          <w:pgSz w:w="16838" w:h="11906" w:orient="landscape"/>
          <w:pgMar w:top="1418" w:right="1247" w:bottom="1418" w:left="1276" w:header="851" w:footer="992" w:gutter="0"/>
          <w:cols w:space="720" w:num="1"/>
          <w:titlePg/>
          <w:docGrid w:linePitch="312" w:charSpace="0"/>
        </w:sectPr>
      </w:pP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
      <w:pPr>
        <w:pStyle w:val="35"/>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35"/>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rPr>
          <w:rFonts w:ascii="宋体" w:hAnsi="宋体" w:cs="宋体"/>
          <w:b/>
          <w:kern w:val="0"/>
          <w:sz w:val="36"/>
          <w:szCs w:val="36"/>
        </w:rPr>
      </w:pPr>
    </w:p>
    <w:p>
      <w:pPr>
        <w:tabs>
          <w:tab w:val="left" w:pos="8085"/>
        </w:tabs>
        <w:spacing w:line="360" w:lineRule="auto"/>
        <w:ind w:firstLine="1285" w:firstLineChars="400"/>
        <w:jc w:val="left"/>
        <w:rPr>
          <w:rFonts w:ascii="宋体" w:hAnsi="宋体" w:cs="宋体"/>
          <w:b/>
          <w:sz w:val="32"/>
          <w:szCs w:val="32"/>
        </w:rPr>
      </w:pPr>
    </w:p>
    <w:p>
      <w:pPr>
        <w:tabs>
          <w:tab w:val="left" w:pos="8085"/>
        </w:tabs>
        <w:spacing w:line="360" w:lineRule="auto"/>
        <w:ind w:firstLine="1285" w:firstLineChars="400"/>
        <w:jc w:val="left"/>
        <w:rPr>
          <w:rFonts w:ascii="宋体" w:hAns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lang w:val="zh-CN"/>
        </w:rPr>
      </w:pPr>
      <w:r>
        <w:rPr>
          <w:rFonts w:hint="eastAsia" w:ascii="宋体" w:hAnsi="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sz w:val="24"/>
        </w:rPr>
      </w:pPr>
      <w:r>
        <w:rPr>
          <w:rFonts w:hint="eastAsia" w:ascii="宋体" w:hAnsi="宋体" w:cs="宋体"/>
          <w:b/>
          <w:sz w:val="24"/>
        </w:rPr>
        <w:t>一、适用对象</w:t>
      </w:r>
    </w:p>
    <w:p>
      <w:pPr>
        <w:spacing w:line="360" w:lineRule="auto"/>
        <w:ind w:firstLine="480" w:firstLineChars="200"/>
        <w:rPr>
          <w:rFonts w:ascii="宋体" w:hAnsi="宋体" w:cs="宋体"/>
          <w:sz w:val="24"/>
        </w:rPr>
      </w:pPr>
      <w:r>
        <w:rPr>
          <w:rFonts w:hint="eastAsia" w:ascii="宋体" w:hAnsi="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sz w:val="24"/>
        </w:rPr>
      </w:pPr>
      <w:r>
        <w:rPr>
          <w:rFonts w:hint="eastAsia" w:ascii="宋体" w:hAnsi="宋体" w:cs="宋体"/>
          <w:b/>
          <w:sz w:val="24"/>
        </w:rPr>
        <w:t>二、相关信息获取方式</w:t>
      </w:r>
    </w:p>
    <w:p>
      <w:pPr>
        <w:spacing w:line="360" w:lineRule="auto"/>
        <w:ind w:firstLine="480" w:firstLineChars="200"/>
        <w:rPr>
          <w:rFonts w:ascii="宋体" w:hAnsi="宋体" w:cs="宋体"/>
          <w:sz w:val="24"/>
        </w:rPr>
      </w:pPr>
      <w:r>
        <w:rPr>
          <w:rFonts w:hint="eastAsia" w:ascii="宋体" w:hAnsi="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sz w:val="24"/>
        </w:rPr>
      </w:pPr>
      <w:r>
        <w:rPr>
          <w:rFonts w:hint="eastAsia" w:ascii="宋体" w:hAnsi="宋体" w:cs="宋体"/>
          <w:b/>
          <w:sz w:val="24"/>
        </w:rPr>
        <w:t>三、　政府采购信用融资操作流程：</w:t>
      </w:r>
    </w:p>
    <w:p>
      <w:pPr>
        <w:spacing w:line="360" w:lineRule="auto"/>
        <w:ind w:firstLine="960" w:firstLineChars="400"/>
        <w:rPr>
          <w:rFonts w:ascii="宋体" w:hAnsi="宋体" w:cs="宋体"/>
          <w:sz w:val="24"/>
        </w:rPr>
      </w:pPr>
      <w:r>
        <w:rPr>
          <w:rFonts w:hint="eastAsia" w:ascii="宋体" w:hAnsi="宋体" w:cs="宋体"/>
          <w:sz w:val="24"/>
        </w:rPr>
        <w:t>（一）线上融资模式：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1.供应商根据合作银行提供的方案，自行选择金融产品，并办理开户等手续；</w:t>
      </w:r>
    </w:p>
    <w:p>
      <w:pPr>
        <w:spacing w:line="360" w:lineRule="auto"/>
        <w:ind w:firstLine="480" w:firstLineChars="200"/>
        <w:rPr>
          <w:rFonts w:ascii="宋体" w:hAnsi="宋体" w:cs="宋体"/>
          <w:sz w:val="24"/>
        </w:rPr>
      </w:pPr>
      <w:r>
        <w:rPr>
          <w:rFonts w:hint="eastAsia" w:ascii="宋体" w:hAnsi="宋体" w:cs="宋体"/>
          <w:sz w:val="24"/>
        </w:rPr>
        <w:t>　　2.供应商中标后，可通过杭州市政府采购网或“浙里办”测算授信额度；</w:t>
      </w:r>
    </w:p>
    <w:p>
      <w:pPr>
        <w:spacing w:line="360" w:lineRule="auto"/>
        <w:ind w:firstLine="480" w:firstLineChars="200"/>
        <w:rPr>
          <w:rFonts w:ascii="宋体" w:hAnsi="宋体" w:cs="宋体"/>
          <w:sz w:val="24"/>
        </w:rPr>
      </w:pPr>
      <w:r>
        <w:rPr>
          <w:rFonts w:hint="eastAsia" w:ascii="宋体" w:hAnsi="宋体" w:cs="宋体"/>
          <w:sz w:val="24"/>
        </w:rPr>
        <w:t>　　3.采购合同签订后，供应商在杭州市政府采购网或“浙里办”向合作银行发出融资申请；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4.审批通过后，在线办理放贷手续。</w:t>
      </w:r>
    </w:p>
    <w:p>
      <w:pPr>
        <w:spacing w:line="360" w:lineRule="auto"/>
        <w:ind w:firstLine="480" w:firstLineChars="200"/>
        <w:rPr>
          <w:rFonts w:ascii="宋体" w:hAnsi="宋体" w:cs="宋体"/>
          <w:sz w:val="24"/>
        </w:rPr>
      </w:pPr>
      <w:r>
        <w:rPr>
          <w:rFonts w:hint="eastAsia" w:ascii="宋体" w:hAnsi="宋体" w:cs="宋体"/>
          <w:sz w:val="24"/>
        </w:rPr>
        <w:t>　　（二）线下融资模式：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1.供应商根据合作银行提供的方案，自行选择金融产品，向合作银行提出信用资格预审，并办理开户等手续；</w:t>
      </w:r>
    </w:p>
    <w:p>
      <w:pPr>
        <w:spacing w:line="360" w:lineRule="auto"/>
        <w:ind w:firstLine="480" w:firstLineChars="200"/>
        <w:rPr>
          <w:rFonts w:ascii="宋体" w:hAnsi="宋体" w:cs="宋体"/>
          <w:sz w:val="24"/>
        </w:rPr>
      </w:pPr>
      <w:r>
        <w:rPr>
          <w:rFonts w:hint="eastAsia" w:ascii="宋体" w:hAnsi="宋体" w:cs="宋体"/>
          <w:sz w:val="24"/>
        </w:rPr>
        <w:t>　　2.采购合同签订后，供应商在杭州市政府采购网或“浙里办”向合作银行发出融资申请；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rPr>
      </w:pPr>
      <w:r>
        <w:rPr>
          <w:rFonts w:hint="eastAsia" w:ascii="宋体" w:hAnsi="宋体" w:cs="宋体"/>
          <w:sz w:val="24"/>
        </w:rPr>
        <w:t>　　4.审批通过后，合作银行应按照合作备忘录中约定的审批放款期限和优惠利率及时予以放款。</w:t>
      </w:r>
    </w:p>
    <w:p>
      <w:pPr>
        <w:pStyle w:val="3"/>
        <w:numPr>
          <w:ilvl w:val="255"/>
          <w:numId w:val="0"/>
        </w:numPr>
        <w:ind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pStyle w:val="3"/>
        <w:numPr>
          <w:ilvl w:val="255"/>
          <w:numId w:val="0"/>
        </w:numPr>
        <w:ind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spacing w:line="360" w:lineRule="auto"/>
        <w:ind w:firstLine="482" w:firstLineChars="200"/>
        <w:rPr>
          <w:rFonts w:ascii="宋体" w:hAnsi="宋体" w:cs="宋体"/>
          <w:b/>
          <w:sz w:val="24"/>
        </w:rPr>
      </w:pPr>
      <w:r>
        <w:rPr>
          <w:rFonts w:hint="eastAsia" w:ascii="宋体" w:hAnsi="宋体" w:cs="宋体"/>
          <w:b/>
          <w:sz w:val="24"/>
        </w:rPr>
        <w:t>四、注意事项</w:t>
      </w:r>
    </w:p>
    <w:p>
      <w:pPr>
        <w:spacing w:line="360" w:lineRule="auto"/>
        <w:ind w:firstLine="480" w:firstLineChars="200"/>
        <w:rPr>
          <w:rFonts w:ascii="宋体" w:hAnsi="宋体" w:cs="宋体"/>
          <w:sz w:val="24"/>
        </w:rPr>
      </w:pPr>
      <w:r>
        <w:rPr>
          <w:rFonts w:hint="eastAsia" w:ascii="宋体" w:hAnsi="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rPr>
      </w:pPr>
      <w:r>
        <w:rPr>
          <w:rFonts w:hint="eastAsia" w:ascii="宋体" w:hAnsi="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kern w:val="0"/>
          <w:sz w:val="24"/>
        </w:r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545" w:name="_Toc465665161"/>
      <w:r>
        <w:rPr>
          <w:rFonts w:hint="eastAsia" w:ascii="宋体" w:hAnsi="宋体" w:cs="宋体"/>
        </w:rPr>
        <w:t>附件</w:t>
      </w:r>
      <w:bookmarkEnd w:id="545"/>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46" w:name="OLE_LINK13"/>
      <w:bookmarkStart w:id="547" w:name="OLE_LINK14"/>
      <w:r>
        <w:rPr>
          <w:rFonts w:hint="eastAsia" w:ascii="宋体" w:hAnsi="宋体" w:cs="宋体"/>
          <w:b/>
          <w:spacing w:val="6"/>
          <w:sz w:val="32"/>
          <w:szCs w:val="32"/>
        </w:rPr>
        <w:t>残疾人福利性单位声明函</w:t>
      </w:r>
    </w:p>
    <w:bookmarkEnd w:id="546"/>
    <w:bookmarkEnd w:id="547"/>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pStyle w:val="20"/>
        <w:ind w:firstLine="420"/>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rPr>
      </w:pPr>
      <w:r>
        <w:rPr>
          <w:rFonts w:hint="eastAsia" w:ascii="宋体" w:hAnsi="宋体" w:cs="宋体"/>
          <w:sz w:val="24"/>
          <w:u w:val="single"/>
        </w:rPr>
        <w:t>（采购人）、（采购代理机构）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你方组织的（项目名称）项目【招标编号：（采购编号）】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mc:AlternateContent>
          <mc:Choice Requires="wps">
            <w:drawing>
              <wp:anchor distT="0" distB="0" distL="0" distR="0" simplePos="0" relativeHeight="25166643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026"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ln>
                      </wps:spPr>
                      <wps:txbx>
                        <w:txbxContent>
                          <w:p/>
                        </w:txbxContent>
                      </wps:txbx>
                      <wps:bodyPr vert="horz" wrap="square" lIns="91440" tIns="45720" rIns="91440" bIns="45720" anchor="t" upright="1">
                        <a:noAutofit/>
                      </wps:bodyPr>
                    </wps:wsp>
                  </a:graphicData>
                </a:graphic>
              </wp:anchor>
            </w:drawing>
          </mc:Choice>
          <mc:Fallback>
            <w:pict>
              <v:rect id="Rectangle 17" o:spid="_x0000_s1026" o:spt="1" style="position:absolute;left:0pt;margin-left:238.9pt;margin-top:28.05pt;height:177.45pt;width:212.95pt;z-index:-251650048;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xz/jB2AAAAAoBAAAPAAAA&#10;AAAAAAEAIAAAACIAAABkcnMvZG93bnJldi54bWxQSwECFAAUAAAACACHTuJAqjnhmxUCAABQBAAA&#10;DgAAAAAAAAABACAAAAAnAQAAZHJzL2Uyb0RvYy54bWxQSwUGAAAAAAYABgBZAQAArgUAAAAA&#10;">
                <v:fill on="t" focussize="0,0"/>
                <v:stroke color="#000000" joinstyle="miter"/>
                <v:imagedata o:title=""/>
                <o:lock v:ext="edit" aspectratio="f"/>
                <v:textbox>
                  <w:txbxContent>
                    <w:p/>
                  </w:txbxContent>
                </v:textbox>
              </v:rect>
            </w:pict>
          </mc:Fallback>
        </mc:AlternateContent>
      </w:r>
      <w:r>
        <w:rPr>
          <w:rFonts w:ascii="宋体" w:hAnsi="宋体" w:cs="宋体"/>
          <w:b/>
          <w:bCs/>
          <w:sz w:val="24"/>
        </w:rPr>
        <mc:AlternateContent>
          <mc:Choice Requires="wps">
            <w:drawing>
              <wp:anchor distT="0" distB="0" distL="0" distR="0" simplePos="0" relativeHeight="251667456"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1027"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ln>
                      </wps:spPr>
                      <wps:txbx>
                        <w:txbxContent>
                          <w:p/>
                        </w:txbxContent>
                      </wps:txbx>
                      <wps:bodyPr vert="horz" wrap="square" lIns="91440" tIns="45720" rIns="91440" bIns="45720" anchor="t" upright="1">
                        <a:noAutofit/>
                      </wps:bodyPr>
                    </wps:wsp>
                  </a:graphicData>
                </a:graphic>
              </wp:anchor>
            </w:drawing>
          </mc:Choice>
          <mc:Fallback>
            <w:pict>
              <v:rect id="Rectangle 16" o:spid="_x0000_s1026" o:spt="1" style="position:absolute;left:0pt;margin-left:-7.2pt;margin-top:30.3pt;height:177.45pt;width:208.5pt;z-index:-251649024;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dOwWNgAAAAKAQAADwAA&#10;AAAAAAABACAAAAAiAAAAZHJzL2Rvd25yZXYueG1sUEsBAhQAFAAAAAgAh07iQFUpbaUWAgAAUAQA&#10;AA4AAAAAAAAAAQAgAAAAJwEAAGRycy9lMm9Eb2MueG1sUEsFBgAAAAAGAAYAWQEAAK8FAAAAAA==&#10;">
                <v:fill on="t" focussize="0,0"/>
                <v:stroke color="#000000" joinstyle="miter"/>
                <v:imagedata o:title=""/>
                <o:lock v:ext="edit" aspectratio="f"/>
                <v:textbox>
                  <w:txbxContent>
                    <w:p/>
                  </w:txbxContent>
                </v:textbox>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spacing w:val="6"/>
          <w:sz w:val="32"/>
          <w:szCs w:val="32"/>
        </w:rPr>
      </w:pPr>
    </w:p>
    <w:p>
      <w:pPr>
        <w:autoSpaceDE w:val="0"/>
        <w:autoSpaceDN w:val="0"/>
        <w:jc w:val="center"/>
        <w:rPr>
          <w:rFonts w:ascii="宋体" w:hAnsi="宋体" w:cs="宋体"/>
          <w:b/>
          <w:spacing w:val="6"/>
          <w:sz w:val="32"/>
          <w:szCs w:val="32"/>
          <w:lang w:val="zh-CN"/>
        </w:rPr>
      </w:pPr>
      <w:r>
        <w:rPr>
          <w:rFonts w:hint="eastAsia" w:ascii="宋体" w:hAnsi="宋体" w:cs="宋体"/>
          <w:b/>
          <w:spacing w:val="6"/>
          <w:sz w:val="32"/>
          <w:szCs w:val="32"/>
        </w:rPr>
        <w:t>附件5：</w:t>
      </w:r>
      <w:r>
        <w:rPr>
          <w:rFonts w:hint="eastAsia" w:ascii="宋体" w:hAnsi="宋体" w:cs="宋体"/>
          <w:b/>
          <w:spacing w:val="6"/>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sectPr>
          <w:headerReference r:id="rId20" w:type="first"/>
          <w:footerReference r:id="rId23" w:type="first"/>
          <w:headerReference r:id="rId19" w:type="default"/>
          <w:footerReference r:id="rId21" w:type="default"/>
          <w:footerReference r:id="rId22" w:type="even"/>
          <w:pgSz w:w="11906" w:h="16838"/>
          <w:pgMar w:top="1440" w:right="1418" w:bottom="1440" w:left="1418" w:header="851" w:footer="992" w:gutter="0"/>
          <w:cols w:space="0" w:num="1"/>
          <w:titlePg/>
          <w:docGrid w:linePitch="312" w:charSpace="0"/>
        </w:sect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附件6：</w:t>
      </w:r>
      <w:r>
        <w:rPr>
          <w:rFonts w:hint="eastAsia" w:ascii="宋体" w:hAnsi="宋体" w:cs="宋体"/>
          <w:b/>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中小企业声明函（工程、服务）</w:t>
      </w:r>
    </w:p>
    <w:p>
      <w:pPr>
        <w:spacing w:line="360" w:lineRule="auto"/>
        <w:rPr>
          <w:rFonts w:ascii="宋体" w:hAnsi="宋体" w:cs="宋体"/>
        </w:rPr>
      </w:pPr>
    </w:p>
    <w:p>
      <w:pPr>
        <w:spacing w:line="360" w:lineRule="auto"/>
        <w:ind w:firstLine="360" w:firstLineChars="150"/>
        <w:jc w:val="left"/>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sectPr>
          <w:pgSz w:w="11906" w:h="16838"/>
          <w:pgMar w:top="1440" w:right="1418" w:bottom="1440" w:left="1418" w:header="851" w:footer="992" w:gutter="0"/>
          <w:cols w:space="0" w:num="1"/>
          <w:titlePg/>
          <w:docGrid w:linePitch="312" w:charSpace="0"/>
        </w:sectPr>
      </w:pPr>
      <w:r>
        <w:rPr>
          <w:rFonts w:hint="eastAsia" w:ascii="宋体" w:hAnsi="宋体" w:cs="宋体"/>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before="100" w:line="224" w:lineRule="auto"/>
        <w:jc w:val="left"/>
        <w:outlineLvl w:val="0"/>
        <w:rPr>
          <w:rFonts w:ascii="宋体" w:hAnsi="宋体" w:cs="宋体"/>
          <w:spacing w:val="6"/>
          <w:sz w:val="31"/>
          <w:szCs w:val="31"/>
        </w:rPr>
      </w:pPr>
      <w:r>
        <w:rPr>
          <w:rFonts w:hint="eastAsia" w:ascii="宋体" w:hAnsi="宋体" w:cs="宋体"/>
          <w:spacing w:val="6"/>
          <w:sz w:val="31"/>
          <w:szCs w:val="31"/>
        </w:rPr>
        <w:t xml:space="preserve">附表6  </w:t>
      </w:r>
    </w:p>
    <w:p>
      <w:pPr>
        <w:spacing w:before="100" w:line="224" w:lineRule="auto"/>
        <w:jc w:val="center"/>
        <w:outlineLvl w:val="0"/>
        <w:rPr>
          <w:rFonts w:ascii="宋体" w:hAnsi="宋体" w:cs="宋体"/>
          <w:sz w:val="31"/>
          <w:szCs w:val="31"/>
        </w:rPr>
      </w:pPr>
      <w:r>
        <w:rPr>
          <w:rFonts w:hint="eastAsia" w:ascii="宋体" w:hAnsi="宋体" w:cs="宋体"/>
          <w:spacing w:val="6"/>
          <w:sz w:val="31"/>
          <w:szCs w:val="31"/>
        </w:rPr>
        <w:t>农村生活污水处理设施大</w:t>
      </w:r>
      <w:r>
        <w:rPr>
          <w:rFonts w:hint="eastAsia" w:ascii="宋体" w:hAnsi="宋体" w:cs="宋体"/>
          <w:spacing w:val="5"/>
          <w:sz w:val="31"/>
          <w:szCs w:val="31"/>
        </w:rPr>
        <w:t>修参考范围</w:t>
      </w:r>
    </w:p>
    <w:p>
      <w:pPr>
        <w:spacing w:before="177"/>
        <w:rPr>
          <w:rFonts w:ascii="宋体" w:hAnsi="宋体" w:cs="宋体"/>
        </w:rPr>
      </w:pPr>
    </w:p>
    <w:tbl>
      <w:tblPr>
        <w:tblStyle w:val="44"/>
        <w:tblW w:w="102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5"/>
        <w:gridCol w:w="1419"/>
        <w:gridCol w:w="1417"/>
        <w:gridCol w:w="6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8" w:hRule="atLeast"/>
          <w:jc w:val="center"/>
        </w:trPr>
        <w:tc>
          <w:tcPr>
            <w:tcW w:w="935" w:type="dxa"/>
            <w:vMerge w:val="restart"/>
            <w:tcBorders>
              <w:left w:val="single" w:color="000000" w:sz="2" w:space="0"/>
              <w:bottom w:val="nil"/>
            </w:tcBorders>
          </w:tcPr>
          <w:p>
            <w:pPr>
              <w:spacing w:line="259" w:lineRule="auto"/>
              <w:rPr>
                <w:rFonts w:ascii="宋体" w:hAnsi="宋体" w:cs="宋体"/>
              </w:rPr>
            </w:pPr>
          </w:p>
          <w:p>
            <w:pPr>
              <w:spacing w:line="259" w:lineRule="auto"/>
              <w:rPr>
                <w:rFonts w:ascii="宋体" w:hAnsi="宋体" w:cs="宋体"/>
              </w:rPr>
            </w:pPr>
          </w:p>
          <w:p>
            <w:pPr>
              <w:spacing w:line="259" w:lineRule="auto"/>
              <w:rPr>
                <w:rFonts w:ascii="宋体" w:hAnsi="宋体" w:cs="宋体"/>
              </w:rPr>
            </w:pPr>
          </w:p>
          <w:p>
            <w:pPr>
              <w:spacing w:line="259" w:lineRule="auto"/>
              <w:rPr>
                <w:rFonts w:ascii="宋体" w:hAnsi="宋体" w:cs="宋体"/>
              </w:rPr>
            </w:pPr>
          </w:p>
          <w:p>
            <w:pPr>
              <w:spacing w:line="259" w:lineRule="auto"/>
              <w:rPr>
                <w:rFonts w:ascii="宋体" w:hAnsi="宋体" w:cs="宋体"/>
              </w:rPr>
            </w:pPr>
          </w:p>
          <w:p>
            <w:pPr>
              <w:spacing w:line="259" w:lineRule="auto"/>
              <w:rPr>
                <w:rFonts w:ascii="宋体" w:hAnsi="宋体" w:cs="宋体"/>
              </w:rPr>
            </w:pPr>
          </w:p>
          <w:p>
            <w:pPr>
              <w:pStyle w:val="45"/>
              <w:spacing w:before="91" w:line="249" w:lineRule="auto"/>
              <w:ind w:right="157"/>
              <w:rPr>
                <w:rFonts w:ascii="宋体" w:hAnsi="宋体" w:eastAsia="宋体" w:cs="宋体"/>
                <w:lang w:eastAsia="zh-CN"/>
              </w:rPr>
            </w:pPr>
            <w:r>
              <w:rPr>
                <w:rFonts w:hint="eastAsia" w:ascii="宋体" w:hAnsi="宋体" w:eastAsia="宋体" w:cs="宋体"/>
                <w:spacing w:val="-5"/>
                <w:lang w:eastAsia="zh-CN"/>
              </w:rPr>
              <w:t>农村生活</w:t>
            </w:r>
            <w:r>
              <w:rPr>
                <w:rFonts w:hint="eastAsia" w:ascii="宋体" w:hAnsi="宋体" w:eastAsia="宋体" w:cs="宋体"/>
                <w:lang w:eastAsia="zh-CN"/>
              </w:rPr>
              <w:t xml:space="preserve"> </w:t>
            </w:r>
            <w:r>
              <w:rPr>
                <w:rFonts w:hint="eastAsia" w:ascii="宋体" w:hAnsi="宋体" w:eastAsia="宋体" w:cs="宋体"/>
                <w:spacing w:val="-4"/>
                <w:lang w:eastAsia="zh-CN"/>
              </w:rPr>
              <w:t>污水处理</w:t>
            </w:r>
            <w:r>
              <w:rPr>
                <w:rFonts w:hint="eastAsia" w:ascii="宋体" w:hAnsi="宋体" w:eastAsia="宋体" w:cs="宋体"/>
                <w:lang w:eastAsia="zh-CN"/>
              </w:rPr>
              <w:t xml:space="preserve"> </w:t>
            </w:r>
            <w:r>
              <w:rPr>
                <w:rFonts w:hint="eastAsia" w:ascii="宋体" w:hAnsi="宋体" w:eastAsia="宋体" w:cs="宋体"/>
                <w:spacing w:val="-4"/>
                <w:lang w:eastAsia="zh-CN"/>
              </w:rPr>
              <w:t>设施大修</w:t>
            </w:r>
            <w:r>
              <w:rPr>
                <w:rFonts w:hint="eastAsia" w:ascii="宋体" w:hAnsi="宋体" w:eastAsia="宋体" w:cs="宋体"/>
                <w:lang w:eastAsia="zh-CN"/>
              </w:rPr>
              <w:t xml:space="preserve"> </w:t>
            </w:r>
            <w:r>
              <w:rPr>
                <w:rFonts w:hint="eastAsia" w:ascii="宋体" w:hAnsi="宋体" w:eastAsia="宋体" w:cs="宋体"/>
                <w:spacing w:val="-4"/>
                <w:lang w:eastAsia="zh-CN"/>
              </w:rPr>
              <w:t>参考范 围</w:t>
            </w:r>
          </w:p>
        </w:tc>
        <w:tc>
          <w:tcPr>
            <w:tcW w:w="2836" w:type="dxa"/>
            <w:gridSpan w:val="2"/>
          </w:tcPr>
          <w:p>
            <w:pPr>
              <w:spacing w:line="305" w:lineRule="auto"/>
              <w:rPr>
                <w:rFonts w:ascii="宋体" w:hAnsi="宋体" w:cs="宋体"/>
              </w:rPr>
            </w:pPr>
          </w:p>
          <w:p>
            <w:pPr>
              <w:spacing w:line="305" w:lineRule="auto"/>
              <w:rPr>
                <w:rFonts w:ascii="宋体" w:hAnsi="宋体" w:cs="宋体"/>
              </w:rPr>
            </w:pPr>
          </w:p>
          <w:p>
            <w:pPr>
              <w:pStyle w:val="45"/>
              <w:spacing w:before="91" w:line="210" w:lineRule="auto"/>
              <w:ind w:left="45"/>
              <w:rPr>
                <w:rFonts w:ascii="宋体" w:hAnsi="宋体" w:eastAsia="宋体" w:cs="宋体"/>
              </w:rPr>
            </w:pPr>
            <w:r>
              <w:rPr>
                <w:rFonts w:hint="eastAsia" w:ascii="宋体" w:hAnsi="宋体" w:eastAsia="宋体" w:cs="宋体"/>
                <w:spacing w:val="-14"/>
              </w:rPr>
              <w:t>1.意外损毁修复</w:t>
            </w:r>
          </w:p>
        </w:tc>
        <w:tc>
          <w:tcPr>
            <w:tcW w:w="6476" w:type="dxa"/>
          </w:tcPr>
          <w:p>
            <w:pPr>
              <w:pStyle w:val="45"/>
              <w:spacing w:before="102" w:line="239" w:lineRule="auto"/>
              <w:ind w:right="26"/>
              <w:jc w:val="left"/>
              <w:rPr>
                <w:rFonts w:ascii="宋体" w:hAnsi="宋体" w:eastAsia="宋体" w:cs="宋体"/>
                <w:lang w:eastAsia="zh-CN"/>
              </w:rPr>
            </w:pPr>
            <w:r>
              <w:rPr>
                <w:rFonts w:hint="eastAsia" w:ascii="宋体" w:hAnsi="宋体" w:eastAsia="宋体" w:cs="宋体"/>
                <w:spacing w:val="-4"/>
                <w:lang w:eastAsia="zh-CN"/>
              </w:rPr>
              <w:t>1、暴雨、洪水、台风、海啸、地震、雷电、火灾等不可预见原</w:t>
            </w:r>
            <w:r>
              <w:rPr>
                <w:rFonts w:hint="eastAsia" w:ascii="宋体" w:hAnsi="宋体" w:eastAsia="宋体" w:cs="宋体"/>
                <w:spacing w:val="5"/>
                <w:lang w:eastAsia="zh-CN"/>
              </w:rPr>
              <w:t xml:space="preserve"> </w:t>
            </w:r>
            <w:r>
              <w:rPr>
                <w:rFonts w:hint="eastAsia" w:ascii="宋体" w:hAnsi="宋体" w:eastAsia="宋体" w:cs="宋体"/>
                <w:spacing w:val="-4"/>
                <w:lang w:eastAsia="zh-CN"/>
              </w:rPr>
              <w:t>因造成的处理设施损坏的修复；</w:t>
            </w:r>
          </w:p>
          <w:p>
            <w:pPr>
              <w:pStyle w:val="45"/>
              <w:spacing w:before="76" w:line="214" w:lineRule="auto"/>
              <w:jc w:val="left"/>
              <w:rPr>
                <w:rFonts w:ascii="宋体" w:hAnsi="宋体" w:eastAsia="宋体" w:cs="宋体"/>
                <w:lang w:eastAsia="zh-CN"/>
              </w:rPr>
            </w:pPr>
            <w:r>
              <w:rPr>
                <w:rFonts w:hint="eastAsia" w:ascii="宋体" w:hAnsi="宋体" w:eastAsia="宋体" w:cs="宋体"/>
                <w:spacing w:val="-1"/>
                <w:lang w:eastAsia="zh-CN"/>
              </w:rPr>
              <w:t>2、沉降引起处理设施损坏的修复；</w:t>
            </w:r>
          </w:p>
          <w:p>
            <w:pPr>
              <w:pStyle w:val="45"/>
              <w:spacing w:before="75" w:line="195" w:lineRule="auto"/>
              <w:jc w:val="left"/>
              <w:rPr>
                <w:rFonts w:ascii="宋体" w:hAnsi="宋体" w:eastAsia="宋体" w:cs="宋体"/>
                <w:lang w:eastAsia="zh-CN"/>
              </w:rPr>
            </w:pPr>
            <w:r>
              <w:rPr>
                <w:rFonts w:hint="eastAsia" w:ascii="宋体" w:hAnsi="宋体" w:eastAsia="宋体" w:cs="宋体"/>
                <w:spacing w:val="-1"/>
                <w:lang w:eastAsia="zh-CN"/>
              </w:rPr>
              <w:t>3、违法排污、人为破坏等造成的处理设施损毁的修复；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0" w:hRule="atLeast"/>
          <w:jc w:val="center"/>
        </w:trPr>
        <w:tc>
          <w:tcPr>
            <w:tcW w:w="935" w:type="dxa"/>
            <w:vMerge w:val="continue"/>
            <w:tcBorders>
              <w:top w:val="nil"/>
              <w:left w:val="single" w:color="000000" w:sz="2" w:space="0"/>
              <w:bottom w:val="nil"/>
            </w:tcBorders>
          </w:tcPr>
          <w:p>
            <w:pPr>
              <w:rPr>
                <w:rFonts w:ascii="宋体" w:hAnsi="宋体" w:cs="宋体"/>
              </w:rPr>
            </w:pPr>
          </w:p>
        </w:tc>
        <w:tc>
          <w:tcPr>
            <w:tcW w:w="1419" w:type="dxa"/>
            <w:vMerge w:val="restart"/>
            <w:tcBorders>
              <w:bottom w:val="nil"/>
            </w:tcBorders>
          </w:tcPr>
          <w:p>
            <w:pPr>
              <w:spacing w:line="264" w:lineRule="auto"/>
              <w:rPr>
                <w:rFonts w:ascii="宋体" w:hAnsi="宋体" w:cs="宋体"/>
              </w:rPr>
            </w:pPr>
          </w:p>
          <w:p>
            <w:pPr>
              <w:spacing w:line="265" w:lineRule="auto"/>
              <w:rPr>
                <w:rFonts w:ascii="宋体" w:hAnsi="宋体" w:cs="宋体"/>
              </w:rPr>
            </w:pPr>
          </w:p>
          <w:p>
            <w:pPr>
              <w:spacing w:line="265" w:lineRule="auto"/>
              <w:rPr>
                <w:rFonts w:ascii="宋体" w:hAnsi="宋体" w:cs="宋体"/>
              </w:rPr>
            </w:pPr>
          </w:p>
          <w:p>
            <w:pPr>
              <w:spacing w:line="265" w:lineRule="auto"/>
              <w:rPr>
                <w:rFonts w:ascii="宋体" w:hAnsi="宋体" w:cs="宋体"/>
              </w:rPr>
            </w:pPr>
          </w:p>
          <w:p>
            <w:pPr>
              <w:spacing w:line="265" w:lineRule="auto"/>
              <w:rPr>
                <w:rFonts w:ascii="宋体" w:hAnsi="宋体" w:cs="宋体"/>
              </w:rPr>
            </w:pPr>
          </w:p>
          <w:p>
            <w:pPr>
              <w:spacing w:line="265" w:lineRule="auto"/>
              <w:rPr>
                <w:rFonts w:ascii="宋体" w:hAnsi="宋体" w:cs="宋体"/>
              </w:rPr>
            </w:pPr>
          </w:p>
          <w:p>
            <w:pPr>
              <w:spacing w:line="265" w:lineRule="auto"/>
              <w:rPr>
                <w:rFonts w:ascii="宋体" w:hAnsi="宋体" w:cs="宋体"/>
              </w:rPr>
            </w:pPr>
          </w:p>
          <w:p>
            <w:pPr>
              <w:spacing w:line="265" w:lineRule="auto"/>
              <w:rPr>
                <w:rFonts w:ascii="宋体" w:hAnsi="宋体" w:cs="宋体"/>
              </w:rPr>
            </w:pPr>
          </w:p>
          <w:p>
            <w:pPr>
              <w:pStyle w:val="45"/>
              <w:spacing w:before="91" w:line="209" w:lineRule="auto"/>
              <w:ind w:left="30"/>
              <w:rPr>
                <w:rFonts w:ascii="宋体" w:hAnsi="宋体" w:eastAsia="宋体" w:cs="宋体"/>
              </w:rPr>
            </w:pPr>
            <w:r>
              <w:rPr>
                <w:rFonts w:hint="eastAsia" w:ascii="宋体" w:hAnsi="宋体" w:eastAsia="宋体" w:cs="宋体"/>
                <w:spacing w:val="-12"/>
              </w:rPr>
              <w:t>2.其他损毁修复</w:t>
            </w:r>
          </w:p>
        </w:tc>
        <w:tc>
          <w:tcPr>
            <w:tcW w:w="1417" w:type="dxa"/>
          </w:tcPr>
          <w:p>
            <w:pPr>
              <w:spacing w:line="267" w:lineRule="auto"/>
              <w:rPr>
                <w:rFonts w:ascii="宋体" w:hAnsi="宋体" w:cs="宋体"/>
              </w:rPr>
            </w:pPr>
          </w:p>
          <w:p>
            <w:pPr>
              <w:spacing w:line="267" w:lineRule="auto"/>
              <w:rPr>
                <w:rFonts w:ascii="宋体" w:hAnsi="宋体" w:cs="宋体"/>
              </w:rPr>
            </w:pPr>
          </w:p>
          <w:p>
            <w:pPr>
              <w:spacing w:line="267" w:lineRule="auto"/>
              <w:rPr>
                <w:rFonts w:ascii="宋体" w:hAnsi="宋体" w:cs="宋体"/>
              </w:rPr>
            </w:pPr>
          </w:p>
          <w:p>
            <w:pPr>
              <w:spacing w:line="268" w:lineRule="auto"/>
              <w:rPr>
                <w:rFonts w:ascii="宋体" w:hAnsi="宋体" w:cs="宋体"/>
              </w:rPr>
            </w:pPr>
          </w:p>
          <w:p>
            <w:pPr>
              <w:pStyle w:val="45"/>
              <w:spacing w:before="91" w:line="210" w:lineRule="auto"/>
              <w:ind w:left="42"/>
              <w:rPr>
                <w:rFonts w:ascii="宋体" w:hAnsi="宋体" w:eastAsia="宋体" w:cs="宋体"/>
              </w:rPr>
            </w:pPr>
            <w:r>
              <w:rPr>
                <w:rFonts w:hint="eastAsia" w:ascii="宋体" w:hAnsi="宋体" w:eastAsia="宋体" w:cs="宋体"/>
                <w:spacing w:val="-3"/>
              </w:rPr>
              <w:t>终端问题修复</w:t>
            </w:r>
          </w:p>
        </w:tc>
        <w:tc>
          <w:tcPr>
            <w:tcW w:w="6476" w:type="dxa"/>
          </w:tcPr>
          <w:p>
            <w:pPr>
              <w:pStyle w:val="45"/>
              <w:spacing w:before="22" w:line="269" w:lineRule="auto"/>
              <w:jc w:val="left"/>
              <w:rPr>
                <w:rFonts w:ascii="宋体" w:hAnsi="宋体" w:eastAsia="宋体" w:cs="宋体"/>
                <w:spacing w:val="-12"/>
                <w:lang w:eastAsia="zh-CN"/>
              </w:rPr>
            </w:pPr>
            <w:r>
              <w:rPr>
                <w:rFonts w:hint="eastAsia" w:ascii="宋体" w:hAnsi="宋体" w:eastAsia="宋体" w:cs="宋体"/>
                <w:spacing w:val="-12"/>
                <w:lang w:eastAsia="zh-CN"/>
              </w:rPr>
              <w:t xml:space="preserve">1、池体（罐体）倾斜、开裂、上浮等问题的修复； </w:t>
            </w:r>
          </w:p>
          <w:p>
            <w:pPr>
              <w:pStyle w:val="45"/>
              <w:spacing w:before="22" w:line="269" w:lineRule="auto"/>
              <w:jc w:val="left"/>
              <w:rPr>
                <w:rFonts w:ascii="宋体" w:hAnsi="宋体" w:eastAsia="宋体" w:cs="宋体"/>
                <w:spacing w:val="-12"/>
                <w:lang w:eastAsia="zh-CN"/>
              </w:rPr>
            </w:pPr>
            <w:r>
              <w:rPr>
                <w:rFonts w:hint="eastAsia" w:ascii="宋体" w:hAnsi="宋体" w:eastAsia="宋体" w:cs="宋体"/>
                <w:spacing w:val="-12"/>
                <w:lang w:eastAsia="zh-CN"/>
              </w:rPr>
              <w:t>2、水泵、风机、控制柜、消毒设备的更换修复；</w:t>
            </w:r>
          </w:p>
          <w:p>
            <w:pPr>
              <w:pStyle w:val="45"/>
              <w:spacing w:before="22" w:line="269" w:lineRule="auto"/>
              <w:jc w:val="left"/>
              <w:rPr>
                <w:rFonts w:ascii="宋体" w:hAnsi="宋体" w:eastAsia="宋体" w:cs="宋体"/>
                <w:spacing w:val="-12"/>
                <w:lang w:eastAsia="zh-CN"/>
              </w:rPr>
            </w:pPr>
            <w:r>
              <w:rPr>
                <w:rFonts w:hint="eastAsia" w:ascii="宋体" w:hAnsi="宋体" w:eastAsia="宋体" w:cs="宋体"/>
                <w:spacing w:val="-12"/>
                <w:lang w:eastAsia="zh-CN"/>
              </w:rPr>
              <w:t>3、人工湿地填料的更换，池体填料（包括球类填料、弹性填料、 生物膜等）及曝气设施的更换；</w:t>
            </w:r>
          </w:p>
          <w:p>
            <w:pPr>
              <w:pStyle w:val="45"/>
              <w:spacing w:before="22" w:line="269" w:lineRule="auto"/>
              <w:jc w:val="left"/>
              <w:rPr>
                <w:rFonts w:ascii="宋体" w:hAnsi="宋体" w:eastAsia="宋体" w:cs="宋体"/>
                <w:spacing w:val="-12"/>
                <w:lang w:eastAsia="zh-CN"/>
              </w:rPr>
            </w:pPr>
            <w:r>
              <w:rPr>
                <w:rFonts w:hint="eastAsia" w:ascii="宋体" w:hAnsi="宋体" w:eastAsia="宋体" w:cs="宋体"/>
                <w:spacing w:val="-12"/>
                <w:lang w:eastAsia="zh-CN"/>
              </w:rPr>
              <w:t xml:space="preserve">4、摄像头、流量计、在线监测设备等仪表设备的修复； </w:t>
            </w:r>
          </w:p>
          <w:p>
            <w:pPr>
              <w:pStyle w:val="45"/>
              <w:spacing w:before="22" w:line="269" w:lineRule="auto"/>
              <w:jc w:val="left"/>
              <w:rPr>
                <w:rFonts w:ascii="宋体" w:hAnsi="宋体" w:eastAsia="宋体" w:cs="宋体"/>
                <w:lang w:eastAsia="zh-CN"/>
              </w:rPr>
            </w:pPr>
            <w:r>
              <w:rPr>
                <w:rFonts w:hint="eastAsia" w:ascii="宋体" w:hAnsi="宋体" w:eastAsia="宋体" w:cs="宋体"/>
                <w:spacing w:val="-12"/>
                <w:lang w:eastAsia="zh-CN"/>
              </w:rPr>
              <w:t>5、终端范围内绿化的整体更换；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7" w:hRule="atLeast"/>
          <w:jc w:val="center"/>
        </w:trPr>
        <w:tc>
          <w:tcPr>
            <w:tcW w:w="935" w:type="dxa"/>
            <w:vMerge w:val="continue"/>
            <w:tcBorders>
              <w:top w:val="nil"/>
              <w:left w:val="single" w:color="000000" w:sz="2" w:space="0"/>
            </w:tcBorders>
          </w:tcPr>
          <w:p>
            <w:pPr>
              <w:rPr>
                <w:rFonts w:ascii="宋体" w:hAnsi="宋体" w:cs="宋体"/>
              </w:rPr>
            </w:pPr>
          </w:p>
        </w:tc>
        <w:tc>
          <w:tcPr>
            <w:tcW w:w="1419" w:type="dxa"/>
            <w:vMerge w:val="continue"/>
            <w:tcBorders>
              <w:top w:val="nil"/>
            </w:tcBorders>
          </w:tcPr>
          <w:p>
            <w:pPr>
              <w:rPr>
                <w:rFonts w:ascii="宋体" w:hAnsi="宋体" w:cs="宋体"/>
              </w:rPr>
            </w:pPr>
          </w:p>
        </w:tc>
        <w:tc>
          <w:tcPr>
            <w:tcW w:w="1417" w:type="dxa"/>
          </w:tcPr>
          <w:p>
            <w:pPr>
              <w:spacing w:line="286" w:lineRule="auto"/>
              <w:rPr>
                <w:rFonts w:ascii="宋体" w:hAnsi="宋体" w:cs="宋体"/>
              </w:rPr>
            </w:pPr>
          </w:p>
          <w:p>
            <w:pPr>
              <w:spacing w:line="286" w:lineRule="auto"/>
              <w:rPr>
                <w:rFonts w:ascii="宋体" w:hAnsi="宋体" w:cs="宋体"/>
              </w:rPr>
            </w:pPr>
          </w:p>
          <w:p>
            <w:pPr>
              <w:spacing w:line="286" w:lineRule="auto"/>
              <w:rPr>
                <w:rFonts w:ascii="宋体" w:hAnsi="宋体" w:cs="宋体"/>
              </w:rPr>
            </w:pPr>
          </w:p>
          <w:p>
            <w:pPr>
              <w:pStyle w:val="45"/>
              <w:spacing w:before="91" w:line="214" w:lineRule="auto"/>
              <w:ind w:left="46"/>
              <w:rPr>
                <w:rFonts w:ascii="宋体" w:hAnsi="宋体" w:eastAsia="宋体" w:cs="宋体"/>
                <w:spacing w:val="-4"/>
              </w:rPr>
            </w:pPr>
            <w:r>
              <w:rPr>
                <w:rFonts w:hint="eastAsia" w:ascii="宋体" w:hAnsi="宋体" w:eastAsia="宋体" w:cs="宋体"/>
                <w:spacing w:val="-4"/>
              </w:rPr>
              <w:t>管网问题</w:t>
            </w:r>
          </w:p>
          <w:p>
            <w:pPr>
              <w:pStyle w:val="45"/>
              <w:spacing w:before="91" w:line="214" w:lineRule="auto"/>
              <w:ind w:left="46"/>
              <w:rPr>
                <w:rFonts w:ascii="宋体" w:hAnsi="宋体" w:eastAsia="宋体" w:cs="宋体"/>
              </w:rPr>
            </w:pPr>
            <w:r>
              <w:rPr>
                <w:rFonts w:hint="eastAsia" w:ascii="宋体" w:hAnsi="宋体" w:eastAsia="宋体" w:cs="宋体"/>
                <w:spacing w:val="-4"/>
              </w:rPr>
              <w:t>修复</w:t>
            </w:r>
          </w:p>
        </w:tc>
        <w:tc>
          <w:tcPr>
            <w:tcW w:w="6476" w:type="dxa"/>
          </w:tcPr>
          <w:p>
            <w:pPr>
              <w:pStyle w:val="45"/>
              <w:spacing w:before="22" w:line="269" w:lineRule="auto"/>
              <w:jc w:val="left"/>
              <w:rPr>
                <w:rFonts w:ascii="宋体" w:hAnsi="宋体" w:eastAsia="宋体" w:cs="宋体"/>
                <w:spacing w:val="-12"/>
                <w:lang w:eastAsia="zh-CN"/>
              </w:rPr>
            </w:pPr>
            <w:r>
              <w:rPr>
                <w:rFonts w:hint="eastAsia" w:ascii="宋体" w:hAnsi="宋体" w:eastAsia="宋体" w:cs="宋体"/>
                <w:spacing w:val="-12"/>
                <w:lang w:eastAsia="zh-CN"/>
              </w:rPr>
              <w:t>1、管道开裂、脱节问题的开挖修复；</w:t>
            </w:r>
          </w:p>
          <w:p>
            <w:pPr>
              <w:pStyle w:val="45"/>
              <w:spacing w:before="22" w:line="269" w:lineRule="auto"/>
              <w:jc w:val="left"/>
              <w:rPr>
                <w:rFonts w:ascii="宋体" w:hAnsi="宋体" w:eastAsia="宋体" w:cs="宋体"/>
                <w:spacing w:val="-12"/>
                <w:lang w:eastAsia="zh-CN"/>
              </w:rPr>
            </w:pPr>
            <w:r>
              <w:rPr>
                <w:rFonts w:hint="eastAsia" w:ascii="宋体" w:hAnsi="宋体" w:eastAsia="宋体" w:cs="宋体"/>
                <w:spacing w:val="-12"/>
                <w:lang w:eastAsia="zh-CN"/>
              </w:rPr>
              <w:t>2、管道变形产生堵塞的开挖修复；</w:t>
            </w:r>
          </w:p>
          <w:p>
            <w:pPr>
              <w:pStyle w:val="45"/>
              <w:spacing w:before="22" w:line="269" w:lineRule="auto"/>
              <w:jc w:val="left"/>
              <w:rPr>
                <w:rFonts w:ascii="宋体" w:hAnsi="宋体" w:eastAsia="宋体" w:cs="宋体"/>
                <w:spacing w:val="-12"/>
                <w:lang w:eastAsia="zh-CN"/>
              </w:rPr>
            </w:pPr>
            <w:r>
              <w:rPr>
                <w:rFonts w:hint="eastAsia" w:ascii="宋体" w:hAnsi="宋体" w:eastAsia="宋体" w:cs="宋体"/>
                <w:spacing w:val="-12"/>
                <w:lang w:eastAsia="zh-CN"/>
              </w:rPr>
              <w:t xml:space="preserve">3、池体（罐体）倾斜、开裂、上浮等问题的修复； </w:t>
            </w:r>
          </w:p>
          <w:p>
            <w:pPr>
              <w:pStyle w:val="45"/>
              <w:spacing w:before="22" w:line="269" w:lineRule="auto"/>
              <w:jc w:val="left"/>
              <w:rPr>
                <w:rFonts w:ascii="宋体" w:hAnsi="宋体" w:eastAsia="宋体" w:cs="宋体"/>
                <w:spacing w:val="-12"/>
                <w:lang w:eastAsia="zh-CN"/>
              </w:rPr>
            </w:pPr>
            <w:r>
              <w:rPr>
                <w:rFonts w:hint="eastAsia" w:ascii="宋体" w:hAnsi="宋体" w:eastAsia="宋体" w:cs="宋体"/>
                <w:spacing w:val="-12"/>
                <w:lang w:eastAsia="zh-CN"/>
              </w:rPr>
              <w:t>4、水泵、控制柜的更换；</w:t>
            </w:r>
          </w:p>
          <w:p>
            <w:pPr>
              <w:pStyle w:val="45"/>
              <w:spacing w:before="22" w:line="269" w:lineRule="auto"/>
              <w:jc w:val="left"/>
              <w:rPr>
                <w:rFonts w:ascii="宋体" w:hAnsi="宋体" w:eastAsia="宋体" w:cs="宋体"/>
                <w:lang w:eastAsia="zh-CN"/>
              </w:rPr>
            </w:pPr>
            <w:r>
              <w:rPr>
                <w:rFonts w:hint="eastAsia" w:ascii="宋体" w:hAnsi="宋体" w:eastAsia="宋体" w:cs="宋体"/>
                <w:spacing w:val="-12"/>
                <w:lang w:eastAsia="zh-CN"/>
              </w:rPr>
              <w:t>5、检查井（井盖除外）损坏的重建；</w:t>
            </w:r>
          </w:p>
        </w:tc>
      </w:tr>
    </w:tbl>
    <w:p/>
    <w:p>
      <w:pPr>
        <w:spacing w:line="360" w:lineRule="auto"/>
        <w:rPr>
          <w:rFonts w:ascii="宋体" w:hAnsi="宋体" w:cs="宋体"/>
          <w:bCs/>
          <w:sz w:val="24"/>
        </w:rPr>
      </w:pPr>
    </w:p>
    <w:p>
      <w:pPr>
        <w:sectPr>
          <w:pgSz w:w="11906" w:h="16838"/>
          <w:pgMar w:top="1440" w:right="1418" w:bottom="1440" w:left="1418" w:header="851" w:footer="992" w:gutter="0"/>
          <w:cols w:space="0" w:num="1"/>
          <w:titlePg/>
          <w:docGrid w:linePitch="312" w:charSpace="0"/>
        </w:sectPr>
      </w:pPr>
      <w:r>
        <w:drawing>
          <wp:inline distT="0" distB="0" distL="114300" distR="114300">
            <wp:extent cx="5755005" cy="7627620"/>
            <wp:effectExtent l="0" t="0" r="1714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5"/>
                    <a:stretch>
                      <a:fillRect/>
                    </a:stretch>
                  </pic:blipFill>
                  <pic:spPr>
                    <a:xfrm>
                      <a:off x="0" y="0"/>
                      <a:ext cx="5755005" cy="7627620"/>
                    </a:xfrm>
                    <a:prstGeom prst="rect">
                      <a:avLst/>
                    </a:prstGeom>
                    <a:noFill/>
                    <a:ln>
                      <a:noFill/>
                    </a:ln>
                  </pic:spPr>
                </pic:pic>
              </a:graphicData>
            </a:graphic>
          </wp:inline>
        </w:drawing>
      </w:r>
    </w:p>
    <w:p>
      <w:pPr>
        <w:pStyle w:val="3"/>
      </w:pPr>
      <w:r>
        <w:drawing>
          <wp:inline distT="0" distB="0" distL="114300" distR="114300">
            <wp:extent cx="5757545" cy="6988175"/>
            <wp:effectExtent l="0" t="0" r="1460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6"/>
                    <a:stretch>
                      <a:fillRect/>
                    </a:stretch>
                  </pic:blipFill>
                  <pic:spPr>
                    <a:xfrm>
                      <a:off x="0" y="0"/>
                      <a:ext cx="5757545" cy="6988175"/>
                    </a:xfrm>
                    <a:prstGeom prst="rect">
                      <a:avLst/>
                    </a:prstGeom>
                    <a:noFill/>
                    <a:ln>
                      <a:noFill/>
                    </a:ln>
                  </pic:spPr>
                </pic:pic>
              </a:graphicData>
            </a:graphic>
          </wp:inline>
        </w:drawing>
      </w:r>
    </w:p>
    <w:sectPr>
      <w:pgSz w:w="11906" w:h="16838"/>
      <w:pgMar w:top="1440" w:right="1418" w:bottom="1440" w:left="1418"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Lucida Sans">
    <w:altName w:val="Lucida Sans Unicode"/>
    <w:panose1 w:val="020B0602030504020204"/>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29</w:t>
    </w:r>
    <w:r>
      <w:rPr>
        <w:sz w:val="21"/>
        <w:szCs w:val="21"/>
      </w:rPr>
      <w:fldChar w:fldCharType="end"/>
    </w:r>
  </w:p>
  <w:p>
    <w:pPr>
      <w:pStyle w:val="1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0" distR="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8" name="文本框 1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t xml:space="preserve">第 </w:t>
                          </w:r>
                          <w:r>
                            <w:fldChar w:fldCharType="begin"/>
                          </w:r>
                          <w:r>
                            <w:instrText xml:space="preserve"> PAGE  \* MERGEFORMAT </w:instrText>
                          </w:r>
                          <w:r>
                            <w:fldChar w:fldCharType="separate"/>
                          </w:r>
                          <w:r>
                            <w:t>48</w:t>
                          </w:r>
                          <w:r>
                            <w:fldChar w:fldCharType="end"/>
                          </w:r>
                          <w:r>
                            <w:t xml:space="preserve"> 页</w:t>
                          </w:r>
                        </w:p>
                      </w:txbxContent>
                    </wps:txbx>
                    <wps:bodyPr vert="horz" wrap="none" lIns="0" tIns="0" rIns="0" bIns="0" anchor="t">
                      <a:spAutoFit/>
                    </wps:bodyPr>
                  </wps:wsp>
                </a:graphicData>
              </a:graphic>
            </wp:anchor>
          </w:drawing>
        </mc:Choice>
        <mc:Fallback>
          <w:pict>
            <v:rect id="文本框 16" o:spid="_x0000_s1026" o:spt="1"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Cb0vTPKAQAAkwMAAA4AAAAAAAAAAQAgAAAAHwEAAGRycy9lMm9E&#10;b2MueG1sUEsFBgAAAAAGAAYAWQEAAFsFA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48</w:t>
                    </w:r>
                    <w:r>
                      <w:fldChar w:fldCharType="end"/>
                    </w:r>
                    <w:r>
                      <w:t xml:space="preserve"> 页</w:t>
                    </w:r>
                  </w:p>
                </w:txbxContent>
              </v:textbox>
            </v:rect>
          </w:pict>
        </mc:Fallback>
      </mc:AlternateContent>
    </w:r>
    <w:r>
      <mc:AlternateContent>
        <mc:Choice Requires="wps">
          <w:drawing>
            <wp:anchor distT="0" distB="0" distL="0" distR="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9"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txbxContent>
                    </wps:txbx>
                    <wps:bodyPr vert="horz" wrap="none" lIns="0" tIns="0" rIns="0" bIns="0" anchor="t">
                      <a:spAutoFit/>
                    </wps:bodyPr>
                  </wps:wsp>
                </a:graphicData>
              </a:graphic>
            </wp:anchor>
          </w:drawing>
        </mc:Choice>
        <mc:Fallback>
          <w:pict>
            <v:rect id="文本框 10" o:spid="_x0000_s1026" o:spt="1"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DbnlDTKAQAAkwMAAA4AAAAAAAAAAQAgAAAAHwEAAGRycy9lMm9E&#10;b2MueG1sUEsFBgAAAAAGAAYAWQEAAFsFAAAAAA==&#10;">
              <v:fill on="f" focussize="0,0"/>
              <v:stroke on="f"/>
              <v:imagedata o:title=""/>
              <o:lock v:ext="edit" aspectratio="f"/>
              <v:textbox inset="0mm,0mm,0mm,0mm" style="mso-fit-shape-to-text:t;">
                <w:txbxContent>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0" distR="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0" name="文本框 1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t xml:space="preserve">第 </w:t>
                          </w:r>
                          <w:r>
                            <w:fldChar w:fldCharType="begin"/>
                          </w:r>
                          <w:r>
                            <w:instrText xml:space="preserve"> PAGE  \* MERGEFORMAT </w:instrText>
                          </w:r>
                          <w:r>
                            <w:fldChar w:fldCharType="separate"/>
                          </w:r>
                          <w:r>
                            <w:t>52</w:t>
                          </w:r>
                          <w:r>
                            <w:fldChar w:fldCharType="end"/>
                          </w:r>
                          <w:r>
                            <w:t xml:space="preserve"> 页</w:t>
                          </w:r>
                        </w:p>
                      </w:txbxContent>
                    </wps:txbx>
                    <wps:bodyPr vert="horz" wrap="none" lIns="0" tIns="0" rIns="0" bIns="0" anchor="t">
                      <a:spAutoFit/>
                    </wps:bodyPr>
                  </wps:wsp>
                </a:graphicData>
              </a:graphic>
            </wp:anchor>
          </w:drawing>
        </mc:Choice>
        <mc:Fallback>
          <w:pict>
            <v:rect id="文本框 17" o:spid="_x0000_s1026" o:spt="1"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LhdDgDKAQAAkwMAAA4AAAAAAAAAAQAgAAAAHwEAAGRycy9lMm9E&#10;b2MueG1sUEsFBgAAAAAGAAYAWQEAAFsFA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52</w:t>
                    </w:r>
                    <w:r>
                      <w:fldChar w:fldCharType="end"/>
                    </w:r>
                    <w:r>
                      <w:t xml:space="preserve"> 页</w:t>
                    </w:r>
                  </w:p>
                </w:txbxContent>
              </v:textbox>
            </v:rect>
          </w:pict>
        </mc:Fallback>
      </mc:AlternateContent>
    </w:r>
  </w:p>
  <w:p>
    <w:pPr>
      <w:pStyle w:val="14"/>
      <w:rPr>
        <w:rFonts w:ascii="仿宋_GB2312" w:eastAsia="仿宋_GB2312"/>
        <w:szCs w:val="2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4"/>
      </w:rPr>
    </w:pPr>
    <w:r>
      <w:fldChar w:fldCharType="begin"/>
    </w:r>
    <w:r>
      <w:rPr>
        <w:rStyle w:val="24"/>
      </w:rPr>
      <w:instrText xml:space="preserve">PAGE  </w:instrText>
    </w:r>
    <w:r>
      <w:fldChar w:fldCharType="end"/>
    </w:r>
  </w:p>
  <w:p>
    <w:pPr>
      <w:pStyle w:val="14"/>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仿宋_GB2312" w:eastAsia="仿宋_GB2312"/>
      </w:rPr>
    </w:pPr>
    <w:r>
      <mc:AlternateContent>
        <mc:Choice Requires="wps">
          <w:drawing>
            <wp:anchor distT="0" distB="0" distL="0" distR="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1" name="文本框 1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t xml:space="preserve">第 </w:t>
                          </w:r>
                          <w:r>
                            <w:fldChar w:fldCharType="begin"/>
                          </w:r>
                          <w:r>
                            <w:instrText xml:space="preserve"> PAGE  \* MERGEFORMAT </w:instrText>
                          </w:r>
                          <w:r>
                            <w:fldChar w:fldCharType="separate"/>
                          </w:r>
                          <w:r>
                            <w:t>51</w:t>
                          </w:r>
                          <w:r>
                            <w:fldChar w:fldCharType="end"/>
                          </w:r>
                          <w:r>
                            <w:t xml:space="preserve"> 页</w:t>
                          </w:r>
                        </w:p>
                      </w:txbxContent>
                    </wps:txbx>
                    <wps:bodyPr vert="horz" wrap="none" lIns="0" tIns="0" rIns="0" bIns="0" anchor="t">
                      <a:spAutoFit/>
                    </wps:bodyPr>
                  </wps:wsp>
                </a:graphicData>
              </a:graphic>
            </wp:anchor>
          </w:drawing>
        </mc:Choice>
        <mc:Fallback>
          <w:pict>
            <v:rect id="文本框 18" o:spid="_x0000_s1026" o:spt="1"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GvMAxfKAQAAkwMAAA4AAAAAAAAAAQAgAAAAHwEAAGRycy9lMm9E&#10;b2MueG1sUEsFBgAAAAAGAAYAWQEAAFsFA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51</w:t>
                    </w:r>
                    <w:r>
                      <w:fldChar w:fldCharType="end"/>
                    </w:r>
                    <w:r>
                      <w:t xml:space="preserve"> 页</w:t>
                    </w:r>
                  </w:p>
                </w:txbxContent>
              </v:textbox>
            </v:rect>
          </w:pict>
        </mc:Fallback>
      </mc:AlternateContent>
    </w:r>
    <w:r>
      <mc:AlternateContent>
        <mc:Choice Requires="wps">
          <w:drawing>
            <wp:anchor distT="0" distB="0" distL="0" distR="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2"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p>
                      </w:txbxContent>
                    </wps:txbx>
                    <wps:bodyPr vert="horz" wrap="none" lIns="0" tIns="0" rIns="0" bIns="0" anchor="t">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Fv5eB7KAQAAkwMAAA4AAAAAAAAAAQAgAAAAHwEAAGRycy9lMm9E&#10;b2MueG1sUEsFBgAAAAAGAAYAWQEAAFsFAAAAAA==&#10;">
              <v:fill on="f" focussize="0,0"/>
              <v:stroke on="f"/>
              <v:imagedata o:title=""/>
              <o:lock v:ext="edit" aspectratio="f"/>
              <v:textbox inset="0mm,0mm,0mm,0mm" style="mso-fit-shape-to-text:t;">
                <w:txbxContent>
                  <w:p>
                    <w:pPr>
                      <w:pStyle w:val="14"/>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naaT/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GdppP8kBAACSAwAADgAAAAAAAAABACAAAAAfAQAAZHJzL2Uyb0Rv&#10;Yy54bWxQSwUGAAAAAAYABgBZAQAAWgUAAAAA&#10;">
              <v:fill on="f" focussize="0,0"/>
              <v:stroke on="f"/>
              <v:imagedata o:title=""/>
              <o:lock v:ext="edit" aspectratio="f"/>
              <v:textbox inset="0mm,0mm,0mm,0mm" style="mso-fit-shape-to-text:t;">
                <w:txbxContent>
                  <w:p>
                    <w:pPr>
                      <w:pStyle w:val="14"/>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29</w:t>
    </w:r>
    <w:r>
      <w:rPr>
        <w:sz w:val="21"/>
        <w:szCs w:val="21"/>
      </w:rPr>
      <w:fldChar w:fldCharType="end"/>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qZHPnJAQAAkg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MjnUB6zo4n24gylDCpPcoQWbviSEDdnV89VVNUQmaXO5Xq3XJRku6WxOCKd4eB4A43vlLUtB&#10;zYHalt0Up48Yx6vzlVTNuLQ6f6uNGU/TTpFojsRSFIf9MLHd++ZMKmnoCbzz8I2znlpec0cTzpn5&#10;4MjRNB1zAHOwnwPhJD2s+cgLw7tjpPKZWyo2Vpg4UKuyumms0iw8zvOth19p+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6pkc+ckBAACSAwAADgAAAAAAAAABACAAAAAfAQAAZHJzL2Uyb0Rv&#10;Yy54bWxQSwUGAAAAAAYABgBZAQAAWgUAAAAA&#10;">
              <v:fill on="f" focussize="0,0"/>
              <v:stroke on="f"/>
              <v:imagedata o:title=""/>
              <o:lock v:ext="edit" aspectratio="f"/>
              <v:textbox inset="0mm,0mm,0mm,0mm" style="mso-fit-shape-to-text:t;">
                <w:txbxContent>
                  <w:p>
                    <w:pPr>
                      <w:pStyle w:val="14"/>
                    </w:pP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t xml:space="preserve">第 </w:t>
                          </w:r>
                          <w:r>
                            <w:fldChar w:fldCharType="begin"/>
                          </w:r>
                          <w:r>
                            <w:instrText xml:space="preserve"> PAGE  \* MERGEFORMAT </w:instrText>
                          </w:r>
                          <w:r>
                            <w:fldChar w:fldCharType="separate"/>
                          </w:r>
                          <w:r>
                            <w:t>2</w:t>
                          </w:r>
                          <w:r>
                            <w:fldChar w:fldCharType="end"/>
                          </w:r>
                          <w:r>
                            <w:t xml:space="preserve"> 页</w:t>
                          </w:r>
                        </w:p>
                      </w:txbxContent>
                    </wps:txbx>
                    <wps:bodyPr vert="horz" wrap="none" lIns="0" tIns="0" rIns="0" bIns="0" anchor="t">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Cw8BU3KAQAAkgMAAA4AAAAAAAAAAQAgAAAAHwEAAGRycy9lMm9E&#10;b2MueG1sUEsFBgAAAAAGAAYAWQEAAFsFA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2</w:t>
                    </w:r>
                    <w:r>
                      <w:fldChar w:fldCharType="end"/>
                    </w:r>
                    <w:r>
                      <w:t xml:space="preserve"> 页</w:t>
                    </w:r>
                  </w:p>
                </w:txbxContent>
              </v:textbox>
            </v:rect>
          </w:pict>
        </mc:Fallback>
      </mc:AlternateContent>
    </w:r>
  </w:p>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0" distR="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vert="horz" wrap="none" lIns="0" tIns="0" rIns="0" bIns="0" anchor="t">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JRyDEckBAACTAwAADgAAAAAAAAABACAAAAAfAQAAZHJzL2Uyb0Rv&#10;Yy54bWxQSwUGAAAAAAYABgBZAQAAWgU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w:t>
                    </w:r>
                    <w:r>
                      <w:fldChar w:fldCharType="end"/>
                    </w:r>
                    <w:r>
                      <w:t xml:space="preserve"> 页</w:t>
                    </w:r>
                  </w:p>
                </w:txbxContent>
              </v:textbox>
            </v:rect>
          </w:pict>
        </mc:Fallback>
      </mc:AlternateContent>
    </w:r>
    <w:r>
      <mc:AlternateContent>
        <mc:Choice Requires="wps">
          <w:drawing>
            <wp:anchor distT="0" distB="0" distL="0" distR="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1"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p>
                      </w:txbxContent>
                    </wps:txbx>
                    <wps:bodyPr vert="horz" wrap="none" lIns="0" tIns="0" rIns="0" bIns="0" anchor="t">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Ae1DSXKAQAAkgMAAA4AAAAAAAAAAQAgAAAAHwEAAGRycy9lMm9E&#10;b2MueG1sUEsFBgAAAAAGAAYAWQEAAFsFAAAAAA==&#10;">
              <v:fill on="f" focussize="0,0"/>
              <v:stroke on="f"/>
              <v:imagedata o:title=""/>
              <o:lock v:ext="edit" aspectratio="f"/>
              <v:textbox inset="0mm,0mm,0mm,0mm" style="mso-fit-shape-to-text:t;">
                <w:txbxContent>
                  <w:p>
                    <w:pPr>
                      <w:pStyle w:val="14"/>
                    </w:pP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0" distR="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2"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t xml:space="preserve">第 </w:t>
                          </w:r>
                          <w:r>
                            <w:fldChar w:fldCharType="begin"/>
                          </w:r>
                          <w:r>
                            <w:instrText xml:space="preserve"> PAGE  \* MERGEFORMAT </w:instrText>
                          </w:r>
                          <w:r>
                            <w:fldChar w:fldCharType="separate"/>
                          </w:r>
                          <w:r>
                            <w:t>35</w:t>
                          </w:r>
                          <w:r>
                            <w:fldChar w:fldCharType="end"/>
                          </w:r>
                          <w:r>
                            <w:t xml:space="preserve"> 页</w:t>
                          </w:r>
                        </w:p>
                      </w:txbxContent>
                    </wps:txbx>
                    <wps:bodyPr vert="horz" wrap="none" lIns="0" tIns="0" rIns="0" bIns="0" anchor="t">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C4xMa2ywEAAJMDAAAOAAAAAAAAAAEAIAAAAB8BAABkcnMvZTJv&#10;RG9jLnhtbFBLBQYAAAAABgAGAFkBAABcBQ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35</w:t>
                    </w:r>
                    <w:r>
                      <w:fldChar w:fldCharType="end"/>
                    </w:r>
                    <w:r>
                      <w:t xml:space="preserve"> 页</w:t>
                    </w:r>
                  </w:p>
                </w:txbxContent>
              </v:textbox>
            </v:rect>
          </w:pict>
        </mc:Fallback>
      </mc:AlternateContent>
    </w:r>
    <w:r>
      <mc:AlternateContent>
        <mc:Choice Requires="wps">
          <w:drawing>
            <wp:anchor distT="0" distB="0" distL="0" distR="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3"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txbxContent>
                    </wps:txbx>
                    <wps:bodyPr vert="horz" wrap="none" lIns="0" tIns="0" rIns="0" bIns="0" anchor="t">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ZfoCyMkBAACSAwAADgAAAAAAAAABACAAAAAfAQAAZHJzL2Uyb0Rv&#10;Yy54bWxQSwUGAAAAAAYABgBZAQAAWgUAAAAA&#10;">
              <v:fill on="f" focussize="0,0"/>
              <v:stroke on="f"/>
              <v:imagedata o:title=""/>
              <o:lock v:ext="edit" aspectratio="f"/>
              <v:textbox inset="0mm,0mm,0mm,0mm" style="mso-fit-shape-to-text:t;">
                <w:txbxContent>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0" distR="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4" name="文本框 1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t xml:space="preserve">第 </w:t>
                          </w:r>
                          <w:r>
                            <w:fldChar w:fldCharType="begin"/>
                          </w:r>
                          <w:r>
                            <w:instrText xml:space="preserve"> PAGE  \* MERGEFORMAT </w:instrText>
                          </w:r>
                          <w:r>
                            <w:fldChar w:fldCharType="separate"/>
                          </w:r>
                          <w:r>
                            <w:t>34</w:t>
                          </w:r>
                          <w:r>
                            <w:fldChar w:fldCharType="end"/>
                          </w:r>
                          <w:r>
                            <w:t xml:space="preserve"> 页</w:t>
                          </w:r>
                        </w:p>
                      </w:txbxContent>
                    </wps:txbx>
                    <wps:bodyPr vert="horz" wrap="none" lIns="0" tIns="0" rIns="0" bIns="0" anchor="t">
                      <a:spAutoFit/>
                    </wps:bodyPr>
                  </wps:wsp>
                </a:graphicData>
              </a:graphic>
            </wp:anchor>
          </w:drawing>
        </mc:Choice>
        <mc:Fallback>
          <w:pict>
            <v:rect id="文本框 14"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FfV1P/KAQAAkwMAAA4AAAAAAAAAAQAgAAAAHwEAAGRycy9lMm9E&#10;b2MueG1sUEsFBgAAAAAGAAYAWQEAAFsFA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34</w:t>
                    </w:r>
                    <w:r>
                      <w:fldChar w:fldCharType="end"/>
                    </w:r>
                    <w:r>
                      <w:t xml:space="preserve"> 页</w:t>
                    </w:r>
                  </w:p>
                </w:txbxContent>
              </v:textbox>
            </v:rect>
          </w:pict>
        </mc:Fallback>
      </mc:AlternateContent>
    </w:r>
    <w:r>
      <mc:AlternateContent>
        <mc:Choice Requires="wps">
          <w:drawing>
            <wp:anchor distT="0" distB="0" distL="0" distR="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5"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p>
                      </w:txbxContent>
                    </wps:txbx>
                    <wps:bodyPr vert="horz" wrap="none" lIns="0" tIns="0" rIns="0" bIns="0" anchor="t">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EGvRjTKAQAAkgMAAA4AAAAAAAAAAQAgAAAAHwEAAGRycy9lMm9E&#10;b2MueG1sUEsFBgAAAAAGAAYAWQEAAFsFAAAAAA==&#10;">
              <v:fill on="f" focussize="0,0"/>
              <v:stroke on="f"/>
              <v:imagedata o:title=""/>
              <o:lock v:ext="edit" aspectratio="f"/>
              <v:textbox inset="0mm,0mm,0mm,0mm" style="mso-fit-shape-to-text:t;">
                <w:txbxContent>
                  <w:p>
                    <w:pPr>
                      <w:pStyle w:val="14"/>
                    </w:pP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0" distR="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6" name="文本框 1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t xml:space="preserve">第 </w:t>
                          </w:r>
                          <w:r>
                            <w:fldChar w:fldCharType="begin"/>
                          </w:r>
                          <w:r>
                            <w:instrText xml:space="preserve"> PAGE  \* MERGEFORMAT </w:instrText>
                          </w:r>
                          <w:r>
                            <w:fldChar w:fldCharType="separate"/>
                          </w:r>
                          <w:r>
                            <w:t>50</w:t>
                          </w:r>
                          <w:r>
                            <w:fldChar w:fldCharType="end"/>
                          </w:r>
                          <w:r>
                            <w:t xml:space="preserve"> 页</w:t>
                          </w:r>
                        </w:p>
                      </w:txbxContent>
                    </wps:txbx>
                    <wps:bodyPr vert="horz" wrap="none" lIns="0" tIns="0" rIns="0" bIns="0" anchor="t">
                      <a:spAutoFit/>
                    </wps:bodyPr>
                  </wps:wsp>
                </a:graphicData>
              </a:graphic>
            </wp:anchor>
          </w:drawing>
        </mc:Choice>
        <mc:Fallback>
          <w:pict>
            <v:rect id="文本框 15" o:spid="_x0000_s1026" o:spt="1"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DRj2bUywEAAJMDAAAOAAAAAAAAAAEAIAAAAB8BAABkcnMvZTJv&#10;RG9jLnhtbFBLBQYAAAAABgAGAFkBAABcBQ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50</w:t>
                    </w:r>
                    <w:r>
                      <w:fldChar w:fldCharType="end"/>
                    </w:r>
                    <w:r>
                      <w:t xml:space="preserve"> 页</w:t>
                    </w:r>
                  </w:p>
                </w:txbxContent>
              </v:textbox>
            </v:rect>
          </w:pict>
        </mc:Fallback>
      </mc:AlternateContent>
    </w:r>
    <w:r>
      <mc:AlternateContent>
        <mc:Choice Requires="wps">
          <w:drawing>
            <wp:anchor distT="0" distB="0" distL="0" distR="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7"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txbxContent>
                    </wps:txbx>
                    <wps:bodyPr vert="horz" wrap="none" lIns="0" tIns="0" rIns="0" bIns="0" anchor="t">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hivlX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zlsnzNmROW3vzy4/vl5+/L&#10;r2/sT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OGK+VckBAACSAwAADgAAAAAAAAABACAAAAAfAQAAZHJzL2Uyb0Rv&#10;Yy54bWxQSwUGAAAAAAYABgBZAQAAWgUAAAAA&#10;">
              <v:fill on="f" focussize="0,0"/>
              <v:stroke on="f"/>
              <v:imagedata o:title=""/>
              <o:lock v:ext="edit" aspectratio="f"/>
              <v:textbox inset="0mm,0mm,0mm,0mm" style="mso-fit-shape-to-text:t;">
                <w:txbxContent>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535"/>
        <w:tab w:val="right" w:pos="9070"/>
      </w:tabs>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lear" w:pos="4153"/>
        <w:tab w:val="clear" w:pos="830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rPr>
        <w:rFonts w:ascii="仿宋_GB2312" w:eastAsia="仿宋_GB2312"/>
        <w:b/>
        <w:i/>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right"/>
      <w:rPr>
        <w:rFonts w:ascii="仿宋_GB2312" w:eastAsia="仿宋_GB2312"/>
        <w:b/>
        <w:i/>
        <w:u w:val="single"/>
      </w:rPr>
    </w:pP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rPr>
        <w:rFonts w:ascii="仿宋_GB2312" w:eastAsia="仿宋_GB2312"/>
        <w:b/>
        <w:i/>
        <w:iCs/>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C74E16"/>
    <w:multiLevelType w:val="singleLevel"/>
    <w:tmpl w:val="ABC74E16"/>
    <w:lvl w:ilvl="0" w:tentative="0">
      <w:start w:val="4"/>
      <w:numFmt w:val="chineseCounting"/>
      <w:suff w:val="nothing"/>
      <w:lvlText w:val="%1、"/>
      <w:lvlJc w:val="left"/>
      <w:rPr>
        <w:rFonts w:hint="eastAsia"/>
      </w:rPr>
    </w:lvl>
  </w:abstractNum>
  <w:abstractNum w:abstractNumId="1">
    <w:nsid w:val="0053208E"/>
    <w:multiLevelType w:val="singleLevel"/>
    <w:tmpl w:val="0053208E"/>
    <w:lvl w:ilvl="0" w:tentative="0">
      <w:start w:val="1"/>
      <w:numFmt w:val="decimal"/>
      <w:pStyle w:val="5"/>
      <w:lvlText w:val="%1."/>
      <w:lvlJc w:val="left"/>
      <w:pPr>
        <w:tabs>
          <w:tab w:val="left"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3YzNlZjU4MDc3ZDUxMmFiOTU0ZDE3Njc1YTdkMjEifQ=="/>
  </w:docVars>
  <w:rsids>
    <w:rsidRoot w:val="00054FBE"/>
    <w:rsid w:val="00054FBE"/>
    <w:rsid w:val="00055C49"/>
    <w:rsid w:val="001336BD"/>
    <w:rsid w:val="006C75D1"/>
    <w:rsid w:val="009049D8"/>
    <w:rsid w:val="00954E1F"/>
    <w:rsid w:val="018F4C90"/>
    <w:rsid w:val="0256755B"/>
    <w:rsid w:val="025F0B06"/>
    <w:rsid w:val="032432AB"/>
    <w:rsid w:val="03D20080"/>
    <w:rsid w:val="047554C2"/>
    <w:rsid w:val="0477502A"/>
    <w:rsid w:val="04E15802"/>
    <w:rsid w:val="05597A8E"/>
    <w:rsid w:val="05823F16"/>
    <w:rsid w:val="05B22981"/>
    <w:rsid w:val="05EA33DB"/>
    <w:rsid w:val="06B370EA"/>
    <w:rsid w:val="06D73361"/>
    <w:rsid w:val="076A5F83"/>
    <w:rsid w:val="082C599D"/>
    <w:rsid w:val="085D5AE7"/>
    <w:rsid w:val="08E21B49"/>
    <w:rsid w:val="095703B6"/>
    <w:rsid w:val="097C76D2"/>
    <w:rsid w:val="09C545F1"/>
    <w:rsid w:val="09FC6C9E"/>
    <w:rsid w:val="0A0D0E47"/>
    <w:rsid w:val="0A820DD9"/>
    <w:rsid w:val="0BDC4B52"/>
    <w:rsid w:val="0D493F8A"/>
    <w:rsid w:val="0DD95C10"/>
    <w:rsid w:val="0DDC125D"/>
    <w:rsid w:val="0E576B35"/>
    <w:rsid w:val="0E6A6868"/>
    <w:rsid w:val="0EA3623F"/>
    <w:rsid w:val="0EEF6D6E"/>
    <w:rsid w:val="0F2904D1"/>
    <w:rsid w:val="0F5A279E"/>
    <w:rsid w:val="0F6251CC"/>
    <w:rsid w:val="0FB669C1"/>
    <w:rsid w:val="0FBC5F97"/>
    <w:rsid w:val="1111746F"/>
    <w:rsid w:val="11C10E95"/>
    <w:rsid w:val="12053745"/>
    <w:rsid w:val="124B69B1"/>
    <w:rsid w:val="127C6B6A"/>
    <w:rsid w:val="12A61E39"/>
    <w:rsid w:val="12FB2185"/>
    <w:rsid w:val="13BD743A"/>
    <w:rsid w:val="13C62793"/>
    <w:rsid w:val="13FC61B5"/>
    <w:rsid w:val="14107EB2"/>
    <w:rsid w:val="164E081E"/>
    <w:rsid w:val="165F0C7D"/>
    <w:rsid w:val="167F30CD"/>
    <w:rsid w:val="16F72C63"/>
    <w:rsid w:val="173C0FBE"/>
    <w:rsid w:val="17800B01"/>
    <w:rsid w:val="17E458DD"/>
    <w:rsid w:val="17E551B2"/>
    <w:rsid w:val="17FE0021"/>
    <w:rsid w:val="18463EA2"/>
    <w:rsid w:val="185F330A"/>
    <w:rsid w:val="189A41EE"/>
    <w:rsid w:val="18B01B8E"/>
    <w:rsid w:val="19094ED0"/>
    <w:rsid w:val="19107621"/>
    <w:rsid w:val="191B48E8"/>
    <w:rsid w:val="192F00AD"/>
    <w:rsid w:val="19436634"/>
    <w:rsid w:val="1A385A6D"/>
    <w:rsid w:val="1ABF618E"/>
    <w:rsid w:val="1ADE4866"/>
    <w:rsid w:val="1B2E0C1E"/>
    <w:rsid w:val="1B414DF5"/>
    <w:rsid w:val="1B4641B9"/>
    <w:rsid w:val="1B65205E"/>
    <w:rsid w:val="1B8847D2"/>
    <w:rsid w:val="1BAA0BEC"/>
    <w:rsid w:val="1BB330D0"/>
    <w:rsid w:val="1C070518"/>
    <w:rsid w:val="1C45629A"/>
    <w:rsid w:val="1C484CA5"/>
    <w:rsid w:val="1CF55E97"/>
    <w:rsid w:val="1CF85987"/>
    <w:rsid w:val="1E053855"/>
    <w:rsid w:val="1E236A34"/>
    <w:rsid w:val="1EC85663"/>
    <w:rsid w:val="1EE95587"/>
    <w:rsid w:val="1F240CB5"/>
    <w:rsid w:val="1F481269"/>
    <w:rsid w:val="1F583287"/>
    <w:rsid w:val="1F9C084C"/>
    <w:rsid w:val="1FF16DE9"/>
    <w:rsid w:val="2120263F"/>
    <w:rsid w:val="21CB3D6E"/>
    <w:rsid w:val="229900BD"/>
    <w:rsid w:val="23040BE2"/>
    <w:rsid w:val="23A67EEB"/>
    <w:rsid w:val="240963B7"/>
    <w:rsid w:val="243262D7"/>
    <w:rsid w:val="249C54BD"/>
    <w:rsid w:val="24B7634F"/>
    <w:rsid w:val="24D76906"/>
    <w:rsid w:val="24DD5032"/>
    <w:rsid w:val="25162E4E"/>
    <w:rsid w:val="25CE197B"/>
    <w:rsid w:val="25DE4F9A"/>
    <w:rsid w:val="25ED1E01"/>
    <w:rsid w:val="263A491A"/>
    <w:rsid w:val="265A6D6B"/>
    <w:rsid w:val="26612594"/>
    <w:rsid w:val="268109F1"/>
    <w:rsid w:val="26926686"/>
    <w:rsid w:val="275C4997"/>
    <w:rsid w:val="27C70430"/>
    <w:rsid w:val="27C923FA"/>
    <w:rsid w:val="27E9484A"/>
    <w:rsid w:val="283755B5"/>
    <w:rsid w:val="2861618E"/>
    <w:rsid w:val="287B5CA9"/>
    <w:rsid w:val="28A864B3"/>
    <w:rsid w:val="28DA0926"/>
    <w:rsid w:val="28ED036A"/>
    <w:rsid w:val="29235B3A"/>
    <w:rsid w:val="2A3F69A3"/>
    <w:rsid w:val="2AFD6C12"/>
    <w:rsid w:val="2B9D1BD3"/>
    <w:rsid w:val="2BBE70CD"/>
    <w:rsid w:val="2C267E1B"/>
    <w:rsid w:val="2C2F271D"/>
    <w:rsid w:val="2CCF04B2"/>
    <w:rsid w:val="2CF75313"/>
    <w:rsid w:val="2D3C7CDD"/>
    <w:rsid w:val="2D9B008B"/>
    <w:rsid w:val="2E7D7A9A"/>
    <w:rsid w:val="2E9117E4"/>
    <w:rsid w:val="2EA77D16"/>
    <w:rsid w:val="2F6E6564"/>
    <w:rsid w:val="2F7964B4"/>
    <w:rsid w:val="2FC522C6"/>
    <w:rsid w:val="2FED3AE4"/>
    <w:rsid w:val="30986E0D"/>
    <w:rsid w:val="30CB2D3F"/>
    <w:rsid w:val="31197F4E"/>
    <w:rsid w:val="312301CE"/>
    <w:rsid w:val="31445C96"/>
    <w:rsid w:val="3150593A"/>
    <w:rsid w:val="31B13D79"/>
    <w:rsid w:val="31BC6B85"/>
    <w:rsid w:val="324043DE"/>
    <w:rsid w:val="327F64D7"/>
    <w:rsid w:val="328534B5"/>
    <w:rsid w:val="32BA750F"/>
    <w:rsid w:val="32C04CBB"/>
    <w:rsid w:val="33CB1005"/>
    <w:rsid w:val="34096765"/>
    <w:rsid w:val="34EA3850"/>
    <w:rsid w:val="34FC7877"/>
    <w:rsid w:val="35602606"/>
    <w:rsid w:val="356D4F9D"/>
    <w:rsid w:val="35942591"/>
    <w:rsid w:val="35C12962"/>
    <w:rsid w:val="36017203"/>
    <w:rsid w:val="360867E3"/>
    <w:rsid w:val="36730100"/>
    <w:rsid w:val="370F6FC5"/>
    <w:rsid w:val="372633C5"/>
    <w:rsid w:val="37364E56"/>
    <w:rsid w:val="37DF5322"/>
    <w:rsid w:val="38741F0E"/>
    <w:rsid w:val="38FB43DD"/>
    <w:rsid w:val="3A7240EC"/>
    <w:rsid w:val="3AAA7E69"/>
    <w:rsid w:val="3AC16F61"/>
    <w:rsid w:val="3B026E02"/>
    <w:rsid w:val="3BC96D8D"/>
    <w:rsid w:val="3BEF21CF"/>
    <w:rsid w:val="3C650EDD"/>
    <w:rsid w:val="3D0F0457"/>
    <w:rsid w:val="3D2F0AF9"/>
    <w:rsid w:val="3D9B618F"/>
    <w:rsid w:val="3EE625DF"/>
    <w:rsid w:val="3F4553C3"/>
    <w:rsid w:val="3F761497"/>
    <w:rsid w:val="3FA0183A"/>
    <w:rsid w:val="3FB86B84"/>
    <w:rsid w:val="40130737"/>
    <w:rsid w:val="404F6316"/>
    <w:rsid w:val="40640ABA"/>
    <w:rsid w:val="407007C3"/>
    <w:rsid w:val="413226A5"/>
    <w:rsid w:val="41605725"/>
    <w:rsid w:val="425A0395"/>
    <w:rsid w:val="42C10446"/>
    <w:rsid w:val="43EF4B3E"/>
    <w:rsid w:val="43FF1225"/>
    <w:rsid w:val="46221AC5"/>
    <w:rsid w:val="464C6278"/>
    <w:rsid w:val="46CB4E33"/>
    <w:rsid w:val="47E0136E"/>
    <w:rsid w:val="4860600B"/>
    <w:rsid w:val="48A10D50"/>
    <w:rsid w:val="48B87BF5"/>
    <w:rsid w:val="48FC3F85"/>
    <w:rsid w:val="490E3CB9"/>
    <w:rsid w:val="49184B37"/>
    <w:rsid w:val="49235290"/>
    <w:rsid w:val="4941408E"/>
    <w:rsid w:val="494F67AB"/>
    <w:rsid w:val="498700F0"/>
    <w:rsid w:val="499F0DB5"/>
    <w:rsid w:val="49BD5680"/>
    <w:rsid w:val="49F65DD3"/>
    <w:rsid w:val="4A1C41B3"/>
    <w:rsid w:val="4A3D7F21"/>
    <w:rsid w:val="4A6B46F9"/>
    <w:rsid w:val="4A6F075E"/>
    <w:rsid w:val="4AFC64BF"/>
    <w:rsid w:val="4B663062"/>
    <w:rsid w:val="4C8229F4"/>
    <w:rsid w:val="4C96024D"/>
    <w:rsid w:val="4C994F4D"/>
    <w:rsid w:val="4CB87CD7"/>
    <w:rsid w:val="4D1A50AF"/>
    <w:rsid w:val="4D1E2724"/>
    <w:rsid w:val="4D6622F3"/>
    <w:rsid w:val="4D98349B"/>
    <w:rsid w:val="4DA602B5"/>
    <w:rsid w:val="4DC31516"/>
    <w:rsid w:val="4DE23516"/>
    <w:rsid w:val="4E673531"/>
    <w:rsid w:val="4FDC32A3"/>
    <w:rsid w:val="5023629C"/>
    <w:rsid w:val="50503BB6"/>
    <w:rsid w:val="506C1A16"/>
    <w:rsid w:val="50CF5EEA"/>
    <w:rsid w:val="50D42E40"/>
    <w:rsid w:val="510C6D30"/>
    <w:rsid w:val="511451C8"/>
    <w:rsid w:val="5186663A"/>
    <w:rsid w:val="51F8415C"/>
    <w:rsid w:val="52950FA7"/>
    <w:rsid w:val="52BF7DD2"/>
    <w:rsid w:val="52E05B98"/>
    <w:rsid w:val="53D004E8"/>
    <w:rsid w:val="541008E5"/>
    <w:rsid w:val="54183680"/>
    <w:rsid w:val="541D1254"/>
    <w:rsid w:val="546952D8"/>
    <w:rsid w:val="55052414"/>
    <w:rsid w:val="5601620D"/>
    <w:rsid w:val="561225E1"/>
    <w:rsid w:val="563C1E65"/>
    <w:rsid w:val="566C201F"/>
    <w:rsid w:val="569B5B36"/>
    <w:rsid w:val="575907F5"/>
    <w:rsid w:val="57B1418D"/>
    <w:rsid w:val="584470A3"/>
    <w:rsid w:val="58CD5A78"/>
    <w:rsid w:val="594436A7"/>
    <w:rsid w:val="59A42ED5"/>
    <w:rsid w:val="59B9557B"/>
    <w:rsid w:val="59D57095"/>
    <w:rsid w:val="5A8B33BB"/>
    <w:rsid w:val="5A8C2C8F"/>
    <w:rsid w:val="5B123195"/>
    <w:rsid w:val="5B964BEA"/>
    <w:rsid w:val="5BB701E0"/>
    <w:rsid w:val="5BC51F31"/>
    <w:rsid w:val="5D6407A5"/>
    <w:rsid w:val="5DB66AB5"/>
    <w:rsid w:val="5DC23366"/>
    <w:rsid w:val="5EA44A4C"/>
    <w:rsid w:val="5F5E429F"/>
    <w:rsid w:val="60B75BB7"/>
    <w:rsid w:val="60CE5DB0"/>
    <w:rsid w:val="60D131F5"/>
    <w:rsid w:val="60D86C2E"/>
    <w:rsid w:val="61761FA3"/>
    <w:rsid w:val="618B1A7A"/>
    <w:rsid w:val="62967011"/>
    <w:rsid w:val="62AE6773"/>
    <w:rsid w:val="63044C82"/>
    <w:rsid w:val="632B74E9"/>
    <w:rsid w:val="63331451"/>
    <w:rsid w:val="635954D6"/>
    <w:rsid w:val="636E5628"/>
    <w:rsid w:val="6372336A"/>
    <w:rsid w:val="6401024A"/>
    <w:rsid w:val="64033FC2"/>
    <w:rsid w:val="644911FA"/>
    <w:rsid w:val="64542B22"/>
    <w:rsid w:val="64616F3B"/>
    <w:rsid w:val="64725FD6"/>
    <w:rsid w:val="64B928D3"/>
    <w:rsid w:val="650C50F9"/>
    <w:rsid w:val="65F31E15"/>
    <w:rsid w:val="66AA4BC9"/>
    <w:rsid w:val="6716225F"/>
    <w:rsid w:val="6833299C"/>
    <w:rsid w:val="689F6284"/>
    <w:rsid w:val="690E58E3"/>
    <w:rsid w:val="6949691B"/>
    <w:rsid w:val="694F7CAA"/>
    <w:rsid w:val="69F82878"/>
    <w:rsid w:val="6A356F9D"/>
    <w:rsid w:val="6A372C18"/>
    <w:rsid w:val="6B915391"/>
    <w:rsid w:val="6BEC6D2D"/>
    <w:rsid w:val="6C19154A"/>
    <w:rsid w:val="6C373B93"/>
    <w:rsid w:val="6C50027C"/>
    <w:rsid w:val="6D4E2BB5"/>
    <w:rsid w:val="6D851EEC"/>
    <w:rsid w:val="6EF21CA4"/>
    <w:rsid w:val="6F0043D1"/>
    <w:rsid w:val="6F03527C"/>
    <w:rsid w:val="704F058F"/>
    <w:rsid w:val="706109EE"/>
    <w:rsid w:val="71F907B3"/>
    <w:rsid w:val="723E2669"/>
    <w:rsid w:val="72D05BD1"/>
    <w:rsid w:val="730B4C41"/>
    <w:rsid w:val="73A806E2"/>
    <w:rsid w:val="73EC483D"/>
    <w:rsid w:val="747B36E0"/>
    <w:rsid w:val="76B73A20"/>
    <w:rsid w:val="776E0F44"/>
    <w:rsid w:val="779C40BA"/>
    <w:rsid w:val="78054355"/>
    <w:rsid w:val="78116426"/>
    <w:rsid w:val="782D313F"/>
    <w:rsid w:val="78485FF0"/>
    <w:rsid w:val="78A0530C"/>
    <w:rsid w:val="78F85C68"/>
    <w:rsid w:val="79C618C2"/>
    <w:rsid w:val="7A3525A4"/>
    <w:rsid w:val="7A951295"/>
    <w:rsid w:val="7AC35E02"/>
    <w:rsid w:val="7AD33013"/>
    <w:rsid w:val="7BBA0FB3"/>
    <w:rsid w:val="7C914409"/>
    <w:rsid w:val="7C943EFA"/>
    <w:rsid w:val="7C9C22FF"/>
    <w:rsid w:val="7D052701"/>
    <w:rsid w:val="7D5176F5"/>
    <w:rsid w:val="7D957F29"/>
    <w:rsid w:val="7F842003"/>
    <w:rsid w:val="7F9B559F"/>
    <w:rsid w:val="7FAA44AE"/>
    <w:rsid w:val="7FB7602B"/>
    <w:rsid w:val="7FDF723A"/>
    <w:rsid w:val="FFFFA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6"/>
    <w:basedOn w:val="1"/>
    <w:next w:val="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List Number"/>
    <w:basedOn w:val="1"/>
    <w:next w:val="6"/>
    <w:qFormat/>
    <w:uiPriority w:val="0"/>
    <w:pPr>
      <w:numPr>
        <w:ilvl w:val="0"/>
        <w:numId w:val="1"/>
      </w:numPr>
    </w:pPr>
  </w:style>
  <w:style w:type="paragraph" w:styleId="6">
    <w:name w:val="Balloon Text"/>
    <w:basedOn w:val="1"/>
    <w:next w:val="7"/>
    <w:qFormat/>
    <w:uiPriority w:val="0"/>
    <w:rPr>
      <w:sz w:val="18"/>
      <w:szCs w:val="18"/>
    </w:rPr>
  </w:style>
  <w:style w:type="paragraph" w:styleId="7">
    <w:name w:val="toc 8"/>
    <w:basedOn w:val="1"/>
    <w:next w:val="1"/>
    <w:qFormat/>
    <w:uiPriority w:val="0"/>
    <w:pPr>
      <w:ind w:left="2940" w:leftChars="1400"/>
    </w:pPr>
  </w:style>
  <w:style w:type="paragraph" w:styleId="8">
    <w:name w:val="Normal Indent"/>
    <w:basedOn w:val="1"/>
    <w:next w:val="9"/>
    <w:qFormat/>
    <w:uiPriority w:val="0"/>
    <w:pPr>
      <w:widowControl/>
      <w:snapToGrid w:val="0"/>
      <w:spacing w:line="480" w:lineRule="exact"/>
      <w:ind w:firstLine="567"/>
    </w:pPr>
    <w:rPr>
      <w:rFonts w:ascii="宋体"/>
      <w:snapToGrid w:val="0"/>
      <w:color w:val="000000"/>
      <w:kern w:val="28"/>
      <w:sz w:val="28"/>
      <w:szCs w:val="20"/>
    </w:rPr>
  </w:style>
  <w:style w:type="paragraph" w:styleId="9">
    <w:name w:val="Body Text Indent"/>
    <w:basedOn w:val="1"/>
    <w:next w:val="8"/>
    <w:qFormat/>
    <w:uiPriority w:val="0"/>
    <w:pPr>
      <w:spacing w:line="480" w:lineRule="exact"/>
      <w:ind w:firstLine="480" w:firstLineChars="200"/>
    </w:pPr>
    <w:rPr>
      <w:rFonts w:ascii="宋体" w:hAnsi="宋体"/>
      <w:sz w:val="24"/>
    </w:rPr>
  </w:style>
  <w:style w:type="paragraph" w:styleId="10">
    <w:name w:val="annotation text"/>
    <w:basedOn w:val="1"/>
    <w:qFormat/>
    <w:uiPriority w:val="0"/>
    <w:pPr>
      <w:jc w:val="left"/>
    </w:pPr>
  </w:style>
  <w:style w:type="paragraph" w:styleId="11">
    <w:name w:val="Body Text"/>
    <w:basedOn w:val="1"/>
    <w:next w:val="12"/>
    <w:qFormat/>
    <w:uiPriority w:val="0"/>
    <w:pPr>
      <w:autoSpaceDE w:val="0"/>
      <w:autoSpaceDN w:val="0"/>
      <w:spacing w:line="360" w:lineRule="auto"/>
    </w:pPr>
    <w:rPr>
      <w:rFonts w:ascii="宋体" w:hAnsi="Arial" w:cs="Arial"/>
      <w:snapToGrid w:val="0"/>
      <w:sz w:val="24"/>
      <w:szCs w:val="21"/>
      <w:lang w:val="zh-CN"/>
    </w:rPr>
  </w:style>
  <w:style w:type="paragraph" w:styleId="12">
    <w:name w:val="Body Text First Indent"/>
    <w:basedOn w:val="11"/>
    <w:next w:val="1"/>
    <w:qFormat/>
    <w:uiPriority w:val="0"/>
    <w:pPr>
      <w:ind w:firstLine="420"/>
    </w:pPr>
    <w:rPr>
      <w:rFonts w:hAnsi="Calibri" w:cs="Times New Roman"/>
      <w:szCs w:val="20"/>
    </w:rPr>
  </w:style>
  <w:style w:type="paragraph" w:styleId="13">
    <w:name w:val="Plain Text"/>
    <w:basedOn w:val="1"/>
    <w:next w:val="1"/>
    <w:qFormat/>
    <w:uiPriority w:val="0"/>
    <w:rPr>
      <w:rFonts w:ascii="宋体" w:hAnsi="Courier New" w:cs="Arial"/>
      <w:snapToGrid w:val="0"/>
      <w:szCs w:val="21"/>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style>
  <w:style w:type="paragraph" w:styleId="17">
    <w:name w:val="toc 6"/>
    <w:basedOn w:val="1"/>
    <w:next w:val="1"/>
    <w:qFormat/>
    <w:uiPriority w:val="0"/>
    <w:pPr>
      <w:ind w:left="2100" w:leftChars="1000"/>
    </w:pPr>
  </w:style>
  <w:style w:type="paragraph" w:styleId="18">
    <w:name w:val="Normal (Web)"/>
    <w:basedOn w:val="1"/>
    <w:qFormat/>
    <w:uiPriority w:val="99"/>
    <w:pPr>
      <w:widowControl/>
      <w:spacing w:before="100" w:beforeAutospacing="1" w:after="100" w:afterAutospacing="1"/>
      <w:jc w:val="left"/>
    </w:pPr>
    <w:rPr>
      <w:rFonts w:ascii="宋体" w:hAnsi="宋体"/>
      <w:kern w:val="0"/>
      <w:sz w:val="24"/>
    </w:rPr>
  </w:style>
  <w:style w:type="paragraph" w:styleId="19">
    <w:name w:val="Title"/>
    <w:basedOn w:val="1"/>
    <w:qFormat/>
    <w:uiPriority w:val="10"/>
    <w:pPr>
      <w:widowControl/>
      <w:overflowPunct w:val="0"/>
      <w:autoSpaceDE w:val="0"/>
      <w:autoSpaceDN w:val="0"/>
      <w:jc w:val="center"/>
      <w:textAlignment w:val="baseline"/>
    </w:pPr>
    <w:rPr>
      <w:b/>
      <w:kern w:val="0"/>
      <w:sz w:val="24"/>
      <w:szCs w:val="20"/>
      <w:lang w:val="en-GB"/>
    </w:rPr>
  </w:style>
  <w:style w:type="paragraph" w:styleId="20">
    <w:name w:val="Body Text First Indent 2"/>
    <w:basedOn w:val="9"/>
    <w:next w:val="1"/>
    <w:qFormat/>
    <w:uiPriority w:val="0"/>
    <w:pPr>
      <w:adjustRightInd/>
      <w:spacing w:after="120" w:line="240" w:lineRule="auto"/>
      <w:ind w:left="420" w:leftChars="200" w:firstLine="210"/>
    </w:pPr>
    <w:rPr>
      <w:sz w:val="21"/>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rPr>
      <w:rFonts w:ascii="Arial" w:hAnsi="Arial" w:eastAsia="黑体" w:cs="Arial"/>
      <w:snapToGrid w:val="0"/>
      <w:kern w:val="0"/>
      <w:szCs w:val="21"/>
    </w:rPr>
  </w:style>
  <w:style w:type="character" w:styleId="25">
    <w:name w:val="Hyperlink"/>
    <w:qFormat/>
    <w:uiPriority w:val="99"/>
    <w:rPr>
      <w:rFonts w:ascii="Arial" w:hAnsi="Arial" w:eastAsia="黑体" w:cs="Arial"/>
      <w:snapToGrid w:val="0"/>
      <w:color w:val="000000"/>
      <w:kern w:val="0"/>
      <w:sz w:val="18"/>
      <w:szCs w:val="18"/>
      <w:u w:val="none"/>
    </w:rPr>
  </w:style>
  <w:style w:type="paragraph" w:customStyle="1" w:styleId="26">
    <w:name w:val="_Style 3"/>
    <w:basedOn w:val="1"/>
    <w:qFormat/>
    <w:uiPriority w:val="1"/>
    <w:pPr>
      <w:adjustRightInd/>
      <w:ind w:firstLine="420" w:firstLineChars="200"/>
    </w:pPr>
    <w:rPr>
      <w:rFonts w:eastAsia="仿宋_GB2312"/>
      <w:sz w:val="28"/>
    </w:rPr>
  </w:style>
  <w:style w:type="paragraph" w:customStyle="1" w:styleId="27">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rPr>
  </w:style>
  <w:style w:type="paragraph" w:customStyle="1" w:styleId="2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9">
    <w:name w:val="正文2"/>
    <w:basedOn w:val="1"/>
    <w:qFormat/>
    <w:uiPriority w:val="0"/>
    <w:pPr>
      <w:spacing w:before="156" w:line="360" w:lineRule="auto"/>
      <w:ind w:firstLine="510" w:firstLineChars="200"/>
    </w:pPr>
    <w:rPr>
      <w:sz w:val="24"/>
      <w:szCs w:val="20"/>
    </w:rPr>
  </w:style>
  <w:style w:type="paragraph" w:customStyle="1" w:styleId="3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1">
    <w:name w:val="正文缩进1"/>
    <w:basedOn w:val="1"/>
    <w:next w:val="9"/>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2">
    <w:name w:val="索引 11"/>
    <w:basedOn w:val="1"/>
    <w:next w:val="1"/>
    <w:qFormat/>
    <w:uiPriority w:val="99"/>
    <w:pPr>
      <w:adjustRightInd/>
      <w:spacing w:line="360" w:lineRule="auto"/>
    </w:pPr>
    <w:rPr>
      <w:rFonts w:ascii="仿宋_GB2312" w:eastAsia="仿宋_GB2312"/>
      <w:sz w:val="24"/>
      <w:szCs w:val="20"/>
    </w:rPr>
  </w:style>
  <w:style w:type="paragraph" w:customStyle="1" w:styleId="33">
    <w:name w:val="纯文本_0_0"/>
    <w:basedOn w:val="34"/>
    <w:qFormat/>
    <w:uiPriority w:val="0"/>
    <w:rPr>
      <w:rFonts w:ascii="宋体" w:hAnsi="Courier New"/>
      <w:szCs w:val="21"/>
    </w:rPr>
  </w:style>
  <w:style w:type="paragraph" w:customStyle="1" w:styleId="3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6">
    <w:name w:val="Table Paragraph"/>
    <w:basedOn w:val="1"/>
    <w:qFormat/>
    <w:uiPriority w:val="1"/>
    <w:pPr>
      <w:adjustRightInd/>
      <w:jc w:val="left"/>
    </w:pPr>
    <w:rPr>
      <w:rFonts w:ascii="Calibri" w:hAnsi="Calibri"/>
      <w:kern w:val="0"/>
      <w:sz w:val="22"/>
      <w:szCs w:val="22"/>
      <w:lang w:eastAsia="en-US"/>
    </w:rPr>
  </w:style>
  <w:style w:type="paragraph" w:customStyle="1" w:styleId="37">
    <w:name w:val="List Paragraph_17dd9f01-d6aa-490d-888b-36d802a68928"/>
    <w:basedOn w:val="1"/>
    <w:qFormat/>
    <w:uiPriority w:val="34"/>
    <w:pPr>
      <w:spacing w:line="360" w:lineRule="auto"/>
      <w:ind w:firstLine="200" w:firstLineChars="200"/>
    </w:pPr>
    <w:rPr>
      <w:rFonts w:eastAsia="楷体_GB2312" w:cs="Lucida Sans"/>
      <w:sz w:val="24"/>
    </w:rPr>
  </w:style>
  <w:style w:type="paragraph" w:customStyle="1" w:styleId="38">
    <w:name w:val="reader-word-layer reader-word-s18-9"/>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9">
    <w:name w:val="p0"/>
    <w:basedOn w:val="1"/>
    <w:qFormat/>
    <w:uiPriority w:val="0"/>
    <w:pPr>
      <w:widowControl/>
      <w:adjustRightInd/>
    </w:pPr>
    <w:rPr>
      <w:kern w:val="0"/>
      <w:szCs w:val="21"/>
    </w:rPr>
  </w:style>
  <w:style w:type="paragraph" w:customStyle="1" w:styleId="40">
    <w:name w:val="表格"/>
    <w:basedOn w:val="1"/>
    <w:qFormat/>
    <w:uiPriority w:val="0"/>
    <w:pPr>
      <w:snapToGrid w:val="0"/>
      <w:ind w:firstLine="42" w:firstLineChars="21"/>
    </w:pPr>
    <w:rPr>
      <w:rFonts w:ascii="宋体" w:hAnsi="宋体"/>
      <w:kern w:val="0"/>
      <w:sz w:val="20"/>
      <w:szCs w:val="20"/>
    </w:rPr>
  </w:style>
  <w:style w:type="paragraph" w:customStyle="1" w:styleId="41">
    <w:name w:val="纯文本1"/>
    <w:basedOn w:val="1"/>
    <w:qFormat/>
    <w:uiPriority w:val="0"/>
    <w:pPr>
      <w:adjustRightInd/>
    </w:pPr>
    <w:rPr>
      <w:rFonts w:ascii="宋体" w:hAnsi="Courier New"/>
      <w:kern w:val="0"/>
      <w:sz w:val="20"/>
      <w:szCs w:val="20"/>
    </w:rPr>
  </w:style>
  <w:style w:type="paragraph" w:customStyle="1" w:styleId="42">
    <w:name w:val="text-tag"/>
    <w:basedOn w:val="1"/>
    <w:qFormat/>
    <w:uiPriority w:val="99"/>
    <w:pPr>
      <w:widowControl/>
      <w:adjustRightInd/>
      <w:spacing w:before="100" w:beforeAutospacing="1" w:after="100" w:afterAutospacing="1"/>
      <w:jc w:val="left"/>
    </w:pPr>
    <w:rPr>
      <w:rFonts w:ascii="宋体" w:hAnsi="宋体" w:cs="宋体"/>
      <w:kern w:val="0"/>
      <w:sz w:val="24"/>
    </w:rPr>
  </w:style>
  <w:style w:type="character" w:customStyle="1" w:styleId="43">
    <w:name w:val="标题 1 Char Char"/>
    <w:basedOn w:val="23"/>
    <w:qFormat/>
    <w:uiPriority w:val="0"/>
    <w:rPr>
      <w:rFonts w:hint="eastAsia" w:ascii="宋体" w:hAnsi="宋体" w:eastAsia="宋体"/>
      <w:b/>
      <w:spacing w:val="-2"/>
      <w:sz w:val="24"/>
      <w:lang w:val="en-US" w:eastAsia="zh-CN" w:bidi="ar-SA"/>
    </w:rPr>
  </w:style>
  <w:style w:type="table" w:customStyle="1" w:styleId="44">
    <w:name w:val="Table Normal"/>
    <w:qFormat/>
    <w:uiPriority w:val="0"/>
    <w:tblPr>
      <w:tblCellMar>
        <w:top w:w="0" w:type="dxa"/>
        <w:left w:w="0" w:type="dxa"/>
        <w:bottom w:w="0" w:type="dxa"/>
        <w:right w:w="0" w:type="dxa"/>
      </w:tblCellMar>
    </w:tblPr>
  </w:style>
  <w:style w:type="paragraph" w:customStyle="1" w:styleId="45">
    <w:name w:val="Table Text"/>
    <w:basedOn w:val="1"/>
    <w:qFormat/>
    <w:uiPriority w:val="0"/>
    <w:rPr>
      <w:rFonts w:ascii="仿宋" w:hAnsi="仿宋" w:eastAsia="仿宋" w:cs="仿宋"/>
      <w:sz w:val="28"/>
      <w:szCs w:val="28"/>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png"/><Relationship Id="rId25" Type="http://schemas.openxmlformats.org/officeDocument/2006/relationships/image" Target="media/image1.png"/><Relationship Id="rId24" Type="http://schemas.openxmlformats.org/officeDocument/2006/relationships/theme" Target="theme/theme1.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76</Pages>
  <Words>7362</Words>
  <Characters>41969</Characters>
  <Lines>349</Lines>
  <Paragraphs>98</Paragraphs>
  <TotalTime>5</TotalTime>
  <ScaleCrop>false</ScaleCrop>
  <LinksUpToDate>false</LinksUpToDate>
  <CharactersWithSpaces>49233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2023-04-23T20:28:00Z</dcterms:created>
  <dc:creator>Administrator</dc:creator>
  <cp:lastModifiedBy>王超</cp:lastModifiedBy>
  <cp:lastPrinted>2023-11-30T07:02:00Z</cp:lastPrinted>
  <dcterms:modified xsi:type="dcterms:W3CDTF">2023-11-30T08:42:40Z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1004392F1E724BD2B80492E46C3409E7_13</vt:lpwstr>
  </property>
</Properties>
</file>