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12A0FD69">
      <w:pPr>
        <w:adjustRightInd/>
        <w:spacing w:line="360" w:lineRule="auto"/>
        <w:jc w:val="both"/>
        <w:rPr>
          <w:rFonts w:cs="仿宋_GB2312" w:asciiTheme="minorEastAsia" w:hAnsiTheme="minorEastAsia" w:eastAsiaTheme="minorEastAsia"/>
          <w:b/>
          <w:color w:val="auto"/>
          <w:sz w:val="44"/>
          <w:szCs w:val="44"/>
        </w:rPr>
      </w:pPr>
    </w:p>
    <w:p w14:paraId="61B0B456">
      <w:pPr>
        <w:adjustRightInd/>
        <w:spacing w:line="360" w:lineRule="auto"/>
        <w:jc w:val="center"/>
        <w:rPr>
          <w:rFonts w:hint="eastAsia" w:cs="仿宋_GB2312" w:asciiTheme="minorEastAsia" w:hAnsiTheme="minorEastAsia" w:eastAsiaTheme="minorEastAsia"/>
          <w:b/>
          <w:bCs/>
          <w:color w:val="auto"/>
          <w:w w:val="95"/>
          <w:sz w:val="72"/>
          <w:szCs w:val="72"/>
          <w:lang w:val="zh-CN"/>
        </w:rPr>
      </w:pPr>
      <w:r>
        <w:rPr>
          <w:rFonts w:hint="eastAsia" w:cs="仿宋_GB2312" w:asciiTheme="minorEastAsia" w:hAnsiTheme="minorEastAsia" w:eastAsiaTheme="minorEastAsia"/>
          <w:b/>
          <w:color w:val="auto"/>
          <w:sz w:val="44"/>
          <w:szCs w:val="44"/>
          <w:lang w:eastAsia="zh-CN"/>
        </w:rPr>
        <w:t>桐庐县重大要素争取项目谋划储备（一期）</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项目编号:HZZC-TL2025CS-00</w:t>
      </w:r>
      <w:r>
        <w:rPr>
          <w:rFonts w:hint="eastAsia" w:cs="仿宋_GB2312" w:asciiTheme="minorEastAsia" w:hAnsiTheme="minorEastAsia" w:eastAsiaTheme="minorEastAsia"/>
          <w:color w:val="auto"/>
          <w:sz w:val="30"/>
          <w:szCs w:val="30"/>
          <w:lang w:val="en-US" w:eastAsia="zh-CN"/>
        </w:rPr>
        <w:t>3</w:t>
      </w:r>
    </w:p>
    <w:p w14:paraId="68579B86">
      <w:pPr>
        <w:adjustRightInd/>
        <w:spacing w:line="360" w:lineRule="auto"/>
        <w:rPr>
          <w:rFonts w:cs="仿宋_GB2312" w:asciiTheme="minorEastAsia" w:hAnsiTheme="minorEastAsia" w:eastAsiaTheme="minorEastAsia"/>
          <w:color w:val="auto"/>
          <w:sz w:val="28"/>
          <w:szCs w:val="20"/>
        </w:rPr>
      </w:pPr>
    </w:p>
    <w:p w14:paraId="6F526D79">
      <w:pPr>
        <w:spacing w:line="360" w:lineRule="auto"/>
        <w:jc w:val="both"/>
        <w:rPr>
          <w:rFonts w:cs="仿宋_GB2312" w:asciiTheme="minorEastAsia" w:hAnsiTheme="minorEastAsia" w:eastAsiaTheme="minorEastAsia"/>
          <w:color w:val="auto"/>
          <w:sz w:val="24"/>
        </w:rPr>
      </w:pPr>
    </w:p>
    <w:p w14:paraId="6AE573C8">
      <w:pPr>
        <w:snapToGrid w:val="0"/>
        <w:spacing w:line="360" w:lineRule="auto"/>
        <w:jc w:val="center"/>
        <w:rPr>
          <w:rFonts w:cs="仿宋_GB2312" w:asciiTheme="minorEastAsia" w:hAnsiTheme="minorEastAsia" w:eastAsiaTheme="minorEastAsia"/>
          <w:color w:val="auto"/>
          <w:sz w:val="32"/>
          <w:szCs w:val="32"/>
        </w:rPr>
      </w:pPr>
    </w:p>
    <w:p w14:paraId="2081EE14">
      <w:pPr>
        <w:pStyle w:val="72"/>
      </w:pPr>
    </w:p>
    <w:p w14:paraId="48366948">
      <w:pPr>
        <w:snapToGrid w:val="0"/>
        <w:spacing w:line="360" w:lineRule="auto"/>
        <w:jc w:val="center"/>
        <w:rPr>
          <w:rFonts w:hint="eastAsia" w:asciiTheme="minorEastAsia" w:hAnsiTheme="minorEastAsia" w:eastAsiaTheme="minorEastAsia"/>
          <w:sz w:val="33"/>
          <w:u w:val="singl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Theme="minorEastAsia" w:hAnsiTheme="minorEastAsia" w:eastAsiaTheme="minorEastAsia"/>
          <w:sz w:val="33"/>
          <w:u w:val="single"/>
        </w:rPr>
        <w:t>桐庐县</w:t>
      </w:r>
      <w:r>
        <w:rPr>
          <w:rFonts w:hint="eastAsia" w:asciiTheme="minorEastAsia" w:hAnsiTheme="minorEastAsia" w:eastAsiaTheme="minorEastAsia"/>
          <w:sz w:val="33"/>
          <w:u w:val="single"/>
          <w:lang w:eastAsia="zh-CN"/>
        </w:rPr>
        <w:t>发展和改革局</w:t>
      </w:r>
    </w:p>
    <w:p w14:paraId="73B80102">
      <w:pPr>
        <w:pStyle w:val="3"/>
        <w:numPr>
          <w:ilvl w:val="0"/>
          <w:numId w:val="0"/>
        </w:numPr>
        <w:ind w:leftChars="0"/>
        <w:rPr>
          <w:rFonts w:hint="eastAsia"/>
          <w:lang w:eastAsia="zh-CN"/>
        </w:rPr>
      </w:pPr>
    </w:p>
    <w:p w14:paraId="6C3F1815">
      <w:pPr>
        <w:tabs>
          <w:tab w:val="left" w:pos="1620"/>
          <w:tab w:val="left" w:pos="1800"/>
          <w:tab w:val="left" w:pos="1980"/>
        </w:tabs>
        <w:spacing w:line="72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杭州智诚工程管理有限公司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bookmarkEnd w:id="2"/>
    <w:p w14:paraId="118682F4">
      <w:pPr>
        <w:adjustRightInd/>
        <w:spacing w:line="360" w:lineRule="auto"/>
        <w:jc w:val="center"/>
        <w:outlineLvl w:val="0"/>
        <w:rPr>
          <w:rFonts w:hint="eastAsia" w:cs="仿宋_GB2312" w:asciiTheme="minorEastAsia" w:hAnsiTheme="minorEastAsia" w:eastAsiaTheme="minorEastAsia"/>
          <w:b/>
          <w:color w:val="auto"/>
          <w:sz w:val="36"/>
          <w:szCs w:val="20"/>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14:paraId="7516AC9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桐庐县重大要素争取项目谋划储备（一期）</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3"/>
        <w:numPr>
          <w:ilvl w:val="0"/>
          <w:numId w:val="0"/>
        </w:numPr>
        <w:ind w:left="432" w:hanging="432"/>
        <w:rPr>
          <w:rFonts w:cs="宋体" w:asciiTheme="minorEastAsia" w:hAnsiTheme="minorEastAsia" w:eastAsiaTheme="minorEastAsia"/>
          <w:color w:val="auto"/>
          <w:sz w:val="24"/>
          <w:szCs w:val="24"/>
        </w:rPr>
      </w:pPr>
      <w:bookmarkStart w:id="10" w:name="_Toc28359012"/>
      <w:bookmarkStart w:id="11" w:name="_Toc35393798"/>
      <w:bookmarkStart w:id="12" w:name="_Toc28359089"/>
      <w:bookmarkStart w:id="13" w:name="_Toc35393629"/>
      <w:r>
        <w:rPr>
          <w:rFonts w:hint="eastAsia" w:cs="宋体" w:asciiTheme="minorEastAsia" w:hAnsiTheme="minorEastAsia" w:eastAsiaTheme="minorEastAsia"/>
          <w:color w:val="auto"/>
          <w:sz w:val="24"/>
          <w:szCs w:val="24"/>
        </w:rPr>
        <w:t>一、项目基本情况</w:t>
      </w:r>
      <w:bookmarkEnd w:id="10"/>
      <w:bookmarkEnd w:id="11"/>
      <w:bookmarkEnd w:id="12"/>
      <w:bookmarkEnd w:id="13"/>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HZZC-TL2025CS-00</w:t>
      </w:r>
      <w:r>
        <w:rPr>
          <w:rFonts w:hint="eastAsia" w:asciiTheme="minorEastAsia" w:hAnsiTheme="minorEastAsia" w:eastAsiaTheme="minorEastAsia"/>
          <w:color w:val="auto"/>
          <w:sz w:val="24"/>
          <w:lang w:val="en-US" w:eastAsia="zh-CN"/>
        </w:rPr>
        <w:t>3</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桐庐县重大要素争取项目谋划储备（一期）</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700000</w:t>
      </w:r>
    </w:p>
    <w:p w14:paraId="5F6F0FFA">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700000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桐庐县重大要素争取项目谋划储备（一期），</w:t>
      </w:r>
      <w:r>
        <w:rPr>
          <w:rFonts w:hint="eastAsia" w:hAnsi="宋体" w:cs="宋体"/>
          <w:bCs/>
          <w:color w:val="auto"/>
          <w:sz w:val="24"/>
        </w:rPr>
        <w:t>主要内容：</w:t>
      </w:r>
      <w:r>
        <w:rPr>
          <w:rFonts w:hint="eastAsia" w:hAnsi="宋体" w:cs="宋体"/>
          <w:bCs/>
          <w:color w:val="auto"/>
          <w:sz w:val="24"/>
          <w:lang w:val="en-US" w:eastAsia="zh-CN"/>
        </w:rPr>
        <w:t>城建领域中央资金争取相关政策解读、开展重点项目谋划咨询服务。</w:t>
      </w:r>
    </w:p>
    <w:p w14:paraId="55E1A1C8">
      <w:pPr>
        <w:spacing w:line="360" w:lineRule="auto"/>
        <w:ind w:firstLine="482"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cs="仿宋_GB2312" w:asciiTheme="minorEastAsia" w:hAnsiTheme="minorEastAsia" w:eastAsiaTheme="minorEastAsia"/>
          <w:b w:val="0"/>
          <w:bCs/>
          <w:color w:val="auto"/>
          <w:sz w:val="24"/>
        </w:rPr>
        <w:t>详见磋商文件</w:t>
      </w:r>
      <w:r>
        <w:rPr>
          <w:rFonts w:hint="eastAsia" w:asciiTheme="minorEastAsia" w:hAnsiTheme="minorEastAsia" w:eastAsiaTheme="minorEastAsia"/>
          <w:b w:val="0"/>
          <w:bCs/>
          <w:color w:val="auto"/>
          <w:sz w:val="24"/>
          <w:u w:val="none"/>
          <w:lang w:val="en-US"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color w:val="auto"/>
          <w:sz w:val="24"/>
        </w:rPr>
        <w:t>二、申请人的资格要求：</w:t>
      </w:r>
      <w:bookmarkEnd w:id="14"/>
      <w:bookmarkEnd w:id="15"/>
      <w:bookmarkEnd w:id="16"/>
      <w:bookmarkEnd w:id="17"/>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8" w:name="_Toc28359091"/>
      <w:bookmarkStart w:id="19" w:name="_Toc35393631"/>
      <w:bookmarkStart w:id="20" w:name="_Toc35393800"/>
      <w:bookmarkStart w:id="21" w:name="_Toc28359014"/>
      <w:r>
        <w:rPr>
          <w:rFonts w:hint="eastAsia" w:cs="宋体" w:asciiTheme="minorEastAsia" w:hAnsiTheme="minorEastAsia" w:eastAsiaTheme="minorEastAsia"/>
          <w:color w:val="auto"/>
          <w:sz w:val="24"/>
        </w:rPr>
        <w:t>三、获取（下载）采购文件</w:t>
      </w:r>
      <w:bookmarkEnd w:id="18"/>
      <w:bookmarkEnd w:id="19"/>
      <w:bookmarkEnd w:id="20"/>
      <w:bookmarkEnd w:id="21"/>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3"/>
        <w:numPr>
          <w:ilvl w:val="0"/>
          <w:numId w:val="0"/>
        </w:numPr>
        <w:ind w:left="432" w:hanging="432"/>
        <w:rPr>
          <w:rFonts w:cs="宋体" w:asciiTheme="minorEastAsia" w:hAnsiTheme="minorEastAsia" w:eastAsiaTheme="minorEastAsia"/>
          <w:color w:val="auto"/>
          <w:sz w:val="24"/>
          <w:szCs w:val="24"/>
        </w:rPr>
      </w:pPr>
      <w:bookmarkStart w:id="22" w:name="_Toc28359015"/>
      <w:bookmarkStart w:id="23" w:name="_Toc35393801"/>
      <w:bookmarkStart w:id="24" w:name="_Toc28359092"/>
      <w:bookmarkStart w:id="25" w:name="_Toc35393632"/>
      <w:r>
        <w:rPr>
          <w:rFonts w:hint="eastAsia" w:cs="宋体" w:asciiTheme="minorEastAsia" w:hAnsiTheme="minorEastAsia" w:eastAsiaTheme="minorEastAsia"/>
          <w:color w:val="auto"/>
          <w:sz w:val="24"/>
          <w:szCs w:val="24"/>
        </w:rPr>
        <w:t>四、响应文件提交</w:t>
      </w:r>
      <w:bookmarkEnd w:id="22"/>
      <w:bookmarkEnd w:id="23"/>
      <w:bookmarkEnd w:id="24"/>
      <w:bookmarkEnd w:id="25"/>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3"/>
        <w:numPr>
          <w:ilvl w:val="0"/>
          <w:numId w:val="0"/>
        </w:numPr>
        <w:ind w:left="432" w:hanging="432"/>
        <w:rPr>
          <w:rFonts w:cs="宋体" w:asciiTheme="minorEastAsia" w:hAnsiTheme="minorEastAsia" w:eastAsiaTheme="minorEastAsia"/>
          <w:color w:val="auto"/>
          <w:sz w:val="24"/>
          <w:szCs w:val="24"/>
        </w:rPr>
      </w:pPr>
      <w:bookmarkStart w:id="26" w:name="_Toc35393802"/>
      <w:bookmarkStart w:id="27" w:name="_Toc28359016"/>
      <w:bookmarkStart w:id="28" w:name="_Toc35393633"/>
      <w:bookmarkStart w:id="29" w:name="_Toc28359093"/>
      <w:r>
        <w:rPr>
          <w:rFonts w:hint="eastAsia" w:cs="宋体" w:asciiTheme="minorEastAsia" w:hAnsiTheme="minorEastAsia" w:eastAsiaTheme="minorEastAsia"/>
          <w:color w:val="auto"/>
          <w:sz w:val="24"/>
          <w:szCs w:val="24"/>
        </w:rPr>
        <w:t>五、响应文件开启</w:t>
      </w:r>
      <w:bookmarkEnd w:id="26"/>
      <w:bookmarkEnd w:id="27"/>
      <w:bookmarkEnd w:id="28"/>
      <w:bookmarkEnd w:id="29"/>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w:t>
      </w:r>
      <w:r>
        <w:rPr>
          <w:rFonts w:hint="eastAsia" w:asciiTheme="minorEastAsia" w:hAnsiTheme="minorEastAsia" w:eastAsiaTheme="minorEastAsia"/>
          <w:color w:val="auto"/>
          <w:sz w:val="24"/>
          <w:u w:val="single"/>
          <w:lang w:val="en-US" w:eastAsia="zh-CN"/>
        </w:rPr>
        <w:t>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地点：杭州市公共资源交易中心</w:t>
      </w:r>
      <w:r>
        <w:rPr>
          <w:rFonts w:hint="eastAsia" w:asciiTheme="minorEastAsia" w:hAnsiTheme="minorEastAsia" w:eastAsiaTheme="minorEastAsia"/>
          <w:color w:val="auto"/>
          <w:sz w:val="24"/>
          <w:lang w:eastAsia="zh-CN"/>
        </w:rPr>
        <w:t>桐庐分中心</w:t>
      </w:r>
      <w:r>
        <w:rPr>
          <w:rFonts w:hint="eastAsia" w:asciiTheme="minorEastAsia" w:hAnsiTheme="minorEastAsia" w:eastAsiaTheme="minorEastAsia"/>
          <w:color w:val="auto"/>
          <w:sz w:val="24"/>
          <w:lang w:val="en-US" w:eastAsia="zh-CN"/>
        </w:rPr>
        <w:t>四号</w:t>
      </w:r>
      <w:r>
        <w:rPr>
          <w:rFonts w:hint="eastAsia" w:asciiTheme="minorEastAsia" w:hAnsiTheme="minorEastAsia" w:eastAsiaTheme="minorEastAsia"/>
          <w:color w:val="auto"/>
          <w:sz w:val="24"/>
        </w:rPr>
        <w:t>开标室，</w:t>
      </w:r>
      <w:r>
        <w:rPr>
          <w:rFonts w:hint="eastAsia" w:cs="宋体" w:asciiTheme="minorEastAsia" w:hAnsiTheme="minorEastAsia" w:eastAsiaTheme="minorEastAsia"/>
          <w:color w:val="auto"/>
          <w:sz w:val="24"/>
        </w:rPr>
        <w:t>政采云平台（https://www.zcygov.cn/）。</w:t>
      </w:r>
    </w:p>
    <w:p w14:paraId="15B00E85">
      <w:pPr>
        <w:pStyle w:val="3"/>
        <w:numPr>
          <w:ilvl w:val="0"/>
          <w:numId w:val="0"/>
        </w:numPr>
        <w:ind w:left="432" w:hanging="432"/>
        <w:rPr>
          <w:rFonts w:cs="宋体" w:asciiTheme="minorEastAsia" w:hAnsiTheme="minorEastAsia" w:eastAsiaTheme="minorEastAsia"/>
          <w:color w:val="auto"/>
          <w:sz w:val="24"/>
          <w:szCs w:val="24"/>
        </w:rPr>
      </w:pPr>
      <w:bookmarkStart w:id="30" w:name="_Toc35393803"/>
      <w:bookmarkStart w:id="31" w:name="_Toc28359017"/>
      <w:bookmarkStart w:id="32" w:name="_Toc35393634"/>
      <w:bookmarkStart w:id="33" w:name="_Toc28359094"/>
      <w:r>
        <w:rPr>
          <w:rFonts w:hint="eastAsia" w:cs="宋体" w:asciiTheme="minorEastAsia" w:hAnsiTheme="minorEastAsia" w:eastAsiaTheme="minorEastAsia"/>
          <w:color w:val="auto"/>
          <w:sz w:val="24"/>
          <w:szCs w:val="24"/>
        </w:rPr>
        <w:t>六、公告期限</w:t>
      </w:r>
      <w:bookmarkEnd w:id="30"/>
      <w:bookmarkEnd w:id="31"/>
      <w:bookmarkEnd w:id="32"/>
      <w:bookmarkEnd w:id="33"/>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3"/>
        <w:numPr>
          <w:ilvl w:val="0"/>
          <w:numId w:val="0"/>
        </w:numPr>
        <w:ind w:left="432" w:hanging="432"/>
        <w:rPr>
          <w:rFonts w:cs="宋体" w:asciiTheme="minorEastAsia" w:hAnsiTheme="minorEastAsia" w:eastAsiaTheme="minorEastAsia"/>
          <w:color w:val="auto"/>
          <w:sz w:val="24"/>
          <w:szCs w:val="24"/>
        </w:rPr>
      </w:pPr>
      <w:bookmarkStart w:id="34" w:name="_Toc35393635"/>
      <w:bookmarkStart w:id="35" w:name="_Toc35393804"/>
      <w:r>
        <w:rPr>
          <w:rFonts w:hint="eastAsia" w:cs="宋体" w:asciiTheme="minorEastAsia" w:hAnsiTheme="minorEastAsia" w:eastAsiaTheme="minorEastAsia"/>
          <w:color w:val="auto"/>
          <w:sz w:val="24"/>
          <w:szCs w:val="24"/>
        </w:rPr>
        <w:t>七、其他补充事宜</w:t>
      </w:r>
      <w:bookmarkEnd w:id="34"/>
      <w:bookmarkEnd w:id="35"/>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3"/>
        <w:numPr>
          <w:ilvl w:val="0"/>
          <w:numId w:val="0"/>
        </w:numPr>
        <w:ind w:left="432" w:hanging="432"/>
        <w:rPr>
          <w:rFonts w:cs="宋体" w:asciiTheme="minorEastAsia" w:hAnsiTheme="minorEastAsia" w:eastAsiaTheme="minorEastAsia"/>
          <w:color w:val="auto"/>
          <w:sz w:val="24"/>
          <w:szCs w:val="24"/>
        </w:rPr>
      </w:pPr>
      <w:bookmarkStart w:id="36" w:name="_Toc35393636"/>
      <w:bookmarkStart w:id="37" w:name="_Toc28359018"/>
      <w:bookmarkStart w:id="38" w:name="_Toc28359095"/>
      <w:bookmarkStart w:id="39"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6"/>
      <w:bookmarkEnd w:id="37"/>
      <w:bookmarkEnd w:id="38"/>
      <w:bookmarkEnd w:id="39"/>
    </w:p>
    <w:p w14:paraId="3E768528">
      <w:pPr>
        <w:pStyle w:val="3"/>
        <w:numPr>
          <w:ilvl w:val="0"/>
          <w:numId w:val="0"/>
        </w:numPr>
        <w:ind w:left="432" w:hanging="432"/>
        <w:rPr>
          <w:rFonts w:cs="宋体" w:asciiTheme="minorEastAsia" w:hAnsiTheme="minorEastAsia" w:eastAsiaTheme="minorEastAsia"/>
          <w:color w:val="auto"/>
          <w:sz w:val="24"/>
          <w:szCs w:val="24"/>
        </w:rPr>
      </w:pPr>
      <w:bookmarkStart w:id="40" w:name="_Toc35393637"/>
      <w:bookmarkStart w:id="41" w:name="_Toc28359096"/>
      <w:bookmarkStart w:id="42" w:name="_Toc35393806"/>
      <w:bookmarkStart w:id="43" w:name="_Toc28359019"/>
      <w:r>
        <w:rPr>
          <w:rFonts w:hint="eastAsia" w:cs="宋体" w:asciiTheme="minorEastAsia" w:hAnsiTheme="minorEastAsia" w:eastAsiaTheme="minorEastAsia"/>
          <w:color w:val="auto"/>
          <w:sz w:val="24"/>
          <w:szCs w:val="24"/>
        </w:rPr>
        <w:t>1.采购人信息</w:t>
      </w:r>
      <w:bookmarkEnd w:id="40"/>
      <w:bookmarkEnd w:id="41"/>
      <w:bookmarkEnd w:id="42"/>
      <w:bookmarkEnd w:id="43"/>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cs="Times New Roman" w:asciiTheme="minorEastAsia" w:hAnsiTheme="minorEastAsia" w:eastAsiaTheme="minorEastAsia"/>
          <w:color w:val="auto"/>
          <w:sz w:val="24"/>
          <w:highlight w:val="none"/>
        </w:rPr>
        <w:t>桐庐县</w:t>
      </w:r>
      <w:r>
        <w:rPr>
          <w:rFonts w:hint="eastAsia" w:cs="Times New Roman" w:asciiTheme="minorEastAsia" w:hAnsiTheme="minorEastAsia" w:eastAsiaTheme="minorEastAsia"/>
          <w:color w:val="auto"/>
          <w:sz w:val="24"/>
          <w:highlight w:val="none"/>
          <w:lang w:eastAsia="zh-CN"/>
        </w:rPr>
        <w:t>发展和改革局</w:t>
      </w:r>
    </w:p>
    <w:p w14:paraId="2BA3061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桐庐县迎春南路</w:t>
      </w:r>
      <w:r>
        <w:rPr>
          <w:rFonts w:hint="eastAsia" w:asciiTheme="minorEastAsia" w:hAnsiTheme="minorEastAsia" w:eastAsiaTheme="minorEastAsia"/>
          <w:color w:val="auto"/>
          <w:sz w:val="24"/>
          <w:highlight w:val="none"/>
          <w:lang w:val="en-US" w:eastAsia="zh-CN"/>
        </w:rPr>
        <w:t>298号</w:t>
      </w:r>
    </w:p>
    <w:p w14:paraId="484C03B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14:paraId="16921CF7">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w:t>
      </w:r>
      <w:r>
        <w:rPr>
          <w:rFonts w:hint="eastAsia" w:cs="Times New Roman" w:asciiTheme="minorEastAsia" w:hAnsiTheme="minorEastAsia" w:eastAsiaTheme="minorEastAsia"/>
          <w:color w:val="auto"/>
          <w:sz w:val="24"/>
          <w:highlight w:val="none"/>
        </w:rPr>
        <w:t>（询问）：严茜</w:t>
      </w:r>
    </w:p>
    <w:p w14:paraId="5982FFBE">
      <w:pPr>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    项目联系方式（询问）：19822810969</w:t>
      </w:r>
    </w:p>
    <w:p w14:paraId="13BA89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质疑联系人：周伟</w:t>
      </w:r>
    </w:p>
    <w:p w14:paraId="30EC5555">
      <w:pPr>
        <w:spacing w:line="360" w:lineRule="auto"/>
        <w:rPr>
          <w:rFonts w:hint="default" w:asciiTheme="minorEastAsia" w:hAnsiTheme="minorEastAsia" w:eastAsiaTheme="minorEastAsia"/>
          <w:color w:val="auto"/>
          <w:sz w:val="24"/>
          <w:highlight w:val="yellow"/>
          <w:lang w:val="en-US" w:eastAsia="zh-CN"/>
        </w:rPr>
      </w:pPr>
      <w:r>
        <w:rPr>
          <w:rFonts w:hint="eastAsia" w:asciiTheme="minorEastAsia" w:hAnsiTheme="minorEastAsia" w:eastAsiaTheme="minorEastAsia"/>
          <w:color w:val="auto"/>
          <w:sz w:val="24"/>
          <w:highlight w:val="none"/>
        </w:rPr>
        <w:t xml:space="preserve">    质疑联系方式：15257199811</w:t>
      </w:r>
    </w:p>
    <w:p w14:paraId="653A869A">
      <w:pPr>
        <w:pStyle w:val="3"/>
        <w:numPr>
          <w:ilvl w:val="0"/>
          <w:numId w:val="0"/>
        </w:numPr>
        <w:ind w:left="432" w:hanging="432"/>
        <w:rPr>
          <w:rFonts w:cs="宋体" w:asciiTheme="minorEastAsia" w:hAnsiTheme="minorEastAsia" w:eastAsiaTheme="minorEastAsia"/>
          <w:color w:val="auto"/>
          <w:sz w:val="24"/>
        </w:rPr>
      </w:pPr>
      <w:bookmarkStart w:id="44" w:name="_Toc35393638"/>
      <w:bookmarkStart w:id="45" w:name="_Toc28359097"/>
      <w:bookmarkStart w:id="46" w:name="_Toc35393807"/>
      <w:bookmarkStart w:id="47" w:name="_Toc28359020"/>
      <w:r>
        <w:rPr>
          <w:rFonts w:hint="eastAsia" w:cs="宋体" w:asciiTheme="minorEastAsia" w:hAnsiTheme="minorEastAsia" w:eastAsiaTheme="minorEastAsia"/>
          <w:color w:val="auto"/>
          <w:sz w:val="24"/>
          <w:szCs w:val="24"/>
        </w:rPr>
        <w:t>2.采购代理机构信息</w:t>
      </w:r>
      <w:bookmarkEnd w:id="44"/>
      <w:bookmarkEnd w:id="45"/>
      <w:bookmarkEnd w:id="46"/>
      <w:bookmarkEnd w:id="47"/>
      <w:r>
        <w:rPr>
          <w:rFonts w:hint="eastAsia" w:cs="宋体" w:asciiTheme="minorEastAsia" w:hAnsiTheme="minorEastAsia" w:eastAsiaTheme="minorEastAsia"/>
          <w:color w:val="auto"/>
          <w:sz w:val="24"/>
          <w:szCs w:val="24"/>
        </w:rPr>
        <w:t>：</w:t>
      </w:r>
    </w:p>
    <w:p w14:paraId="60382607">
      <w:pPr>
        <w:spacing w:line="360" w:lineRule="auto"/>
        <w:ind w:firstLine="480"/>
        <w:rPr>
          <w:rFonts w:ascii="宋体" w:hAnsi="宋体" w:cs="宋体"/>
          <w:color w:val="auto"/>
          <w:sz w:val="24"/>
          <w:highlight w:val="none"/>
        </w:rPr>
      </w:pPr>
      <w:bookmarkStart w:id="48" w:name="_Toc35393808"/>
      <w:bookmarkStart w:id="49" w:name="_Toc28359098"/>
      <w:bookmarkStart w:id="50" w:name="_Toc28359021"/>
      <w:bookmarkStart w:id="51" w:name="_Toc35393639"/>
      <w:r>
        <w:rPr>
          <w:rFonts w:hint="eastAsia" w:ascii="宋体" w:hAnsi="宋体" w:cs="宋体"/>
          <w:color w:val="auto"/>
          <w:sz w:val="24"/>
          <w:highlight w:val="none"/>
        </w:rPr>
        <w:t>名    称：</w:t>
      </w:r>
      <w:r>
        <w:rPr>
          <w:rFonts w:hint="eastAsia" w:ascii="宋体" w:hAnsi="宋体" w:eastAsia="宋体" w:cs="宋体"/>
          <w:sz w:val="24"/>
        </w:rPr>
        <w:t>杭州智诚工程管理有限公司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桐庐县迎春南路39号建业大厦21楼</w:t>
      </w:r>
    </w:p>
    <w:p w14:paraId="6F3AE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陈泽安</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z w:val="24"/>
          <w:lang w:val="en-US" w:eastAsia="zh-CN"/>
        </w:rPr>
        <w:t>13868082573</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sz w:val="24"/>
          <w:lang w:eastAsia="zh-CN"/>
        </w:rPr>
        <w:t>王诗琦</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z w:val="24"/>
        </w:rPr>
        <w:t>0571-64219946</w:t>
      </w:r>
    </w:p>
    <w:p w14:paraId="22A7C2B8">
      <w:pPr>
        <w:spacing w:line="360" w:lineRule="auto"/>
        <w:rPr>
          <w:rFonts w:ascii="宋体" w:hAnsi="宋体" w:cs="宋体"/>
          <w:color w:val="auto"/>
          <w:sz w:val="24"/>
          <w:highlight w:val="none"/>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bookmarkEnd w:id="48"/>
      <w:bookmarkEnd w:id="49"/>
      <w:bookmarkEnd w:id="50"/>
      <w:bookmarkEnd w:id="51"/>
      <w:r>
        <w:rPr>
          <w:rFonts w:hint="eastAsia" w:ascii="宋体" w:hAnsi="宋体" w:cs="宋体"/>
          <w:color w:val="auto"/>
          <w:sz w:val="24"/>
          <w:highlight w:val="none"/>
        </w:rPr>
        <w:t xml:space="preserve">       </w:t>
      </w:r>
    </w:p>
    <w:p w14:paraId="0B4FB0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称：桐庐县财政局 /浙江省政府采购行政裁决服务中心（杭州）</w:t>
      </w:r>
    </w:p>
    <w:p w14:paraId="64F2BAE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9EA6F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0C87D85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监督投诉电话：0571-87800218</w:t>
      </w:r>
    </w:p>
    <w:p w14:paraId="36FB63D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政策咨询电话：张先生，0571-89545850 桐庐县政府采购监管部门工作人员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B17C527">
      <w:pPr>
        <w:spacing w:line="360" w:lineRule="auto"/>
        <w:ind w:firstLine="480" w:firstLineChars="200"/>
        <w:rPr>
          <w:rFonts w:asciiTheme="minorEastAsia" w:hAnsiTheme="minorEastAsia" w:eastAsiaTheme="minorEastAsia"/>
          <w:color w:val="auto"/>
          <w:sz w:val="24"/>
        </w:rPr>
      </w:pPr>
    </w:p>
    <w:p w14:paraId="5D377149">
      <w:pPr>
        <w:pStyle w:val="34"/>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4"/>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5"/>
        <w:spacing w:before="0"/>
        <w:ind w:firstLine="0" w:firstLineChars="0"/>
        <w:jc w:val="center"/>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91"/>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191" w:type="dxa"/>
            <w:tcBorders>
              <w:top w:val="single" w:color="000000" w:sz="8" w:space="0"/>
              <w:left w:val="single" w:color="000000" w:sz="2" w:space="0"/>
              <w:bottom w:val="single" w:color="000000" w:sz="8" w:space="0"/>
              <w:right w:val="single" w:color="000000" w:sz="8" w:space="0"/>
            </w:tcBorders>
            <w:vAlign w:val="center"/>
          </w:tcPr>
          <w:p w14:paraId="0C7201A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191"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191"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eastAsia="宋体" w:cs="宋体"/>
                <w:color w:val="auto"/>
                <w:kern w:val="0"/>
                <w:sz w:val="24"/>
                <w:u w:val="single"/>
                <w:lang w:eastAsia="zh-CN"/>
              </w:rPr>
              <w:t>桐庐县重大要素争取项目谋划储备</w:t>
            </w:r>
            <w:r>
              <w:rPr>
                <w:rFonts w:hint="eastAsia" w:ascii="宋体" w:hAnsi="宋体" w:cs="宋体"/>
                <w:color w:val="auto"/>
                <w:kern w:val="0"/>
                <w:sz w:val="24"/>
                <w:u w:val="single"/>
                <w:lang w:eastAsia="zh-CN"/>
              </w:rPr>
              <w:t>（一期）</w:t>
            </w:r>
            <w:r>
              <w:rPr>
                <w:rFonts w:hint="eastAsia" w:ascii="宋体" w:hAnsi="宋体" w:cs="宋体"/>
                <w:color w:val="auto"/>
                <w:kern w:val="0"/>
                <w:sz w:val="24"/>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其他未列明行业</w:t>
            </w:r>
            <w:r>
              <w:rPr>
                <w:rFonts w:hint="eastAsia" w:ascii="宋体" w:hAnsi="宋体" w:eastAsia="宋体" w:cs="宋体"/>
                <w:color w:val="auto"/>
                <w:kern w:val="0"/>
                <w:sz w:val="24"/>
              </w:rPr>
              <w:t>行业；</w:t>
            </w:r>
          </w:p>
          <w:p w14:paraId="5D21FD8F">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191"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191"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191"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1"/>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191"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191"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191"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191"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191"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191"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191" w:type="dxa"/>
            <w:tcBorders>
              <w:top w:val="single" w:color="000000" w:sz="8" w:space="0"/>
              <w:left w:val="single" w:color="000000" w:sz="2" w:space="0"/>
              <w:right w:val="single" w:color="000000" w:sz="8" w:space="0"/>
            </w:tcBorders>
            <w:vAlign w:val="center"/>
          </w:tcPr>
          <w:p w14:paraId="1625E96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191" w:type="dxa"/>
            <w:tcBorders>
              <w:top w:val="single" w:color="000000" w:sz="8" w:space="0"/>
              <w:left w:val="single" w:color="000000" w:sz="2" w:space="0"/>
              <w:bottom w:val="single" w:color="000000" w:sz="8" w:space="0"/>
              <w:right w:val="single" w:color="000000" w:sz="8" w:space="0"/>
            </w:tcBorders>
            <w:vAlign w:val="center"/>
          </w:tcPr>
          <w:p w14:paraId="514D7C18">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桐庐县迎春南路39号建业大厦21楼</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 xml:space="preserve"> </w:t>
            </w:r>
            <w:r>
              <w:rPr>
                <w:rFonts w:hint="eastAsia" w:hAnsi="宋体" w:cs="宋体"/>
                <w:kern w:val="28"/>
                <w:sz w:val="24"/>
                <w:szCs w:val="24"/>
                <w:u w:val="single"/>
                <w:lang w:val="en-US" w:eastAsia="zh-CN"/>
              </w:rPr>
              <w:t xml:space="preserve">陈泽安 </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lang w:val="en-US" w:eastAsia="zh-CN"/>
              </w:rPr>
              <w:t xml:space="preserve"> </w:t>
            </w:r>
            <w:r>
              <w:rPr>
                <w:rFonts w:hint="eastAsia" w:ascii="宋体" w:hAnsi="宋体" w:eastAsia="宋体" w:cs="宋体"/>
                <w:sz w:val="24"/>
                <w:u w:val="single"/>
                <w:lang w:val="en-US" w:eastAsia="zh-CN"/>
              </w:rPr>
              <w:t>13868082573</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191"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191"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191"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191"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本项目的招标代理服务费由中标单位支付，</w:t>
            </w:r>
            <w:r>
              <w:rPr>
                <w:rFonts w:hint="eastAsia" w:ascii="宋体" w:hAnsi="宋体" w:eastAsia="宋体" w:cs="宋体"/>
                <w:color w:val="auto"/>
                <w:sz w:val="24"/>
              </w:rPr>
              <w:t>按</w:t>
            </w:r>
            <w:r>
              <w:rPr>
                <w:rFonts w:hint="eastAsia" w:ascii="宋体" w:hAnsi="宋体" w:cs="宋体"/>
                <w:color w:val="auto"/>
                <w:sz w:val="24"/>
                <w:lang w:val="en-US" w:eastAsia="zh-CN"/>
              </w:rPr>
              <w:t>10000元</w:t>
            </w:r>
            <w:r>
              <w:rPr>
                <w:rFonts w:hint="eastAsia" w:ascii="宋体" w:hAnsi="宋体" w:eastAsia="宋体" w:cs="宋体"/>
                <w:color w:val="auto"/>
                <w:sz w:val="24"/>
              </w:rPr>
              <w:t>收取</w:t>
            </w:r>
            <w:r>
              <w:rPr>
                <w:rFonts w:hint="eastAsia" w:cs="Times New Roman" w:asciiTheme="minorEastAsia" w:hAnsiTheme="minorEastAsia" w:eastAsiaTheme="minorEastAsia"/>
                <w:b w:val="0"/>
                <w:bCs w:val="0"/>
                <w:kern w:val="28"/>
                <w:sz w:val="24"/>
                <w:szCs w:val="24"/>
                <w:highlight w:val="none"/>
              </w:rPr>
              <w:t>，</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4"/>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asciiTheme="minorEastAsia" w:hAnsiTheme="minorEastAsia" w:eastAsiaTheme="minorEastAsia"/>
                <w:color w:val="auto"/>
                <w:sz w:val="24"/>
              </w:rPr>
            </w:pPr>
          </w:p>
        </w:tc>
        <w:tc>
          <w:tcPr>
            <w:tcW w:w="4536" w:type="dxa"/>
            <w:vAlign w:val="center"/>
          </w:tcPr>
          <w:p w14:paraId="494EE5C7">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asciiTheme="minorEastAsia" w:hAnsiTheme="minorEastAsia" w:eastAsiaTheme="minorEastAsia"/>
                <w:color w:val="auto"/>
                <w:sz w:val="24"/>
              </w:rPr>
            </w:pPr>
          </w:p>
        </w:tc>
        <w:tc>
          <w:tcPr>
            <w:tcW w:w="4536" w:type="dxa"/>
            <w:vAlign w:val="center"/>
          </w:tcPr>
          <w:p w14:paraId="4B51CE8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4"/>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4"/>
        <w:spacing w:line="360" w:lineRule="auto"/>
        <w:ind w:firstLine="480" w:firstLineChars="200"/>
        <w:rPr>
          <w:rFonts w:hint="eastAsia" w:ascii="宋体" w:hAnsi="Courier New"/>
          <w:color w:val="auto"/>
          <w:sz w:val="24"/>
          <w:szCs w:val="24"/>
          <w:highlight w:val="none"/>
        </w:rPr>
      </w:pPr>
    </w:p>
    <w:p w14:paraId="1E130716">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641622DC">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2.1资格文件：</w:t>
      </w:r>
    </w:p>
    <w:p w14:paraId="63D9398A">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2.1.1承诺函；</w:t>
      </w:r>
    </w:p>
    <w:p w14:paraId="2B330E79">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2.1.2联合协议（如果有)；</w:t>
      </w:r>
    </w:p>
    <w:p w14:paraId="417C46C2">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2.1.3落实政府采购政策需满足的资格要求（如果有）；</w:t>
      </w:r>
    </w:p>
    <w:p w14:paraId="5726BB3D">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2.1.4本项目的特定资格要求（如果有)。</w:t>
      </w:r>
    </w:p>
    <w:p w14:paraId="33D32CAC">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 商务技术文件：</w:t>
      </w:r>
    </w:p>
    <w:p w14:paraId="25F9AFE3">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 xml:space="preserve">2.2.1投标函； </w:t>
      </w:r>
    </w:p>
    <w:p w14:paraId="48D41411">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2.2.2授权委托书或法定代表人（单位负责人）身份证明；</w:t>
      </w:r>
    </w:p>
    <w:p w14:paraId="7FCDAC17">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2.2.3分包意向协议（如果有)；</w:t>
      </w:r>
    </w:p>
    <w:p w14:paraId="05E649D1">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2.2.4符合性审查资料；</w:t>
      </w:r>
    </w:p>
    <w:p w14:paraId="5E0F71A2">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2.2.5评标标准相应的商务技术资料；</w:t>
      </w:r>
    </w:p>
    <w:p w14:paraId="7A1AB167">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w:t>
      </w:r>
      <w:r>
        <w:rPr>
          <w:rFonts w:hint="eastAsia" w:asciiTheme="minorEastAsia" w:hAnsiTheme="minorEastAsia" w:eastAsiaTheme="minorEastAsia"/>
          <w:b w:val="0"/>
          <w:bCs/>
          <w:color w:val="auto"/>
          <w:sz w:val="24"/>
          <w:szCs w:val="24"/>
          <w:lang w:val="en-US" w:eastAsia="zh-CN"/>
        </w:rPr>
        <w:t>6</w:t>
      </w:r>
      <w:r>
        <w:rPr>
          <w:rFonts w:hint="eastAsia" w:asciiTheme="minorEastAsia" w:hAnsiTheme="minorEastAsia" w:eastAsiaTheme="minorEastAsia"/>
          <w:b w:val="0"/>
          <w:bCs/>
          <w:color w:val="auto"/>
          <w:sz w:val="24"/>
          <w:szCs w:val="24"/>
        </w:rPr>
        <w:t>商务技术偏离表；</w:t>
      </w:r>
    </w:p>
    <w:p w14:paraId="05B972D0">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2.2.</w:t>
      </w:r>
      <w:r>
        <w:rPr>
          <w:rFonts w:hint="eastAsia" w:asciiTheme="minorEastAsia" w:hAnsiTheme="minorEastAsia" w:eastAsiaTheme="minorEastAsia"/>
          <w:b w:val="0"/>
          <w:bCs/>
          <w:color w:val="auto"/>
          <w:sz w:val="24"/>
          <w:szCs w:val="24"/>
          <w:lang w:val="en-US" w:eastAsia="zh-CN"/>
        </w:rPr>
        <w:t>7</w:t>
      </w:r>
      <w:r>
        <w:rPr>
          <w:rFonts w:hint="eastAsia" w:asciiTheme="minorEastAsia" w:hAnsiTheme="minorEastAsia" w:eastAsiaTheme="minorEastAsia"/>
          <w:b w:val="0"/>
          <w:bCs/>
          <w:color w:val="auto"/>
          <w:sz w:val="24"/>
          <w:szCs w:val="24"/>
        </w:rPr>
        <w:t>政府采购供应商廉洁自律承诺书；</w:t>
      </w:r>
    </w:p>
    <w:p w14:paraId="3469130D">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2.3报价文件</w:t>
      </w:r>
    </w:p>
    <w:p w14:paraId="30B03AF4">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2.3.1开标一览表（报价表）；</w:t>
      </w:r>
    </w:p>
    <w:p w14:paraId="7EF5F12A">
      <w:pPr>
        <w:pStyle w:val="34"/>
        <w:spacing w:line="360" w:lineRule="auto"/>
        <w:ind w:firstLine="480" w:firstLineChars="200"/>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2.3.2中小企业声明函（如果有）。</w:t>
      </w:r>
    </w:p>
    <w:p w14:paraId="50D25A94">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4"/>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5"/>
        <w:spacing w:before="0"/>
        <w:ind w:firstLine="0" w:firstLineChars="0"/>
        <w:rPr>
          <w:rFonts w:cs="仿宋_GB2312" w:asciiTheme="minorEastAsia" w:hAnsiTheme="minorEastAsia" w:eastAsiaTheme="minorEastAsia"/>
          <w:b/>
          <w:color w:val="auto"/>
          <w:szCs w:val="24"/>
        </w:rPr>
      </w:pPr>
    </w:p>
    <w:p w14:paraId="26E7B10E">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4"/>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4"/>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4"/>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4"/>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w:t>
      </w:r>
      <w:r>
        <w:rPr>
          <w:rFonts w:hint="eastAsia" w:cs="仿宋_GB2312" w:asciiTheme="minorEastAsia" w:hAnsiTheme="minorEastAsia" w:eastAsiaTheme="minorEastAsia"/>
          <w:color w:val="auto"/>
          <w:sz w:val="24"/>
          <w:szCs w:val="24"/>
          <w:lang w:val="en-US" w:eastAsia="zh-CN"/>
        </w:rPr>
        <w:t xml:space="preserve"> </w:t>
      </w:r>
      <w:r>
        <w:rPr>
          <w:rFonts w:hint="eastAsia" w:cs="仿宋_GB2312" w:asciiTheme="minorEastAsia" w:hAnsiTheme="minorEastAsia" w:eastAsiaTheme="minorEastAsia"/>
          <w:color w:val="auto"/>
          <w:sz w:val="24"/>
          <w:szCs w:val="24"/>
        </w:rPr>
        <w:t>开标一览表；</w:t>
      </w:r>
    </w:p>
    <w:p w14:paraId="34DCC2E2">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rPr>
        <w:t>资格审查情况、评审专家抽取规则、符合性审查情况、</w:t>
      </w:r>
      <w:bookmarkEnd w:id="52"/>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5"/>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w:t>
      </w:r>
      <w:r>
        <w:rPr>
          <w:rFonts w:hint="eastAsia" w:cs="宋体" w:asciiTheme="minorEastAsia" w:hAnsiTheme="minorEastAsia" w:eastAsiaTheme="minorEastAsia"/>
          <w:color w:val="auto"/>
          <w:sz w:val="24"/>
          <w:lang w:val="en-US" w:eastAsia="zh-CN"/>
        </w:rPr>
        <w:t>0.</w:t>
      </w:r>
      <w:r>
        <w:rPr>
          <w:rFonts w:hint="eastAsia" w:cs="宋体" w:asciiTheme="minorEastAsia" w:hAnsiTheme="minorEastAsia" w:eastAsiaTheme="minorEastAsia"/>
          <w:color w:val="auto"/>
          <w:sz w:val="24"/>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5E1F030">
      <w:pPr>
        <w:adjustRightInd/>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2AC91DEC">
      <w:pPr>
        <w:snapToGrid w:val="0"/>
        <w:spacing w:line="360" w:lineRule="auto"/>
        <w:jc w:val="center"/>
        <w:outlineLvl w:val="0"/>
        <w:rPr>
          <w:rFonts w:hint="eastAsia"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C3CEDD">
      <w:pPr>
        <w:snapToGrid w:val="0"/>
        <w:spacing w:line="360" w:lineRule="auto"/>
        <w:jc w:val="both"/>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5236290"/>
      <w:bookmarkEnd w:id="54"/>
      <w:bookmarkStart w:id="55" w:name="_Hlt68057669"/>
      <w:bookmarkEnd w:id="55"/>
      <w:bookmarkStart w:id="56" w:name="_Hlt74730295"/>
      <w:bookmarkEnd w:id="56"/>
      <w:bookmarkStart w:id="57" w:name="_Hlt75236011"/>
      <w:bookmarkEnd w:id="57"/>
      <w:bookmarkStart w:id="58" w:name="_Hlt74707468"/>
      <w:bookmarkEnd w:id="58"/>
      <w:bookmarkStart w:id="59" w:name="_Hlt74729768"/>
      <w:bookmarkEnd w:id="59"/>
      <w:bookmarkStart w:id="60" w:name="_Hlt68072990"/>
      <w:bookmarkEnd w:id="60"/>
      <w:bookmarkStart w:id="61" w:name="_Hlt75236101"/>
      <w:bookmarkEnd w:id="61"/>
      <w:bookmarkStart w:id="62" w:name="_Toc164416483"/>
      <w:bookmarkStart w:id="63" w:name="第三部分"/>
      <w:r>
        <w:rPr>
          <w:rFonts w:cs="仿宋_GB2312" w:asciiTheme="minorEastAsia" w:hAnsiTheme="minorEastAsia" w:eastAsiaTheme="minorEastAsia"/>
          <w:b/>
          <w:color w:val="auto"/>
          <w:sz w:val="36"/>
          <w:szCs w:val="36"/>
        </w:rPr>
        <w:br w:type="page"/>
      </w:r>
    </w:p>
    <w:p w14:paraId="61FBFF5E">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01E0D4FA">
      <w:pPr>
        <w:numPr>
          <w:ilvl w:val="0"/>
          <w:numId w:val="0"/>
        </w:numPr>
        <w:snapToGrid w:val="0"/>
        <w:spacing w:line="360" w:lineRule="auto"/>
        <w:jc w:val="both"/>
        <w:rPr>
          <w:rFonts w:hint="eastAsia" w:ascii="宋体" w:hAnsi="宋体" w:eastAsia="宋体" w:cs="宋体"/>
          <w:b/>
          <w:bCs/>
          <w:color w:val="auto"/>
          <w:sz w:val="28"/>
          <w:szCs w:val="28"/>
          <w:highlight w:val="none"/>
          <w:lang w:eastAsia="zh-CN"/>
        </w:rPr>
      </w:pPr>
      <w:bookmarkStart w:id="64" w:name="_Toc21874"/>
      <w:bookmarkStart w:id="65" w:name="_Toc23951"/>
      <w:bookmarkStart w:id="66" w:name="_Toc20099"/>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项目概况和</w:t>
      </w:r>
      <w:r>
        <w:rPr>
          <w:rFonts w:hint="eastAsia" w:ascii="宋体" w:hAnsi="宋体" w:eastAsia="宋体" w:cs="宋体"/>
          <w:b/>
          <w:bCs/>
          <w:color w:val="auto"/>
          <w:sz w:val="28"/>
          <w:szCs w:val="28"/>
          <w:highlight w:val="none"/>
          <w:lang w:eastAsia="zh-CN"/>
        </w:rPr>
        <w:t>服务范围</w:t>
      </w:r>
      <w:bookmarkEnd w:id="64"/>
    </w:p>
    <w:p w14:paraId="7FB6593A">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为提升桐庐县项目规划层级和质量，夯实产业发展基础，更好地实现经济社会发展目标，拟采购第三方项目规划和咨询服务。</w:t>
      </w:r>
    </w:p>
    <w:p w14:paraId="05808C9D">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成交供应商应当围绕桐庐县经济社会发展需要，坚持政策导向，聚焦扩大有效投资，结合相关资金政策要求等，协助采购人进行城市更新专项谋划。</w:t>
      </w:r>
    </w:p>
    <w:p w14:paraId="51C1E88B">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lang w:val="en-US" w:eastAsia="zh-CN"/>
        </w:rPr>
        <w:t>同时，结合中央资金要素争取和桐庐县实际，围绕“补短板、强功能、优品质”着力抓好相关领域的项目谋划服务，以现状梳理、问题剖析、明晰路径等为研究思路，对桐庐县重大项目要素争取提供有力支撑，为后续的策略制定和实施提供科学依据。</w:t>
      </w:r>
    </w:p>
    <w:p w14:paraId="60358E8C">
      <w:pPr>
        <w:numPr>
          <w:ilvl w:val="0"/>
          <w:numId w:val="0"/>
        </w:numPr>
        <w:snapToGrid w:val="0"/>
        <w:spacing w:line="360" w:lineRule="auto"/>
        <w:jc w:val="both"/>
        <w:rPr>
          <w:rFonts w:hint="eastAsia" w:ascii="宋体" w:hAnsi="宋体" w:eastAsia="宋体" w:cs="宋体"/>
          <w:b/>
          <w:bCs/>
          <w:color w:val="auto"/>
          <w:sz w:val="28"/>
          <w:szCs w:val="28"/>
          <w:highlight w:val="none"/>
        </w:rPr>
      </w:pPr>
      <w:bookmarkStart w:id="67" w:name="_Toc23066"/>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服务</w:t>
      </w:r>
      <w:r>
        <w:rPr>
          <w:rFonts w:hint="eastAsia" w:ascii="宋体" w:hAnsi="宋体" w:eastAsia="宋体" w:cs="宋体"/>
          <w:b/>
          <w:bCs/>
          <w:color w:val="auto"/>
          <w:sz w:val="28"/>
          <w:szCs w:val="28"/>
          <w:highlight w:val="none"/>
          <w:lang w:val="en-US" w:eastAsia="zh-CN"/>
        </w:rPr>
        <w:t>内容</w:t>
      </w:r>
      <w:r>
        <w:rPr>
          <w:rFonts w:hint="eastAsia" w:ascii="宋体" w:hAnsi="宋体" w:eastAsia="宋体" w:cs="宋体"/>
          <w:b/>
          <w:bCs/>
          <w:color w:val="auto"/>
          <w:sz w:val="28"/>
          <w:szCs w:val="28"/>
          <w:highlight w:val="none"/>
        </w:rPr>
        <w:t>及要求</w:t>
      </w:r>
      <w:bookmarkEnd w:id="65"/>
      <w:bookmarkEnd w:id="67"/>
    </w:p>
    <w:p w14:paraId="553A436B">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成交供应商需配合、支撑采购人做好项目谋划、项目审核、要素争取、咨询服务等相关工作，主要服务内容包括：</w:t>
      </w:r>
    </w:p>
    <w:p w14:paraId="796C400A">
      <w:pPr>
        <w:snapToGrid w:val="0"/>
        <w:spacing w:line="360" w:lineRule="auto"/>
        <w:ind w:firstLine="480" w:firstLineChars="200"/>
        <w:textAlignment w:val="baseline"/>
        <w:rPr>
          <w:rFonts w:hint="eastAsia" w:ascii="宋体" w:hAnsi="宋体" w:eastAsia="宋体" w:cs="宋体"/>
          <w:sz w:val="24"/>
          <w:lang w:val="en-US" w:eastAsia="zh-CN"/>
        </w:rPr>
      </w:pPr>
      <w:bookmarkStart w:id="68" w:name="_Toc24035"/>
      <w:r>
        <w:rPr>
          <w:rFonts w:hint="eastAsia" w:ascii="宋体" w:hAnsi="宋体" w:eastAsia="宋体" w:cs="宋体"/>
          <w:sz w:val="24"/>
          <w:lang w:val="en-US" w:eastAsia="zh-CN"/>
        </w:rPr>
        <w:t>（一）提供政策解读服务</w:t>
      </w:r>
    </w:p>
    <w:p w14:paraId="4D878CD4">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围绕国家政策解读、项目谋划、项目申报等业务知识，并结合国家、省级政策、通知、会议精神等文件进行解读分析。</w:t>
      </w:r>
    </w:p>
    <w:p w14:paraId="666F562A">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二</w:t>
      </w:r>
      <w:r>
        <w:rPr>
          <w:rFonts w:hint="eastAsia" w:ascii="宋体" w:hAnsi="宋体" w:eastAsia="宋体" w:cs="宋体"/>
          <w:sz w:val="24"/>
          <w:lang w:val="en-US" w:eastAsia="zh-CN"/>
        </w:rPr>
        <w:t>）指导重点项目储备</w:t>
      </w:r>
    </w:p>
    <w:p w14:paraId="4E03CC87">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对</w:t>
      </w:r>
      <w:r>
        <w:rPr>
          <w:rFonts w:hint="eastAsia" w:ascii="宋体" w:hAnsi="宋体" w:cs="宋体"/>
          <w:sz w:val="24"/>
          <w:lang w:val="en-US" w:eastAsia="zh-CN"/>
        </w:rPr>
        <w:t>采购</w:t>
      </w:r>
      <w:r>
        <w:rPr>
          <w:rFonts w:hint="eastAsia" w:ascii="宋体" w:hAnsi="宋体" w:eastAsia="宋体" w:cs="宋体"/>
          <w:sz w:val="24"/>
          <w:lang w:val="en-US" w:eastAsia="zh-CN"/>
        </w:rPr>
        <w:t>方提出的重点项目，进行逐个分析研判，并提出针对性意见建议，包括政策符合度分析、申报材料等，助力做好重点项目高质量储备工作。</w:t>
      </w:r>
    </w:p>
    <w:p w14:paraId="6BD04F0F">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三</w:t>
      </w:r>
      <w:r>
        <w:rPr>
          <w:rFonts w:hint="eastAsia" w:ascii="宋体" w:hAnsi="宋体" w:eastAsia="宋体" w:cs="宋体"/>
          <w:sz w:val="24"/>
          <w:lang w:val="en-US" w:eastAsia="zh-CN"/>
        </w:rPr>
        <w:t>）开展项目谋划点题服务</w:t>
      </w:r>
    </w:p>
    <w:p w14:paraId="3F18B749">
      <w:pPr>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对</w:t>
      </w:r>
      <w:r>
        <w:rPr>
          <w:rFonts w:hint="eastAsia" w:ascii="宋体" w:hAnsi="宋体" w:cs="宋体"/>
          <w:sz w:val="24"/>
          <w:lang w:val="en-US" w:eastAsia="zh-CN"/>
        </w:rPr>
        <w:t>采购</w:t>
      </w:r>
      <w:r>
        <w:rPr>
          <w:rFonts w:hint="eastAsia" w:ascii="宋体" w:hAnsi="宋体" w:eastAsia="宋体" w:cs="宋体"/>
          <w:sz w:val="24"/>
          <w:lang w:val="en-US" w:eastAsia="zh-CN"/>
        </w:rPr>
        <w:t>方初步谋划的基础设施建设项目清单，结合中央资金要素争取要求进行梳理指导。</w:t>
      </w:r>
    </w:p>
    <w:p w14:paraId="673381E3">
      <w:pPr>
        <w:numPr>
          <w:ilvl w:val="0"/>
          <w:numId w:val="0"/>
        </w:numPr>
        <w:snapToGrid w:val="0"/>
        <w:spacing w:line="360" w:lineRule="auto"/>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三、服务团队要求</w:t>
      </w:r>
      <w:bookmarkEnd w:id="68"/>
    </w:p>
    <w:p w14:paraId="065B871D">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1.供应商需提供有丰富经验的人员参与本项目。项目进行期间，供应商应确保项目组人员的稳定性，未经采购人书面同意，不得更换项目组人员。</w:t>
      </w:r>
    </w:p>
    <w:p w14:paraId="705FFDC8">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2.本项目服务团队成员应当</w:t>
      </w:r>
      <w:r>
        <w:rPr>
          <w:rFonts w:hint="eastAsia" w:ascii="宋体" w:hAnsi="宋体" w:cs="宋体"/>
          <w:sz w:val="24"/>
          <w:lang w:val="en-US" w:eastAsia="zh-CN"/>
        </w:rPr>
        <w:t>充足</w:t>
      </w:r>
      <w:r>
        <w:rPr>
          <w:rFonts w:hint="eastAsia" w:ascii="宋体" w:hAnsi="宋体" w:eastAsia="宋体" w:cs="宋体"/>
          <w:sz w:val="24"/>
          <w:lang w:val="en-US" w:eastAsia="zh-CN"/>
        </w:rPr>
        <w:t>，相关专业人员配置齐全、合理、组织架构清晰。项目负责人应具有本项目相关领域的丰富工作经验和专业技术职称。</w:t>
      </w:r>
    </w:p>
    <w:p w14:paraId="4ED0D708">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3.成交供应商应明确1名工作人员作为联络员，负责合作期间沟通联系事宜，该人员需加入采购人指定的项目要素争取工作群，保持及时响应，全面做好支撑服务工作</w:t>
      </w:r>
      <w:r>
        <w:rPr>
          <w:rFonts w:hint="eastAsia" w:ascii="宋体" w:hAnsi="宋体" w:cs="宋体"/>
          <w:sz w:val="24"/>
          <w:lang w:val="en-US" w:eastAsia="zh-CN"/>
        </w:rPr>
        <w:t>。</w:t>
      </w:r>
    </w:p>
    <w:p w14:paraId="1F30B6BF">
      <w:pPr>
        <w:numPr>
          <w:ilvl w:val="0"/>
          <w:numId w:val="0"/>
        </w:numPr>
        <w:snapToGrid w:val="0"/>
        <w:spacing w:line="360" w:lineRule="auto"/>
        <w:jc w:val="both"/>
        <w:rPr>
          <w:rFonts w:hint="eastAsia" w:ascii="宋体" w:hAnsi="宋体" w:eastAsia="宋体" w:cs="宋体"/>
          <w:b/>
          <w:bCs/>
          <w:color w:val="auto"/>
          <w:sz w:val="28"/>
          <w:szCs w:val="28"/>
          <w:highlight w:val="none"/>
          <w:lang w:val="en-US" w:eastAsia="zh-CN"/>
        </w:rPr>
      </w:pPr>
      <w:bookmarkStart w:id="69" w:name="_Toc5497"/>
    </w:p>
    <w:p w14:paraId="078382AA">
      <w:pPr>
        <w:numPr>
          <w:ilvl w:val="0"/>
          <w:numId w:val="0"/>
        </w:numPr>
        <w:snapToGrid w:val="0"/>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四、成果要求</w:t>
      </w:r>
      <w:bookmarkEnd w:id="69"/>
    </w:p>
    <w:p w14:paraId="4902B3A8">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lang w:val="en-US"/>
        </w:rPr>
        <w:t>1.</w:t>
      </w:r>
      <w:r>
        <w:rPr>
          <w:rFonts w:hint="eastAsia" w:ascii="宋体" w:hAnsi="宋体" w:eastAsia="宋体" w:cs="宋体"/>
          <w:sz w:val="24"/>
          <w:lang w:eastAsia="zh-CN"/>
        </w:rPr>
        <w:t>中标（成交）供应商</w:t>
      </w:r>
      <w:r>
        <w:rPr>
          <w:rFonts w:hint="eastAsia" w:ascii="宋体" w:hAnsi="宋体" w:eastAsia="宋体" w:cs="宋体"/>
          <w:sz w:val="24"/>
        </w:rPr>
        <w:t>应根据服务内容和要求，将</w:t>
      </w:r>
      <w:r>
        <w:rPr>
          <w:rFonts w:hint="default" w:ascii="宋体" w:hAnsi="宋体" w:eastAsia="宋体" w:cs="宋体"/>
          <w:sz w:val="24"/>
          <w:lang w:val="en-US" w:eastAsia="zh-CN"/>
        </w:rPr>
        <w:t>最终正式</w:t>
      </w:r>
      <w:r>
        <w:rPr>
          <w:rFonts w:hint="eastAsia" w:ascii="宋体" w:hAnsi="宋体" w:eastAsia="宋体" w:cs="宋体"/>
          <w:sz w:val="24"/>
          <w:lang w:val="en-US" w:eastAsia="zh-CN"/>
        </w:rPr>
        <w:t>咨询工作报告全部成</w:t>
      </w:r>
      <w:r>
        <w:rPr>
          <w:rFonts w:hint="eastAsia" w:ascii="宋体" w:hAnsi="宋体" w:eastAsia="宋体" w:cs="宋体"/>
          <w:sz w:val="24"/>
        </w:rPr>
        <w:t>果资料完整交给</w:t>
      </w:r>
      <w:r>
        <w:rPr>
          <w:rFonts w:hint="eastAsia" w:ascii="宋体" w:hAnsi="宋体" w:eastAsia="宋体" w:cs="宋体"/>
          <w:sz w:val="24"/>
          <w:lang w:eastAsia="zh-CN"/>
        </w:rPr>
        <w:t>采购人</w:t>
      </w:r>
      <w:r>
        <w:rPr>
          <w:rFonts w:hint="eastAsia" w:ascii="宋体" w:hAnsi="宋体" w:eastAsia="宋体" w:cs="宋体"/>
          <w:sz w:val="24"/>
        </w:rPr>
        <w:t>。</w:t>
      </w:r>
    </w:p>
    <w:p w14:paraId="13B0B135">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lang w:val="en-US"/>
        </w:rPr>
        <w:t>2.</w:t>
      </w:r>
      <w:r>
        <w:rPr>
          <w:rFonts w:hint="eastAsia" w:ascii="宋体" w:hAnsi="宋体" w:eastAsia="宋体" w:cs="宋体"/>
          <w:sz w:val="24"/>
        </w:rPr>
        <w:t>成果内容：必须符合本项目采购需求的有关要求和国家、省相关标准。</w:t>
      </w:r>
    </w:p>
    <w:p w14:paraId="6FBFEDCA">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成果构成：成果应充分表达项目内容，主要包括文本、相关文件附件等。</w:t>
      </w:r>
    </w:p>
    <w:p w14:paraId="09CF4DBA">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lang w:val="en-US"/>
        </w:rPr>
        <w:t>4.</w:t>
      </w:r>
      <w:r>
        <w:rPr>
          <w:rFonts w:hint="eastAsia" w:ascii="宋体" w:hAnsi="宋体" w:eastAsia="宋体" w:cs="宋体"/>
          <w:sz w:val="24"/>
        </w:rPr>
        <w:t>成果要求：提交的成果必须装订成册（电子文件除外），图纸和文本文件必须做到清晰、完整，尺寸齐全、准确。</w:t>
      </w:r>
    </w:p>
    <w:p w14:paraId="491B77A8">
      <w:pPr>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rPr>
        <w:t>5.</w:t>
      </w:r>
      <w:r>
        <w:rPr>
          <w:rFonts w:hint="eastAsia" w:ascii="宋体" w:hAnsi="宋体" w:eastAsia="宋体" w:cs="宋体"/>
          <w:sz w:val="24"/>
        </w:rPr>
        <w:t>成果份数：乙方须向甲方提供完整的纸质最终纸质成果</w:t>
      </w:r>
      <w:r>
        <w:rPr>
          <w:rFonts w:hint="eastAsia" w:ascii="宋体" w:hAnsi="宋体" w:eastAsia="宋体" w:cs="宋体"/>
          <w:sz w:val="24"/>
          <w:lang w:val="en-US" w:eastAsia="zh-CN"/>
        </w:rPr>
        <w:t>2</w:t>
      </w:r>
      <w:r>
        <w:rPr>
          <w:rFonts w:hint="eastAsia" w:ascii="宋体" w:hAnsi="宋体" w:eastAsia="宋体" w:cs="宋体"/>
          <w:sz w:val="24"/>
        </w:rPr>
        <w:t>套，电子成果</w:t>
      </w:r>
      <w:r>
        <w:rPr>
          <w:rFonts w:hint="eastAsia" w:ascii="宋体" w:hAnsi="宋体" w:eastAsia="宋体" w:cs="宋体"/>
          <w:sz w:val="24"/>
          <w:lang w:val="en-US" w:eastAsia="zh-CN"/>
        </w:rPr>
        <w:t>2</w:t>
      </w:r>
      <w:r>
        <w:rPr>
          <w:rFonts w:hint="eastAsia" w:ascii="宋体" w:hAnsi="宋体" w:eastAsia="宋体" w:cs="宋体"/>
          <w:sz w:val="24"/>
        </w:rPr>
        <w:t>套。</w:t>
      </w:r>
    </w:p>
    <w:p w14:paraId="486A604F">
      <w:pPr>
        <w:numPr>
          <w:ilvl w:val="0"/>
          <w:numId w:val="0"/>
        </w:numPr>
        <w:snapToGrid w:val="0"/>
        <w:spacing w:line="360" w:lineRule="auto"/>
        <w:jc w:val="both"/>
        <w:rPr>
          <w:rFonts w:hint="eastAsia" w:ascii="宋体" w:hAnsi="宋体" w:eastAsia="宋体" w:cs="宋体"/>
          <w:b/>
          <w:bCs/>
          <w:color w:val="auto"/>
          <w:sz w:val="28"/>
          <w:szCs w:val="28"/>
          <w:highlight w:val="none"/>
          <w:lang w:eastAsia="zh-CN"/>
        </w:rPr>
      </w:pPr>
      <w:bookmarkStart w:id="70" w:name="_Toc32089"/>
      <w:r>
        <w:rPr>
          <w:rFonts w:hint="eastAsia" w:ascii="宋体" w:hAnsi="宋体" w:eastAsia="宋体" w:cs="宋体"/>
          <w:b/>
          <w:bCs/>
          <w:color w:val="auto"/>
          <w:sz w:val="28"/>
          <w:szCs w:val="28"/>
          <w:highlight w:val="none"/>
          <w:lang w:val="en-US" w:eastAsia="zh-CN"/>
        </w:rPr>
        <w:t>五、商务</w:t>
      </w:r>
      <w:r>
        <w:rPr>
          <w:rFonts w:hint="eastAsia" w:ascii="宋体" w:hAnsi="宋体" w:eastAsia="宋体" w:cs="宋体"/>
          <w:b/>
          <w:bCs/>
          <w:color w:val="auto"/>
          <w:sz w:val="28"/>
          <w:szCs w:val="28"/>
          <w:highlight w:val="none"/>
          <w:lang w:eastAsia="zh-CN"/>
        </w:rPr>
        <w:t>条款</w:t>
      </w:r>
      <w:bookmarkEnd w:id="70"/>
    </w:p>
    <w:p w14:paraId="215B90A8">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服务期限：合同签定之日起</w:t>
      </w:r>
      <w:r>
        <w:rPr>
          <w:rFonts w:hint="eastAsia" w:ascii="宋体" w:hAnsi="宋体" w:eastAsia="宋体" w:cs="宋体"/>
          <w:sz w:val="24"/>
          <w:lang w:val="en-US" w:eastAsia="zh-CN"/>
        </w:rPr>
        <w:t>至2025年12月31日。</w:t>
      </w:r>
    </w:p>
    <w:p w14:paraId="2667A216">
      <w:pPr>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2.验收：成交供应商</w:t>
      </w:r>
      <w:r>
        <w:rPr>
          <w:rFonts w:hint="default" w:ascii="宋体" w:hAnsi="宋体" w:eastAsia="宋体" w:cs="宋体"/>
          <w:sz w:val="24"/>
          <w:lang w:val="en-US" w:eastAsia="zh-CN"/>
        </w:rPr>
        <w:t>提交</w:t>
      </w:r>
      <w:r>
        <w:rPr>
          <w:rFonts w:hint="eastAsia" w:ascii="宋体" w:hAnsi="宋体" w:eastAsia="宋体" w:cs="宋体"/>
          <w:sz w:val="24"/>
          <w:lang w:val="en-US" w:eastAsia="zh-CN"/>
        </w:rPr>
        <w:t>的</w:t>
      </w:r>
      <w:r>
        <w:rPr>
          <w:rFonts w:hint="default" w:ascii="宋体" w:hAnsi="宋体" w:eastAsia="宋体" w:cs="宋体"/>
          <w:sz w:val="24"/>
          <w:lang w:val="en-US" w:eastAsia="zh-CN"/>
        </w:rPr>
        <w:t>最终正式</w:t>
      </w:r>
      <w:r>
        <w:rPr>
          <w:rFonts w:hint="eastAsia" w:ascii="宋体" w:hAnsi="宋体" w:eastAsia="宋体" w:cs="宋体"/>
          <w:sz w:val="24"/>
          <w:lang w:val="en-US" w:eastAsia="zh-CN"/>
        </w:rPr>
        <w:t>咨询工作报告经采购人认可（或采购人组织的专家评审通过）后</w:t>
      </w:r>
      <w:r>
        <w:rPr>
          <w:rFonts w:hint="default" w:ascii="宋体" w:hAnsi="宋体" w:eastAsia="宋体" w:cs="宋体"/>
          <w:sz w:val="24"/>
          <w:lang w:val="en-US" w:eastAsia="zh-CN"/>
        </w:rPr>
        <w:t>视为</w:t>
      </w:r>
      <w:r>
        <w:rPr>
          <w:rFonts w:hint="eastAsia" w:ascii="宋体" w:hAnsi="宋体" w:eastAsia="宋体" w:cs="宋体"/>
          <w:sz w:val="24"/>
          <w:lang w:val="en-US" w:eastAsia="zh-CN"/>
        </w:rPr>
        <w:t>项目</w:t>
      </w:r>
      <w:r>
        <w:rPr>
          <w:rFonts w:hint="default" w:ascii="宋体" w:hAnsi="宋体" w:eastAsia="宋体" w:cs="宋体"/>
          <w:sz w:val="24"/>
          <w:lang w:val="en-US" w:eastAsia="zh-CN"/>
        </w:rPr>
        <w:t>验收合格。</w:t>
      </w:r>
      <w:r>
        <w:rPr>
          <w:rFonts w:hint="eastAsia" w:ascii="宋体" w:hAnsi="宋体" w:eastAsia="宋体" w:cs="宋体"/>
          <w:sz w:val="24"/>
          <w:lang w:val="en-US" w:eastAsia="zh-CN"/>
        </w:rPr>
        <w:t>验收</w:t>
      </w:r>
      <w:r>
        <w:rPr>
          <w:rFonts w:hint="default" w:ascii="宋体" w:hAnsi="宋体" w:eastAsia="宋体" w:cs="宋体"/>
          <w:sz w:val="24"/>
          <w:lang w:val="en-US" w:eastAsia="zh-CN"/>
        </w:rPr>
        <w:t>后</w:t>
      </w:r>
      <w:r>
        <w:rPr>
          <w:rFonts w:hint="eastAsia" w:ascii="宋体" w:hAnsi="宋体" w:eastAsia="宋体" w:cs="宋体"/>
          <w:sz w:val="24"/>
          <w:lang w:val="en-US" w:eastAsia="zh-CN"/>
        </w:rPr>
        <w:t>成交供应商应当</w:t>
      </w:r>
      <w:r>
        <w:rPr>
          <w:rFonts w:hint="default" w:ascii="宋体" w:hAnsi="宋体" w:eastAsia="宋体" w:cs="宋体"/>
          <w:sz w:val="24"/>
          <w:lang w:val="en-US" w:eastAsia="zh-CN"/>
        </w:rPr>
        <w:t>按照合同约定做好后续服务。</w:t>
      </w:r>
    </w:p>
    <w:p w14:paraId="263132C8">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3.服务费用的支付</w:t>
      </w:r>
    </w:p>
    <w:bookmarkEnd w:id="66"/>
    <w:p w14:paraId="330BD30C">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合同签订后七个工作日内向供应商支付合同总价的60%预付款，验收合格后采购人向供应商支付至合同款的100%。甲方在收到乙方提供的符合要求的发票后安排付款。乙方未按时提供符合甲方要求的发票导致付款延期的，甲方不承担任何违约责任。</w:t>
      </w:r>
    </w:p>
    <w:p w14:paraId="587D27DB">
      <w:pPr>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备注：签订合同时，供应商明确表示无需预付款或者主动要求降低预付款比例的，采购单位可不适用前述规定。</w:t>
      </w:r>
    </w:p>
    <w:p w14:paraId="6D6C7936">
      <w:pPr>
        <w:snapToGrid w:val="0"/>
        <w:spacing w:line="360" w:lineRule="auto"/>
        <w:ind w:firstLine="480" w:firstLineChars="200"/>
        <w:textAlignment w:val="baseline"/>
        <w:rPr>
          <w:rFonts w:hint="eastAsia" w:ascii="宋体" w:hAnsi="宋体" w:eastAsia="宋体" w:cs="宋体"/>
          <w:sz w:val="24"/>
          <w:lang w:val="en-US" w:eastAsia="zh-CN"/>
        </w:rPr>
      </w:pPr>
    </w:p>
    <w:p w14:paraId="332E08BD">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2"/>
      <w:bookmarkEnd w:id="63"/>
      <w:bookmarkStart w:id="71" w:name="第四部分"/>
      <w:r>
        <w:rPr>
          <w:rFonts w:hint="eastAsia" w:cs="仿宋_GB2312" w:asciiTheme="minorEastAsia" w:hAnsiTheme="minorEastAsia" w:eastAsiaTheme="minorEastAsia"/>
          <w:b/>
          <w:color w:val="auto"/>
          <w:sz w:val="36"/>
          <w:szCs w:val="36"/>
        </w:rPr>
        <w:t>评审方法及评审标准</w:t>
      </w:r>
    </w:p>
    <w:p w14:paraId="00ED1D76">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1005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955"/>
        <w:gridCol w:w="810"/>
        <w:gridCol w:w="1095"/>
        <w:gridCol w:w="1350"/>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4D96FCD">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5955" w:type="dxa"/>
            <w:vAlign w:val="center"/>
          </w:tcPr>
          <w:p w14:paraId="1989BD37">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810" w:type="dxa"/>
            <w:vAlign w:val="center"/>
          </w:tcPr>
          <w:p w14:paraId="16C5C8C0">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095" w:type="dxa"/>
            <w:vAlign w:val="center"/>
          </w:tcPr>
          <w:p w14:paraId="71B6CA56">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主观分/客观分属性</w:t>
            </w:r>
          </w:p>
        </w:tc>
        <w:tc>
          <w:tcPr>
            <w:tcW w:w="1350" w:type="dxa"/>
            <w:vAlign w:val="center"/>
          </w:tcPr>
          <w:p w14:paraId="3AC91A5F">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磋商文件中评审标准相应的商务技术资料目录 *</w:t>
            </w:r>
          </w:p>
        </w:tc>
      </w:tr>
      <w:tr w14:paraId="0AA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restart"/>
            <w:vAlign w:val="center"/>
          </w:tcPr>
          <w:p w14:paraId="74AC73C5">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5955" w:type="dxa"/>
            <w:vAlign w:val="center"/>
          </w:tcPr>
          <w:p w14:paraId="553E3B55">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根据供应商针对本项目实施重点、难点的分析情况进行综合评分，内容详细阐述到位的得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5BF2B123">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Align w:val="center"/>
          </w:tcPr>
          <w:p w14:paraId="07DFF861">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Merge w:val="restart"/>
            <w:vAlign w:val="center"/>
          </w:tcPr>
          <w:p w14:paraId="53CF35BC">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重点难点分析和应对</w:t>
            </w:r>
          </w:p>
        </w:tc>
      </w:tr>
      <w:tr w14:paraId="2DB2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continue"/>
            <w:vAlign w:val="center"/>
          </w:tcPr>
          <w:p w14:paraId="2E5FA1EE">
            <w:pPr>
              <w:pStyle w:val="395"/>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5955" w:type="dxa"/>
            <w:vAlign w:val="center"/>
          </w:tcPr>
          <w:p w14:paraId="397AE147">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根据供应商针对本项目实施重点、难点问题提出的应对措施进行综合评分，内容详细阐述到位的得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69E5ADA8">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Align w:val="center"/>
          </w:tcPr>
          <w:p w14:paraId="4C89D801">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Merge w:val="continue"/>
            <w:vAlign w:val="center"/>
          </w:tcPr>
          <w:p w14:paraId="39F4B84F">
            <w:pPr>
              <w:bidi w:val="0"/>
              <w:jc w:val="center"/>
              <w:rPr>
                <w:rFonts w:hint="eastAsia" w:ascii="宋体" w:hAnsi="宋体" w:eastAsia="宋体" w:cs="宋体"/>
                <w:b w:val="0"/>
                <w:bCs w:val="0"/>
                <w:color w:val="auto"/>
                <w:sz w:val="24"/>
                <w:highlight w:val="none"/>
                <w:lang w:val="en-US" w:eastAsia="zh-CN"/>
              </w:rPr>
            </w:pPr>
          </w:p>
        </w:tc>
      </w:tr>
      <w:tr w14:paraId="124C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restart"/>
            <w:vAlign w:val="center"/>
          </w:tcPr>
          <w:p w14:paraId="57A06792">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5955" w:type="dxa"/>
            <w:vAlign w:val="center"/>
          </w:tcPr>
          <w:p w14:paraId="7C467523">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项目需求分析。根据供应商对项目背景、服务内容及预期目标的理解情况进行综合评分</w:t>
            </w:r>
            <w:r>
              <w:rPr>
                <w:rFonts w:hint="eastAsia" w:ascii="宋体" w:hAnsi="宋体" w:eastAsia="宋体" w:cs="宋体"/>
                <w:b w:val="0"/>
                <w:bCs w:val="0"/>
                <w:color w:val="auto"/>
                <w:sz w:val="24"/>
                <w:highlight w:val="none"/>
                <w:lang w:val="en-US" w:eastAsia="zh-CN"/>
              </w:rPr>
              <w:t>，内容详细阐述到位的得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0F0BD074">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Merge w:val="restart"/>
            <w:vAlign w:val="center"/>
          </w:tcPr>
          <w:p w14:paraId="06C755E7">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Merge w:val="restart"/>
            <w:vAlign w:val="center"/>
          </w:tcPr>
          <w:p w14:paraId="426E4774">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服务方案</w:t>
            </w:r>
          </w:p>
        </w:tc>
      </w:tr>
      <w:tr w14:paraId="6DB0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continue"/>
            <w:vAlign w:val="center"/>
          </w:tcPr>
          <w:p w14:paraId="0E85E7ED">
            <w:pPr>
              <w:pStyle w:val="395"/>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5955" w:type="dxa"/>
            <w:vAlign w:val="center"/>
          </w:tcPr>
          <w:p w14:paraId="457326D1">
            <w:pPr>
              <w:bidi w:val="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总体服务方案。根据供应商以下内容的针对性、可操作性及各项措施是否明确、到位且满足采购需求进行综合评分</w:t>
            </w:r>
            <w:r>
              <w:rPr>
                <w:rFonts w:hint="eastAsia" w:ascii="宋体" w:hAnsi="宋体" w:eastAsia="宋体" w:cs="宋体"/>
                <w:b w:val="0"/>
                <w:bCs w:val="0"/>
                <w:color w:val="auto"/>
                <w:sz w:val="24"/>
                <w:highlight w:val="none"/>
                <w:lang w:val="en-US" w:eastAsia="zh-CN"/>
              </w:rPr>
              <w:t>，无相关内容的不得分。</w:t>
            </w:r>
          </w:p>
          <w:p w14:paraId="0566C685">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1.项目谋划工作思路、重点方向及相关措施内容详细阐述到位的得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.9分，不够完善需进一步完善的得0-1.9分，其他不得分。</w:t>
            </w:r>
          </w:p>
          <w:p w14:paraId="175DB264">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中央资金</w:t>
            </w:r>
            <w:r>
              <w:rPr>
                <w:rFonts w:hint="eastAsia" w:ascii="宋体" w:hAnsi="宋体" w:eastAsia="宋体" w:cs="宋体"/>
                <w:b w:val="0"/>
                <w:bCs w:val="0"/>
                <w:color w:val="auto"/>
                <w:sz w:val="24"/>
                <w:highlight w:val="none"/>
                <w:lang w:val="en-US" w:eastAsia="zh-CN"/>
              </w:rPr>
              <w:t>政策分析、资金争取方案及相关措施内容详细阐述到位的得</w:t>
            </w: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en-US" w:eastAsia="zh-CN"/>
              </w:rPr>
              <w:t>分，内容较为详细的得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.9分，不够完善需进一步完善的得0-</w:t>
            </w:r>
            <w:r>
              <w:rPr>
                <w:rFonts w:hint="eastAsia" w:ascii="宋体" w:hAnsi="宋体" w:cs="宋体"/>
                <w:b w:val="0"/>
                <w:bCs w:val="0"/>
                <w:color w:val="auto"/>
                <w:sz w:val="24"/>
                <w:highlight w:val="none"/>
                <w:lang w:val="en-US" w:eastAsia="zh-CN"/>
              </w:rPr>
              <w:t>2.9</w:t>
            </w:r>
            <w:r>
              <w:rPr>
                <w:rFonts w:hint="eastAsia" w:ascii="宋体" w:hAnsi="宋体" w:eastAsia="宋体" w:cs="宋体"/>
                <w:b w:val="0"/>
                <w:bCs w:val="0"/>
                <w:color w:val="auto"/>
                <w:sz w:val="24"/>
                <w:highlight w:val="none"/>
                <w:lang w:val="en-US" w:eastAsia="zh-CN"/>
              </w:rPr>
              <w:t>分，其他不得分。</w:t>
            </w:r>
          </w:p>
        </w:tc>
        <w:tc>
          <w:tcPr>
            <w:tcW w:w="810" w:type="dxa"/>
            <w:vAlign w:val="center"/>
          </w:tcPr>
          <w:p w14:paraId="37AD1121">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1095" w:type="dxa"/>
            <w:vMerge w:val="continue"/>
            <w:vAlign w:val="center"/>
          </w:tcPr>
          <w:p w14:paraId="49BC437B">
            <w:pPr>
              <w:bidi w:val="0"/>
              <w:jc w:val="center"/>
              <w:rPr>
                <w:rFonts w:hint="default" w:ascii="宋体" w:hAnsi="宋体" w:eastAsia="宋体" w:cs="宋体"/>
                <w:b w:val="0"/>
                <w:bCs w:val="0"/>
                <w:color w:val="auto"/>
                <w:sz w:val="24"/>
                <w:highlight w:val="none"/>
                <w:lang w:val="en-US" w:eastAsia="zh-CN"/>
              </w:rPr>
            </w:pPr>
          </w:p>
        </w:tc>
        <w:tc>
          <w:tcPr>
            <w:tcW w:w="1350" w:type="dxa"/>
            <w:vMerge w:val="continue"/>
            <w:vAlign w:val="center"/>
          </w:tcPr>
          <w:p w14:paraId="4B0E1564">
            <w:pPr>
              <w:bidi w:val="0"/>
              <w:jc w:val="center"/>
              <w:rPr>
                <w:rFonts w:hint="default" w:ascii="宋体" w:hAnsi="宋体" w:eastAsia="宋体" w:cs="宋体"/>
                <w:b w:val="0"/>
                <w:bCs w:val="0"/>
                <w:color w:val="auto"/>
                <w:sz w:val="24"/>
                <w:highlight w:val="none"/>
                <w:lang w:val="en-US" w:eastAsia="zh-CN"/>
              </w:rPr>
            </w:pPr>
          </w:p>
        </w:tc>
      </w:tr>
      <w:tr w14:paraId="4DAF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continue"/>
            <w:vAlign w:val="center"/>
          </w:tcPr>
          <w:p w14:paraId="2B6F3BED">
            <w:pPr>
              <w:pStyle w:val="395"/>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5955" w:type="dxa"/>
            <w:vAlign w:val="center"/>
          </w:tcPr>
          <w:p w14:paraId="14F3D5B3">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保障措施。对供应商保障满足采购需求的具体措施的科学合理性、严密性情况进行综合评分</w:t>
            </w:r>
            <w:r>
              <w:rPr>
                <w:rFonts w:hint="eastAsia" w:ascii="宋体" w:hAnsi="宋体" w:eastAsia="宋体" w:cs="宋体"/>
                <w:b w:val="0"/>
                <w:bCs w:val="0"/>
                <w:color w:val="auto"/>
                <w:sz w:val="24"/>
                <w:highlight w:val="none"/>
                <w:lang w:val="en-US" w:eastAsia="zh-CN"/>
              </w:rPr>
              <w:t>，内容详细阐述到位的得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1A9B7A10">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Merge w:val="continue"/>
            <w:vAlign w:val="center"/>
          </w:tcPr>
          <w:p w14:paraId="2942DA55">
            <w:pPr>
              <w:bidi w:val="0"/>
              <w:jc w:val="center"/>
              <w:rPr>
                <w:rFonts w:hint="default" w:ascii="宋体" w:hAnsi="宋体" w:eastAsia="宋体" w:cs="宋体"/>
                <w:b w:val="0"/>
                <w:bCs w:val="0"/>
                <w:color w:val="auto"/>
                <w:sz w:val="24"/>
                <w:highlight w:val="none"/>
                <w:lang w:val="en-US" w:eastAsia="zh-CN"/>
              </w:rPr>
            </w:pPr>
          </w:p>
        </w:tc>
        <w:tc>
          <w:tcPr>
            <w:tcW w:w="1350" w:type="dxa"/>
            <w:vMerge w:val="continue"/>
            <w:vAlign w:val="center"/>
          </w:tcPr>
          <w:p w14:paraId="562375F0">
            <w:pPr>
              <w:bidi w:val="0"/>
              <w:jc w:val="center"/>
              <w:rPr>
                <w:rFonts w:hint="default" w:ascii="宋体" w:hAnsi="宋体" w:eastAsia="宋体" w:cs="宋体"/>
                <w:b w:val="0"/>
                <w:bCs w:val="0"/>
                <w:color w:val="auto"/>
                <w:sz w:val="24"/>
                <w:highlight w:val="none"/>
                <w:lang w:val="en-US" w:eastAsia="zh-CN"/>
              </w:rPr>
            </w:pPr>
          </w:p>
        </w:tc>
      </w:tr>
      <w:tr w14:paraId="75F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continue"/>
            <w:vAlign w:val="center"/>
          </w:tcPr>
          <w:p w14:paraId="354E991C">
            <w:pPr>
              <w:pStyle w:val="395"/>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5955" w:type="dxa"/>
            <w:vAlign w:val="center"/>
          </w:tcPr>
          <w:p w14:paraId="13C5E86E">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进度安排。对供应商制定的工作进度计划的内容详尽程度、计划合理性及保障落实的具体措施进行综合评分</w:t>
            </w:r>
            <w:r>
              <w:rPr>
                <w:rFonts w:hint="eastAsia" w:ascii="宋体" w:hAnsi="宋体" w:eastAsia="宋体" w:cs="宋体"/>
                <w:b w:val="0"/>
                <w:bCs w:val="0"/>
                <w:color w:val="auto"/>
                <w:sz w:val="24"/>
                <w:highlight w:val="none"/>
                <w:lang w:val="en-US" w:eastAsia="zh-CN"/>
              </w:rPr>
              <w:t>，内容详细阐述到位的得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728BE63B">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Merge w:val="continue"/>
            <w:vAlign w:val="center"/>
          </w:tcPr>
          <w:p w14:paraId="6A8072EA">
            <w:pPr>
              <w:bidi w:val="0"/>
              <w:jc w:val="center"/>
              <w:rPr>
                <w:rFonts w:hint="default" w:ascii="宋体" w:hAnsi="宋体" w:eastAsia="宋体" w:cs="宋体"/>
                <w:b w:val="0"/>
                <w:bCs w:val="0"/>
                <w:color w:val="auto"/>
                <w:sz w:val="24"/>
                <w:highlight w:val="none"/>
                <w:lang w:val="en-US" w:eastAsia="zh-CN"/>
              </w:rPr>
            </w:pPr>
          </w:p>
        </w:tc>
        <w:tc>
          <w:tcPr>
            <w:tcW w:w="1350" w:type="dxa"/>
            <w:vMerge w:val="continue"/>
            <w:vAlign w:val="center"/>
          </w:tcPr>
          <w:p w14:paraId="6A18F648">
            <w:pPr>
              <w:bidi w:val="0"/>
              <w:jc w:val="center"/>
              <w:rPr>
                <w:rFonts w:hint="default" w:ascii="宋体" w:hAnsi="宋体" w:eastAsia="宋体" w:cs="宋体"/>
                <w:b w:val="0"/>
                <w:bCs w:val="0"/>
                <w:color w:val="auto"/>
                <w:sz w:val="24"/>
                <w:highlight w:val="none"/>
                <w:lang w:val="en-US" w:eastAsia="zh-CN"/>
              </w:rPr>
            </w:pPr>
          </w:p>
        </w:tc>
      </w:tr>
      <w:tr w14:paraId="40F9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Merge w:val="continue"/>
            <w:vAlign w:val="center"/>
          </w:tcPr>
          <w:p w14:paraId="2EFC5E84">
            <w:pPr>
              <w:pStyle w:val="395"/>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5955" w:type="dxa"/>
            <w:vAlign w:val="center"/>
          </w:tcPr>
          <w:p w14:paraId="105E0FDB">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质量保证。</w:t>
            </w:r>
            <w:r>
              <w:rPr>
                <w:rFonts w:hint="eastAsia" w:ascii="宋体" w:hAnsi="宋体" w:eastAsia="宋体" w:cs="宋体"/>
                <w:b w:val="0"/>
                <w:bCs w:val="0"/>
                <w:color w:val="auto"/>
                <w:sz w:val="24"/>
                <w:highlight w:val="none"/>
                <w:lang w:val="zh-CN" w:eastAsia="zh-CN"/>
              </w:rPr>
              <w:t>对供应商制定的服务质量目标和质量保证措施的内容详尽程度、合理性进行综合评分</w:t>
            </w:r>
            <w:r>
              <w:rPr>
                <w:rFonts w:hint="eastAsia" w:ascii="宋体" w:hAnsi="宋体" w:eastAsia="宋体" w:cs="宋体"/>
                <w:b w:val="0"/>
                <w:bCs w:val="0"/>
                <w:color w:val="auto"/>
                <w:sz w:val="24"/>
                <w:highlight w:val="none"/>
                <w:lang w:val="en-US" w:eastAsia="zh-CN"/>
              </w:rPr>
              <w:t>，内容详细阐述到位的得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分，内容较为详细的得2-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.9分，不够完善需进一步完善的得0-1.9分，其他不得分。</w:t>
            </w:r>
          </w:p>
        </w:tc>
        <w:tc>
          <w:tcPr>
            <w:tcW w:w="810" w:type="dxa"/>
            <w:vAlign w:val="center"/>
          </w:tcPr>
          <w:p w14:paraId="1BAD3AE5">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095" w:type="dxa"/>
            <w:vMerge w:val="continue"/>
            <w:vAlign w:val="center"/>
          </w:tcPr>
          <w:p w14:paraId="33DF80FB">
            <w:pPr>
              <w:bidi w:val="0"/>
              <w:jc w:val="center"/>
              <w:rPr>
                <w:rFonts w:hint="default" w:ascii="宋体" w:hAnsi="宋体" w:eastAsia="宋体" w:cs="宋体"/>
                <w:b w:val="0"/>
                <w:bCs w:val="0"/>
                <w:color w:val="auto"/>
                <w:sz w:val="24"/>
                <w:highlight w:val="none"/>
                <w:lang w:val="en-US" w:eastAsia="zh-CN"/>
              </w:rPr>
            </w:pPr>
          </w:p>
        </w:tc>
        <w:tc>
          <w:tcPr>
            <w:tcW w:w="1350" w:type="dxa"/>
            <w:vMerge w:val="continue"/>
            <w:vAlign w:val="center"/>
          </w:tcPr>
          <w:p w14:paraId="0A32940B">
            <w:pPr>
              <w:bidi w:val="0"/>
              <w:jc w:val="center"/>
              <w:rPr>
                <w:rFonts w:hint="default" w:ascii="宋体" w:hAnsi="宋体" w:eastAsia="宋体" w:cs="宋体"/>
                <w:b w:val="0"/>
                <w:bCs w:val="0"/>
                <w:color w:val="auto"/>
                <w:sz w:val="24"/>
                <w:highlight w:val="none"/>
                <w:lang w:val="en-US" w:eastAsia="zh-CN"/>
              </w:rPr>
            </w:pPr>
          </w:p>
        </w:tc>
      </w:tr>
      <w:tr w14:paraId="3262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Align w:val="center"/>
          </w:tcPr>
          <w:p w14:paraId="77FEA6FB">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5955" w:type="dxa"/>
            <w:vAlign w:val="center"/>
          </w:tcPr>
          <w:p w14:paraId="1E0C77FB">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1.项目负责人同时具有咨询工程师（投资）职业资格和高级工程师职称的得5分，其他不得分。</w:t>
            </w:r>
          </w:p>
          <w:p w14:paraId="7E3C592C">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2.服务团队成员（除项目负责人外）中拥有咨询工程师（投资）职业资格的，每有1人得2分，同一人员同时具有相关职业资格或职称的，不重</w:t>
            </w:r>
            <w:bookmarkStart w:id="188" w:name="_GoBack"/>
            <w:bookmarkEnd w:id="188"/>
            <w:r>
              <w:rPr>
                <w:rFonts w:hint="eastAsia" w:ascii="宋体" w:hAnsi="宋体" w:eastAsia="宋体" w:cs="宋体"/>
                <w:b w:val="0"/>
                <w:bCs w:val="0"/>
                <w:color w:val="auto"/>
                <w:sz w:val="24"/>
                <w:highlight w:val="none"/>
                <w:lang w:val="en-US" w:eastAsia="zh-CN"/>
              </w:rPr>
              <w:t>复计分。本小项最高得</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en-US" w:eastAsia="zh-CN"/>
              </w:rPr>
              <w:t>分。</w:t>
            </w:r>
          </w:p>
          <w:p w14:paraId="0C17602C">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须提供相关职业资格证书、职称证书及近</w:t>
            </w:r>
            <w:r>
              <w:rPr>
                <w:rFonts w:hint="eastAsia" w:ascii="宋体" w:hAnsi="宋体" w:cs="宋体"/>
                <w:b w:val="0"/>
                <w:bCs w:val="0"/>
                <w:strike w:val="0"/>
                <w:dstrike w:val="0"/>
                <w:color w:val="auto"/>
                <w:sz w:val="24"/>
                <w:highlight w:val="none"/>
                <w:lang w:val="en-US" w:eastAsia="zh-CN"/>
              </w:rPr>
              <w:t>三个月</w:t>
            </w:r>
            <w:r>
              <w:rPr>
                <w:rFonts w:hint="eastAsia" w:ascii="宋体" w:hAnsi="宋体" w:eastAsia="宋体" w:cs="宋体"/>
                <w:b w:val="0"/>
                <w:bCs w:val="0"/>
                <w:color w:val="auto"/>
                <w:sz w:val="24"/>
                <w:highlight w:val="none"/>
                <w:lang w:val="en-US" w:eastAsia="zh-CN"/>
              </w:rPr>
              <w:t>供应商为</w:t>
            </w:r>
            <w:r>
              <w:rPr>
                <w:rFonts w:hint="eastAsia" w:ascii="宋体" w:hAnsi="宋体" w:cs="宋体"/>
                <w:b w:val="0"/>
                <w:bCs w:val="0"/>
                <w:color w:val="auto"/>
                <w:sz w:val="24"/>
                <w:highlight w:val="none"/>
                <w:lang w:val="en-US" w:eastAsia="zh-CN"/>
              </w:rPr>
              <w:t>其</w:t>
            </w:r>
            <w:r>
              <w:rPr>
                <w:rFonts w:hint="eastAsia" w:ascii="宋体" w:hAnsi="宋体" w:eastAsia="宋体" w:cs="宋体"/>
                <w:b w:val="0"/>
                <w:bCs w:val="0"/>
                <w:color w:val="auto"/>
                <w:sz w:val="24"/>
                <w:highlight w:val="none"/>
                <w:lang w:val="en-US" w:eastAsia="zh-CN"/>
              </w:rPr>
              <w:t>人员缴纳社保的证明材料，否则不得分。</w:t>
            </w:r>
          </w:p>
        </w:tc>
        <w:tc>
          <w:tcPr>
            <w:tcW w:w="810" w:type="dxa"/>
            <w:vAlign w:val="center"/>
          </w:tcPr>
          <w:p w14:paraId="1343C296">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5</w:t>
            </w:r>
          </w:p>
        </w:tc>
        <w:tc>
          <w:tcPr>
            <w:tcW w:w="1095" w:type="dxa"/>
            <w:vAlign w:val="center"/>
          </w:tcPr>
          <w:p w14:paraId="7BDC27EA">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客观分</w:t>
            </w:r>
          </w:p>
        </w:tc>
        <w:tc>
          <w:tcPr>
            <w:tcW w:w="1350" w:type="dxa"/>
            <w:vAlign w:val="center"/>
          </w:tcPr>
          <w:p w14:paraId="414964FE">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服务团队</w:t>
            </w:r>
          </w:p>
        </w:tc>
      </w:tr>
      <w:tr w14:paraId="0E8B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Align w:val="center"/>
          </w:tcPr>
          <w:p w14:paraId="1C45A1CD">
            <w:pPr>
              <w:pStyle w:val="395"/>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5955" w:type="dxa"/>
            <w:vAlign w:val="center"/>
          </w:tcPr>
          <w:p w14:paraId="587B480D">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对供应商制定的后续服务承诺、协调配合措施、服务响应时间进行综合评分，内容详细阐述到位的得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分，内容较为详细的得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.9分，不够完善需进一步完善的得0-</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.9分，其他不得分。</w:t>
            </w:r>
          </w:p>
        </w:tc>
        <w:tc>
          <w:tcPr>
            <w:tcW w:w="810" w:type="dxa"/>
            <w:vAlign w:val="center"/>
          </w:tcPr>
          <w:p w14:paraId="293FAE3C">
            <w:pPr>
              <w:bidi w:val="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1095" w:type="dxa"/>
            <w:vAlign w:val="center"/>
          </w:tcPr>
          <w:p w14:paraId="2F5F69E9">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Align w:val="center"/>
          </w:tcPr>
          <w:p w14:paraId="058A8B77">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后续服务</w:t>
            </w:r>
          </w:p>
        </w:tc>
      </w:tr>
      <w:tr w14:paraId="5A7B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Align w:val="center"/>
          </w:tcPr>
          <w:p w14:paraId="0C23DDA2">
            <w:pPr>
              <w:pStyle w:val="395"/>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5955" w:type="dxa"/>
            <w:vAlign w:val="center"/>
          </w:tcPr>
          <w:p w14:paraId="676F1D41">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根据供应商针对服务过程中获取的涉密信息制定的相关管理措施和方法，管理制度，承诺等进行综合评分，内容详细阐述到位的得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分，内容较为详细的得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.9分，不够完善需进一步完善的得0-</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.9分，其他不得分。</w:t>
            </w:r>
          </w:p>
        </w:tc>
        <w:tc>
          <w:tcPr>
            <w:tcW w:w="810" w:type="dxa"/>
            <w:vAlign w:val="center"/>
          </w:tcPr>
          <w:p w14:paraId="54DC97EE">
            <w:pPr>
              <w:bidi w:val="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1095" w:type="dxa"/>
            <w:vAlign w:val="center"/>
          </w:tcPr>
          <w:p w14:paraId="082238F4">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Align w:val="center"/>
          </w:tcPr>
          <w:p w14:paraId="1FAA41DE">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涉密信息管理</w:t>
            </w:r>
          </w:p>
        </w:tc>
      </w:tr>
      <w:tr w14:paraId="220A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Align w:val="center"/>
          </w:tcPr>
          <w:p w14:paraId="58D2CFF0">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5955" w:type="dxa"/>
            <w:vAlign w:val="center"/>
          </w:tcPr>
          <w:p w14:paraId="614C5EF5">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对供应商针对本项目提出的合理化建议进行打分,从建议合理性、可行性、科学性、创新性进行评分，内容详细阐述到位的得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分，内容较为详细的得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.9分，不够完善需进一步完善的得0-</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.9分，其他不得分。</w:t>
            </w:r>
          </w:p>
        </w:tc>
        <w:tc>
          <w:tcPr>
            <w:tcW w:w="810" w:type="dxa"/>
            <w:vAlign w:val="center"/>
          </w:tcPr>
          <w:p w14:paraId="5D46F349">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1095" w:type="dxa"/>
            <w:vAlign w:val="center"/>
          </w:tcPr>
          <w:p w14:paraId="21255FF0">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350" w:type="dxa"/>
            <w:vAlign w:val="center"/>
          </w:tcPr>
          <w:p w14:paraId="3138F366">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合理化建议</w:t>
            </w:r>
          </w:p>
        </w:tc>
      </w:tr>
      <w:tr w14:paraId="153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40" w:type="dxa"/>
            <w:vAlign w:val="center"/>
          </w:tcPr>
          <w:p w14:paraId="12754528">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5955" w:type="dxa"/>
            <w:vAlign w:val="top"/>
          </w:tcPr>
          <w:p w14:paraId="03F8ABDA">
            <w:pPr>
              <w:bidi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供应商自2022年01月01日以来（以合同签订日期为准）承担过类似项目的，每提供一个得0.5分，最高得1分。</w:t>
            </w:r>
            <w:r>
              <w:rPr>
                <w:rFonts w:hint="eastAsia" w:ascii="宋体" w:hAnsi="宋体" w:cs="宋体"/>
                <w:b w:val="0"/>
                <w:bCs w:val="0"/>
                <w:color w:val="auto"/>
                <w:sz w:val="24"/>
                <w:highlight w:val="none"/>
                <w:lang w:val="en-US" w:eastAsia="zh-CN"/>
              </w:rPr>
              <w:t>须提供</w:t>
            </w:r>
            <w:r>
              <w:rPr>
                <w:rFonts w:hint="eastAsia" w:ascii="宋体" w:hAnsi="宋体" w:eastAsia="宋体" w:cs="宋体"/>
                <w:b w:val="0"/>
                <w:bCs w:val="0"/>
                <w:color w:val="auto"/>
                <w:sz w:val="24"/>
                <w:highlight w:val="none"/>
                <w:lang w:val="en-US" w:eastAsia="zh-CN"/>
              </w:rPr>
              <w:t>合同</w:t>
            </w:r>
            <w:r>
              <w:rPr>
                <w:rFonts w:hint="eastAsia" w:ascii="宋体" w:hAnsi="宋体" w:cs="宋体"/>
                <w:b w:val="0"/>
                <w:bCs w:val="0"/>
                <w:color w:val="auto"/>
                <w:sz w:val="24"/>
                <w:highlight w:val="none"/>
                <w:lang w:val="en-US" w:eastAsia="zh-CN"/>
              </w:rPr>
              <w:t>复印件</w:t>
            </w:r>
            <w:r>
              <w:rPr>
                <w:rFonts w:hint="eastAsia" w:ascii="宋体" w:hAnsi="宋体" w:eastAsia="宋体" w:cs="宋体"/>
                <w:b w:val="0"/>
                <w:bCs w:val="0"/>
                <w:color w:val="auto"/>
                <w:sz w:val="24"/>
                <w:highlight w:val="none"/>
                <w:lang w:val="en-US" w:eastAsia="zh-CN"/>
              </w:rPr>
              <w:t>，否则不得分。</w:t>
            </w:r>
          </w:p>
        </w:tc>
        <w:tc>
          <w:tcPr>
            <w:tcW w:w="810" w:type="dxa"/>
            <w:vAlign w:val="center"/>
          </w:tcPr>
          <w:p w14:paraId="1B510782">
            <w:pPr>
              <w:bidi w:val="0"/>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1095" w:type="dxa"/>
            <w:vAlign w:val="center"/>
          </w:tcPr>
          <w:p w14:paraId="1E3E0971">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客观分</w:t>
            </w:r>
          </w:p>
        </w:tc>
        <w:tc>
          <w:tcPr>
            <w:tcW w:w="1350" w:type="dxa"/>
            <w:vAlign w:val="center"/>
          </w:tcPr>
          <w:p w14:paraId="23AD1143">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供应商履约能力</w:t>
            </w:r>
          </w:p>
        </w:tc>
      </w:tr>
      <w:tr w14:paraId="10D0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2B2CB06">
            <w:pPr>
              <w:pStyle w:val="395"/>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5955" w:type="dxa"/>
            <w:vAlign w:val="center"/>
          </w:tcPr>
          <w:p w14:paraId="2CF8E53E">
            <w:pPr>
              <w:numPr>
                <w:ilvl w:val="0"/>
                <w:numId w:val="0"/>
              </w:num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strike w:val="0"/>
                <w:dstrike w:val="0"/>
                <w:color w:val="auto"/>
                <w:sz w:val="24"/>
                <w:highlight w:val="none"/>
                <w:lang w:val="en-US" w:eastAsia="zh-CN"/>
              </w:rPr>
              <w:t>供应商</w:t>
            </w:r>
            <w:r>
              <w:rPr>
                <w:rFonts w:hint="eastAsia" w:ascii="宋体" w:hAnsi="宋体" w:eastAsia="宋体" w:cs="宋体"/>
                <w:b w:val="0"/>
                <w:bCs w:val="0"/>
                <w:strike w:val="0"/>
                <w:dstrike w:val="0"/>
                <w:color w:val="auto"/>
                <w:sz w:val="24"/>
                <w:highlight w:val="none"/>
                <w:lang w:val="en-US" w:eastAsia="zh-Hans"/>
              </w:rPr>
              <w:t>具有有效的质量管理体系得</w:t>
            </w:r>
            <w:r>
              <w:rPr>
                <w:rFonts w:hint="eastAsia" w:ascii="宋体" w:hAnsi="宋体" w:eastAsia="宋体" w:cs="宋体"/>
                <w:b w:val="0"/>
                <w:bCs w:val="0"/>
                <w:strike w:val="0"/>
                <w:dstrike w:val="0"/>
                <w:color w:val="auto"/>
                <w:sz w:val="24"/>
                <w:highlight w:val="none"/>
                <w:lang w:val="en-US" w:eastAsia="zh-CN"/>
              </w:rPr>
              <w:t>2</w:t>
            </w:r>
            <w:r>
              <w:rPr>
                <w:rFonts w:hint="eastAsia" w:ascii="宋体" w:hAnsi="宋体" w:eastAsia="宋体" w:cs="宋体"/>
                <w:b w:val="0"/>
                <w:bCs w:val="0"/>
                <w:strike w:val="0"/>
                <w:dstrike w:val="0"/>
                <w:color w:val="auto"/>
                <w:sz w:val="24"/>
                <w:highlight w:val="none"/>
                <w:lang w:val="en-US" w:eastAsia="zh-Hans"/>
              </w:rPr>
              <w:t>分。 注：须同时提供以上证书扫描件及国家认证认可监督管理委员的“全国认证认可信息公共服务平台” （http://cx.cnca.cn）查询结果截图，失效、撤销或暂停的对应证书项不得分。</w:t>
            </w:r>
          </w:p>
        </w:tc>
        <w:tc>
          <w:tcPr>
            <w:tcW w:w="810" w:type="dxa"/>
            <w:vAlign w:val="center"/>
          </w:tcPr>
          <w:p w14:paraId="1E6FD637">
            <w:pPr>
              <w:bidi w:val="0"/>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1095" w:type="dxa"/>
            <w:vAlign w:val="center"/>
          </w:tcPr>
          <w:p w14:paraId="25AC5CA7">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客观分</w:t>
            </w:r>
          </w:p>
        </w:tc>
        <w:tc>
          <w:tcPr>
            <w:tcW w:w="1350" w:type="dxa"/>
            <w:vAlign w:val="center"/>
          </w:tcPr>
          <w:p w14:paraId="2413F66F">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供应商认证情 </w:t>
            </w:r>
          </w:p>
          <w:p w14:paraId="3AD78E3E">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况</w:t>
            </w: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5592904">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5955" w:type="dxa"/>
            <w:vAlign w:val="center"/>
          </w:tcPr>
          <w:p w14:paraId="4AE6D705">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有效最后报价的最低价作为评审基准价，其最低报价为满分；按［最后报价得分=（评审基准价/最后报价）*1</w:t>
            </w:r>
            <w:r>
              <w:rPr>
                <w:rFonts w:hint="eastAsia" w:ascii="宋体" w:hAnsi="宋体" w:cs="宋体"/>
                <w:b w:val="0"/>
                <w:bCs w:val="0"/>
                <w:color w:val="auto"/>
                <w:sz w:val="24"/>
                <w:highlight w:val="none"/>
                <w:lang w:val="en-US" w:eastAsia="zh-CN"/>
              </w:rPr>
              <w:t>0</w:t>
            </w:r>
            <w:r>
              <w:rPr>
                <w:rFonts w:hint="eastAsia" w:ascii="宋体" w:hAnsi="宋体" w:eastAsia="宋体" w:cs="宋体"/>
                <w:b w:val="0"/>
                <w:bCs w:val="0"/>
                <w:color w:val="auto"/>
                <w:sz w:val="24"/>
                <w:highlight w:val="none"/>
                <w:lang w:val="en-US" w:eastAsia="zh-CN"/>
              </w:rPr>
              <w:t>］的计算公式计算。</w:t>
            </w:r>
          </w:p>
          <w:p w14:paraId="1DE137D4">
            <w:pPr>
              <w:bidi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评审过程中，不得去掉报价中的最高报价和最低报价。</w:t>
            </w:r>
          </w:p>
        </w:tc>
        <w:tc>
          <w:tcPr>
            <w:tcW w:w="810" w:type="dxa"/>
            <w:vAlign w:val="center"/>
          </w:tcPr>
          <w:p w14:paraId="4A1B9CA9">
            <w:pPr>
              <w:bidi w:val="0"/>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0</w:t>
            </w:r>
          </w:p>
        </w:tc>
        <w:tc>
          <w:tcPr>
            <w:tcW w:w="1095" w:type="dxa"/>
            <w:vAlign w:val="center"/>
          </w:tcPr>
          <w:p w14:paraId="63B7E4B2">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p>
        </w:tc>
        <w:tc>
          <w:tcPr>
            <w:tcW w:w="1350" w:type="dxa"/>
            <w:vAlign w:val="center"/>
          </w:tcPr>
          <w:p w14:paraId="387192A0">
            <w:pPr>
              <w:bidi w:val="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5"/>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6CE4282E">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321FC0">
      <w:pPr>
        <w:pStyle w:val="395"/>
        <w:spacing w:before="0"/>
        <w:ind w:firstLine="480"/>
        <w:rPr>
          <w:rFonts w:asciiTheme="minorEastAsia" w:hAnsiTheme="minorEastAsia" w:eastAsiaTheme="minorEastAsia"/>
          <w:b/>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63CBAB6D">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5"/>
        <w:spacing w:before="0"/>
        <w:ind w:firstLine="0" w:firstLineChars="0"/>
        <w:rPr>
          <w:rFonts w:asciiTheme="minorEastAsia" w:hAnsiTheme="minorEastAsia" w:eastAsiaTheme="minorEastAsia"/>
          <w:b/>
          <w:color w:val="auto"/>
        </w:rPr>
      </w:pPr>
    </w:p>
    <w:p w14:paraId="64F5D5B1">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7"/>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7"/>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7"/>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7"/>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7"/>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5"/>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71"/>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2" w:name="第五部分"/>
      <w:bookmarkStart w:id="73"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4"/>
        <w:rPr>
          <w:rFonts w:asciiTheme="minorEastAsia" w:hAnsiTheme="minorEastAsia" w:eastAsiaTheme="minorEastAsia"/>
          <w:color w:val="auto"/>
          <w:szCs w:val="24"/>
        </w:rPr>
      </w:pPr>
    </w:p>
    <w:p w14:paraId="0A4884B3">
      <w:pPr>
        <w:pStyle w:val="284"/>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9"/>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74" w:name="_Toc15367"/>
      <w:bookmarkStart w:id="75" w:name="_Toc19273"/>
      <w:bookmarkStart w:id="76" w:name="_Toc22967"/>
      <w:bookmarkStart w:id="77" w:name="_Toc28855"/>
      <w:bookmarkStart w:id="78" w:name="_Toc20421"/>
      <w:r>
        <w:rPr>
          <w:rFonts w:ascii="宋体" w:hAnsi="宋体"/>
          <w:b/>
          <w:color w:val="auto"/>
          <w:sz w:val="24"/>
        </w:rPr>
        <w:t xml:space="preserve">1.1 </w:t>
      </w:r>
      <w:r>
        <w:rPr>
          <w:rFonts w:hint="eastAsia" w:ascii="宋体" w:hAnsi="宋体"/>
          <w:b/>
          <w:color w:val="auto"/>
          <w:sz w:val="24"/>
        </w:rPr>
        <w:t>合同组成部分</w:t>
      </w:r>
      <w:bookmarkEnd w:id="74"/>
      <w:bookmarkEnd w:id="75"/>
      <w:bookmarkEnd w:id="76"/>
      <w:bookmarkEnd w:id="77"/>
      <w:bookmarkEnd w:id="78"/>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9" w:name="_Toc6311"/>
      <w:bookmarkStart w:id="80" w:name="_Toc22185"/>
      <w:bookmarkStart w:id="81" w:name="_Toc2918"/>
      <w:bookmarkStart w:id="82" w:name="_Toc18585"/>
      <w:bookmarkStart w:id="83" w:name="_Toc6773"/>
      <w:r>
        <w:rPr>
          <w:rFonts w:ascii="宋体" w:hAnsi="宋体"/>
          <w:b/>
          <w:color w:val="auto"/>
          <w:sz w:val="24"/>
        </w:rPr>
        <w:t xml:space="preserve">1.2 </w:t>
      </w:r>
      <w:r>
        <w:rPr>
          <w:rFonts w:hint="eastAsia" w:ascii="宋体" w:hAnsi="宋体"/>
          <w:b/>
          <w:color w:val="auto"/>
          <w:sz w:val="24"/>
        </w:rPr>
        <w:t>标的</w:t>
      </w:r>
      <w:bookmarkEnd w:id="79"/>
      <w:bookmarkEnd w:id="80"/>
      <w:bookmarkEnd w:id="81"/>
      <w:bookmarkEnd w:id="82"/>
      <w:bookmarkEnd w:id="83"/>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3"/>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84" w:name="_Toc13918"/>
      <w:bookmarkStart w:id="85" w:name="_Toc5635"/>
      <w:bookmarkStart w:id="86" w:name="_Toc21124"/>
      <w:bookmarkStart w:id="87" w:name="_Toc4929"/>
      <w:bookmarkStart w:id="88"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84"/>
      <w:bookmarkEnd w:id="85"/>
      <w:bookmarkEnd w:id="86"/>
      <w:bookmarkEnd w:id="87"/>
      <w:bookmarkEnd w:id="88"/>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5"/>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5"/>
              <w:spacing w:line="560" w:lineRule="exact"/>
              <w:ind w:firstLine="200"/>
              <w:jc w:val="center"/>
              <w:rPr>
                <w:rFonts w:hAnsi="宋体"/>
                <w:color w:val="auto"/>
                <w:sz w:val="24"/>
                <w:szCs w:val="24"/>
              </w:rPr>
            </w:pPr>
          </w:p>
        </w:tc>
        <w:tc>
          <w:tcPr>
            <w:tcW w:w="3402" w:type="dxa"/>
            <w:vAlign w:val="center"/>
          </w:tcPr>
          <w:p w14:paraId="1AE19EBA">
            <w:pPr>
              <w:pStyle w:val="625"/>
              <w:spacing w:line="560" w:lineRule="exact"/>
              <w:ind w:firstLine="200"/>
              <w:jc w:val="center"/>
              <w:rPr>
                <w:rFonts w:hAnsi="宋体"/>
                <w:color w:val="auto"/>
                <w:sz w:val="24"/>
                <w:szCs w:val="24"/>
              </w:rPr>
            </w:pPr>
          </w:p>
        </w:tc>
        <w:tc>
          <w:tcPr>
            <w:tcW w:w="2552" w:type="dxa"/>
            <w:vAlign w:val="center"/>
          </w:tcPr>
          <w:p w14:paraId="0AA780BB">
            <w:pPr>
              <w:pStyle w:val="625"/>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5"/>
              <w:spacing w:line="560" w:lineRule="exact"/>
              <w:ind w:firstLine="200"/>
              <w:jc w:val="center"/>
              <w:rPr>
                <w:rFonts w:hAnsi="宋体"/>
                <w:color w:val="auto"/>
                <w:sz w:val="24"/>
                <w:szCs w:val="24"/>
              </w:rPr>
            </w:pPr>
          </w:p>
        </w:tc>
        <w:tc>
          <w:tcPr>
            <w:tcW w:w="3402" w:type="dxa"/>
            <w:vAlign w:val="center"/>
          </w:tcPr>
          <w:p w14:paraId="55798985">
            <w:pPr>
              <w:pStyle w:val="625"/>
              <w:spacing w:line="560" w:lineRule="exact"/>
              <w:ind w:firstLine="200"/>
              <w:jc w:val="center"/>
              <w:rPr>
                <w:rFonts w:hAnsi="宋体"/>
                <w:color w:val="auto"/>
                <w:sz w:val="24"/>
                <w:szCs w:val="24"/>
              </w:rPr>
            </w:pPr>
          </w:p>
        </w:tc>
        <w:tc>
          <w:tcPr>
            <w:tcW w:w="2552" w:type="dxa"/>
            <w:vAlign w:val="center"/>
          </w:tcPr>
          <w:p w14:paraId="6DFC9FC3">
            <w:pPr>
              <w:pStyle w:val="625"/>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5"/>
              <w:spacing w:line="560" w:lineRule="exact"/>
              <w:ind w:firstLine="200"/>
              <w:jc w:val="center"/>
              <w:rPr>
                <w:rFonts w:hAnsi="宋体"/>
                <w:color w:val="auto"/>
                <w:sz w:val="24"/>
                <w:szCs w:val="24"/>
              </w:rPr>
            </w:pPr>
          </w:p>
        </w:tc>
        <w:tc>
          <w:tcPr>
            <w:tcW w:w="3402" w:type="dxa"/>
            <w:vAlign w:val="center"/>
          </w:tcPr>
          <w:p w14:paraId="7278CA47">
            <w:pPr>
              <w:pStyle w:val="625"/>
              <w:spacing w:line="560" w:lineRule="exact"/>
              <w:ind w:firstLine="200"/>
              <w:jc w:val="center"/>
              <w:rPr>
                <w:rFonts w:hAnsi="宋体"/>
                <w:color w:val="auto"/>
                <w:sz w:val="24"/>
                <w:szCs w:val="24"/>
              </w:rPr>
            </w:pPr>
          </w:p>
        </w:tc>
        <w:tc>
          <w:tcPr>
            <w:tcW w:w="2552" w:type="dxa"/>
            <w:vAlign w:val="center"/>
          </w:tcPr>
          <w:p w14:paraId="66F6196C">
            <w:pPr>
              <w:pStyle w:val="625"/>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5"/>
              <w:spacing w:line="560" w:lineRule="exact"/>
              <w:ind w:firstLine="200"/>
              <w:jc w:val="center"/>
              <w:rPr>
                <w:rFonts w:hAnsi="宋体"/>
                <w:color w:val="auto"/>
                <w:sz w:val="24"/>
                <w:szCs w:val="24"/>
              </w:rPr>
            </w:pPr>
          </w:p>
        </w:tc>
        <w:tc>
          <w:tcPr>
            <w:tcW w:w="3402" w:type="dxa"/>
            <w:vAlign w:val="center"/>
          </w:tcPr>
          <w:p w14:paraId="5A5674AE">
            <w:pPr>
              <w:pStyle w:val="625"/>
              <w:spacing w:line="560" w:lineRule="exact"/>
              <w:ind w:firstLine="200"/>
              <w:jc w:val="center"/>
              <w:rPr>
                <w:rFonts w:hAnsi="宋体"/>
                <w:color w:val="auto"/>
                <w:sz w:val="24"/>
                <w:szCs w:val="24"/>
              </w:rPr>
            </w:pPr>
          </w:p>
        </w:tc>
        <w:tc>
          <w:tcPr>
            <w:tcW w:w="2552" w:type="dxa"/>
            <w:vAlign w:val="center"/>
          </w:tcPr>
          <w:p w14:paraId="3CD79D60">
            <w:pPr>
              <w:pStyle w:val="625"/>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5"/>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9" w:name="_Toc30158"/>
      <w:bookmarkStart w:id="90" w:name="_Toc30506"/>
      <w:bookmarkStart w:id="91" w:name="_Toc26916"/>
      <w:bookmarkStart w:id="92" w:name="_Toc14993"/>
      <w:bookmarkStart w:id="93"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9"/>
    <w:bookmarkEnd w:id="90"/>
    <w:bookmarkEnd w:id="91"/>
    <w:bookmarkEnd w:id="92"/>
    <w:bookmarkEnd w:id="93"/>
    <w:p w14:paraId="028AAC60">
      <w:pPr>
        <w:pStyle w:val="633"/>
        <w:spacing w:before="0" w:beforeAutospacing="0" w:after="0" w:afterAutospacing="0" w:line="360" w:lineRule="auto"/>
        <w:ind w:firstLine="480"/>
        <w:rPr>
          <w:b/>
          <w:color w:val="auto"/>
        </w:rPr>
      </w:pPr>
      <w:bookmarkStart w:id="94" w:name="_Toc10340"/>
      <w:bookmarkStart w:id="95" w:name="_Toc22618"/>
      <w:bookmarkStart w:id="96" w:name="_Toc1814"/>
      <w:bookmarkStart w:id="97" w:name="_Toc4760"/>
      <w:bookmarkStart w:id="98" w:name="_Toc8772"/>
      <w:bookmarkStart w:id="99" w:name="_Toc11108"/>
      <w:bookmarkStart w:id="100" w:name="_Toc31421"/>
      <w:bookmarkStart w:id="101" w:name="_Toc3625"/>
      <w:r>
        <w:rPr>
          <w:rFonts w:hint="eastAsia"/>
          <w:b/>
          <w:color w:val="auto"/>
        </w:rPr>
        <w:t>1.4履约保证金</w:t>
      </w:r>
    </w:p>
    <w:p w14:paraId="3840F63A">
      <w:pPr>
        <w:pStyle w:val="63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94"/>
      <w:bookmarkEnd w:id="95"/>
      <w:bookmarkEnd w:id="96"/>
      <w:r>
        <w:rPr>
          <w:rFonts w:hint="eastAsia" w:ascii="宋体" w:hAnsi="宋体" w:cs="宋体"/>
          <w:b/>
          <w:color w:val="auto"/>
          <w:sz w:val="24"/>
        </w:rPr>
        <w:t>预付款</w:t>
      </w:r>
    </w:p>
    <w:p w14:paraId="4A8F86C9">
      <w:pPr>
        <w:pStyle w:val="63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3"/>
        <w:spacing w:before="0" w:beforeAutospacing="0" w:after="0" w:afterAutospacing="0" w:line="360" w:lineRule="auto"/>
        <w:ind w:firstLine="480"/>
        <w:rPr>
          <w:b/>
          <w:bCs/>
          <w:color w:val="auto"/>
        </w:rPr>
      </w:pPr>
      <w:r>
        <w:rPr>
          <w:rFonts w:hint="eastAsia"/>
          <w:b/>
          <w:bCs/>
          <w:color w:val="auto"/>
        </w:rPr>
        <w:t>1.6资金支付</w:t>
      </w:r>
    </w:p>
    <w:p w14:paraId="3A3C220D">
      <w:pPr>
        <w:pStyle w:val="63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7"/>
      <w:bookmarkEnd w:id="98"/>
      <w:bookmarkEnd w:id="99"/>
      <w:bookmarkEnd w:id="100"/>
      <w:bookmarkEnd w:id="101"/>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102" w:name="_Toc5698"/>
      <w:bookmarkStart w:id="103" w:name="_Toc3079"/>
      <w:bookmarkStart w:id="104" w:name="_Toc24662"/>
      <w:bookmarkStart w:id="105" w:name="_Toc2375"/>
      <w:bookmarkStart w:id="106" w:name="_Toc8586"/>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02"/>
      <w:bookmarkEnd w:id="103"/>
      <w:bookmarkEnd w:id="104"/>
      <w:bookmarkEnd w:id="105"/>
      <w:bookmarkEnd w:id="106"/>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7" w:name="_Toc30329"/>
      <w:bookmarkStart w:id="108" w:name="_Toc32454"/>
      <w:bookmarkStart w:id="109" w:name="_Toc18683"/>
      <w:bookmarkStart w:id="110" w:name="_Toc9497"/>
      <w:bookmarkStart w:id="111"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7"/>
    <w:bookmarkEnd w:id="108"/>
    <w:bookmarkEnd w:id="109"/>
    <w:bookmarkEnd w:id="110"/>
    <w:bookmarkEnd w:id="111"/>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4"/>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12" w:name="_Toc5228"/>
      <w:bookmarkStart w:id="113" w:name="_Toc31297"/>
      <w:bookmarkStart w:id="114" w:name="_Toc14021"/>
      <w:bookmarkStart w:id="115" w:name="_Toc19680"/>
      <w:bookmarkStart w:id="116" w:name="_Toc25079"/>
      <w:r>
        <w:rPr>
          <w:rFonts w:ascii="宋体" w:hAnsi="宋体"/>
          <w:b/>
          <w:color w:val="auto"/>
          <w:sz w:val="24"/>
        </w:rPr>
        <w:t>2.1 定义</w:t>
      </w:r>
      <w:bookmarkEnd w:id="112"/>
      <w:bookmarkEnd w:id="113"/>
      <w:bookmarkEnd w:id="114"/>
      <w:bookmarkEnd w:id="115"/>
      <w:bookmarkEnd w:id="116"/>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7" w:name="_Toc16752"/>
      <w:bookmarkStart w:id="118" w:name="_Toc23289"/>
      <w:bookmarkStart w:id="119" w:name="_Toc19539"/>
      <w:bookmarkStart w:id="120" w:name="_Toc3769"/>
      <w:bookmarkStart w:id="121" w:name="_Toc31402"/>
      <w:r>
        <w:rPr>
          <w:rFonts w:ascii="宋体" w:hAnsi="宋体"/>
          <w:b/>
          <w:color w:val="auto"/>
          <w:sz w:val="24"/>
        </w:rPr>
        <w:t>2.2 技术规范</w:t>
      </w:r>
      <w:bookmarkEnd w:id="117"/>
      <w:bookmarkEnd w:id="118"/>
      <w:bookmarkEnd w:id="119"/>
      <w:bookmarkEnd w:id="120"/>
      <w:bookmarkEnd w:id="121"/>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22" w:name="_Toc12412"/>
      <w:bookmarkStart w:id="123" w:name="_Toc27945"/>
      <w:bookmarkStart w:id="124" w:name="_Toc9161"/>
      <w:bookmarkStart w:id="125" w:name="_Toc13673"/>
      <w:bookmarkStart w:id="126" w:name="_Toc4133"/>
      <w:r>
        <w:rPr>
          <w:rFonts w:ascii="宋体" w:hAnsi="宋体"/>
          <w:b/>
          <w:color w:val="auto"/>
          <w:sz w:val="24"/>
        </w:rPr>
        <w:t>2.3 知识产权</w:t>
      </w:r>
      <w:bookmarkEnd w:id="122"/>
      <w:bookmarkEnd w:id="123"/>
      <w:bookmarkEnd w:id="124"/>
      <w:bookmarkEnd w:id="125"/>
      <w:bookmarkEnd w:id="126"/>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7" w:name="_Toc22011"/>
      <w:bookmarkStart w:id="128" w:name="_Toc26555"/>
      <w:bookmarkStart w:id="129" w:name="_Toc31233"/>
      <w:bookmarkStart w:id="130" w:name="_Toc32670"/>
      <w:bookmarkStart w:id="131" w:name="_Toc15447"/>
      <w:r>
        <w:rPr>
          <w:rFonts w:ascii="宋体" w:hAnsi="宋体"/>
          <w:b/>
          <w:color w:val="auto"/>
          <w:sz w:val="24"/>
        </w:rPr>
        <w:t>2.5 结算方式和付款条件</w:t>
      </w:r>
      <w:bookmarkEnd w:id="127"/>
      <w:bookmarkEnd w:id="128"/>
      <w:bookmarkEnd w:id="129"/>
      <w:bookmarkEnd w:id="130"/>
      <w:bookmarkEnd w:id="131"/>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32" w:name="_Toc16163"/>
      <w:bookmarkStart w:id="133" w:name="_Toc30507"/>
      <w:bookmarkStart w:id="134" w:name="_Toc13467"/>
      <w:bookmarkStart w:id="135" w:name="_Toc18990"/>
      <w:bookmarkStart w:id="136" w:name="_Toc13154"/>
      <w:r>
        <w:rPr>
          <w:rFonts w:ascii="宋体" w:hAnsi="宋体"/>
          <w:b/>
          <w:color w:val="auto"/>
          <w:sz w:val="24"/>
        </w:rPr>
        <w:t>2.6 技术资料和保密义务</w:t>
      </w:r>
      <w:bookmarkEnd w:id="132"/>
      <w:bookmarkEnd w:id="133"/>
      <w:bookmarkEnd w:id="134"/>
      <w:bookmarkEnd w:id="135"/>
      <w:bookmarkEnd w:id="136"/>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7" w:name="_Toc19069"/>
      <w:r>
        <w:rPr>
          <w:rFonts w:ascii="宋体" w:hAnsi="宋体"/>
          <w:b/>
          <w:color w:val="auto"/>
          <w:sz w:val="24"/>
        </w:rPr>
        <w:t xml:space="preserve">2.7 </w:t>
      </w:r>
      <w:r>
        <w:rPr>
          <w:rFonts w:hint="eastAsia" w:ascii="宋体" w:hAnsi="宋体"/>
          <w:b/>
          <w:color w:val="auto"/>
          <w:sz w:val="24"/>
        </w:rPr>
        <w:t>质量保证</w:t>
      </w:r>
      <w:bookmarkEnd w:id="137"/>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8" w:name="_Toc22267"/>
      <w:r>
        <w:rPr>
          <w:rFonts w:ascii="宋体" w:hAnsi="宋体"/>
          <w:b/>
          <w:color w:val="auto"/>
          <w:sz w:val="24"/>
        </w:rPr>
        <w:t xml:space="preserve">2.8 </w:t>
      </w:r>
      <w:r>
        <w:rPr>
          <w:rFonts w:hint="eastAsia" w:ascii="宋体" w:hAnsi="宋体"/>
          <w:b/>
          <w:color w:val="auto"/>
          <w:sz w:val="24"/>
        </w:rPr>
        <w:t>延迟履行</w:t>
      </w:r>
      <w:bookmarkEnd w:id="138"/>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9" w:name="_Toc10611"/>
      <w:r>
        <w:rPr>
          <w:rFonts w:ascii="宋体" w:hAnsi="宋体"/>
          <w:b/>
          <w:color w:val="auto"/>
          <w:sz w:val="24"/>
        </w:rPr>
        <w:t xml:space="preserve">2.9 </w:t>
      </w:r>
      <w:r>
        <w:rPr>
          <w:rFonts w:hint="eastAsia" w:ascii="宋体" w:hAnsi="宋体"/>
          <w:b/>
          <w:color w:val="auto"/>
          <w:sz w:val="24"/>
        </w:rPr>
        <w:t>合同变更</w:t>
      </w:r>
      <w:bookmarkEnd w:id="139"/>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40" w:name="_Toc10663"/>
      <w:bookmarkStart w:id="141" w:name="_Toc21830"/>
      <w:bookmarkStart w:id="142" w:name="_Toc23368"/>
      <w:bookmarkStart w:id="143" w:name="_Toc26689"/>
      <w:bookmarkStart w:id="144" w:name="_Toc42"/>
      <w:r>
        <w:rPr>
          <w:rFonts w:ascii="宋体" w:hAnsi="宋体"/>
          <w:b/>
          <w:color w:val="auto"/>
          <w:sz w:val="24"/>
        </w:rPr>
        <w:t>2.10 合同转让和分包</w:t>
      </w:r>
      <w:bookmarkEnd w:id="140"/>
      <w:bookmarkEnd w:id="141"/>
      <w:bookmarkEnd w:id="142"/>
      <w:bookmarkEnd w:id="143"/>
      <w:bookmarkEnd w:id="144"/>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45" w:name="_Toc25571"/>
      <w:bookmarkStart w:id="146" w:name="_Toc26633"/>
      <w:bookmarkStart w:id="147" w:name="_Toc4720"/>
      <w:bookmarkStart w:id="148" w:name="_Toc32494"/>
      <w:bookmarkStart w:id="149" w:name="_Toc14371"/>
      <w:r>
        <w:rPr>
          <w:rFonts w:ascii="宋体" w:hAnsi="宋体"/>
          <w:b/>
          <w:color w:val="auto"/>
          <w:sz w:val="24"/>
        </w:rPr>
        <w:t>2.11 不可抗力</w:t>
      </w:r>
      <w:bookmarkEnd w:id="145"/>
      <w:bookmarkEnd w:id="146"/>
      <w:bookmarkEnd w:id="147"/>
      <w:bookmarkEnd w:id="148"/>
      <w:bookmarkEnd w:id="149"/>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50" w:name="_Toc3638"/>
      <w:bookmarkStart w:id="151" w:name="_Toc14115"/>
      <w:bookmarkStart w:id="152" w:name="_Toc24465"/>
      <w:bookmarkStart w:id="153" w:name="_Toc23854"/>
      <w:bookmarkStart w:id="154" w:name="_Toc25783"/>
      <w:r>
        <w:rPr>
          <w:rFonts w:ascii="宋体" w:hAnsi="宋体"/>
          <w:b/>
          <w:color w:val="auto"/>
          <w:sz w:val="24"/>
        </w:rPr>
        <w:t>2.12 税费</w:t>
      </w:r>
      <w:bookmarkEnd w:id="150"/>
      <w:bookmarkEnd w:id="151"/>
      <w:bookmarkEnd w:id="152"/>
      <w:bookmarkEnd w:id="153"/>
      <w:bookmarkEnd w:id="154"/>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55" w:name="_Toc14814"/>
      <w:bookmarkStart w:id="156" w:name="_Toc25525"/>
      <w:bookmarkStart w:id="157" w:name="_Toc30105"/>
      <w:bookmarkStart w:id="158" w:name="_Toc26883"/>
      <w:bookmarkStart w:id="159" w:name="_Toc7315"/>
      <w:r>
        <w:rPr>
          <w:rFonts w:ascii="宋体" w:hAnsi="宋体"/>
          <w:b/>
          <w:color w:val="auto"/>
          <w:sz w:val="24"/>
        </w:rPr>
        <w:t>2.13 乙方破产</w:t>
      </w:r>
      <w:bookmarkEnd w:id="155"/>
      <w:bookmarkEnd w:id="156"/>
      <w:bookmarkEnd w:id="157"/>
      <w:bookmarkEnd w:id="158"/>
      <w:bookmarkEnd w:id="159"/>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60" w:name="_Toc2016"/>
      <w:bookmarkStart w:id="161" w:name="_Toc1123"/>
      <w:bookmarkStart w:id="162" w:name="_Toc23323"/>
      <w:r>
        <w:rPr>
          <w:rFonts w:ascii="宋体" w:hAnsi="宋体"/>
          <w:b/>
          <w:color w:val="auto"/>
          <w:sz w:val="24"/>
        </w:rPr>
        <w:t>2.14 合同中止、终止</w:t>
      </w:r>
      <w:bookmarkEnd w:id="160"/>
      <w:bookmarkEnd w:id="161"/>
      <w:bookmarkEnd w:id="162"/>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63" w:name="_Toc1969"/>
      <w:bookmarkStart w:id="164" w:name="_Toc17363"/>
      <w:bookmarkStart w:id="165" w:name="_Toc14525"/>
      <w:r>
        <w:rPr>
          <w:rFonts w:ascii="宋体" w:hAnsi="宋体"/>
          <w:b/>
          <w:color w:val="auto"/>
          <w:sz w:val="24"/>
        </w:rPr>
        <w:t>2.15 检验和验收</w:t>
      </w:r>
      <w:bookmarkEnd w:id="163"/>
      <w:bookmarkEnd w:id="164"/>
      <w:bookmarkEnd w:id="165"/>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6" w:name="_Toc12666"/>
      <w:bookmarkStart w:id="167" w:name="_Toc25198"/>
      <w:bookmarkStart w:id="168" w:name="_Toc2308"/>
      <w:bookmarkStart w:id="169" w:name="_Toc31892"/>
      <w:bookmarkStart w:id="170" w:name="_Toc9808"/>
      <w:r>
        <w:rPr>
          <w:rFonts w:ascii="宋体" w:hAnsi="宋体"/>
          <w:b/>
          <w:color w:val="auto"/>
          <w:sz w:val="24"/>
        </w:rPr>
        <w:t>2.16 通知和送达</w:t>
      </w:r>
      <w:bookmarkEnd w:id="166"/>
      <w:bookmarkEnd w:id="167"/>
      <w:bookmarkEnd w:id="168"/>
      <w:bookmarkEnd w:id="169"/>
      <w:bookmarkEnd w:id="170"/>
    </w:p>
    <w:p w14:paraId="53F924AC">
      <w:pPr>
        <w:spacing w:line="560" w:lineRule="exact"/>
        <w:ind w:firstLine="480" w:firstLineChars="200"/>
        <w:rPr>
          <w:rFonts w:ascii="宋体" w:hAnsi="宋体"/>
          <w:color w:val="auto"/>
          <w:sz w:val="24"/>
        </w:rPr>
      </w:pPr>
      <w:bookmarkStart w:id="171" w:name="_Toc27674"/>
      <w:bookmarkStart w:id="172"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71"/>
      <w:bookmarkEnd w:id="172"/>
    </w:p>
    <w:p w14:paraId="6CB0F3AB">
      <w:pPr>
        <w:spacing w:line="560" w:lineRule="exact"/>
        <w:ind w:firstLine="482" w:firstLineChars="200"/>
        <w:outlineLvl w:val="0"/>
        <w:rPr>
          <w:rFonts w:ascii="宋体" w:hAnsi="宋体"/>
          <w:b/>
          <w:color w:val="auto"/>
          <w:sz w:val="24"/>
        </w:rPr>
      </w:pPr>
      <w:bookmarkStart w:id="173" w:name="_Toc12254"/>
      <w:bookmarkStart w:id="174" w:name="_Toc5063"/>
      <w:bookmarkStart w:id="175" w:name="_Toc28906"/>
      <w:bookmarkStart w:id="176" w:name="_Toc27644"/>
      <w:bookmarkStart w:id="177"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73"/>
      <w:bookmarkEnd w:id="174"/>
      <w:bookmarkEnd w:id="175"/>
      <w:bookmarkEnd w:id="176"/>
      <w:bookmarkEnd w:id="177"/>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2"/>
      <w:r>
        <w:rPr>
          <w:rFonts w:hint="eastAsia" w:cs="仿宋_GB2312" w:asciiTheme="minorEastAsia" w:hAnsiTheme="minorEastAsia" w:eastAsiaTheme="minorEastAsia"/>
          <w:b/>
          <w:color w:val="auto"/>
          <w:sz w:val="36"/>
          <w:szCs w:val="20"/>
        </w:rPr>
        <w:t xml:space="preserve">  </w:t>
      </w:r>
      <w:bookmarkEnd w:id="73"/>
      <w:r>
        <w:rPr>
          <w:rFonts w:hint="eastAsia" w:cs="仿宋_GB2312" w:asciiTheme="minorEastAsia" w:hAnsiTheme="minorEastAsia" w:eastAsiaTheme="minorEastAsia"/>
          <w:b/>
          <w:color w:val="auto"/>
          <w:sz w:val="36"/>
          <w:szCs w:val="20"/>
        </w:rPr>
        <w:t>应提交的有关格式范例</w:t>
      </w:r>
    </w:p>
    <w:p w14:paraId="0206DECA">
      <w:pPr>
        <w:spacing w:line="360" w:lineRule="auto"/>
        <w:jc w:val="center"/>
        <w:outlineLvl w:val="0"/>
        <w:rPr>
          <w:rFonts w:hint="eastAsia"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…………………………………………………（页码）</w:t>
      </w:r>
    </w:p>
    <w:p w14:paraId="6AABE1E4">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27651B60">
      <w:pPr>
        <w:spacing w:line="360" w:lineRule="auto"/>
        <w:rPr>
          <w:rFonts w:hint="eastAsia" w:cs="仿宋_GB2312" w:asciiTheme="minorEastAsia" w:hAnsiTheme="minorEastAsia" w:eastAsiaTheme="minorEastAsia"/>
          <w:b/>
          <w:bCs/>
          <w:color w:val="auto"/>
          <w:sz w:val="24"/>
        </w:rPr>
      </w:pP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sz w:val="36"/>
          <w:szCs w:val="36"/>
        </w:rPr>
        <w:br w:type="page"/>
      </w:r>
    </w:p>
    <w:p w14:paraId="4F5D4B89">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D9CB7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FA64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906571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084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B157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8598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882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9A4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4557C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2E5C0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EB78E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3CB3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569B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0A6DE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9A97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9FE575">
      <w:pPr>
        <w:snapToGrid w:val="0"/>
        <w:spacing w:line="360" w:lineRule="auto"/>
        <w:ind w:right="480"/>
        <w:jc w:val="center"/>
        <w:rPr>
          <w:rFonts w:ascii="宋体" w:hAnsi="宋体" w:cs="宋体"/>
          <w:b/>
          <w:color w:val="auto"/>
          <w:kern w:val="0"/>
          <w:sz w:val="32"/>
          <w:szCs w:val="32"/>
          <w:highlight w:val="none"/>
        </w:rPr>
      </w:pPr>
    </w:p>
    <w:p w14:paraId="0ED67A00">
      <w:pPr>
        <w:snapToGrid w:val="0"/>
        <w:spacing w:line="360" w:lineRule="auto"/>
        <w:ind w:right="480"/>
        <w:jc w:val="center"/>
        <w:rPr>
          <w:rFonts w:ascii="宋体" w:hAnsi="宋体" w:cs="宋体"/>
          <w:b/>
          <w:color w:val="auto"/>
          <w:kern w:val="0"/>
          <w:sz w:val="32"/>
          <w:szCs w:val="32"/>
          <w:highlight w:val="none"/>
        </w:rPr>
      </w:pPr>
    </w:p>
    <w:p w14:paraId="66B4B3F7">
      <w:pPr>
        <w:snapToGrid w:val="0"/>
        <w:spacing w:line="360" w:lineRule="auto"/>
        <w:ind w:right="480"/>
        <w:jc w:val="center"/>
        <w:rPr>
          <w:rFonts w:ascii="宋体" w:hAnsi="宋体" w:cs="宋体"/>
          <w:b/>
          <w:color w:val="auto"/>
          <w:kern w:val="0"/>
          <w:sz w:val="32"/>
          <w:szCs w:val="32"/>
          <w:highlight w:val="none"/>
        </w:rPr>
      </w:pPr>
    </w:p>
    <w:p w14:paraId="5678E014">
      <w:pPr>
        <w:rPr>
          <w:rFonts w:ascii="宋体" w:hAnsi="宋体" w:cs="宋体"/>
          <w:color w:val="auto"/>
          <w:highlight w:val="none"/>
        </w:rPr>
      </w:pPr>
    </w:p>
    <w:p w14:paraId="7D44F9B5">
      <w:pPr>
        <w:snapToGrid w:val="0"/>
        <w:spacing w:line="360" w:lineRule="auto"/>
        <w:ind w:right="480"/>
        <w:jc w:val="center"/>
        <w:rPr>
          <w:rFonts w:ascii="宋体" w:hAnsi="宋体" w:cs="宋体"/>
          <w:b/>
          <w:color w:val="auto"/>
          <w:kern w:val="0"/>
          <w:sz w:val="32"/>
          <w:szCs w:val="32"/>
          <w:highlight w:val="none"/>
        </w:rPr>
      </w:pPr>
    </w:p>
    <w:p w14:paraId="0D3A1F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4B6B1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7F2BA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0273BD0">
      <w:pPr>
        <w:snapToGrid w:val="0"/>
        <w:spacing w:line="360" w:lineRule="auto"/>
        <w:ind w:right="480"/>
        <w:jc w:val="center"/>
        <w:rPr>
          <w:rFonts w:ascii="宋体" w:hAnsi="宋体" w:cs="宋体"/>
          <w:b/>
          <w:color w:val="auto"/>
          <w:kern w:val="0"/>
          <w:sz w:val="32"/>
          <w:szCs w:val="32"/>
          <w:highlight w:val="none"/>
        </w:rPr>
      </w:pPr>
    </w:p>
    <w:p w14:paraId="51A4787C">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1E838EE5">
      <w:pPr>
        <w:pStyle w:val="637"/>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提供有效的营业执照复印件并加盖公司公章；事业单位的，则提供有效的《事业单位法人证书》副本复印件并加盖单位公章。</w:t>
      </w:r>
    </w:p>
    <w:p w14:paraId="37961164">
      <w:pPr>
        <w:snapToGrid w:val="0"/>
        <w:spacing w:line="360" w:lineRule="auto"/>
        <w:ind w:right="480"/>
        <w:jc w:val="center"/>
        <w:rPr>
          <w:rFonts w:ascii="宋体" w:hAnsi="宋体" w:cs="宋体"/>
          <w:b/>
          <w:color w:val="auto"/>
          <w:kern w:val="0"/>
          <w:sz w:val="32"/>
          <w:szCs w:val="32"/>
          <w:highlight w:val="none"/>
        </w:rPr>
      </w:pPr>
    </w:p>
    <w:p w14:paraId="38F511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、落实政府采购政策需满足的资格要求（如果有）</w:t>
      </w:r>
    </w:p>
    <w:p w14:paraId="00C90DD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FFBA9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5C4345">
      <w:pPr>
        <w:widowControl/>
        <w:spacing w:line="360" w:lineRule="auto"/>
        <w:ind w:firstLine="480"/>
        <w:jc w:val="left"/>
        <w:rPr>
          <w:rFonts w:ascii="宋体" w:hAnsi="宋体" w:cs="宋体"/>
          <w:color w:val="auto"/>
          <w:sz w:val="24"/>
          <w:highlight w:val="none"/>
        </w:rPr>
      </w:pPr>
    </w:p>
    <w:p w14:paraId="3CED783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8F203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AB76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D331AF">
      <w:pPr>
        <w:widowControl/>
        <w:spacing w:line="360" w:lineRule="auto"/>
        <w:ind w:left="150"/>
        <w:jc w:val="center"/>
        <w:rPr>
          <w:rFonts w:ascii="宋体" w:hAnsi="宋体" w:cs="宋体"/>
          <w:b/>
          <w:color w:val="auto"/>
          <w:kern w:val="0"/>
          <w:sz w:val="32"/>
          <w:szCs w:val="32"/>
          <w:highlight w:val="none"/>
        </w:rPr>
      </w:pPr>
    </w:p>
    <w:p w14:paraId="72AAA3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、本项目的特定资格要求（如果有）</w:t>
      </w:r>
    </w:p>
    <w:p w14:paraId="1F22A2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264CBA">
      <w:pPr>
        <w:rPr>
          <w:rFonts w:cs="仿宋_GB2312" w:asciiTheme="minorEastAsia" w:hAnsiTheme="minorEastAsia" w:eastAsiaTheme="minorEastAsia"/>
          <w:color w:val="auto"/>
          <w:kern w:val="2"/>
          <w:sz w:val="32"/>
          <w:szCs w:val="32"/>
        </w:rPr>
      </w:pPr>
      <w:r>
        <w:rPr>
          <w:rFonts w:cs="仿宋_GB2312" w:asciiTheme="minorEastAsia" w:hAnsiTheme="minorEastAsia" w:eastAsiaTheme="minorEastAsia"/>
          <w:color w:val="auto"/>
          <w:kern w:val="2"/>
          <w:sz w:val="32"/>
          <w:szCs w:val="32"/>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6513CB">
      <w:pPr>
        <w:numPr>
          <w:ilvl w:val="0"/>
          <w:numId w:val="0"/>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C1A1BA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CD46E5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4F0A00D1">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78" w:name="_Hlk101257010"/>
      <w:r>
        <w:rPr>
          <w:rFonts w:hint="eastAsia" w:ascii="宋体" w:hAnsi="宋体" w:cs="宋体"/>
          <w:color w:val="auto"/>
          <w:sz w:val="24"/>
          <w:highlight w:val="none"/>
        </w:rPr>
        <w:t>（如果有)</w:t>
      </w:r>
      <w:bookmarkEnd w:id="17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6FF218B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8664A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62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62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62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044AB514">
      <w:pPr>
        <w:snapToGrid w:val="0"/>
        <w:spacing w:line="360" w:lineRule="auto"/>
        <w:ind w:right="480"/>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6E8546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1"/>
        <w:rPr>
          <w:color w:val="auto"/>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EEB07C">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71EE564">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5" w:type="first"/>
          <w:footerReference r:id="rId18" w:type="first"/>
          <w:headerReference r:id="rId14" w:type="default"/>
          <w:footerReference r:id="rId16" w:type="default"/>
          <w:footerReference r:id="rId17" w:type="even"/>
          <w:pgSz w:w="11906" w:h="16838"/>
          <w:pgMar w:top="779" w:right="1418" w:bottom="468" w:left="1418" w:header="851" w:footer="992" w:gutter="0"/>
          <w:pgNumType w:fmt="decimal"/>
          <w:cols w:space="720" w:num="1"/>
          <w:titlePg/>
          <w:docGrid w:linePitch="312" w:charSpace="0"/>
        </w:sectPr>
      </w:pPr>
    </w:p>
    <w:p w14:paraId="11B9D219">
      <w:pPr>
        <w:pStyle w:val="11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93A0663">
      <w:pPr>
        <w:snapToGrid w:val="0"/>
        <w:spacing w:line="360" w:lineRule="auto"/>
        <w:ind w:firstLine="480" w:firstLineChars="200"/>
        <w:jc w:val="left"/>
        <w:rPr>
          <w:rFonts w:hint="eastAsia" w:ascii="宋体" w:hAnsi="宋体" w:cs="宋体"/>
          <w:color w:val="auto"/>
          <w:kern w:val="0"/>
          <w:sz w:val="24"/>
          <w:highlight w:val="none"/>
          <w:lang w:val="zh-CN"/>
        </w:rPr>
        <w:sectPr>
          <w:pgSz w:w="16838" w:h="11906" w:orient="landscape"/>
          <w:pgMar w:top="1418" w:right="779" w:bottom="1418" w:left="468" w:header="851" w:footer="992" w:gutter="0"/>
          <w:pgNumType w:fmt="decimal"/>
          <w:cols w:space="720" w:num="1"/>
          <w:titlePg/>
          <w:docGrid w:linePitch="312" w:charSpace="0"/>
        </w:sect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995715E">
      <w:pPr>
        <w:pStyle w:val="11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634"/>
        <w:rPr>
          <w:rFonts w:hint="eastAsia" w:ascii="宋体" w:hAnsi="宋体" w:cs="宋体"/>
          <w:b/>
          <w:color w:val="auto"/>
          <w:sz w:val="24"/>
          <w:highlight w:val="none"/>
        </w:rPr>
      </w:pPr>
    </w:p>
    <w:p w14:paraId="1AA2EA6C">
      <w:pPr>
        <w:pStyle w:val="634"/>
        <w:rPr>
          <w:rFonts w:hint="eastAsia" w:ascii="宋体" w:hAnsi="宋体" w:cs="宋体"/>
          <w:b/>
          <w:color w:val="auto"/>
          <w:sz w:val="24"/>
          <w:highlight w:val="none"/>
        </w:rPr>
      </w:pPr>
    </w:p>
    <w:p w14:paraId="4AF87534">
      <w:pPr>
        <w:pStyle w:val="11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179" w:name="OLE_LINK13"/>
      <w:bookmarkStart w:id="180" w:name="OLE_LINK14"/>
      <w:r>
        <w:rPr>
          <w:rFonts w:hint="eastAsia" w:ascii="宋体" w:hAnsi="宋体" w:cs="宋体"/>
          <w:b/>
          <w:color w:val="auto"/>
          <w:spacing w:val="6"/>
          <w:sz w:val="32"/>
          <w:szCs w:val="32"/>
          <w:highlight w:val="none"/>
        </w:rPr>
        <w:t>残疾人福利性单位声明函</w:t>
      </w:r>
    </w:p>
    <w:bookmarkEnd w:id="179"/>
    <w:bookmarkEnd w:id="18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D9639D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9D35B8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3EE106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5AD9D38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8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8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8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8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8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8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2F1AC7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6CFF11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3A84AE">
      <w:pPr>
        <w:pStyle w:val="25"/>
        <w:rPr>
          <w:rFonts w:hint="eastAsia"/>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04C000" w:usb3="00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8"/>
      <w:framePr w:wrap="around" w:vAnchor="text" w:hAnchor="margin" w:xAlign="right" w:y="1"/>
      <w:rPr>
        <w:rStyle w:val="64"/>
      </w:rPr>
    </w:pPr>
    <w:r>
      <w:fldChar w:fldCharType="begin"/>
    </w:r>
    <w:r>
      <w:rPr>
        <w:rStyle w:val="64"/>
      </w:rPr>
      <w:instrText xml:space="preserve">PAGE  </w:instrText>
    </w:r>
    <w:r>
      <w:fldChar w:fldCharType="end"/>
    </w:r>
  </w:p>
  <w:p w14:paraId="65FC6C0A">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84" w:name="_Toc131845147"/>
    <w:bookmarkStart w:id="185" w:name="_Toc91899912"/>
    <w:bookmarkStart w:id="186" w:name="_Toc164085800"/>
    <w:bookmarkStart w:id="187" w:name="_Toc36110187"/>
    <w:r>
      <w:rPr>
        <w:rFonts w:hint="eastAsia" w:ascii="仿宋_GB2312" w:eastAsia="仿宋_GB2312"/>
        <w:kern w:val="0"/>
        <w:szCs w:val="21"/>
      </w:rPr>
      <w:t xml:space="preserve"> 页</w:t>
    </w:r>
    <w:bookmarkEnd w:id="184"/>
    <w:bookmarkEnd w:id="185"/>
    <w:bookmarkEnd w:id="186"/>
    <w:bookmarkEnd w:id="1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E7403">
                          <w:pPr>
                            <w:pStyle w:val="38"/>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D0E7403">
                    <w:pPr>
                      <w:pStyle w:val="38"/>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A6370">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20A6370">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3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39"/>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39"/>
    </w:pPr>
    <w:r>
      <w:t></w:t>
    </w:r>
    <w:r>
      <w:rPr>
        <w:rFonts w:hint="eastAsia"/>
      </w:rPr>
      <w:t xml:space="preserve">         </w:t>
    </w:r>
  </w:p>
  <w:p w14:paraId="6F97612A">
    <w:pPr>
      <w:pStyle w:val="3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39"/>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3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rPr>
    </w:pPr>
    <w:r>
      <w:rPr>
        <w:rFonts w:hint="eastAsia" w:eastAsia="仿宋_GB2312"/>
        <w:i/>
        <w:iCs/>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rPr>
    </w:pPr>
    <w:r>
      <w:rPr>
        <w:rFonts w:hint="eastAsia" w:eastAsia="仿宋_GB2312"/>
        <w:i/>
        <w:iCs/>
      </w:rPr>
      <w:t>杭州市政府采购竞争性磋商文件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3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zgzZjQ2Y2I2ZjQzM2EzMmVkOGFhZjA5YzFjMm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186A33"/>
    <w:rsid w:val="02DA0C0E"/>
    <w:rsid w:val="03766107"/>
    <w:rsid w:val="03795BF7"/>
    <w:rsid w:val="03DD35E4"/>
    <w:rsid w:val="04E32E9B"/>
    <w:rsid w:val="04F419D9"/>
    <w:rsid w:val="058A7C48"/>
    <w:rsid w:val="065A6178"/>
    <w:rsid w:val="074E5106"/>
    <w:rsid w:val="075562B7"/>
    <w:rsid w:val="07AD40C1"/>
    <w:rsid w:val="07E8312C"/>
    <w:rsid w:val="07F6164B"/>
    <w:rsid w:val="087A1B7A"/>
    <w:rsid w:val="08E65ADD"/>
    <w:rsid w:val="08F06627"/>
    <w:rsid w:val="093525C0"/>
    <w:rsid w:val="096B2097"/>
    <w:rsid w:val="096F3E32"/>
    <w:rsid w:val="097F383C"/>
    <w:rsid w:val="098B235F"/>
    <w:rsid w:val="0A5B7E63"/>
    <w:rsid w:val="0A93759F"/>
    <w:rsid w:val="0ACA55D0"/>
    <w:rsid w:val="0ACD4199"/>
    <w:rsid w:val="0B3C19E4"/>
    <w:rsid w:val="0C87121B"/>
    <w:rsid w:val="0D2C7836"/>
    <w:rsid w:val="0DF702FE"/>
    <w:rsid w:val="0E3F698B"/>
    <w:rsid w:val="0E8975EF"/>
    <w:rsid w:val="0E9B2EC6"/>
    <w:rsid w:val="0F21508F"/>
    <w:rsid w:val="0F816ACD"/>
    <w:rsid w:val="0FB94501"/>
    <w:rsid w:val="100B407B"/>
    <w:rsid w:val="10B047CF"/>
    <w:rsid w:val="10FC16EA"/>
    <w:rsid w:val="118963A1"/>
    <w:rsid w:val="127723A9"/>
    <w:rsid w:val="12BF600D"/>
    <w:rsid w:val="13072A44"/>
    <w:rsid w:val="132F6A72"/>
    <w:rsid w:val="13897791"/>
    <w:rsid w:val="13F05A62"/>
    <w:rsid w:val="142D34E3"/>
    <w:rsid w:val="145044FA"/>
    <w:rsid w:val="14A625C4"/>
    <w:rsid w:val="15474F0A"/>
    <w:rsid w:val="15826B8D"/>
    <w:rsid w:val="16163B51"/>
    <w:rsid w:val="162D4D4B"/>
    <w:rsid w:val="178642C9"/>
    <w:rsid w:val="186742B0"/>
    <w:rsid w:val="1AF13750"/>
    <w:rsid w:val="1B043BA1"/>
    <w:rsid w:val="1B2A271F"/>
    <w:rsid w:val="1B890139"/>
    <w:rsid w:val="1D266CE1"/>
    <w:rsid w:val="1D3963AF"/>
    <w:rsid w:val="1D81597C"/>
    <w:rsid w:val="1E714A66"/>
    <w:rsid w:val="1EF65EF6"/>
    <w:rsid w:val="1FE868A9"/>
    <w:rsid w:val="200547B4"/>
    <w:rsid w:val="202F346E"/>
    <w:rsid w:val="204A2F8F"/>
    <w:rsid w:val="211E26D6"/>
    <w:rsid w:val="21283D08"/>
    <w:rsid w:val="220821C8"/>
    <w:rsid w:val="230F7587"/>
    <w:rsid w:val="24555570"/>
    <w:rsid w:val="25007ACF"/>
    <w:rsid w:val="25B440B3"/>
    <w:rsid w:val="280D5870"/>
    <w:rsid w:val="29DF7CB3"/>
    <w:rsid w:val="2A5A37DD"/>
    <w:rsid w:val="2AA1365A"/>
    <w:rsid w:val="2B30453E"/>
    <w:rsid w:val="2D0B0DBF"/>
    <w:rsid w:val="2D601FCA"/>
    <w:rsid w:val="2D8D21DF"/>
    <w:rsid w:val="2D994FB5"/>
    <w:rsid w:val="2DC25921"/>
    <w:rsid w:val="2DC46415"/>
    <w:rsid w:val="2DD15014"/>
    <w:rsid w:val="2DDB7535"/>
    <w:rsid w:val="2DF3639E"/>
    <w:rsid w:val="2F4A2072"/>
    <w:rsid w:val="2F6D5D61"/>
    <w:rsid w:val="2FB44A0F"/>
    <w:rsid w:val="2FD25781"/>
    <w:rsid w:val="30CD2F5B"/>
    <w:rsid w:val="310B5831"/>
    <w:rsid w:val="319C6071"/>
    <w:rsid w:val="31A905EB"/>
    <w:rsid w:val="322E1CFE"/>
    <w:rsid w:val="32DB72BE"/>
    <w:rsid w:val="342E63AB"/>
    <w:rsid w:val="345D260B"/>
    <w:rsid w:val="34737FC2"/>
    <w:rsid w:val="34963664"/>
    <w:rsid w:val="36156A40"/>
    <w:rsid w:val="364C2B74"/>
    <w:rsid w:val="365302AE"/>
    <w:rsid w:val="370945C1"/>
    <w:rsid w:val="37555A58"/>
    <w:rsid w:val="37F142D2"/>
    <w:rsid w:val="38E30E42"/>
    <w:rsid w:val="39A13F14"/>
    <w:rsid w:val="3A1B5897"/>
    <w:rsid w:val="3A52627F"/>
    <w:rsid w:val="3B3168F3"/>
    <w:rsid w:val="3B6A5AD3"/>
    <w:rsid w:val="3B79C5FC"/>
    <w:rsid w:val="3C3A521C"/>
    <w:rsid w:val="3C5F759A"/>
    <w:rsid w:val="3D5C78D4"/>
    <w:rsid w:val="3DBC05DF"/>
    <w:rsid w:val="3DEE31B7"/>
    <w:rsid w:val="3E533921"/>
    <w:rsid w:val="3F3A2666"/>
    <w:rsid w:val="3FD61700"/>
    <w:rsid w:val="3FFF72A6"/>
    <w:rsid w:val="40C477AB"/>
    <w:rsid w:val="40E165AE"/>
    <w:rsid w:val="41281AE7"/>
    <w:rsid w:val="42103979"/>
    <w:rsid w:val="42E1381E"/>
    <w:rsid w:val="435272F0"/>
    <w:rsid w:val="43754D8C"/>
    <w:rsid w:val="43B81461"/>
    <w:rsid w:val="43FB717C"/>
    <w:rsid w:val="451E447A"/>
    <w:rsid w:val="45345B76"/>
    <w:rsid w:val="458D1CE7"/>
    <w:rsid w:val="45B44352"/>
    <w:rsid w:val="45C407F8"/>
    <w:rsid w:val="46F612C3"/>
    <w:rsid w:val="471425D5"/>
    <w:rsid w:val="47307808"/>
    <w:rsid w:val="47A3275F"/>
    <w:rsid w:val="47E726FC"/>
    <w:rsid w:val="486F747C"/>
    <w:rsid w:val="49A40179"/>
    <w:rsid w:val="4A4F2DB8"/>
    <w:rsid w:val="4AC62A0B"/>
    <w:rsid w:val="4AFB026D"/>
    <w:rsid w:val="4D861CF6"/>
    <w:rsid w:val="4E4D5946"/>
    <w:rsid w:val="4E6F5B58"/>
    <w:rsid w:val="4F516B7A"/>
    <w:rsid w:val="50250266"/>
    <w:rsid w:val="502D757B"/>
    <w:rsid w:val="50947199"/>
    <w:rsid w:val="51A0432A"/>
    <w:rsid w:val="5207583A"/>
    <w:rsid w:val="527140E5"/>
    <w:rsid w:val="5292508F"/>
    <w:rsid w:val="52A96B6F"/>
    <w:rsid w:val="5338205E"/>
    <w:rsid w:val="535B4061"/>
    <w:rsid w:val="53DD2C05"/>
    <w:rsid w:val="543E18F6"/>
    <w:rsid w:val="5453233C"/>
    <w:rsid w:val="545735C7"/>
    <w:rsid w:val="54A84FC1"/>
    <w:rsid w:val="54E24F3E"/>
    <w:rsid w:val="550764A4"/>
    <w:rsid w:val="551926E0"/>
    <w:rsid w:val="5527238A"/>
    <w:rsid w:val="553D0290"/>
    <w:rsid w:val="559E76F0"/>
    <w:rsid w:val="55EA33B8"/>
    <w:rsid w:val="561279B9"/>
    <w:rsid w:val="56515F3B"/>
    <w:rsid w:val="5676E2BD"/>
    <w:rsid w:val="56F95FA8"/>
    <w:rsid w:val="570B0881"/>
    <w:rsid w:val="572B71CA"/>
    <w:rsid w:val="57E958DA"/>
    <w:rsid w:val="57FD3E2B"/>
    <w:rsid w:val="58AE4F0C"/>
    <w:rsid w:val="58F46A27"/>
    <w:rsid w:val="59E3154C"/>
    <w:rsid w:val="5A2A7C7B"/>
    <w:rsid w:val="5BE02A4F"/>
    <w:rsid w:val="5C80234E"/>
    <w:rsid w:val="5CF36FF6"/>
    <w:rsid w:val="5D964551"/>
    <w:rsid w:val="5E261785"/>
    <w:rsid w:val="5F0C439F"/>
    <w:rsid w:val="5F28567D"/>
    <w:rsid w:val="5FCC5339"/>
    <w:rsid w:val="5FE70807"/>
    <w:rsid w:val="60365B77"/>
    <w:rsid w:val="60730E9C"/>
    <w:rsid w:val="60E53485"/>
    <w:rsid w:val="61054A27"/>
    <w:rsid w:val="611D2366"/>
    <w:rsid w:val="612A3574"/>
    <w:rsid w:val="61EF4D33"/>
    <w:rsid w:val="61F950AE"/>
    <w:rsid w:val="620D0B5A"/>
    <w:rsid w:val="625247BE"/>
    <w:rsid w:val="62885958"/>
    <w:rsid w:val="6305736C"/>
    <w:rsid w:val="630E06E5"/>
    <w:rsid w:val="64AE26C6"/>
    <w:rsid w:val="64CE2EAA"/>
    <w:rsid w:val="65384140"/>
    <w:rsid w:val="65F95FCF"/>
    <w:rsid w:val="662E75B1"/>
    <w:rsid w:val="66342C2E"/>
    <w:rsid w:val="663E784C"/>
    <w:rsid w:val="682B1D3A"/>
    <w:rsid w:val="685867EC"/>
    <w:rsid w:val="69000A2F"/>
    <w:rsid w:val="698E432E"/>
    <w:rsid w:val="6BD66460"/>
    <w:rsid w:val="6BF608B1"/>
    <w:rsid w:val="6C830396"/>
    <w:rsid w:val="6D01030E"/>
    <w:rsid w:val="6E3F209B"/>
    <w:rsid w:val="6E8E12EF"/>
    <w:rsid w:val="6EF56BFD"/>
    <w:rsid w:val="6F347726"/>
    <w:rsid w:val="6F8D2E27"/>
    <w:rsid w:val="6FD71C4D"/>
    <w:rsid w:val="6FFB4B3D"/>
    <w:rsid w:val="70124EFA"/>
    <w:rsid w:val="71CC6099"/>
    <w:rsid w:val="71D43752"/>
    <w:rsid w:val="72672CBE"/>
    <w:rsid w:val="72A11F2B"/>
    <w:rsid w:val="72FFFA5B"/>
    <w:rsid w:val="737C5B3F"/>
    <w:rsid w:val="73DD6243"/>
    <w:rsid w:val="73F456D6"/>
    <w:rsid w:val="74410D5A"/>
    <w:rsid w:val="74436E2C"/>
    <w:rsid w:val="749C4185"/>
    <w:rsid w:val="74DD0860"/>
    <w:rsid w:val="75114065"/>
    <w:rsid w:val="752B3379"/>
    <w:rsid w:val="75DA2C18"/>
    <w:rsid w:val="768A0573"/>
    <w:rsid w:val="775319EF"/>
    <w:rsid w:val="77585F7B"/>
    <w:rsid w:val="782D083A"/>
    <w:rsid w:val="78785614"/>
    <w:rsid w:val="790F1C77"/>
    <w:rsid w:val="79164340"/>
    <w:rsid w:val="79652BD2"/>
    <w:rsid w:val="79B55907"/>
    <w:rsid w:val="79CD2C51"/>
    <w:rsid w:val="7A195E96"/>
    <w:rsid w:val="7A475776"/>
    <w:rsid w:val="7A67303B"/>
    <w:rsid w:val="7AAB1D04"/>
    <w:rsid w:val="7ABA4368"/>
    <w:rsid w:val="7ACE4ED2"/>
    <w:rsid w:val="7B257FFD"/>
    <w:rsid w:val="7BF22E42"/>
    <w:rsid w:val="7C2B1DA5"/>
    <w:rsid w:val="7C2F3A62"/>
    <w:rsid w:val="7C5A4544"/>
    <w:rsid w:val="7D061D42"/>
    <w:rsid w:val="7DF4317E"/>
    <w:rsid w:val="7E64308B"/>
    <w:rsid w:val="7EFDE7A7"/>
    <w:rsid w:val="7F5B2AAD"/>
    <w:rsid w:val="7FC71EF0"/>
    <w:rsid w:val="7FF52F0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616"/>
    <w:semiHidden/>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next w:val="1"/>
    <w:link w:val="582"/>
    <w:qFormat/>
    <w:uiPriority w:val="0"/>
    <w:pPr>
      <w:jc w:val="center"/>
    </w:pPr>
    <w:rPr>
      <w:szCs w:val="20"/>
    </w:rPr>
  </w:style>
  <w:style w:type="paragraph" w:styleId="24">
    <w:name w:val="Body Text"/>
    <w:basedOn w:val="1"/>
    <w:next w:val="23"/>
    <w:link w:val="513"/>
    <w:qFormat/>
    <w:uiPriority w:val="0"/>
    <w:pPr>
      <w:autoSpaceDE w:val="0"/>
      <w:autoSpaceDN w:val="0"/>
      <w:spacing w:line="360" w:lineRule="auto"/>
    </w:pPr>
    <w:rPr>
      <w:rFonts w:ascii="宋体"/>
      <w:sz w:val="24"/>
      <w:szCs w:val="21"/>
      <w:lang w:val="zh-CN"/>
    </w:rPr>
  </w:style>
  <w:style w:type="paragraph" w:styleId="25">
    <w:name w:val="Body Text Indent"/>
    <w:basedOn w:val="1"/>
    <w:next w:val="26"/>
    <w:link w:val="476"/>
    <w:qFormat/>
    <w:uiPriority w:val="0"/>
    <w:pPr>
      <w:spacing w:line="480" w:lineRule="exact"/>
      <w:ind w:firstLine="480" w:firstLineChars="200"/>
    </w:pPr>
    <w:rPr>
      <w:rFonts w:ascii="宋体" w:hAnsi="宋体"/>
      <w:sz w:val="24"/>
    </w:rPr>
  </w:style>
  <w:style w:type="paragraph" w:styleId="26">
    <w:name w:val="Body Text First Indent"/>
    <w:basedOn w:val="24"/>
    <w:next w:val="1"/>
    <w:link w:val="546"/>
    <w:qFormat/>
    <w:uiPriority w:val="0"/>
    <w:pPr>
      <w:ind w:firstLine="420"/>
    </w:pPr>
    <w:rPr>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5"/>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Body Text First Indent 21"/>
    <w:basedOn w:val="73"/>
    <w:qFormat/>
    <w:uiPriority w:val="0"/>
    <w:pPr>
      <w:ind w:firstLine="420" w:firstLineChars="200"/>
    </w:pPr>
  </w:style>
  <w:style w:type="paragraph" w:customStyle="1" w:styleId="73">
    <w:name w:val="Body Text Indent1"/>
    <w:basedOn w:val="1"/>
    <w:qFormat/>
    <w:uiPriority w:val="0"/>
    <w:pPr>
      <w:spacing w:after="120" w:afterLines="0"/>
      <w:ind w:left="420" w:leftChars="200"/>
    </w:p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basedOn w:val="62"/>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6"/>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4"/>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1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1"/>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空2字"/>
    <w:basedOn w:val="63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5">
    <w:name w:val="左对齐正文"/>
    <w:qFormat/>
    <w:uiPriority w:val="99"/>
    <w:rPr>
      <w:rFonts w:ascii="Calibri" w:hAnsi="Calibri" w:eastAsia="仿宋_GB2312" w:cs="Calibri"/>
      <w:kern w:val="2"/>
      <w:sz w:val="32"/>
      <w:szCs w:val="32"/>
      <w:lang w:val="en-US" w:eastAsia="zh-CN" w:bidi="ar-SA"/>
    </w:rPr>
  </w:style>
  <w:style w:type="character" w:customStyle="1" w:styleId="636">
    <w:name w:val="NormalCharacter"/>
    <w:basedOn w:val="62"/>
    <w:qFormat/>
    <w:uiPriority w:val="0"/>
  </w:style>
  <w:style w:type="paragraph" w:customStyle="1" w:styleId="637">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10950</Words>
  <Characters>11653</Characters>
  <Lines>379</Lines>
  <Paragraphs>106</Paragraphs>
  <TotalTime>22</TotalTime>
  <ScaleCrop>false</ScaleCrop>
  <LinksUpToDate>false</LinksUpToDate>
  <CharactersWithSpaces>11963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Administrator</cp:lastModifiedBy>
  <cp:lastPrinted>2025-06-23T06:19:00Z</cp:lastPrinted>
  <dcterms:modified xsi:type="dcterms:W3CDTF">2025-06-24T07:02:16Z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0C55852E37B9492082B2D6F7EDF83963_13</vt:lpwstr>
  </property>
  <property fmtid="{D5CDD505-2E9C-101B-9397-08002B2CF9AE}" pid="4" name="KSOTemplateDocerSaveRecord">
    <vt:lpwstr>eyJoZGlkIjoiYjkwNjI5MmVjM2VlZmI2NzBhNDMxNDg0NzQ4MDlkNzcifQ==</vt:lpwstr>
  </property>
</Properties>
</file>