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color w:val="0000FF"/>
          <w:sz w:val="48"/>
          <w:szCs w:val="48"/>
        </w:rPr>
      </w:pPr>
      <w:r>
        <w:rPr>
          <w:rFonts w:hint="eastAsia" w:ascii="宋体" w:hAnsi="宋体" w:cs="宋体"/>
          <w:sz w:val="48"/>
          <w:szCs w:val="48"/>
        </w:rPr>
        <w:t>2023年浙江工商大学杭州商学院保安服务采购项目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编号:TLZFCG2023-GK-00</w:t>
      </w:r>
      <w:r>
        <w:rPr>
          <w:rFonts w:hint="eastAsia" w:ascii="宋体" w:hAnsi="宋体" w:cs="宋体"/>
          <w:sz w:val="30"/>
          <w:szCs w:val="30"/>
          <w:lang w:val="en-US" w:eastAsia="zh-CN"/>
        </w:rPr>
        <w:t>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Cs/>
          <w:sz w:val="32"/>
          <w:szCs w:val="32"/>
        </w:rPr>
      </w:pPr>
      <w:r>
        <w:rPr>
          <w:rFonts w:hint="eastAsia" w:ascii="宋体" w:hAnsi="宋体" w:cs="宋体"/>
          <w:bCs/>
          <w:sz w:val="32"/>
          <w:szCs w:val="32"/>
        </w:rPr>
        <w:t>浙江工商大学杭州商学院</w:t>
      </w:r>
    </w:p>
    <w:p>
      <w:pPr>
        <w:spacing w:line="360" w:lineRule="auto"/>
        <w:jc w:val="center"/>
        <w:rPr>
          <w:rFonts w:ascii="宋体" w:hAnsi="宋体" w:cs="宋体"/>
          <w:bCs/>
          <w:sz w:val="32"/>
          <w:szCs w:val="32"/>
        </w:rPr>
      </w:pPr>
      <w:r>
        <w:rPr>
          <w:rFonts w:hint="eastAsia" w:ascii="宋体" w:hAnsi="宋体" w:cs="宋体"/>
          <w:bCs/>
          <w:sz w:val="32"/>
          <w:szCs w:val="32"/>
        </w:rPr>
        <w:t>杭州市公共资源交易中心桐庐分中心</w:t>
      </w:r>
    </w:p>
    <w:p>
      <w:pPr>
        <w:snapToGrid w:val="0"/>
        <w:spacing w:line="360" w:lineRule="auto"/>
        <w:jc w:val="center"/>
        <w:rPr>
          <w:rFonts w:ascii="宋体" w:hAnsi="宋体" w:cs="宋体"/>
          <w:bCs/>
          <w:color w:val="FF0000"/>
          <w:sz w:val="32"/>
          <w:szCs w:val="32"/>
        </w:rPr>
      </w:pPr>
      <w:r>
        <w:rPr>
          <w:rFonts w:hint="eastAsia" w:ascii="宋体" w:hAnsi="宋体" w:cs="宋体"/>
          <w:bCs/>
          <w:color w:val="FF0000"/>
          <w:sz w:val="32"/>
          <w:szCs w:val="32"/>
        </w:rPr>
        <w:t>二〇二三年五月</w:t>
      </w:r>
    </w:p>
    <w:p>
      <w:pPr>
        <w:pStyle w:val="634"/>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1"/>
    <w:p>
      <w:pPr>
        <w:adjustRightInd/>
        <w:spacing w:line="360" w:lineRule="auto"/>
        <w:jc w:val="center"/>
        <w:outlineLvl w:val="0"/>
        <w:rPr>
          <w:rFonts w:ascii="宋体" w:hAnsi="宋体" w:cs="宋体"/>
          <w:b/>
          <w:sz w:val="36"/>
          <w:szCs w:val="20"/>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2" w:name="_Hlt74707423"/>
      <w:bookmarkEnd w:id="2"/>
      <w:bookmarkStart w:id="3" w:name="_Hlt74649545"/>
      <w:bookmarkEnd w:id="3"/>
      <w:bookmarkStart w:id="4" w:name="_Hlt74729822"/>
      <w:bookmarkEnd w:id="4"/>
      <w:bookmarkStart w:id="5" w:name="_Hlt74728647"/>
      <w:bookmarkEnd w:id="5"/>
      <w:bookmarkStart w:id="6" w:name="第二部分"/>
      <w:bookmarkStart w:id="7" w:name="_Toc91899870"/>
      <w:bookmarkStart w:id="8" w:name="_Toc91899871"/>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FF"/>
          <w:sz w:val="24"/>
          <w:u w:val="single"/>
        </w:rPr>
        <w:t>2023年浙江工商大学杭州商学院保安服务采购项目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FF0000"/>
          <w:kern w:val="2"/>
          <w:sz w:val="24"/>
          <w:szCs w:val="24"/>
          <w:u w:val="single"/>
        </w:rPr>
        <w:t>2023年</w:t>
      </w:r>
      <w:r>
        <w:rPr>
          <w:rStyle w:val="76"/>
          <w:rFonts w:hint="eastAsia" w:ascii="宋体" w:hAnsi="宋体" w:cs="宋体"/>
          <w:snapToGrid/>
          <w:color w:val="FF0000"/>
          <w:kern w:val="2"/>
          <w:sz w:val="24"/>
          <w:szCs w:val="24"/>
          <w:u w:val="single"/>
          <w:lang w:val="en-US" w:eastAsia="zh-CN"/>
        </w:rPr>
        <w:t>6</w:t>
      </w:r>
      <w:r>
        <w:rPr>
          <w:rStyle w:val="76"/>
          <w:rFonts w:hint="eastAsia" w:ascii="宋体" w:hAnsi="宋体" w:eastAsia="宋体" w:cs="宋体"/>
          <w:snapToGrid/>
          <w:color w:val="FF0000"/>
          <w:kern w:val="2"/>
          <w:sz w:val="24"/>
          <w:szCs w:val="24"/>
          <w:u w:val="single"/>
        </w:rPr>
        <w:t>月</w:t>
      </w:r>
      <w:r>
        <w:rPr>
          <w:rStyle w:val="76"/>
          <w:rFonts w:hint="eastAsia" w:ascii="宋体" w:hAnsi="宋体" w:cs="宋体"/>
          <w:snapToGrid/>
          <w:color w:val="FF0000"/>
          <w:kern w:val="2"/>
          <w:sz w:val="24"/>
          <w:szCs w:val="24"/>
          <w:u w:val="single"/>
          <w:lang w:val="en-US" w:eastAsia="zh-CN"/>
        </w:rPr>
        <w:t>5</w:t>
      </w:r>
      <w:r>
        <w:rPr>
          <w:rStyle w:val="76"/>
          <w:rFonts w:hint="eastAsia" w:ascii="宋体" w:hAnsi="宋体" w:eastAsia="宋体" w:cs="宋体"/>
          <w:snapToGrid/>
          <w:color w:val="FF0000"/>
          <w:kern w:val="2"/>
          <w:sz w:val="24"/>
          <w:szCs w:val="24"/>
          <w:u w:val="single"/>
        </w:rPr>
        <w:t>日</w:t>
      </w:r>
      <w:r>
        <w:rPr>
          <w:rStyle w:val="76"/>
          <w:rFonts w:hint="eastAsia" w:ascii="宋体" w:hAnsi="宋体" w:cs="宋体"/>
          <w:snapToGrid/>
          <w:color w:val="FF0000"/>
          <w:kern w:val="2"/>
          <w:sz w:val="24"/>
          <w:szCs w:val="24"/>
          <w:u w:val="single"/>
          <w:lang w:val="en-US" w:eastAsia="zh-CN"/>
        </w:rPr>
        <w:t>10</w:t>
      </w:r>
      <w:r>
        <w:rPr>
          <w:rStyle w:val="76"/>
          <w:rFonts w:hint="eastAsia" w:ascii="宋体" w:hAnsi="宋体" w:eastAsia="宋体" w:cs="宋体"/>
          <w:snapToGrid/>
          <w:color w:val="FF0000"/>
          <w:kern w:val="2"/>
          <w:sz w:val="24"/>
          <w:szCs w:val="24"/>
          <w:u w:val="single"/>
        </w:rPr>
        <w:t>点</w:t>
      </w:r>
      <w:r>
        <w:rPr>
          <w:rStyle w:val="76"/>
          <w:rFonts w:hint="eastAsia" w:ascii="宋体" w:hAnsi="宋体" w:cs="宋体"/>
          <w:snapToGrid/>
          <w:color w:val="FF0000"/>
          <w:kern w:val="2"/>
          <w:sz w:val="24"/>
          <w:szCs w:val="24"/>
          <w:u w:val="single"/>
          <w:lang w:val="en-US" w:eastAsia="zh-CN"/>
        </w:rPr>
        <w:t>00</w:t>
      </w:r>
      <w:r>
        <w:rPr>
          <w:rStyle w:val="76"/>
          <w:rFonts w:hint="eastAsia" w:ascii="宋体" w:hAnsi="宋体" w:eastAsia="宋体" w:cs="宋体"/>
          <w:snapToGrid/>
          <w:color w:val="FF0000"/>
          <w:kern w:val="2"/>
          <w:sz w:val="24"/>
          <w:szCs w:val="24"/>
          <w:u w:val="single"/>
        </w:rPr>
        <w:t>分</w:t>
      </w:r>
      <w:r>
        <w:rPr>
          <w:rStyle w:val="76"/>
          <w:rFonts w:hint="eastAsia" w:ascii="宋体" w:hAnsi="宋体" w:eastAsia="宋体" w:cs="宋体"/>
          <w:bCs/>
          <w:snapToGrid/>
          <w:color w:val="FF0000"/>
          <w:kern w:val="2"/>
          <w:sz w:val="24"/>
          <w:szCs w:val="24"/>
          <w:u w:val="single"/>
        </w:rPr>
        <w:t>00秒</w:t>
      </w:r>
      <w:r>
        <w:rPr>
          <w:rStyle w:val="76"/>
          <w:rFonts w:hint="eastAsia" w:ascii="宋体" w:hAnsi="宋体" w:eastAsia="宋体" w:cs="宋体"/>
          <w:bCs/>
          <w:snapToGrid/>
          <w:color w:val="FF0000"/>
          <w:kern w:val="2"/>
          <w:sz w:val="24"/>
          <w:szCs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TLZFCG2023-GK-00</w:t>
      </w:r>
      <w:r>
        <w:rPr>
          <w:rFonts w:hint="eastAsia" w:ascii="宋体" w:hAnsi="宋体" w:cs="宋体"/>
          <w:bCs/>
          <w:sz w:val="24"/>
          <w:lang w:val="en-US" w:eastAsia="zh-CN"/>
        </w:rPr>
        <w:t>8</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FF0000"/>
          <w:sz w:val="24"/>
        </w:rPr>
        <w:t>2023年浙江工商大学杭州商学院保安服务采购项目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预算金额（元）：6912000</w:t>
      </w:r>
    </w:p>
    <w:p>
      <w:pPr>
        <w:spacing w:line="360" w:lineRule="auto"/>
        <w:ind w:firstLine="480"/>
        <w:rPr>
          <w:rFonts w:ascii="宋体" w:hAnsi="宋体" w:cs="宋体"/>
          <w:sz w:val="24"/>
        </w:rPr>
      </w:pPr>
      <w:r>
        <w:rPr>
          <w:rFonts w:hint="eastAsia" w:ascii="宋体" w:hAnsi="宋体" w:cs="宋体"/>
          <w:b/>
          <w:sz w:val="24"/>
        </w:rPr>
        <w:t>最高限价（元）：6912000</w:t>
      </w:r>
      <w:r>
        <w:rPr>
          <w:rFonts w:ascii="宋体" w:hAnsi="宋体" w:cs="宋体"/>
          <w:sz w:val="24"/>
        </w:rPr>
        <w:t xml:space="preserve"> </w:t>
      </w:r>
    </w:p>
    <w:p>
      <w:pPr>
        <w:pStyle w:val="8"/>
        <w:spacing w:line="360" w:lineRule="auto"/>
        <w:ind w:firstLine="480"/>
        <w:rPr>
          <w:rFonts w:hAnsi="宋体" w:cs="宋体"/>
          <w:bCs/>
          <w:snapToGrid/>
          <w:color w:val="0000FF"/>
          <w:kern w:val="2"/>
          <w:sz w:val="24"/>
          <w:szCs w:val="24"/>
        </w:rPr>
      </w:pPr>
      <w:r>
        <w:rPr>
          <w:rFonts w:hint="eastAsia" w:hAnsi="宋体" w:cs="宋体"/>
          <w:b/>
          <w:color w:val="auto"/>
          <w:sz w:val="24"/>
        </w:rPr>
        <w:t>采购需求：</w:t>
      </w:r>
      <w:r>
        <w:rPr>
          <w:rFonts w:hint="eastAsia" w:hAnsi="宋体" w:cs="宋体"/>
          <w:bCs/>
          <w:snapToGrid/>
          <w:color w:val="0000FF"/>
          <w:kern w:val="2"/>
          <w:sz w:val="24"/>
          <w:szCs w:val="24"/>
        </w:rPr>
        <w:t>2023年浙江工商大学杭州商学院保安服务采购项目</w:t>
      </w:r>
    </w:p>
    <w:p>
      <w:pPr>
        <w:pStyle w:val="8"/>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主要内容：保安服务</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w:t>
      </w:r>
    </w:p>
    <w:p>
      <w:pPr>
        <w:pStyle w:val="128"/>
        <w:ind w:firstLine="482"/>
        <w:outlineLvl w:val="2"/>
        <w:rPr>
          <w:rFonts w:ascii="宋体" w:hAnsi="宋体" w:cs="宋体"/>
        </w:rPr>
      </w:pPr>
      <w:r>
        <w:rPr>
          <w:rFonts w:hint="eastAsia" w:ascii="宋体" w:hAnsi="宋体" w:cs="宋体"/>
          <w:b/>
        </w:rPr>
        <w:t>合同履约期限：3年，以合同签订时间为准。</w:t>
      </w:r>
      <w:r>
        <w:rPr>
          <w:rFonts w:ascii="宋体" w:hAnsi="宋体" w:cs="宋体"/>
        </w:rPr>
        <w:t xml:space="preserve"> </w:t>
      </w:r>
    </w:p>
    <w:p>
      <w:pPr>
        <w:pStyle w:val="8"/>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ascii="Wingdings" w:hAnsi="Wingdings" w:eastAsia="MS Gothic" w:cs="宋体"/>
              <w:color w:val="0000FF"/>
              <w:kern w:val="0"/>
              <w:sz w:val="24"/>
            </w:rPr>
            <w:t></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333685401"/>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ascii="Wingdings" w:hAnsi="Wingdings" w:eastAsia="MS Gothic" w:cs="宋体"/>
              <w:color w:val="0000FF"/>
              <w:kern w:val="0"/>
              <w:sz w:val="24"/>
            </w:rPr>
            <w:t></w:t>
          </w:r>
        </w:sdtContent>
      </w:sdt>
      <w:r>
        <w:rPr>
          <w:rFonts w:hint="eastAsia" w:ascii="宋体" w:hAnsi="宋体" w:cs="宋体"/>
          <w:color w:val="0000FF"/>
          <w:sz w:val="24"/>
        </w:rPr>
        <w:t>服务全部由符合政策要求的中小企业承接，提供中小企业声明函；</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color w:val="0000FF"/>
            <w:kern w:val="0"/>
            <w:sz w:val="24"/>
          </w:rPr>
          <w:id w:val="-1508982547"/>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sym w:font="Wingdings" w:char="F0FE"/>
          </w:r>
        </w:sdtContent>
      </w:sdt>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Style w:val="76"/>
          <w:rFonts w:hint="eastAsia" w:ascii="宋体" w:hAnsi="宋体" w:eastAsia="宋体" w:cs="宋体"/>
          <w:snapToGrid/>
          <w:color w:val="FF0000"/>
          <w:kern w:val="2"/>
          <w:sz w:val="24"/>
          <w:szCs w:val="24"/>
          <w:u w:val="single"/>
        </w:rPr>
        <w:t>2023年</w:t>
      </w:r>
      <w:r>
        <w:rPr>
          <w:rStyle w:val="76"/>
          <w:rFonts w:hint="eastAsia" w:ascii="宋体" w:hAnsi="宋体" w:cs="宋体"/>
          <w:snapToGrid/>
          <w:color w:val="FF0000"/>
          <w:kern w:val="2"/>
          <w:sz w:val="24"/>
          <w:szCs w:val="24"/>
          <w:u w:val="single"/>
          <w:lang w:val="en-US" w:eastAsia="zh-CN"/>
        </w:rPr>
        <w:t>6</w:t>
      </w:r>
      <w:r>
        <w:rPr>
          <w:rStyle w:val="76"/>
          <w:rFonts w:hint="eastAsia" w:ascii="宋体" w:hAnsi="宋体" w:eastAsia="宋体" w:cs="宋体"/>
          <w:snapToGrid/>
          <w:color w:val="FF0000"/>
          <w:kern w:val="2"/>
          <w:sz w:val="24"/>
          <w:szCs w:val="24"/>
          <w:u w:val="single"/>
        </w:rPr>
        <w:t>月</w:t>
      </w:r>
      <w:r>
        <w:rPr>
          <w:rStyle w:val="76"/>
          <w:rFonts w:hint="eastAsia" w:ascii="宋体" w:hAnsi="宋体" w:cs="宋体"/>
          <w:snapToGrid/>
          <w:color w:val="FF0000"/>
          <w:kern w:val="2"/>
          <w:sz w:val="24"/>
          <w:szCs w:val="24"/>
          <w:u w:val="single"/>
          <w:lang w:val="en-US" w:eastAsia="zh-CN"/>
        </w:rPr>
        <w:t>5</w:t>
      </w:r>
      <w:r>
        <w:rPr>
          <w:rStyle w:val="76"/>
          <w:rFonts w:hint="eastAsia" w:ascii="宋体" w:hAnsi="宋体" w:eastAsia="宋体" w:cs="宋体"/>
          <w:snapToGrid/>
          <w:color w:val="FF0000"/>
          <w:kern w:val="2"/>
          <w:sz w:val="24"/>
          <w:szCs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Style w:val="76"/>
          <w:rFonts w:hint="eastAsia" w:ascii="宋体" w:hAnsi="宋体" w:eastAsia="宋体" w:cs="宋体"/>
          <w:snapToGrid/>
          <w:color w:val="FF0000"/>
          <w:kern w:val="2"/>
          <w:sz w:val="24"/>
          <w:szCs w:val="24"/>
          <w:u w:val="single"/>
        </w:rPr>
        <w:t>2023年</w:t>
      </w:r>
      <w:r>
        <w:rPr>
          <w:rStyle w:val="76"/>
          <w:rFonts w:hint="eastAsia" w:ascii="宋体" w:hAnsi="宋体" w:cs="宋体"/>
          <w:snapToGrid/>
          <w:color w:val="FF0000"/>
          <w:kern w:val="2"/>
          <w:sz w:val="24"/>
          <w:szCs w:val="24"/>
          <w:u w:val="single"/>
          <w:lang w:val="en-US" w:eastAsia="zh-CN"/>
        </w:rPr>
        <w:t>6</w:t>
      </w:r>
      <w:r>
        <w:rPr>
          <w:rStyle w:val="76"/>
          <w:rFonts w:hint="eastAsia" w:ascii="宋体" w:hAnsi="宋体" w:eastAsia="宋体" w:cs="宋体"/>
          <w:snapToGrid/>
          <w:color w:val="FF0000"/>
          <w:kern w:val="2"/>
          <w:sz w:val="24"/>
          <w:szCs w:val="24"/>
          <w:u w:val="single"/>
        </w:rPr>
        <w:t>月</w:t>
      </w:r>
      <w:r>
        <w:rPr>
          <w:rStyle w:val="76"/>
          <w:rFonts w:hint="eastAsia" w:ascii="宋体" w:hAnsi="宋体" w:cs="宋体"/>
          <w:snapToGrid/>
          <w:color w:val="FF0000"/>
          <w:kern w:val="2"/>
          <w:sz w:val="24"/>
          <w:szCs w:val="24"/>
          <w:u w:val="single"/>
          <w:lang w:val="en-US" w:eastAsia="zh-CN"/>
        </w:rPr>
        <w:t>5</w:t>
      </w:r>
      <w:r>
        <w:rPr>
          <w:rStyle w:val="76"/>
          <w:rFonts w:hint="eastAsia" w:ascii="宋体" w:hAnsi="宋体" w:eastAsia="宋体" w:cs="宋体"/>
          <w:snapToGrid/>
          <w:color w:val="FF0000"/>
          <w:kern w:val="2"/>
          <w:sz w:val="24"/>
          <w:szCs w:val="24"/>
          <w:u w:val="single"/>
        </w:rPr>
        <w:t>日</w:t>
      </w:r>
      <w:r>
        <w:rPr>
          <w:rStyle w:val="76"/>
          <w:rFonts w:hint="eastAsia" w:ascii="宋体" w:hAnsi="宋体" w:cs="宋体"/>
          <w:snapToGrid/>
          <w:color w:val="FF0000"/>
          <w:kern w:val="2"/>
          <w:sz w:val="24"/>
          <w:szCs w:val="24"/>
          <w:u w:val="single"/>
          <w:lang w:val="en-US" w:eastAsia="zh-CN"/>
        </w:rPr>
        <w:t>10</w:t>
      </w:r>
      <w:r>
        <w:rPr>
          <w:rStyle w:val="76"/>
          <w:rFonts w:hint="eastAsia" w:ascii="宋体" w:hAnsi="宋体" w:eastAsia="宋体" w:cs="宋体"/>
          <w:snapToGrid/>
          <w:color w:val="FF0000"/>
          <w:kern w:val="2"/>
          <w:sz w:val="24"/>
          <w:szCs w:val="24"/>
          <w:u w:val="single"/>
        </w:rPr>
        <w:t>点</w:t>
      </w:r>
      <w:r>
        <w:rPr>
          <w:rStyle w:val="76"/>
          <w:rFonts w:hint="eastAsia" w:ascii="宋体" w:hAnsi="宋体" w:cs="宋体"/>
          <w:snapToGrid/>
          <w:color w:val="FF0000"/>
          <w:kern w:val="2"/>
          <w:sz w:val="24"/>
          <w:szCs w:val="24"/>
          <w:u w:val="single"/>
          <w:lang w:val="en-US" w:eastAsia="zh-CN"/>
        </w:rPr>
        <w:t>00</w:t>
      </w:r>
      <w:r>
        <w:rPr>
          <w:rStyle w:val="76"/>
          <w:rFonts w:hint="eastAsia" w:ascii="宋体" w:hAnsi="宋体" w:eastAsia="宋体" w:cs="宋体"/>
          <w:snapToGrid/>
          <w:color w:val="FF0000"/>
          <w:kern w:val="2"/>
          <w:sz w:val="24"/>
          <w:szCs w:val="24"/>
          <w:u w:val="single"/>
        </w:rPr>
        <w:t>分</w:t>
      </w:r>
      <w:r>
        <w:rPr>
          <w:rStyle w:val="76"/>
          <w:rFonts w:hint="eastAsia" w:ascii="宋体" w:hAnsi="宋体" w:eastAsia="宋体" w:cs="宋体"/>
          <w:bCs/>
          <w:snapToGrid/>
          <w:color w:val="FF0000"/>
          <w:kern w:val="2"/>
          <w:sz w:val="24"/>
          <w:szCs w:val="24"/>
          <w:u w:val="single"/>
        </w:rPr>
        <w:t>00秒</w:t>
      </w:r>
      <w:r>
        <w:rPr>
          <w:rFonts w:hint="eastAsia" w:ascii="宋体" w:hAnsi="宋体" w:cs="宋体"/>
          <w:bCs/>
          <w:color w:val="FF0000"/>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6"/>
          <w:rFonts w:hint="eastAsia" w:ascii="宋体" w:hAnsi="宋体" w:eastAsia="宋体" w:cs="宋体"/>
          <w:snapToGrid/>
          <w:color w:val="FF0000"/>
          <w:kern w:val="2"/>
          <w:sz w:val="24"/>
          <w:szCs w:val="24"/>
          <w:u w:val="single"/>
        </w:rPr>
        <w:t>2023年</w:t>
      </w:r>
      <w:r>
        <w:rPr>
          <w:rStyle w:val="76"/>
          <w:rFonts w:hint="eastAsia" w:ascii="宋体" w:hAnsi="宋体" w:cs="宋体"/>
          <w:snapToGrid/>
          <w:color w:val="FF0000"/>
          <w:kern w:val="2"/>
          <w:sz w:val="24"/>
          <w:szCs w:val="24"/>
          <w:u w:val="single"/>
          <w:lang w:val="en-US" w:eastAsia="zh-CN"/>
        </w:rPr>
        <w:t>6</w:t>
      </w:r>
      <w:r>
        <w:rPr>
          <w:rStyle w:val="76"/>
          <w:rFonts w:hint="eastAsia" w:ascii="宋体" w:hAnsi="宋体" w:eastAsia="宋体" w:cs="宋体"/>
          <w:snapToGrid/>
          <w:color w:val="FF0000"/>
          <w:kern w:val="2"/>
          <w:sz w:val="24"/>
          <w:szCs w:val="24"/>
          <w:u w:val="single"/>
        </w:rPr>
        <w:t>月</w:t>
      </w:r>
      <w:r>
        <w:rPr>
          <w:rStyle w:val="76"/>
          <w:rFonts w:hint="eastAsia" w:ascii="宋体" w:hAnsi="宋体" w:cs="宋体"/>
          <w:snapToGrid/>
          <w:color w:val="FF0000"/>
          <w:kern w:val="2"/>
          <w:sz w:val="24"/>
          <w:szCs w:val="24"/>
          <w:u w:val="single"/>
          <w:lang w:val="en-US" w:eastAsia="zh-CN"/>
        </w:rPr>
        <w:t>5</w:t>
      </w:r>
      <w:r>
        <w:rPr>
          <w:rStyle w:val="76"/>
          <w:rFonts w:hint="eastAsia" w:ascii="宋体" w:hAnsi="宋体" w:eastAsia="宋体" w:cs="宋体"/>
          <w:snapToGrid/>
          <w:color w:val="FF0000"/>
          <w:kern w:val="2"/>
          <w:sz w:val="24"/>
          <w:szCs w:val="24"/>
          <w:u w:val="single"/>
        </w:rPr>
        <w:t>日</w:t>
      </w:r>
      <w:r>
        <w:rPr>
          <w:rStyle w:val="76"/>
          <w:rFonts w:hint="eastAsia" w:ascii="宋体" w:hAnsi="宋体" w:cs="宋体"/>
          <w:snapToGrid/>
          <w:color w:val="FF0000"/>
          <w:kern w:val="2"/>
          <w:sz w:val="24"/>
          <w:szCs w:val="24"/>
          <w:u w:val="single"/>
          <w:lang w:val="en-US" w:eastAsia="zh-CN"/>
        </w:rPr>
        <w:t>10</w:t>
      </w:r>
      <w:r>
        <w:rPr>
          <w:rStyle w:val="76"/>
          <w:rFonts w:hint="eastAsia" w:ascii="宋体" w:hAnsi="宋体" w:eastAsia="宋体" w:cs="宋体"/>
          <w:snapToGrid/>
          <w:color w:val="FF0000"/>
          <w:kern w:val="2"/>
          <w:sz w:val="24"/>
          <w:szCs w:val="24"/>
          <w:u w:val="single"/>
        </w:rPr>
        <w:t>点</w:t>
      </w:r>
      <w:r>
        <w:rPr>
          <w:rStyle w:val="76"/>
          <w:rFonts w:hint="eastAsia" w:ascii="宋体" w:hAnsi="宋体" w:cs="宋体"/>
          <w:snapToGrid/>
          <w:color w:val="FF0000"/>
          <w:kern w:val="2"/>
          <w:sz w:val="24"/>
          <w:szCs w:val="24"/>
          <w:u w:val="single"/>
          <w:lang w:val="en-US" w:eastAsia="zh-CN"/>
        </w:rPr>
        <w:t>00</w:t>
      </w:r>
      <w:r>
        <w:rPr>
          <w:rStyle w:val="76"/>
          <w:rFonts w:hint="eastAsia" w:ascii="宋体" w:hAnsi="宋体" w:eastAsia="宋体" w:cs="宋体"/>
          <w:snapToGrid/>
          <w:color w:val="FF0000"/>
          <w:kern w:val="2"/>
          <w:sz w:val="24"/>
          <w:szCs w:val="24"/>
          <w:u w:val="single"/>
        </w:rPr>
        <w:t>分</w:t>
      </w:r>
      <w:r>
        <w:rPr>
          <w:rStyle w:val="76"/>
          <w:rFonts w:hint="eastAsia" w:ascii="宋体" w:hAnsi="宋体" w:eastAsia="宋体" w:cs="宋体"/>
          <w:bCs/>
          <w:snapToGrid/>
          <w:color w:val="FF0000"/>
          <w:kern w:val="2"/>
          <w:sz w:val="24"/>
          <w:szCs w:val="24"/>
          <w:u w:val="single"/>
        </w:rPr>
        <w:t>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firstLineChars="200"/>
        <w:rPr>
          <w:rFonts w:ascii="宋体" w:hAnsi="宋体" w:cs="宋体"/>
          <w:sz w:val="24"/>
        </w:rPr>
      </w:pPr>
      <w:r>
        <w:rPr>
          <w:rFonts w:hint="eastAsia" w:ascii="宋体" w:hAnsi="宋体" w:cs="宋体"/>
          <w:sz w:val="24"/>
        </w:rPr>
        <w:t xml:space="preserve"> 名    称：浙江工商大学杭州商学院 </w:t>
      </w:r>
    </w:p>
    <w:p>
      <w:pPr>
        <w:spacing w:line="360" w:lineRule="auto"/>
        <w:rPr>
          <w:rFonts w:ascii="宋体" w:hAnsi="宋体" w:cs="宋体"/>
          <w:sz w:val="24"/>
        </w:rPr>
      </w:pPr>
      <w:r>
        <w:rPr>
          <w:rFonts w:hint="eastAsia" w:ascii="宋体" w:hAnsi="宋体" w:cs="宋体"/>
          <w:sz w:val="24"/>
        </w:rPr>
        <w:t xml:space="preserve">    地    址： 杭州市桐庐县环城南路66号      </w:t>
      </w:r>
    </w:p>
    <w:p>
      <w:pPr>
        <w:spacing w:line="360" w:lineRule="auto"/>
        <w:ind w:firstLine="480" w:firstLineChars="200"/>
        <w:rPr>
          <w:rFonts w:ascii="宋体" w:hAnsi="宋体" w:cs="宋体"/>
          <w:sz w:val="24"/>
        </w:rPr>
      </w:pPr>
      <w:r>
        <w:rPr>
          <w:rFonts w:hint="eastAsia" w:ascii="宋体" w:hAnsi="宋体" w:cs="宋体"/>
          <w:sz w:val="24"/>
        </w:rPr>
        <w:t>传    真： /</w:t>
      </w:r>
    </w:p>
    <w:p>
      <w:pPr>
        <w:spacing w:line="360" w:lineRule="auto"/>
        <w:ind w:firstLine="480" w:firstLineChars="200"/>
        <w:rPr>
          <w:rFonts w:ascii="宋体" w:hAnsi="宋体" w:cs="宋体"/>
          <w:sz w:val="24"/>
        </w:rPr>
      </w:pPr>
      <w:r>
        <w:rPr>
          <w:rFonts w:hint="eastAsia" w:ascii="宋体" w:hAnsi="宋体" w:cs="宋体"/>
          <w:sz w:val="24"/>
        </w:rPr>
        <w:t xml:space="preserve">项目联系人（询问）：黄小洁  </w:t>
      </w:r>
    </w:p>
    <w:p>
      <w:pPr>
        <w:spacing w:line="360" w:lineRule="auto"/>
        <w:rPr>
          <w:rFonts w:ascii="宋体" w:hAnsi="宋体" w:cs="宋体"/>
          <w:sz w:val="24"/>
        </w:rPr>
      </w:pPr>
      <w:r>
        <w:rPr>
          <w:rFonts w:hint="eastAsia" w:ascii="宋体" w:hAnsi="宋体" w:cs="宋体"/>
          <w:sz w:val="24"/>
        </w:rPr>
        <w:t xml:space="preserve">    项目联系方式（询问）： 0571-69936023</w:t>
      </w:r>
    </w:p>
    <w:p>
      <w:pPr>
        <w:spacing w:line="360" w:lineRule="auto"/>
        <w:rPr>
          <w:rFonts w:ascii="宋体" w:hAnsi="宋体" w:cs="宋体"/>
          <w:sz w:val="24"/>
        </w:rPr>
      </w:pPr>
      <w:r>
        <w:rPr>
          <w:rFonts w:hint="eastAsia" w:ascii="宋体" w:hAnsi="宋体" w:cs="宋体"/>
          <w:sz w:val="24"/>
        </w:rPr>
        <w:t xml:space="preserve">    质疑联系人：胡帆 </w:t>
      </w:r>
    </w:p>
    <w:p>
      <w:pPr>
        <w:spacing w:line="360" w:lineRule="auto"/>
        <w:rPr>
          <w:rFonts w:ascii="宋体" w:hAnsi="宋体" w:cs="宋体"/>
          <w:color w:val="0000FF"/>
          <w:sz w:val="24"/>
        </w:rPr>
      </w:pPr>
      <w:r>
        <w:rPr>
          <w:rFonts w:hint="eastAsia" w:ascii="宋体" w:hAnsi="宋体" w:cs="宋体"/>
          <w:sz w:val="24"/>
        </w:rPr>
        <w:t xml:space="preserve">    质疑联系方式：0571-69936087</w:t>
      </w:r>
      <w:r>
        <w:rPr>
          <w:rFonts w:hint="eastAsia" w:ascii="宋体" w:hAnsi="宋体" w:cs="宋体"/>
          <w:color w:val="0000FF"/>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称：杭州市公共资源交易中心桐庐分中心</w:t>
      </w:r>
    </w:p>
    <w:p>
      <w:pPr>
        <w:spacing w:line="360" w:lineRule="auto"/>
        <w:ind w:firstLine="480"/>
        <w:rPr>
          <w:rFonts w:ascii="宋体" w:hAnsi="宋体" w:cs="宋体"/>
          <w:sz w:val="24"/>
        </w:rPr>
      </w:pPr>
      <w:r>
        <w:rPr>
          <w:rFonts w:hint="eastAsia" w:ascii="宋体" w:hAnsi="宋体" w:cs="宋体"/>
          <w:sz w:val="24"/>
        </w:rPr>
        <w:t>地    址：杭州市桐庐县迎春南路258号国资大厦5楼</w:t>
      </w:r>
    </w:p>
    <w:p>
      <w:pPr>
        <w:spacing w:line="360" w:lineRule="auto"/>
        <w:rPr>
          <w:rFonts w:ascii="宋体" w:hAnsi="宋体" w:cs="宋体"/>
          <w:sz w:val="24"/>
        </w:rPr>
      </w:pPr>
      <w:r>
        <w:rPr>
          <w:rFonts w:hint="eastAsia" w:ascii="宋体" w:hAnsi="宋体" w:cs="宋体"/>
          <w:sz w:val="24"/>
        </w:rPr>
        <w:t xml:space="preserve">    项目联系人（询问）：王赛栎 </w:t>
      </w:r>
    </w:p>
    <w:p>
      <w:pPr>
        <w:spacing w:line="360" w:lineRule="auto"/>
        <w:rPr>
          <w:rFonts w:ascii="宋体" w:hAnsi="宋体" w:cs="宋体"/>
          <w:sz w:val="24"/>
        </w:rPr>
      </w:pPr>
      <w:r>
        <w:rPr>
          <w:rFonts w:hint="eastAsia" w:ascii="宋体" w:hAnsi="宋体" w:cs="宋体"/>
          <w:sz w:val="24"/>
        </w:rPr>
        <w:t xml:space="preserve">    项目联系方式（询问）：0571-64267692</w:t>
      </w:r>
    </w:p>
    <w:p>
      <w:pPr>
        <w:spacing w:line="360" w:lineRule="auto"/>
        <w:rPr>
          <w:rFonts w:ascii="宋体" w:hAnsi="宋体" w:cs="宋体"/>
          <w:sz w:val="24"/>
        </w:rPr>
      </w:pPr>
      <w:r>
        <w:rPr>
          <w:rFonts w:hint="eastAsia" w:ascii="宋体" w:hAnsi="宋体" w:cs="宋体"/>
          <w:sz w:val="24"/>
        </w:rPr>
        <w:t xml:space="preserve">    质疑联系人：范瑶  </w:t>
      </w:r>
    </w:p>
    <w:p>
      <w:pPr>
        <w:spacing w:line="360" w:lineRule="auto"/>
        <w:rPr>
          <w:rFonts w:ascii="宋体" w:hAnsi="宋体" w:cs="宋体"/>
          <w:sz w:val="24"/>
        </w:rPr>
      </w:pPr>
      <w:r>
        <w:rPr>
          <w:rFonts w:hint="eastAsia" w:ascii="宋体" w:hAnsi="宋体" w:cs="宋体"/>
          <w:sz w:val="24"/>
        </w:rPr>
        <w:t xml:space="preserve">    质疑联系方式：0571-89545845</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rPr>
          <w:rFonts w:ascii="宋体" w:hAnsi="宋体" w:cs="宋体"/>
          <w:sz w:val="24"/>
        </w:rPr>
      </w:pPr>
      <w:r>
        <w:rPr>
          <w:rFonts w:hint="eastAsia" w:ascii="宋体" w:hAnsi="宋体" w:cs="宋体"/>
          <w:sz w:val="24"/>
        </w:rPr>
        <w:t xml:space="preserve">    名    称：桐庐县财政局</w:t>
      </w:r>
    </w:p>
    <w:p>
      <w:pPr>
        <w:spacing w:line="360" w:lineRule="auto"/>
        <w:rPr>
          <w:rFonts w:ascii="宋体" w:hAnsi="宋体" w:cs="宋体"/>
          <w:sz w:val="24"/>
        </w:rPr>
      </w:pPr>
      <w:r>
        <w:rPr>
          <w:rFonts w:hint="eastAsia" w:ascii="宋体" w:hAnsi="宋体" w:cs="宋体"/>
          <w:sz w:val="24"/>
        </w:rPr>
        <w:t xml:space="preserve">    地    址：桐庐县春江路688号</w:t>
      </w:r>
    </w:p>
    <w:p>
      <w:pPr>
        <w:spacing w:line="360" w:lineRule="auto"/>
        <w:rPr>
          <w:rFonts w:ascii="宋体" w:hAnsi="宋体" w:cs="宋体"/>
          <w:sz w:val="24"/>
        </w:rPr>
      </w:pPr>
      <w:r>
        <w:rPr>
          <w:rFonts w:hint="eastAsia" w:ascii="宋体" w:hAnsi="宋体" w:cs="宋体"/>
          <w:sz w:val="24"/>
        </w:rPr>
        <w:t xml:space="preserve">    联系人 ：方翔</w:t>
      </w:r>
    </w:p>
    <w:p>
      <w:pPr>
        <w:spacing w:line="360" w:lineRule="auto"/>
        <w:ind w:firstLine="480"/>
        <w:rPr>
          <w:rFonts w:ascii="宋体" w:hAnsi="宋体" w:cs="宋体"/>
          <w:sz w:val="24"/>
        </w:rPr>
      </w:pPr>
      <w:r>
        <w:rPr>
          <w:rFonts w:hint="eastAsia" w:ascii="宋体" w:hAnsi="宋体" w:cs="宋体"/>
          <w:sz w:val="24"/>
        </w:rPr>
        <w:t xml:space="preserve">监督投诉电话：0571-58507058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6"/>
      <w:r>
        <w:rPr>
          <w:rFonts w:hint="eastAsia" w:ascii="宋体" w:hAnsi="宋体" w:cs="宋体"/>
          <w:b/>
          <w:sz w:val="36"/>
          <w:szCs w:val="20"/>
        </w:rPr>
        <w:t xml:space="preserve"> 投标人须知</w:t>
      </w:r>
      <w:bookmarkEnd w:id="7"/>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FF"/>
                <w:kern w:val="0"/>
                <w:sz w:val="24"/>
              </w:rPr>
            </w:pPr>
            <w:r>
              <w:rPr>
                <w:rFonts w:hint="eastAsia" w:ascii="宋体" w:hAnsi="宋体" w:cs="宋体"/>
                <w:color w:val="0000FF"/>
                <w:kern w:val="0"/>
                <w:sz w:val="24"/>
              </w:rPr>
              <w:t>标的：</w:t>
            </w:r>
            <w:r>
              <w:rPr>
                <w:rFonts w:hint="eastAsia" w:ascii="宋体" w:hAnsi="宋体" w:cs="宋体"/>
                <w:color w:val="0000FF"/>
                <w:kern w:val="0"/>
                <w:sz w:val="24"/>
                <w:u w:val="single"/>
              </w:rPr>
              <w:t xml:space="preserve">  保安服务  </w:t>
            </w:r>
            <w:r>
              <w:rPr>
                <w:rFonts w:hint="eastAsia" w:ascii="宋体" w:hAnsi="宋体" w:cs="宋体"/>
                <w:color w:val="0000FF"/>
                <w:kern w:val="0"/>
                <w:sz w:val="24"/>
              </w:rPr>
              <w:t>，属于</w:t>
            </w:r>
            <w:r>
              <w:rPr>
                <w:rFonts w:hint="eastAsia" w:ascii="宋体" w:hAnsi="宋体" w:cs="宋体"/>
                <w:color w:val="0000FF"/>
                <w:kern w:val="0"/>
                <w:sz w:val="24"/>
                <w:u w:val="single"/>
              </w:rPr>
              <w:t xml:space="preserve">  物业管理  </w:t>
            </w:r>
            <w:r>
              <w:rPr>
                <w:rFonts w:hint="eastAsia" w:ascii="宋体" w:hAnsi="宋体" w:cs="宋体"/>
                <w:color w:val="0000FF"/>
                <w:kern w:val="0"/>
                <w:sz w:val="24"/>
              </w:rPr>
              <w:t>行业；</w:t>
            </w:r>
          </w:p>
          <w:p>
            <w:pPr>
              <w:pStyle w:val="6"/>
              <w:ind w:left="0" w:firstLine="0"/>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color w:val="0000FF"/>
                  <w:kern w:val="0"/>
                  <w:sz w:val="24"/>
                </w:rPr>
                <w:id w:val="-21296641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ascii="Wingdings" w:hAnsi="Wingdings" w:eastAsia="MS Gothic" w:cs="宋体"/>
                    <w:color w:val="0000FF"/>
                    <w:kern w:val="0"/>
                    <w:sz w:val="24"/>
                  </w:rPr>
                  <w:t></w:t>
                </w:r>
              </w:sdtContent>
            </w:sdt>
            <w:r>
              <w:rPr>
                <w:rFonts w:hint="eastAsia" w:ascii="宋体" w:hAnsi="宋体" w:cs="宋体"/>
                <w:color w:val="0000FF"/>
                <w:kern w:val="0"/>
                <w:sz w:val="24"/>
              </w:rPr>
              <w:t>A</w:t>
            </w:r>
            <w:r>
              <w:rPr>
                <w:rFonts w:hint="eastAsia" w:ascii="宋体" w:hAnsi="宋体" w:cs="宋体"/>
                <w:color w:val="0000FF"/>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FF0000"/>
                <w:sz w:val="24"/>
                <w:u w:val="single"/>
              </w:rPr>
              <w:t xml:space="preserve"> </w:t>
            </w:r>
            <w:r>
              <w:rPr>
                <w:rFonts w:hint="eastAsia" w:hAnsi="宋体" w:cs="宋体"/>
                <w:kern w:val="28"/>
                <w:sz w:val="24"/>
                <w:szCs w:val="24"/>
                <w:u w:val="single"/>
              </w:rPr>
              <w:t>桐庐县迎春南路258号国资大厦5楼窗口</w:t>
            </w:r>
            <w:r>
              <w:rPr>
                <w:rFonts w:hint="eastAsia" w:hAnsi="宋体" w:cs="宋体"/>
                <w:kern w:val="28"/>
                <w:sz w:val="24"/>
                <w:szCs w:val="24"/>
              </w:rPr>
              <w:t>；备份投标文件签收人员联系电话：</w:t>
            </w:r>
            <w:r>
              <w:rPr>
                <w:rFonts w:hint="eastAsia" w:hAnsi="宋体" w:cs="宋体"/>
                <w:sz w:val="24"/>
                <w:u w:val="single"/>
              </w:rPr>
              <w:t xml:space="preserve"> 0571-64267692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8"/>
    <w:p>
      <w:pPr>
        <w:adjustRightInd/>
        <w:spacing w:line="360" w:lineRule="auto"/>
        <w:ind w:firstLine="3845" w:firstLineChars="1197"/>
        <w:outlineLvl w:val="0"/>
        <w:rPr>
          <w:rFonts w:ascii="宋体" w:hAnsi="宋体" w:cs="宋体"/>
          <w:b/>
          <w:sz w:val="32"/>
          <w:szCs w:val="20"/>
        </w:rPr>
      </w:pPr>
      <w:bookmarkStart w:id="9" w:name="_Toc164416483"/>
      <w:bookmarkStart w:id="10"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w:t>
      </w:r>
      <w:r>
        <w:rPr>
          <w:rFonts w:hint="eastAsia" w:ascii="宋体" w:hAnsi="宋体" w:cs="宋体"/>
          <w:sz w:val="24"/>
        </w:rPr>
        <w:t>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w:t>
      </w:r>
      <w:r>
        <w:rPr>
          <w:rFonts w:hint="eastAsia" w:ascii="宋体" w:hAnsi="宋体" w:cs="宋体"/>
          <w:szCs w:val="24"/>
          <w:highlight w:val="none"/>
        </w:rPr>
        <w:t>递交。供应商撤回投标不得损害国家利益、社会公共利益、采购人利益、代理机构利益、其他供应商利益，否则，供应商撤销（撤回）投标无效。投标</w:t>
      </w:r>
      <w:r>
        <w:rPr>
          <w:rFonts w:hint="eastAsia" w:ascii="宋体" w:hAnsi="宋体" w:cs="宋体"/>
          <w:szCs w:val="24"/>
        </w:rPr>
        <w:t>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highlight w:val="none"/>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w:t>
      </w:r>
      <w:r>
        <w:rPr>
          <w:rFonts w:hint="eastAsia" w:ascii="宋体" w:hAnsi="宋体" w:cs="宋体"/>
          <w:highlight w:val="none"/>
        </w:rPr>
        <w:t>拒绝延长的，其投标无效。</w:t>
      </w:r>
    </w:p>
    <w:p>
      <w:pPr>
        <w:pStyle w:val="128"/>
        <w:spacing w:before="0"/>
        <w:ind w:firstLine="480"/>
        <w:rPr>
          <w:rFonts w:ascii="宋体" w:hAnsi="宋体" w:cs="宋体"/>
          <w:highlight w:val="none"/>
        </w:rPr>
      </w:pPr>
      <w:r>
        <w:rPr>
          <w:rFonts w:hint="eastAsia" w:ascii="宋体" w:hAnsi="宋体" w:cs="宋体"/>
          <w:highlight w:val="none"/>
        </w:rPr>
        <w:t>17.4在投标截止时间起至投标有效期届满，供应商投标文件不可撤销。</w:t>
      </w:r>
    </w:p>
    <w:p>
      <w:pPr>
        <w:pStyle w:val="128"/>
        <w:spacing w:before="0"/>
        <w:ind w:firstLine="643"/>
        <w:rPr>
          <w:rFonts w:ascii="宋体" w:hAnsi="宋体" w:cs="宋体"/>
          <w:b/>
          <w:sz w:val="32"/>
          <w:highlight w:val="none"/>
        </w:rPr>
      </w:pPr>
    </w:p>
    <w:p>
      <w:pPr>
        <w:pStyle w:val="128"/>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widowControl/>
        <w:spacing w:before="100" w:beforeAutospacing="1" w:after="240" w:line="360" w:lineRule="auto"/>
        <w:ind w:firstLine="241" w:firstLineChars="100"/>
        <w:jc w:val="left"/>
        <w:rPr>
          <w:rFonts w:ascii="宋体" w:hAnsi="宋体" w:cs="宋体"/>
          <w:b/>
          <w:sz w:val="24"/>
          <w:highlight w:val="none"/>
        </w:rPr>
      </w:pPr>
      <w:r>
        <w:rPr>
          <w:rFonts w:hint="eastAsia" w:ascii="宋体" w:hAnsi="宋体" w:cs="宋体"/>
          <w:b/>
          <w:sz w:val="24"/>
          <w:highlight w:val="none"/>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highlight w:val="none"/>
        </w:rPr>
        <w:t>20.1信用信息查询渠道及截止时间：采购机构将在资格审查时通过“信</w:t>
      </w:r>
      <w:r>
        <w:rPr>
          <w:rFonts w:hint="eastAsia" w:ascii="宋体" w:hAnsi="宋体" w:cs="宋体"/>
          <w:kern w:val="0"/>
          <w:szCs w:val="24"/>
        </w:rPr>
        <w:t>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w:t>
      </w:r>
      <w:r>
        <w:rPr>
          <w:rFonts w:hint="eastAsia" w:ascii="宋体" w:hAnsi="宋体" w:cs="宋体"/>
          <w:szCs w:val="24"/>
          <w:highlight w:val="none"/>
        </w:rPr>
        <w:t>购人。采购单位应当自收到评审报告之日起2个工作日内在线确定中标或者成交供应商。在采购结果确认环节，中标候选人撤销投标文件不能成为采购人不确认采购结果的正当理由。</w:t>
      </w:r>
      <w:r>
        <w:rPr>
          <w:rFonts w:hint="eastAsia" w:ascii="宋体" w:hAnsi="宋体" w:cs="宋体"/>
          <w:szCs w:val="24"/>
        </w:rPr>
        <w:t>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2" w:name="_Hlk101184471"/>
      <w:r>
        <w:rPr>
          <w:rFonts w:hint="eastAsia" w:ascii="宋体" w:hAnsi="宋体" w:cs="宋体"/>
          <w:sz w:val="24"/>
        </w:rPr>
        <w:t>资格审查情况、评审专家抽取规则、符合性审查情况、</w:t>
      </w:r>
      <w:bookmarkEnd w:id="12"/>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宋体" w:hAnsi="宋体" w:cs="宋体"/>
          <w:kern w:val="0"/>
          <w:sz w:val="24"/>
        </w:rPr>
        <w:sectPr>
          <w:footerReference r:id="rId8" w:type="default"/>
          <w:pgSz w:w="11906" w:h="16838"/>
          <w:pgMar w:top="680" w:right="1418" w:bottom="468" w:left="1418" w:header="851" w:footer="992" w:gutter="0"/>
          <w:pgNumType w:start="1"/>
          <w:cols w:space="720" w:num="1"/>
          <w:docGrid w:linePitch="312" w:charSpace="0"/>
        </w:sectPr>
      </w:pPr>
      <w:bookmarkStart w:id="13" w:name="_Hlt68403820"/>
      <w:bookmarkEnd w:id="13"/>
      <w:bookmarkStart w:id="14" w:name="_Hlt68072998"/>
      <w:bookmarkEnd w:id="14"/>
      <w:bookmarkStart w:id="15" w:name="_Hlt74707468"/>
      <w:bookmarkEnd w:id="15"/>
      <w:bookmarkStart w:id="16" w:name="_Hlt75236290"/>
      <w:bookmarkEnd w:id="16"/>
      <w:bookmarkStart w:id="17" w:name="_Hlt75236011"/>
      <w:bookmarkEnd w:id="17"/>
      <w:bookmarkStart w:id="18" w:name="_Hlt68057669"/>
      <w:bookmarkEnd w:id="18"/>
      <w:bookmarkStart w:id="19" w:name="_Hlt68073093"/>
      <w:bookmarkEnd w:id="19"/>
      <w:bookmarkStart w:id="20" w:name="_Hlt74729768"/>
      <w:bookmarkEnd w:id="20"/>
      <w:bookmarkStart w:id="21" w:name="_Hlt68072990"/>
      <w:bookmarkEnd w:id="21"/>
      <w:bookmarkStart w:id="22" w:name="_Hlt74730295"/>
      <w:bookmarkEnd w:id="22"/>
      <w:bookmarkStart w:id="23" w:name="_Hlt74714665"/>
      <w:bookmarkEnd w:id="23"/>
      <w:bookmarkStart w:id="24" w:name="_Hlt75236101"/>
      <w:bookmarkEnd w:id="24"/>
    </w:p>
    <w:bookmarkEnd w:id="9"/>
    <w:bookmarkEnd w:id="10"/>
    <w:p>
      <w:pPr>
        <w:spacing w:line="360" w:lineRule="auto"/>
        <w:jc w:val="center"/>
        <w:outlineLvl w:val="0"/>
        <w:rPr>
          <w:rFonts w:ascii="宋体" w:hAnsi="宋体" w:cs="宋体"/>
          <w:b/>
          <w:sz w:val="36"/>
          <w:szCs w:val="36"/>
        </w:rPr>
      </w:pPr>
      <w:bookmarkStart w:id="25" w:name="第四部分"/>
      <w:r>
        <w:rPr>
          <w:rFonts w:hint="eastAsia" w:ascii="宋体" w:hAnsi="宋体" w:cs="宋体"/>
          <w:b/>
          <w:sz w:val="36"/>
          <w:szCs w:val="36"/>
        </w:rPr>
        <w:t>第三部分   采购需求</w:t>
      </w:r>
    </w:p>
    <w:p>
      <w:pPr>
        <w:pStyle w:val="3"/>
        <w:numPr>
          <w:ilvl w:val="0"/>
          <w:numId w:val="1"/>
        </w:numPr>
        <w:rPr>
          <w:b/>
          <w:bCs/>
          <w:lang w:val="en-US"/>
        </w:rPr>
      </w:pPr>
      <w:r>
        <w:rPr>
          <w:rFonts w:hint="eastAsia"/>
          <w:b/>
          <w:bCs/>
          <w:lang w:val="en-US"/>
        </w:rPr>
        <w:t>采购需求</w:t>
      </w:r>
    </w:p>
    <w:p>
      <w:pPr>
        <w:pStyle w:val="2"/>
        <w:numPr>
          <w:ilvl w:val="0"/>
          <w:numId w:val="2"/>
        </w:numPr>
        <w:rPr>
          <w:rFonts w:hAnsi="宋体" w:cs="宋体"/>
          <w:b/>
          <w:bCs/>
          <w:kern w:val="0"/>
          <w:szCs w:val="24"/>
          <w:lang w:val="en-US"/>
        </w:rPr>
      </w:pPr>
      <w:r>
        <w:rPr>
          <w:rFonts w:hint="eastAsia" w:hAnsi="宋体" w:cs="宋体"/>
          <w:b/>
          <w:bCs/>
          <w:kern w:val="0"/>
          <w:szCs w:val="24"/>
          <w:lang w:val="en-US"/>
        </w:rPr>
        <w:t>项目概况</w:t>
      </w:r>
    </w:p>
    <w:p>
      <w:pPr>
        <w:pStyle w:val="962"/>
        <w:spacing w:line="360" w:lineRule="auto"/>
        <w:ind w:left="0" w:firstLine="480" w:firstLineChars="200"/>
        <w:rPr>
          <w:rFonts w:ascii="宋体" w:hAnsi="宋体" w:cs="宋体"/>
          <w:sz w:val="24"/>
          <w:szCs w:val="24"/>
        </w:rPr>
      </w:pPr>
      <w:r>
        <w:rPr>
          <w:rFonts w:hint="eastAsia" w:ascii="宋体" w:hAnsi="宋体" w:cs="宋体"/>
          <w:sz w:val="24"/>
          <w:szCs w:val="24"/>
        </w:rPr>
        <w:t>浙江工商大学杭州商学院位于杭州市桐庐县环城南路66号，占地面积800余亩(教学用地540余亩，山体260余亩)，建筑面积238838．74平方米，现有全日制本科生万余名，其中有500人考研学生入住中房大厦（距学校1公里）。</w:t>
      </w:r>
    </w:p>
    <w:p>
      <w:pPr>
        <w:tabs>
          <w:tab w:val="left" w:pos="0"/>
        </w:tabs>
        <w:spacing w:line="360" w:lineRule="auto"/>
        <w:ind w:firstLine="480"/>
        <w:rPr>
          <w:rFonts w:ascii="宋体" w:hAnsi="宋体" w:cs="宋体"/>
          <w:kern w:val="0"/>
          <w:sz w:val="24"/>
        </w:rPr>
      </w:pPr>
      <w:r>
        <w:rPr>
          <w:rFonts w:hint="eastAsia" w:ascii="宋体" w:hAnsi="宋体" w:cs="宋体"/>
          <w:kern w:val="0"/>
          <w:sz w:val="24"/>
        </w:rPr>
        <w:t>学校设有保卫处，全面负责校区安全稳定工作，专责监督检查保安服务质量，并指导、协调保安工作。保安服务公司按照校方要求，承担校园安全保卫工作，开展专业化安全防范、应急处置、防火、交通管理等工作，保障校园内的设备财产安全及师生员工人身与财产的安全，维护校园内公共治安和秩序。</w:t>
      </w:r>
    </w:p>
    <w:p>
      <w:pPr>
        <w:tabs>
          <w:tab w:val="center" w:pos="4139"/>
        </w:tabs>
        <w:rPr>
          <w:rFonts w:ascii="宋体" w:hAnsi="宋体" w:cs="宋体"/>
          <w:b/>
          <w:bCs/>
          <w:snapToGrid w:val="0"/>
          <w:kern w:val="28"/>
          <w:sz w:val="24"/>
        </w:rPr>
      </w:pPr>
      <w:r>
        <w:rPr>
          <w:rFonts w:hint="eastAsia" w:ascii="宋体" w:hAnsi="宋体" w:cs="宋体"/>
          <w:b/>
          <w:bCs/>
          <w:snapToGrid w:val="0"/>
          <w:kern w:val="28"/>
          <w:sz w:val="24"/>
        </w:rPr>
        <w:t>2、采购标的数量和规格清单</w:t>
      </w:r>
    </w:p>
    <w:tbl>
      <w:tblPr>
        <w:tblStyle w:val="63"/>
        <w:tblW w:w="8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219"/>
        <w:gridCol w:w="2265"/>
        <w:gridCol w:w="1635"/>
        <w:gridCol w:w="84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pStyle w:val="803"/>
              <w:rPr>
                <w:rFonts w:ascii="宋体" w:eastAsia="宋体"/>
                <w:b/>
                <w:bCs/>
                <w:snapToGrid w:val="0"/>
                <w:color w:val="auto"/>
                <w:kern w:val="28"/>
                <w:sz w:val="24"/>
                <w:szCs w:val="24"/>
              </w:rPr>
            </w:pPr>
            <w:r>
              <w:rPr>
                <w:rFonts w:hint="eastAsia" w:ascii="宋体" w:eastAsia="宋体"/>
                <w:b/>
                <w:bCs/>
                <w:snapToGrid w:val="0"/>
                <w:color w:val="auto"/>
                <w:kern w:val="28"/>
                <w:sz w:val="24"/>
                <w:szCs w:val="24"/>
              </w:rPr>
              <w:t>序号</w:t>
            </w:r>
          </w:p>
        </w:tc>
        <w:tc>
          <w:tcPr>
            <w:tcW w:w="1219" w:type="dxa"/>
          </w:tcPr>
          <w:p>
            <w:pPr>
              <w:pStyle w:val="803"/>
              <w:rPr>
                <w:rFonts w:ascii="宋体" w:eastAsia="宋体"/>
                <w:b/>
                <w:bCs/>
                <w:snapToGrid w:val="0"/>
                <w:color w:val="auto"/>
                <w:kern w:val="28"/>
                <w:sz w:val="24"/>
                <w:szCs w:val="24"/>
              </w:rPr>
            </w:pPr>
            <w:r>
              <w:rPr>
                <w:rFonts w:hint="eastAsia" w:ascii="宋体" w:eastAsia="宋体"/>
                <w:b/>
                <w:bCs/>
                <w:snapToGrid w:val="0"/>
                <w:color w:val="auto"/>
                <w:kern w:val="28"/>
                <w:sz w:val="24"/>
                <w:szCs w:val="24"/>
              </w:rPr>
              <w:t>标的内容</w:t>
            </w:r>
          </w:p>
        </w:tc>
        <w:tc>
          <w:tcPr>
            <w:tcW w:w="2265" w:type="dxa"/>
          </w:tcPr>
          <w:p>
            <w:pPr>
              <w:pStyle w:val="803"/>
              <w:rPr>
                <w:rFonts w:ascii="宋体" w:eastAsia="宋体"/>
                <w:b/>
                <w:bCs/>
                <w:snapToGrid w:val="0"/>
                <w:color w:val="auto"/>
                <w:kern w:val="28"/>
                <w:sz w:val="24"/>
                <w:szCs w:val="24"/>
              </w:rPr>
            </w:pPr>
            <w:r>
              <w:rPr>
                <w:rFonts w:hint="eastAsia" w:ascii="宋体" w:eastAsia="宋体"/>
                <w:b/>
                <w:bCs/>
                <w:snapToGrid w:val="0"/>
                <w:color w:val="auto"/>
                <w:kern w:val="28"/>
                <w:sz w:val="24"/>
                <w:szCs w:val="24"/>
              </w:rPr>
              <w:t>服务内容及要求</w:t>
            </w:r>
          </w:p>
        </w:tc>
        <w:tc>
          <w:tcPr>
            <w:tcW w:w="1635" w:type="dxa"/>
          </w:tcPr>
          <w:p>
            <w:pPr>
              <w:pStyle w:val="803"/>
              <w:rPr>
                <w:rFonts w:ascii="宋体" w:eastAsia="宋体"/>
                <w:b/>
                <w:bCs/>
                <w:snapToGrid w:val="0"/>
                <w:color w:val="auto"/>
                <w:kern w:val="28"/>
                <w:sz w:val="24"/>
                <w:szCs w:val="24"/>
              </w:rPr>
            </w:pPr>
            <w:r>
              <w:rPr>
                <w:rFonts w:hint="eastAsia" w:ascii="宋体" w:eastAsia="宋体"/>
                <w:b/>
                <w:bCs/>
                <w:snapToGrid w:val="0"/>
                <w:color w:val="auto"/>
                <w:kern w:val="28"/>
                <w:sz w:val="24"/>
                <w:szCs w:val="24"/>
              </w:rPr>
              <w:t>数量</w:t>
            </w:r>
          </w:p>
        </w:tc>
        <w:tc>
          <w:tcPr>
            <w:tcW w:w="840" w:type="dxa"/>
          </w:tcPr>
          <w:p>
            <w:pPr>
              <w:pStyle w:val="803"/>
              <w:rPr>
                <w:rFonts w:ascii="宋体" w:eastAsia="宋体"/>
                <w:b/>
                <w:bCs/>
                <w:snapToGrid w:val="0"/>
                <w:color w:val="auto"/>
                <w:kern w:val="28"/>
                <w:sz w:val="24"/>
                <w:szCs w:val="24"/>
              </w:rPr>
            </w:pPr>
            <w:r>
              <w:rPr>
                <w:rFonts w:hint="eastAsia" w:ascii="宋体" w:eastAsia="宋体"/>
                <w:b/>
                <w:bCs/>
                <w:snapToGrid w:val="0"/>
                <w:color w:val="auto"/>
                <w:kern w:val="28"/>
                <w:sz w:val="24"/>
                <w:szCs w:val="24"/>
              </w:rPr>
              <w:t>单位</w:t>
            </w:r>
          </w:p>
        </w:tc>
        <w:tc>
          <w:tcPr>
            <w:tcW w:w="1410" w:type="dxa"/>
          </w:tcPr>
          <w:p>
            <w:pPr>
              <w:pStyle w:val="803"/>
              <w:rPr>
                <w:rFonts w:ascii="宋体" w:eastAsia="宋体"/>
                <w:b/>
                <w:bCs/>
                <w:snapToGrid w:val="0"/>
                <w:color w:val="auto"/>
                <w:kern w:val="28"/>
                <w:sz w:val="24"/>
                <w:szCs w:val="24"/>
              </w:rPr>
            </w:pPr>
            <w:r>
              <w:rPr>
                <w:rFonts w:hint="eastAsia" w:ascii="宋体" w:eastAsia="宋体"/>
                <w:b/>
                <w:bCs/>
                <w:snapToGrid w:val="0"/>
                <w:color w:val="auto"/>
                <w:kern w:val="28"/>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pStyle w:val="803"/>
              <w:rPr>
                <w:rFonts w:ascii="宋体" w:eastAsia="宋体"/>
                <w:snapToGrid w:val="0"/>
                <w:color w:val="auto"/>
                <w:kern w:val="28"/>
                <w:sz w:val="24"/>
                <w:szCs w:val="24"/>
              </w:rPr>
            </w:pPr>
            <w:r>
              <w:rPr>
                <w:rFonts w:hint="eastAsia" w:ascii="宋体" w:eastAsia="宋体"/>
                <w:snapToGrid w:val="0"/>
                <w:color w:val="auto"/>
                <w:kern w:val="28"/>
                <w:sz w:val="24"/>
                <w:szCs w:val="24"/>
              </w:rPr>
              <w:t>1</w:t>
            </w:r>
          </w:p>
        </w:tc>
        <w:tc>
          <w:tcPr>
            <w:tcW w:w="1219" w:type="dxa"/>
          </w:tcPr>
          <w:p>
            <w:pPr>
              <w:pStyle w:val="803"/>
              <w:rPr>
                <w:rFonts w:ascii="宋体" w:eastAsia="宋体"/>
                <w:snapToGrid w:val="0"/>
                <w:color w:val="auto"/>
                <w:kern w:val="28"/>
                <w:sz w:val="24"/>
                <w:szCs w:val="24"/>
              </w:rPr>
            </w:pPr>
            <w:r>
              <w:rPr>
                <w:rFonts w:ascii="宋体" w:eastAsia="宋体"/>
                <w:snapToGrid w:val="0"/>
                <w:color w:val="auto"/>
                <w:kern w:val="28"/>
                <w:sz w:val="24"/>
                <w:szCs w:val="24"/>
              </w:rPr>
              <w:t>保安</w:t>
            </w:r>
            <w:r>
              <w:rPr>
                <w:rFonts w:hint="eastAsia" w:ascii="宋体" w:eastAsia="宋体"/>
                <w:snapToGrid w:val="0"/>
                <w:color w:val="auto"/>
                <w:kern w:val="28"/>
                <w:sz w:val="24"/>
                <w:szCs w:val="24"/>
              </w:rPr>
              <w:t>服务</w:t>
            </w:r>
          </w:p>
        </w:tc>
        <w:tc>
          <w:tcPr>
            <w:tcW w:w="2265" w:type="dxa"/>
          </w:tcPr>
          <w:p>
            <w:pPr>
              <w:pStyle w:val="803"/>
              <w:rPr>
                <w:rFonts w:ascii="宋体" w:eastAsia="宋体"/>
                <w:snapToGrid w:val="0"/>
                <w:color w:val="auto"/>
                <w:kern w:val="28"/>
                <w:sz w:val="24"/>
                <w:szCs w:val="24"/>
              </w:rPr>
            </w:pPr>
            <w:r>
              <w:rPr>
                <w:rFonts w:ascii="宋体" w:eastAsia="宋体"/>
                <w:snapToGrid w:val="0"/>
                <w:color w:val="auto"/>
                <w:kern w:val="28"/>
                <w:sz w:val="24"/>
                <w:szCs w:val="24"/>
              </w:rPr>
              <w:t>详见</w:t>
            </w:r>
            <w:r>
              <w:rPr>
                <w:rFonts w:hint="eastAsia" w:ascii="宋体" w:eastAsia="宋体"/>
                <w:snapToGrid w:val="0"/>
                <w:color w:val="auto"/>
                <w:kern w:val="28"/>
                <w:sz w:val="24"/>
                <w:szCs w:val="24"/>
              </w:rPr>
              <w:t>3</w:t>
            </w:r>
          </w:p>
        </w:tc>
        <w:tc>
          <w:tcPr>
            <w:tcW w:w="1635" w:type="dxa"/>
          </w:tcPr>
          <w:p>
            <w:pPr>
              <w:pStyle w:val="803"/>
              <w:rPr>
                <w:rFonts w:ascii="宋体" w:eastAsia="宋体"/>
                <w:snapToGrid w:val="0"/>
                <w:color w:val="auto"/>
                <w:kern w:val="28"/>
                <w:sz w:val="24"/>
                <w:szCs w:val="24"/>
              </w:rPr>
            </w:pPr>
            <w:r>
              <w:rPr>
                <w:rFonts w:hint="eastAsia" w:ascii="宋体"/>
                <w:b/>
                <w:bCs/>
                <w:snapToGrid w:val="0"/>
                <w:kern w:val="28"/>
                <w:sz w:val="24"/>
              </w:rPr>
              <w:t>▲</w:t>
            </w:r>
            <w:r>
              <w:rPr>
                <w:rFonts w:hint="eastAsia" w:ascii="宋体" w:eastAsia="宋体"/>
                <w:snapToGrid w:val="0"/>
                <w:color w:val="auto"/>
                <w:kern w:val="28"/>
                <w:sz w:val="24"/>
                <w:szCs w:val="24"/>
              </w:rPr>
              <w:t>40</w:t>
            </w:r>
          </w:p>
        </w:tc>
        <w:tc>
          <w:tcPr>
            <w:tcW w:w="840" w:type="dxa"/>
          </w:tcPr>
          <w:p>
            <w:pPr>
              <w:pStyle w:val="803"/>
              <w:rPr>
                <w:rFonts w:ascii="宋体" w:eastAsia="宋体"/>
                <w:snapToGrid w:val="0"/>
                <w:color w:val="auto"/>
                <w:kern w:val="28"/>
                <w:sz w:val="24"/>
                <w:szCs w:val="24"/>
              </w:rPr>
            </w:pPr>
            <w:r>
              <w:rPr>
                <w:rFonts w:hint="eastAsia" w:ascii="宋体" w:eastAsia="宋体"/>
                <w:snapToGrid w:val="0"/>
                <w:color w:val="auto"/>
                <w:kern w:val="28"/>
                <w:sz w:val="24"/>
                <w:szCs w:val="24"/>
              </w:rPr>
              <w:t>岗</w:t>
            </w:r>
          </w:p>
        </w:tc>
        <w:tc>
          <w:tcPr>
            <w:tcW w:w="1410" w:type="dxa"/>
          </w:tcPr>
          <w:p>
            <w:pPr>
              <w:pStyle w:val="803"/>
              <w:rPr>
                <w:rFonts w:ascii="宋体" w:eastAsia="宋体"/>
                <w:snapToGrid w:val="0"/>
                <w:color w:val="auto"/>
                <w:kern w:val="28"/>
                <w:sz w:val="24"/>
                <w:szCs w:val="24"/>
              </w:rPr>
            </w:pPr>
            <w:r>
              <w:rPr>
                <w:rFonts w:hint="eastAsia" w:ascii="宋体" w:eastAsia="宋体"/>
                <w:snapToGrid w:val="0"/>
                <w:color w:val="auto"/>
                <w:kern w:val="28"/>
                <w:sz w:val="24"/>
                <w:szCs w:val="24"/>
              </w:rPr>
              <w:t>3年</w:t>
            </w:r>
          </w:p>
        </w:tc>
      </w:tr>
    </w:tbl>
    <w:p>
      <w:pPr>
        <w:numPr>
          <w:ilvl w:val="0"/>
          <w:numId w:val="3"/>
        </w:numPr>
        <w:rPr>
          <w:rFonts w:ascii="宋体" w:hAnsi="宋体" w:cs="宋体"/>
          <w:b/>
          <w:bCs/>
          <w:snapToGrid w:val="0"/>
          <w:color w:val="000000"/>
          <w:kern w:val="28"/>
          <w:sz w:val="24"/>
        </w:rPr>
      </w:pPr>
      <w:r>
        <w:rPr>
          <w:rFonts w:hint="eastAsia" w:ascii="宋体" w:hAnsi="宋体" w:cs="宋体"/>
          <w:b/>
          <w:bCs/>
          <w:snapToGrid w:val="0"/>
          <w:color w:val="000000"/>
          <w:kern w:val="28"/>
          <w:sz w:val="24"/>
        </w:rPr>
        <w:t>服务</w:t>
      </w:r>
      <w:r>
        <w:rPr>
          <w:rFonts w:hint="eastAsia" w:ascii="宋体"/>
          <w:b/>
          <w:bCs/>
          <w:snapToGrid w:val="0"/>
          <w:kern w:val="28"/>
          <w:sz w:val="24"/>
        </w:rPr>
        <w:t>内容及</w:t>
      </w:r>
      <w:r>
        <w:rPr>
          <w:rFonts w:hint="eastAsia" w:ascii="宋体" w:hAnsi="宋体" w:cs="宋体"/>
          <w:b/>
          <w:bCs/>
          <w:snapToGrid w:val="0"/>
          <w:color w:val="000000"/>
          <w:kern w:val="28"/>
          <w:sz w:val="24"/>
        </w:rPr>
        <w:t>要求</w:t>
      </w:r>
    </w:p>
    <w:p>
      <w:pPr>
        <w:tabs>
          <w:tab w:val="left" w:pos="0"/>
        </w:tabs>
        <w:spacing w:line="360" w:lineRule="auto"/>
        <w:ind w:firstLine="480"/>
        <w:rPr>
          <w:rFonts w:ascii="宋体" w:hAnsi="宋体" w:cs="宋体"/>
          <w:kern w:val="0"/>
          <w:sz w:val="24"/>
        </w:rPr>
      </w:pPr>
      <w:r>
        <w:rPr>
          <w:rFonts w:hint="eastAsia" w:ascii="宋体" w:hAnsi="宋体" w:cs="宋体"/>
          <w:kern w:val="0"/>
          <w:sz w:val="24"/>
        </w:rPr>
        <w:t>一、委托管理内容</w:t>
      </w:r>
    </w:p>
    <w:p>
      <w:pPr>
        <w:tabs>
          <w:tab w:val="left" w:pos="0"/>
        </w:tabs>
        <w:spacing w:line="360" w:lineRule="auto"/>
        <w:ind w:firstLine="480"/>
        <w:rPr>
          <w:rFonts w:ascii="宋体" w:hAnsi="宋体" w:cs="宋体"/>
          <w:kern w:val="0"/>
          <w:sz w:val="24"/>
        </w:rPr>
      </w:pPr>
      <w:r>
        <w:rPr>
          <w:rFonts w:hint="eastAsia" w:ascii="宋体" w:hAnsi="宋体" w:cs="宋体"/>
          <w:kern w:val="0"/>
          <w:sz w:val="24"/>
        </w:rPr>
        <w:t>（一）校区南门、东门、北门24小时门岗管理，负责出入卡口控制，人员、车辆、物资进出门的管理；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（二）校园110接处警，失物招领、返还、上缴；</w:t>
      </w:r>
    </w:p>
    <w:p>
      <w:pPr>
        <w:tabs>
          <w:tab w:val="left" w:pos="0"/>
        </w:tabs>
        <w:spacing w:line="360" w:lineRule="auto"/>
        <w:ind w:firstLine="480"/>
        <w:rPr>
          <w:rFonts w:ascii="宋体" w:hAnsi="宋体" w:cs="宋体"/>
          <w:kern w:val="0"/>
          <w:sz w:val="24"/>
        </w:rPr>
      </w:pPr>
      <w:r>
        <w:rPr>
          <w:rFonts w:hint="eastAsia" w:ascii="宋体" w:hAnsi="宋体" w:cs="宋体"/>
          <w:kern w:val="0"/>
          <w:sz w:val="24"/>
        </w:rPr>
        <w:t>（三）监控室和消控室管理，接处火警；</w:t>
      </w:r>
    </w:p>
    <w:p>
      <w:pPr>
        <w:widowControl/>
        <w:shd w:val="clear" w:color="auto" w:fill="FBFDFE"/>
        <w:adjustRightInd/>
        <w:spacing w:line="375" w:lineRule="atLeast"/>
        <w:ind w:firstLine="480" w:firstLineChars="200"/>
        <w:jc w:val="left"/>
        <w:rPr>
          <w:rFonts w:ascii="宋体" w:hAnsi="宋体" w:cs="宋体"/>
          <w:kern w:val="0"/>
          <w:szCs w:val="21"/>
        </w:rPr>
      </w:pPr>
      <w:r>
        <w:rPr>
          <w:rFonts w:hint="eastAsia" w:ascii="宋体" w:hAnsi="宋体" w:cs="宋体"/>
          <w:kern w:val="0"/>
          <w:sz w:val="24"/>
        </w:rPr>
        <w:t>（四）校园及中房大厦校外住宿点（距学校1公里）定时定点治安巡逻检查，重点部位的定点守护，按校方规定巡更打点；</w:t>
      </w:r>
      <w:r>
        <w:rPr>
          <w:rFonts w:hint="eastAsia" w:ascii="宋体" w:hAnsi="宋体" w:cs="宋体"/>
          <w:kern w:val="0"/>
          <w:szCs w:val="21"/>
        </w:rPr>
        <w:br w:type="textWrapping"/>
      </w:r>
      <w:r>
        <w:rPr>
          <w:rFonts w:ascii="宋体" w:hAnsi="宋体" w:cs="宋体"/>
          <w:kern w:val="0"/>
          <w:szCs w:val="21"/>
        </w:rPr>
        <w:drawing>
          <wp:inline distT="0" distB="0" distL="114300" distR="114300">
            <wp:extent cx="5269230" cy="3194685"/>
            <wp:effectExtent l="0" t="0" r="7620" b="5715"/>
            <wp:docPr id="1" name="图片 1" descr="3d56fb58afc86aefc9fe1cd7495f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56fb58afc86aefc9fe1cd7495f105"/>
                    <pic:cNvPicPr>
                      <a:picLocks noChangeAspect="1"/>
                    </pic:cNvPicPr>
                  </pic:nvPicPr>
                  <pic:blipFill>
                    <a:blip r:embed="rId27"/>
                    <a:stretch>
                      <a:fillRect/>
                    </a:stretch>
                  </pic:blipFill>
                  <pic:spPr>
                    <a:xfrm>
                      <a:off x="0" y="0"/>
                      <a:ext cx="5269230" cy="3194685"/>
                    </a:xfrm>
                    <a:prstGeom prst="rect">
                      <a:avLst/>
                    </a:prstGeom>
                  </pic:spPr>
                </pic:pic>
              </a:graphicData>
            </a:graphic>
          </wp:inline>
        </w:drawing>
      </w:r>
      <w:r>
        <w:rPr>
          <w:rFonts w:ascii="宋体" w:hAnsi="宋体" w:cs="宋体"/>
          <w:kern w:val="0"/>
          <w:szCs w:val="21"/>
        </w:rPr>
        <w:t xml:space="preserve"> </w:t>
      </w:r>
    </w:p>
    <w:p>
      <w:pPr>
        <w:tabs>
          <w:tab w:val="left" w:pos="0"/>
        </w:tabs>
        <w:spacing w:line="360" w:lineRule="auto"/>
        <w:ind w:firstLine="480"/>
        <w:rPr>
          <w:rFonts w:ascii="宋体" w:hAnsi="宋体" w:cs="宋体"/>
          <w:kern w:val="0"/>
          <w:sz w:val="24"/>
        </w:rPr>
      </w:pPr>
      <w:r>
        <w:rPr>
          <w:rFonts w:hint="eastAsia" w:ascii="宋体" w:hAnsi="宋体" w:cs="宋体"/>
          <w:kern w:val="0"/>
          <w:sz w:val="24"/>
        </w:rPr>
        <w:t>（五） 校园内公共部位消防设施的日常维护管理；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（六） 校园安全秩序的维护。包括负责校门周边与校园内车辆指挥与停放，校园内悬挂横幅、张贴物、发放宣传单页管理，劝离进入校园内无关人员；校园内临时设摊管理等；</w:t>
      </w:r>
    </w:p>
    <w:p>
      <w:pPr>
        <w:tabs>
          <w:tab w:val="left" w:pos="0"/>
        </w:tabs>
        <w:spacing w:line="360" w:lineRule="auto"/>
        <w:ind w:firstLine="480"/>
        <w:rPr>
          <w:rFonts w:ascii="宋体" w:hAnsi="宋体" w:cs="宋体"/>
          <w:kern w:val="0"/>
          <w:sz w:val="24"/>
        </w:rPr>
      </w:pPr>
      <w:r>
        <w:rPr>
          <w:rFonts w:hint="eastAsia" w:ascii="宋体" w:hAnsi="宋体" w:cs="宋体"/>
          <w:kern w:val="0"/>
          <w:sz w:val="24"/>
        </w:rPr>
        <w:t>（七）校园内夜间定时清场；</w:t>
      </w:r>
    </w:p>
    <w:p>
      <w:pPr>
        <w:tabs>
          <w:tab w:val="left" w:pos="0"/>
        </w:tabs>
        <w:spacing w:line="360" w:lineRule="auto"/>
        <w:ind w:firstLine="480"/>
        <w:rPr>
          <w:rFonts w:ascii="宋体" w:hAnsi="宋体" w:cs="宋体"/>
          <w:kern w:val="0"/>
          <w:sz w:val="24"/>
        </w:rPr>
      </w:pPr>
      <w:r>
        <w:rPr>
          <w:rFonts w:hint="eastAsia" w:ascii="宋体" w:hAnsi="宋体" w:cs="宋体"/>
          <w:kern w:val="0"/>
          <w:sz w:val="24"/>
        </w:rPr>
        <w:t>（八）校园内重大活动秩序维护和安全保卫工作；</w:t>
      </w:r>
    </w:p>
    <w:p>
      <w:pPr>
        <w:tabs>
          <w:tab w:val="left" w:pos="0"/>
        </w:tabs>
        <w:spacing w:line="360" w:lineRule="auto"/>
        <w:ind w:firstLine="480"/>
        <w:rPr>
          <w:rFonts w:ascii="宋体" w:hAnsi="宋体" w:cs="宋体"/>
          <w:kern w:val="0"/>
          <w:sz w:val="24"/>
        </w:rPr>
      </w:pPr>
      <w:r>
        <w:rPr>
          <w:rFonts w:hint="eastAsia" w:ascii="宋体" w:hAnsi="宋体" w:cs="宋体"/>
          <w:kern w:val="0"/>
          <w:sz w:val="24"/>
        </w:rPr>
        <w:t>（九）做好备班安排，备班队员在校内作息，不得离开校园，校内发生突发事件或有警情时按照应急预案出警（5分钟内到达事件现场）；备班承担演出、接待、展览、比赛等活动安全维护工作</w:t>
      </w:r>
      <w:r>
        <w:rPr>
          <w:rFonts w:hint="eastAsia" w:ascii="宋体" w:hAnsi="宋体" w:cs="宋体"/>
          <w:kern w:val="0"/>
          <w:sz w:val="24"/>
          <w:highlight w:val="none"/>
        </w:rPr>
        <w:t>（单次时间少于3小时，单月个人累计不超过8小时不计酬）；</w:t>
      </w:r>
    </w:p>
    <w:p>
      <w:pPr>
        <w:tabs>
          <w:tab w:val="left" w:pos="0"/>
        </w:tabs>
        <w:spacing w:line="360" w:lineRule="auto"/>
        <w:ind w:firstLine="480"/>
        <w:rPr>
          <w:rFonts w:ascii="宋体" w:hAnsi="宋体" w:cs="宋体"/>
          <w:kern w:val="0"/>
          <w:sz w:val="24"/>
        </w:rPr>
      </w:pPr>
      <w:r>
        <w:rPr>
          <w:rFonts w:hint="eastAsia" w:ascii="宋体" w:hAnsi="宋体" w:cs="宋体"/>
          <w:kern w:val="0"/>
          <w:sz w:val="24"/>
        </w:rPr>
        <w:t>（十）配合保卫处受理校区内各类纠纷和治安案件，配合校方对违规事件调查处理，协助司法调查；配合司法机关，打击校园内部与周边的违法犯罪活动；</w:t>
      </w:r>
    </w:p>
    <w:p>
      <w:pPr>
        <w:tabs>
          <w:tab w:val="left" w:pos="0"/>
        </w:tabs>
        <w:spacing w:line="360" w:lineRule="auto"/>
        <w:ind w:firstLine="480"/>
        <w:rPr>
          <w:rFonts w:ascii="宋体" w:hAnsi="宋体" w:cs="宋体"/>
          <w:kern w:val="0"/>
          <w:sz w:val="24"/>
        </w:rPr>
      </w:pPr>
      <w:r>
        <w:rPr>
          <w:rFonts w:hint="eastAsia" w:ascii="宋体" w:hAnsi="宋体" w:cs="宋体"/>
          <w:kern w:val="0"/>
          <w:sz w:val="24"/>
        </w:rPr>
        <w:t>（十一）校园内公共部位安全隐患检查、排除及上报；纠正违规；有针对性地开展安全教育和提示；突发事件处置、灾害预防、火灾扑救；发现和制止校内暴力事件，随时准备提供紧急救助等；</w:t>
      </w:r>
    </w:p>
    <w:p>
      <w:pPr>
        <w:tabs>
          <w:tab w:val="left" w:pos="0"/>
        </w:tabs>
        <w:spacing w:line="360" w:lineRule="auto"/>
        <w:ind w:firstLine="480"/>
        <w:rPr>
          <w:rFonts w:ascii="宋体" w:hAnsi="宋体" w:cs="宋体"/>
          <w:kern w:val="0"/>
          <w:sz w:val="24"/>
        </w:rPr>
      </w:pPr>
      <w:r>
        <w:rPr>
          <w:rFonts w:hint="eastAsia" w:ascii="宋体" w:hAnsi="宋体" w:cs="宋体"/>
          <w:kern w:val="0"/>
          <w:sz w:val="24"/>
        </w:rPr>
        <w:t>（十二）承担校方提供的保安业务所使用的电器、警具等的维修和耗料费用。</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（十三）其它属于保安服务范围内的工作以及校方临时交办的任务。中标人每年提供不少于200小时临时活动安全保卫工作，临时活动人数要求由业主指定。（例：两人</w:t>
      </w:r>
      <w:r>
        <w:rPr>
          <w:rFonts w:hint="eastAsia" w:ascii="宋体" w:hAnsi="宋体" w:cs="宋体"/>
          <w:kern w:val="0"/>
          <w:sz w:val="24"/>
          <w:highlight w:val="none"/>
          <w:lang w:val="en-US" w:eastAsia="zh-CN"/>
        </w:rPr>
        <w:t>工作</w:t>
      </w:r>
      <w:r>
        <w:rPr>
          <w:rFonts w:hint="eastAsia" w:ascii="宋体" w:hAnsi="宋体" w:cs="宋体"/>
          <w:kern w:val="0"/>
          <w:sz w:val="24"/>
          <w:highlight w:val="none"/>
        </w:rPr>
        <w:t>1小时计2小时时长，以此类推。）费用包含在本项目金额内；超时部分的临时性安全保卫工作按每人每小时不高于18.9元进行额外结算。</w:t>
      </w:r>
    </w:p>
    <w:p>
      <w:pPr>
        <w:tabs>
          <w:tab w:val="left" w:pos="0"/>
        </w:tabs>
        <w:spacing w:line="360" w:lineRule="auto"/>
        <w:ind w:firstLine="480"/>
        <w:rPr>
          <w:rFonts w:ascii="宋体" w:hAnsi="宋体" w:cs="宋体"/>
          <w:b/>
          <w:bCs/>
          <w:kern w:val="0"/>
          <w:sz w:val="24"/>
        </w:rPr>
      </w:pPr>
      <w:r>
        <w:rPr>
          <w:rFonts w:hint="eastAsia" w:ascii="宋体" w:hAnsi="宋体" w:cs="宋体"/>
          <w:b/>
          <w:bCs/>
          <w:kern w:val="0"/>
          <w:sz w:val="24"/>
        </w:rPr>
        <w:t>二、管理服务要求</w:t>
      </w:r>
    </w:p>
    <w:p>
      <w:pPr>
        <w:tabs>
          <w:tab w:val="left" w:pos="0"/>
        </w:tabs>
        <w:spacing w:line="360" w:lineRule="auto"/>
        <w:ind w:firstLine="480"/>
        <w:rPr>
          <w:rFonts w:ascii="宋体" w:hAnsi="宋体" w:cs="宋体"/>
          <w:kern w:val="0"/>
          <w:sz w:val="24"/>
        </w:rPr>
      </w:pPr>
      <w:r>
        <w:rPr>
          <w:rFonts w:hint="eastAsia" w:ascii="宋体" w:hAnsi="宋体" w:cs="宋体"/>
          <w:kern w:val="0"/>
          <w:sz w:val="24"/>
        </w:rPr>
        <w:t>（一）质量目标要求</w:t>
      </w:r>
    </w:p>
    <w:p>
      <w:pPr>
        <w:tabs>
          <w:tab w:val="left" w:pos="0"/>
        </w:tabs>
        <w:spacing w:line="360" w:lineRule="auto"/>
        <w:ind w:firstLine="480"/>
        <w:rPr>
          <w:rFonts w:ascii="宋体" w:hAnsi="宋体" w:cs="宋体"/>
          <w:kern w:val="0"/>
          <w:sz w:val="24"/>
        </w:rPr>
      </w:pPr>
      <w:r>
        <w:rPr>
          <w:rFonts w:hint="eastAsia" w:ascii="宋体" w:hAnsi="宋体" w:cs="宋体"/>
          <w:kern w:val="0"/>
          <w:sz w:val="24"/>
        </w:rPr>
        <w:t>1．依托行业标准，根据校方管理规定与服务要求，制订切实可行的校园保安服务整体方案和应急预案，突发事件反应迅速，预案处置有力；结合校园安全保卫工作的实际变化提出合理建议并在实践中不断完善和有效提升校园安全保卫整体实力；</w:t>
      </w:r>
    </w:p>
    <w:p>
      <w:pPr>
        <w:tabs>
          <w:tab w:val="left" w:pos="0"/>
        </w:tabs>
        <w:spacing w:line="360" w:lineRule="auto"/>
        <w:ind w:firstLine="480"/>
        <w:rPr>
          <w:rFonts w:ascii="宋体" w:hAnsi="宋体" w:cs="宋体"/>
          <w:kern w:val="0"/>
          <w:sz w:val="24"/>
        </w:rPr>
      </w:pPr>
      <w:r>
        <w:rPr>
          <w:rFonts w:hint="eastAsia" w:ascii="宋体" w:hAnsi="宋体" w:cs="宋体"/>
          <w:kern w:val="0"/>
          <w:sz w:val="24"/>
        </w:rPr>
        <w:t>2．依法办事，文明值勤，严格管理，保障学校财产和师生人身不受侵害，维护正常的教学、科研、生活秩序；</w:t>
      </w:r>
    </w:p>
    <w:p>
      <w:pPr>
        <w:tabs>
          <w:tab w:val="left" w:pos="0"/>
        </w:tabs>
        <w:spacing w:line="360" w:lineRule="auto"/>
        <w:ind w:firstLine="480"/>
        <w:rPr>
          <w:rFonts w:ascii="宋体" w:hAnsi="宋体" w:cs="宋体"/>
          <w:kern w:val="0"/>
          <w:sz w:val="24"/>
        </w:rPr>
      </w:pPr>
      <w:r>
        <w:rPr>
          <w:rFonts w:hint="eastAsia" w:ascii="宋体" w:hAnsi="宋体" w:cs="宋体"/>
          <w:kern w:val="0"/>
          <w:sz w:val="24"/>
        </w:rPr>
        <w:t>3．全年无责任事故和责任案件发生，师生对校园安全保卫管理工作普遍认可，有安全感</w:t>
      </w:r>
      <w:r>
        <w:rPr>
          <w:rFonts w:hint="eastAsia" w:ascii="宋体" w:hAnsi="宋体" w:cs="宋体"/>
          <w:kern w:val="0"/>
          <w:sz w:val="24"/>
          <w:highlight w:val="none"/>
        </w:rPr>
        <w:t>，保卫处对保安服务季度评分在80分以上（后附考核表）。</w:t>
      </w:r>
    </w:p>
    <w:p>
      <w:pPr>
        <w:tabs>
          <w:tab w:val="left" w:pos="0"/>
        </w:tabs>
        <w:spacing w:line="360" w:lineRule="auto"/>
        <w:ind w:firstLine="480"/>
        <w:rPr>
          <w:rFonts w:ascii="宋体" w:hAnsi="宋体" w:cs="宋体"/>
          <w:kern w:val="0"/>
          <w:sz w:val="24"/>
        </w:rPr>
      </w:pPr>
      <w:r>
        <w:rPr>
          <w:rFonts w:hint="eastAsia" w:ascii="宋体" w:hAnsi="宋体" w:cs="宋体"/>
          <w:kern w:val="0"/>
          <w:sz w:val="24"/>
        </w:rPr>
        <w:t>（二）服务质量要求</w:t>
      </w:r>
    </w:p>
    <w:p>
      <w:pPr>
        <w:tabs>
          <w:tab w:val="left" w:pos="0"/>
        </w:tabs>
        <w:spacing w:line="360" w:lineRule="auto"/>
        <w:ind w:firstLine="480"/>
        <w:rPr>
          <w:rFonts w:ascii="宋体" w:hAnsi="宋体" w:cs="宋体"/>
          <w:kern w:val="0"/>
          <w:sz w:val="24"/>
        </w:rPr>
      </w:pPr>
      <w:r>
        <w:rPr>
          <w:rFonts w:hint="eastAsia" w:ascii="宋体" w:hAnsi="宋体" w:cs="宋体"/>
          <w:kern w:val="0"/>
          <w:sz w:val="24"/>
        </w:rPr>
        <w:t>1.树立“服务第一，用户至上”的思想，保障校方师生人身和财产安全；</w:t>
      </w:r>
    </w:p>
    <w:p>
      <w:pPr>
        <w:tabs>
          <w:tab w:val="left" w:pos="0"/>
        </w:tabs>
        <w:spacing w:line="360" w:lineRule="auto"/>
        <w:ind w:firstLine="480"/>
        <w:rPr>
          <w:rFonts w:ascii="宋体" w:hAnsi="宋体" w:cs="宋体"/>
          <w:kern w:val="0"/>
          <w:sz w:val="24"/>
        </w:rPr>
      </w:pPr>
      <w:r>
        <w:rPr>
          <w:rFonts w:hint="eastAsia" w:ascii="宋体" w:hAnsi="宋体" w:cs="宋体"/>
          <w:kern w:val="0"/>
          <w:sz w:val="24"/>
        </w:rPr>
        <w:t>2.管理要坚持原则、工作缜密严谨；服务要以人为本、主动热情；处理问题要高度警惕、有理有节；</w:t>
      </w:r>
    </w:p>
    <w:p>
      <w:pPr>
        <w:tabs>
          <w:tab w:val="left" w:pos="0"/>
        </w:tabs>
        <w:spacing w:line="360" w:lineRule="auto"/>
        <w:ind w:firstLine="480"/>
        <w:rPr>
          <w:rFonts w:ascii="宋体" w:hAnsi="宋体" w:cs="宋体"/>
          <w:kern w:val="0"/>
          <w:sz w:val="24"/>
        </w:rPr>
      </w:pPr>
      <w:r>
        <w:rPr>
          <w:rFonts w:hint="eastAsia" w:ascii="宋体" w:hAnsi="宋体" w:cs="宋体"/>
          <w:kern w:val="0"/>
          <w:sz w:val="24"/>
        </w:rPr>
        <w:t>3.管理讲究方法，针对不同服务对象，区别对待，灵活操作，妥善处理；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4.上岗人员仪表整洁，业务操作规范，统一着装，挂牌上岗，规范管理，礼貌待人，保持岗位卫生整洁；</w:t>
      </w:r>
    </w:p>
    <w:p>
      <w:pPr>
        <w:tabs>
          <w:tab w:val="left" w:pos="0"/>
        </w:tabs>
        <w:spacing w:line="360" w:lineRule="auto"/>
        <w:ind w:firstLine="480"/>
        <w:rPr>
          <w:rFonts w:ascii="宋体" w:hAnsi="宋体" w:cs="宋体"/>
          <w:kern w:val="0"/>
          <w:szCs w:val="21"/>
        </w:rPr>
      </w:pPr>
      <w:r>
        <w:rPr>
          <w:rFonts w:hint="eastAsia" w:ascii="宋体" w:hAnsi="宋体" w:cs="宋体"/>
          <w:kern w:val="0"/>
          <w:sz w:val="24"/>
        </w:rPr>
        <w:t>5.依法办事，文明值勤，不与师生发生争吵或冲突，坚决做到打不还手、骂不还口</w:t>
      </w:r>
      <w:r>
        <w:rPr>
          <w:rFonts w:hint="eastAsia" w:ascii="宋体" w:hAnsi="宋体" w:cs="宋体"/>
          <w:kern w:val="0"/>
          <w:szCs w:val="21"/>
        </w:rPr>
        <w:t>；</w:t>
      </w:r>
    </w:p>
    <w:p>
      <w:pPr>
        <w:tabs>
          <w:tab w:val="left" w:pos="0"/>
        </w:tabs>
        <w:spacing w:line="360" w:lineRule="auto"/>
        <w:ind w:firstLine="480"/>
        <w:rPr>
          <w:rFonts w:ascii="宋体" w:hAnsi="宋体" w:cs="宋体"/>
          <w:kern w:val="0"/>
          <w:sz w:val="24"/>
        </w:rPr>
      </w:pPr>
      <w:r>
        <w:rPr>
          <w:rFonts w:hint="eastAsia" w:ascii="宋体" w:hAnsi="宋体" w:cs="宋体"/>
          <w:kern w:val="0"/>
          <w:sz w:val="24"/>
        </w:rPr>
        <w:t>6.师生有求必应，有险情必出。</w:t>
      </w:r>
    </w:p>
    <w:p>
      <w:pPr>
        <w:tabs>
          <w:tab w:val="left" w:pos="0"/>
        </w:tabs>
        <w:spacing w:line="360" w:lineRule="auto"/>
        <w:ind w:firstLine="480"/>
        <w:rPr>
          <w:rFonts w:ascii="宋体" w:hAnsi="宋体" w:cs="宋体"/>
          <w:kern w:val="0"/>
          <w:sz w:val="24"/>
        </w:rPr>
      </w:pPr>
      <w:r>
        <w:rPr>
          <w:rFonts w:hint="eastAsia" w:ascii="宋体" w:hAnsi="宋体" w:cs="宋体"/>
          <w:kern w:val="0"/>
          <w:sz w:val="24"/>
        </w:rPr>
        <w:t>（三）队伍建设与管理要求</w:t>
      </w:r>
    </w:p>
    <w:p>
      <w:pPr>
        <w:tabs>
          <w:tab w:val="left" w:pos="0"/>
        </w:tabs>
        <w:spacing w:line="360" w:lineRule="auto"/>
        <w:ind w:firstLine="480"/>
        <w:rPr>
          <w:rFonts w:ascii="宋体" w:hAnsi="宋体" w:cs="宋体"/>
          <w:kern w:val="0"/>
          <w:sz w:val="24"/>
        </w:rPr>
      </w:pPr>
      <w:r>
        <w:rPr>
          <w:rFonts w:hint="eastAsia" w:ascii="宋体" w:hAnsi="宋体" w:cs="宋体"/>
          <w:kern w:val="0"/>
          <w:sz w:val="24"/>
        </w:rPr>
        <w:t>中标方必须对被派遣的保安人员进行上岗培训，取得上岗资格，并与被派遣的保安人员签订劳动合同，依法缴纳相关社会保险费用和相应的福利待遇，依据劳动法合理安排保安人员的作息。</w:t>
      </w:r>
    </w:p>
    <w:p>
      <w:pPr>
        <w:tabs>
          <w:tab w:val="left" w:pos="0"/>
        </w:tabs>
        <w:spacing w:line="360" w:lineRule="auto"/>
        <w:ind w:firstLine="480"/>
        <w:rPr>
          <w:rFonts w:ascii="宋体" w:hAnsi="宋体" w:cs="宋体"/>
          <w:kern w:val="0"/>
          <w:sz w:val="24"/>
        </w:rPr>
      </w:pPr>
      <w:r>
        <w:rPr>
          <w:rFonts w:hint="eastAsia" w:ascii="宋体" w:hAnsi="宋体" w:cs="宋体"/>
          <w:kern w:val="0"/>
          <w:sz w:val="24"/>
        </w:rPr>
        <w:t>中标单位负责提供进驻保安人员值勤所需的服装、个人装备、通讯器材、照明器材等；</w:t>
      </w:r>
    </w:p>
    <w:p>
      <w:pPr>
        <w:tabs>
          <w:tab w:val="left" w:pos="0"/>
        </w:tabs>
        <w:spacing w:line="360" w:lineRule="auto"/>
        <w:ind w:firstLine="480"/>
        <w:rPr>
          <w:rFonts w:ascii="宋体" w:hAnsi="宋体" w:cs="宋体"/>
          <w:kern w:val="0"/>
          <w:sz w:val="24"/>
        </w:rPr>
      </w:pPr>
      <w:r>
        <w:rPr>
          <w:rFonts w:hint="eastAsia" w:ascii="宋体" w:hAnsi="宋体" w:cs="宋体"/>
          <w:kern w:val="0"/>
          <w:sz w:val="24"/>
        </w:rPr>
        <w:t>从校方安全实际出发，中标单位需经常性开展在校保安业务培训；</w:t>
      </w:r>
    </w:p>
    <w:p>
      <w:pPr>
        <w:tabs>
          <w:tab w:val="left" w:pos="0"/>
        </w:tabs>
        <w:spacing w:line="360" w:lineRule="auto"/>
        <w:ind w:firstLine="480"/>
        <w:rPr>
          <w:rFonts w:ascii="宋体" w:hAnsi="宋体" w:cs="宋体"/>
          <w:kern w:val="0"/>
          <w:sz w:val="24"/>
        </w:rPr>
      </w:pPr>
      <w:r>
        <w:rPr>
          <w:rFonts w:hint="eastAsia" w:ascii="宋体" w:hAnsi="宋体" w:cs="宋体"/>
          <w:kern w:val="0"/>
          <w:sz w:val="24"/>
        </w:rPr>
        <w:t>公司指定项目负责人1名，公司与校方商定中队长，班组长，中队长应按照校方要求全面负责保安队伍的规范化管理；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公司项目负责人及中队长要加强对保安的管理，有完善的约束机制，确保保安在校园内无违规事件的发生；</w:t>
      </w:r>
    </w:p>
    <w:p>
      <w:pPr>
        <w:tabs>
          <w:tab w:val="left" w:pos="0"/>
        </w:tabs>
        <w:spacing w:line="360" w:lineRule="auto"/>
        <w:ind w:firstLine="480"/>
        <w:rPr>
          <w:rFonts w:ascii="宋体" w:hAnsi="宋体" w:cs="宋体"/>
          <w:kern w:val="0"/>
          <w:sz w:val="24"/>
        </w:rPr>
      </w:pPr>
      <w:r>
        <w:rPr>
          <w:rFonts w:hint="eastAsia" w:ascii="宋体" w:hAnsi="宋体" w:cs="宋体"/>
          <w:kern w:val="0"/>
          <w:sz w:val="24"/>
        </w:rPr>
        <w:t>队员每月考核由校方、项目负责人、中队长共同评定。</w:t>
      </w:r>
    </w:p>
    <w:p>
      <w:pPr>
        <w:tabs>
          <w:tab w:val="left" w:pos="0"/>
        </w:tabs>
        <w:spacing w:line="360" w:lineRule="auto"/>
        <w:ind w:firstLine="480"/>
        <w:rPr>
          <w:rFonts w:ascii="宋体" w:hAnsi="宋体" w:cs="宋体"/>
          <w:kern w:val="0"/>
          <w:sz w:val="24"/>
        </w:rPr>
      </w:pPr>
      <w:r>
        <w:rPr>
          <w:rFonts w:hint="eastAsia" w:ascii="宋体" w:hAnsi="宋体" w:cs="宋体"/>
          <w:kern w:val="0"/>
          <w:sz w:val="24"/>
        </w:rPr>
        <w:t>若校方提出更换保安，中标单位应确保在3天内新派队员到岗到位；确保服务质量不因人员变动而受影响；</w:t>
      </w:r>
    </w:p>
    <w:p>
      <w:pPr>
        <w:tabs>
          <w:tab w:val="left" w:pos="0"/>
        </w:tabs>
        <w:spacing w:line="360" w:lineRule="auto"/>
        <w:ind w:firstLine="480"/>
        <w:rPr>
          <w:rFonts w:ascii="宋体" w:hAnsi="宋体" w:cs="宋体"/>
          <w:kern w:val="0"/>
          <w:sz w:val="24"/>
        </w:rPr>
      </w:pPr>
      <w:r>
        <w:rPr>
          <w:rFonts w:hint="eastAsia" w:ascii="宋体" w:hAnsi="宋体" w:cs="宋体"/>
          <w:kern w:val="0"/>
          <w:sz w:val="24"/>
        </w:rPr>
        <w:t>保安加班、调班、请假、人员更换等需经过中标单位及校方共同批准方可执行；</w:t>
      </w:r>
    </w:p>
    <w:p>
      <w:pPr>
        <w:tabs>
          <w:tab w:val="left" w:pos="0"/>
        </w:tabs>
        <w:spacing w:line="360" w:lineRule="auto"/>
        <w:ind w:firstLine="480"/>
        <w:rPr>
          <w:rFonts w:ascii="宋体" w:hAnsi="宋体" w:cs="宋体"/>
          <w:kern w:val="0"/>
          <w:sz w:val="24"/>
        </w:rPr>
      </w:pPr>
      <w:r>
        <w:rPr>
          <w:rFonts w:hint="eastAsia" w:ascii="宋体" w:hAnsi="宋体" w:cs="宋体"/>
          <w:kern w:val="0"/>
          <w:sz w:val="24"/>
        </w:rPr>
        <w:t>保安应聘、录用、离职等管理档案规范，手续齐全，并交校方备案；非本市户口从业保安应主动接受当地公安机关暂住证的办理和暂住人口的管理；离职保安严禁擅自进入校园。</w:t>
      </w:r>
    </w:p>
    <w:p>
      <w:pPr>
        <w:tabs>
          <w:tab w:val="left" w:pos="0"/>
        </w:tabs>
        <w:spacing w:line="360" w:lineRule="auto"/>
        <w:ind w:firstLine="480"/>
        <w:rPr>
          <w:rFonts w:ascii="宋体" w:hAnsi="宋体" w:cs="宋体"/>
          <w:kern w:val="0"/>
          <w:sz w:val="24"/>
        </w:rPr>
      </w:pPr>
      <w:r>
        <w:rPr>
          <w:rFonts w:hint="eastAsia" w:ascii="宋体" w:hAnsi="宋体" w:cs="宋体"/>
          <w:kern w:val="0"/>
          <w:sz w:val="24"/>
        </w:rPr>
        <w:t>（四）人员素质要求</w:t>
      </w:r>
    </w:p>
    <w:p>
      <w:pPr>
        <w:tabs>
          <w:tab w:val="left" w:pos="0"/>
        </w:tabs>
        <w:spacing w:line="360" w:lineRule="auto"/>
        <w:ind w:firstLine="480"/>
        <w:rPr>
          <w:rFonts w:ascii="宋体" w:hAnsi="宋体" w:cs="宋体"/>
          <w:kern w:val="0"/>
          <w:sz w:val="24"/>
        </w:rPr>
      </w:pPr>
      <w:r>
        <w:rPr>
          <w:rFonts w:hint="eastAsia" w:ascii="宋体" w:hAnsi="宋体" w:cs="宋体"/>
          <w:kern w:val="0"/>
          <w:sz w:val="24"/>
        </w:rPr>
        <w:t>★保安总体要求：保安从业人员要求年龄45周岁以下（消控室管理人员年龄可适当放宽，但需经过采购人保卫处书面批准），男性身高170cm以上，女性身高162cm以上，无违法犯罪记录，没有传染病及精神病等不能控制自己行为能力的疾病病史，且应知法，懂法，依法办事，认真执行校园安全保卫整体方案，严格遵守保安从业规范，认真履行岗位职责，模范遵守校园安全管理规定，善于发现各类问题，具备一定的管理经验和处置突发事件的能力，具有吃苦耐劳的精神和高度的责任感，受过专业的岗前培训并持有国家保安员证，退伍军人优先；</w:t>
      </w:r>
    </w:p>
    <w:p>
      <w:pPr>
        <w:tabs>
          <w:tab w:val="left" w:pos="0"/>
        </w:tabs>
        <w:spacing w:line="360" w:lineRule="auto"/>
        <w:ind w:firstLine="480"/>
        <w:rPr>
          <w:rFonts w:ascii="宋体" w:hAnsi="宋体" w:cs="宋体"/>
          <w:kern w:val="0"/>
          <w:sz w:val="24"/>
        </w:rPr>
      </w:pPr>
      <w:r>
        <w:rPr>
          <w:rFonts w:hint="eastAsia" w:ascii="宋体" w:hAnsi="宋体" w:cs="宋体"/>
          <w:kern w:val="0"/>
          <w:sz w:val="24"/>
        </w:rPr>
        <w:t>项目负责人要求：大专及以上学历，有较高的政治思想素养和业务管理水平，有较强的组织协调能力，受过专门的安全保卫业务培训；</w:t>
      </w:r>
    </w:p>
    <w:p>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中队长要求：有较高的思想政治觉悟，有较强的组织协调能力和业务管理水平，有丰富的保安带班经验及队员管理经验； </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cs="宋体"/>
          <w:kern w:val="0"/>
          <w:sz w:val="24"/>
        </w:rPr>
        <w:t>▲消控中心保安人员要求：需持有长期消控证，持证上岗；高中（含中专、中职）及以上文凭，普通话标准，具有良好的沟通能力，能妥善处理校园警情；</w:t>
      </w:r>
      <w:r>
        <w:rPr>
          <w:rFonts w:hint="eastAsia" w:ascii="宋体" w:hAnsi="宋体" w:cs="宋体"/>
          <w:kern w:val="0"/>
          <w:sz w:val="24"/>
          <w:lang w:eastAsia="zh-CN"/>
        </w:rPr>
        <w:t>（</w:t>
      </w:r>
      <w:r>
        <w:rPr>
          <w:rFonts w:hint="eastAsia" w:ascii="宋体" w:hAnsi="宋体" w:cs="宋体"/>
          <w:kern w:val="0"/>
          <w:sz w:val="24"/>
          <w:lang w:val="en-US" w:eastAsia="zh-CN"/>
        </w:rPr>
        <w:t>须提供消控证和学历证书扫描件</w:t>
      </w:r>
      <w:r>
        <w:rPr>
          <w:rFonts w:hint="eastAsia" w:ascii="宋体" w:hAnsi="宋体" w:cs="宋体"/>
          <w:kern w:val="0"/>
          <w:sz w:val="24"/>
          <w:lang w:eastAsia="zh-CN"/>
        </w:rPr>
        <w:t>）</w:t>
      </w:r>
    </w:p>
    <w:p>
      <w:pPr>
        <w:tabs>
          <w:tab w:val="left" w:pos="0"/>
        </w:tabs>
        <w:spacing w:line="360" w:lineRule="auto"/>
        <w:ind w:firstLine="480"/>
        <w:rPr>
          <w:rFonts w:ascii="宋体" w:hAnsi="宋体" w:cs="宋体"/>
          <w:kern w:val="0"/>
          <w:sz w:val="24"/>
        </w:rPr>
      </w:pPr>
      <w:r>
        <w:rPr>
          <w:rFonts w:hint="eastAsia" w:ascii="宋体" w:hAnsi="宋体" w:cs="宋体"/>
          <w:kern w:val="0"/>
          <w:sz w:val="24"/>
        </w:rPr>
        <w:t>门岗保安人员要求：门岗人员要求文化程度高中（含中职、中专）及以上，普通话标准，具有良好的沟通能力；</w:t>
      </w:r>
    </w:p>
    <w:p>
      <w:pPr>
        <w:tabs>
          <w:tab w:val="left" w:pos="0"/>
        </w:tabs>
        <w:spacing w:line="360" w:lineRule="auto"/>
        <w:ind w:firstLine="480"/>
        <w:rPr>
          <w:rFonts w:ascii="宋体" w:hAnsi="宋体" w:cs="宋体"/>
          <w:kern w:val="0"/>
          <w:sz w:val="24"/>
        </w:rPr>
      </w:pPr>
      <w:r>
        <w:rPr>
          <w:rFonts w:hint="eastAsia" w:ascii="宋体" w:hAnsi="宋体" w:cs="宋体"/>
          <w:kern w:val="0"/>
          <w:sz w:val="24"/>
        </w:rPr>
        <w:t>巡逻队员要求：文化程度初中及以上，体貌端正，身体健康。</w:t>
      </w:r>
    </w:p>
    <w:p>
      <w:pPr>
        <w:tabs>
          <w:tab w:val="left" w:pos="0"/>
        </w:tabs>
        <w:spacing w:line="360" w:lineRule="auto"/>
        <w:ind w:firstLine="480"/>
        <w:rPr>
          <w:rFonts w:ascii="宋体" w:hAnsi="宋体" w:cs="宋体"/>
          <w:kern w:val="0"/>
          <w:sz w:val="24"/>
        </w:rPr>
      </w:pPr>
      <w:r>
        <w:rPr>
          <w:rFonts w:hint="eastAsia" w:ascii="宋体" w:hAnsi="宋体" w:cs="宋体"/>
          <w:kern w:val="0"/>
          <w:sz w:val="24"/>
        </w:rPr>
        <w:t>（五）项目负责人及保安工作职责：</w:t>
      </w:r>
    </w:p>
    <w:p>
      <w:pPr>
        <w:tabs>
          <w:tab w:val="left" w:pos="0"/>
        </w:tabs>
        <w:spacing w:line="360" w:lineRule="auto"/>
        <w:ind w:firstLine="480"/>
        <w:rPr>
          <w:rFonts w:ascii="宋体" w:hAnsi="宋体" w:cs="宋体"/>
          <w:kern w:val="0"/>
          <w:sz w:val="24"/>
        </w:rPr>
      </w:pPr>
      <w:r>
        <w:rPr>
          <w:rFonts w:hint="eastAsia" w:ascii="宋体" w:hAnsi="宋体" w:cs="宋体"/>
          <w:kern w:val="0"/>
          <w:sz w:val="24"/>
        </w:rPr>
        <w:t>项目负责人：必须与校方保卫处保持必要的工作交流机制；代表公司全面负责校内保安的一切工作安排，严格管理保安队员，奖优罚劣，关心队员疾苦，掌握队员的思想动态，充分调动队员积极性，努力保证队伍稳定；传达落实学校的服务要求与管理规定，组织实施并不断完善校园安全保卫整体方案；建立健全录用保安工作体系；监督各岗位职责履行，及时掌握校园治安信息，重大情况及时报告；组织开展保安业务培训和预案演练，制订校园内重大活动的安全保卫方案；</w:t>
      </w:r>
    </w:p>
    <w:p>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中队长：贯彻落实学校的各项要求与管理规定，组织实施并不断完善校园安全保卫工作；结合校区发展实际情况，适时调整各执勤岗位队员；督促检查在岗人员履行岗位职责情况，纠正队员违规违纪行为；每周对保安开展一次集中讲评和培训，不流于形式，形成良好的队风； </w:t>
      </w:r>
    </w:p>
    <w:p>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各带班组长：要以身作则、吃苦在先、讲究奉献；完成本岗值勤，根据学校需要增援重点岗位；定时进行工作总结；处理各岗位的突发事件，重大情况及时上报；严格执行交接班制度；组织保安队员做好校园重大活动的安全保卫与秩序维护保障工作； </w:t>
      </w:r>
    </w:p>
    <w:p>
      <w:pPr>
        <w:tabs>
          <w:tab w:val="left" w:pos="0"/>
        </w:tabs>
        <w:spacing w:line="360" w:lineRule="auto"/>
        <w:ind w:firstLine="480"/>
        <w:rPr>
          <w:rFonts w:ascii="宋体" w:hAnsi="宋体" w:cs="宋体"/>
          <w:kern w:val="0"/>
          <w:sz w:val="24"/>
        </w:rPr>
      </w:pPr>
      <w:r>
        <w:rPr>
          <w:rFonts w:hint="eastAsia" w:ascii="宋体" w:hAnsi="宋体" w:cs="宋体"/>
          <w:kern w:val="0"/>
          <w:sz w:val="24"/>
        </w:rPr>
        <w:t>门岗：严格人员、车辆、物资进出管理；按时立岗，礼貌待人，树立良好的窗口形象；对从大门进入校园的师生要核实身份，对来访人员实行验证登记制度，禁止闲杂人员混入校园；对携物出门实行出门证验审核制度，防止不法分子浑水摸鱼，造成师生及学校财产损失；与各岗互相协作，维护责任区域秩序；门前卫生三包；完成校方交办的其他事项。</w:t>
      </w:r>
    </w:p>
    <w:p>
      <w:pPr>
        <w:tabs>
          <w:tab w:val="left" w:pos="0"/>
        </w:tabs>
        <w:spacing w:line="360" w:lineRule="auto"/>
        <w:ind w:firstLine="480"/>
        <w:rPr>
          <w:rFonts w:ascii="宋体" w:hAnsi="宋体" w:cs="宋体"/>
          <w:kern w:val="0"/>
          <w:sz w:val="24"/>
        </w:rPr>
      </w:pPr>
      <w:r>
        <w:rPr>
          <w:rFonts w:hint="eastAsia" w:ascii="宋体" w:hAnsi="宋体" w:cs="宋体"/>
          <w:kern w:val="0"/>
          <w:sz w:val="24"/>
        </w:rPr>
        <w:t>巡逻队员：发现和排除各项安全隐患，及时处置各种违法犯罪行为；听从带班负责人调度指挥与工作安排，善于发现、分析处理各种事故隐患和突发事件；根据不同情况，灵活执行相应的巡逻方案；加强对重点区域、要害部位的安全巡查，巡更打点不流于形式，并与监控室保持联动；维护责任区域公共秩序，协助各岗位开展校园交通秩序管理；发现可疑人员主动盘问，发现违规行为，大胆管理，主动干预，发现异常及安全隐患，立即采取措施并报告，制止暴力事件，有效处置各种违法犯罪行为；夜间校园内定时清场；如实记录汇报巡逻内容；</w:t>
      </w:r>
    </w:p>
    <w:p>
      <w:pPr>
        <w:tabs>
          <w:tab w:val="left" w:pos="0"/>
        </w:tabs>
        <w:spacing w:line="360" w:lineRule="auto"/>
        <w:ind w:firstLine="480"/>
        <w:rPr>
          <w:rFonts w:ascii="宋体" w:hAnsi="宋体" w:cs="宋体"/>
          <w:kern w:val="0"/>
          <w:sz w:val="24"/>
        </w:rPr>
      </w:pPr>
      <w:r>
        <w:rPr>
          <w:rFonts w:hint="eastAsia" w:ascii="宋体" w:hAnsi="宋体" w:cs="宋体"/>
          <w:kern w:val="0"/>
          <w:sz w:val="24"/>
        </w:rPr>
        <w:t>消控、监控：每天检查并记录校园内公共区域的消防设施，确保完好，绘制消防设施分布图，协助校方做好室外监控、消防设施的日常维护；建立托管消防器材的台帐记录，定期检查器材完好程度和有效期限；经常性开展消防业务培训，制定完善的消防预案并安排实际演练，使每一个保安人员能胜任校园义务消防员的角色；发现有人擅自动用消防设施的，应及时制止并报告保卫处；发现火灾隐患，立即报告保卫处并设法消除隐患；发生火警，能冷静处置，按预案进行火灾报警、人员疏散、组织扑救、抢救物资等工作；熟悉学校应急预案处理流程，接处警规范礼貌，指令下达表述清晰，重大事件及时上报；做好失物保管和发放登记台帐；</w:t>
      </w:r>
    </w:p>
    <w:p>
      <w:pPr>
        <w:tabs>
          <w:tab w:val="left" w:pos="0"/>
        </w:tabs>
        <w:spacing w:line="360" w:lineRule="auto"/>
        <w:ind w:firstLine="480"/>
        <w:rPr>
          <w:rFonts w:ascii="宋体" w:hAnsi="宋体" w:cs="宋体"/>
          <w:kern w:val="0"/>
          <w:sz w:val="24"/>
        </w:rPr>
      </w:pPr>
      <w:r>
        <w:rPr>
          <w:rFonts w:hint="eastAsia" w:ascii="宋体" w:hAnsi="宋体" w:cs="宋体"/>
          <w:kern w:val="0"/>
          <w:sz w:val="24"/>
        </w:rPr>
        <w:t>（六）岗位人员分配</w:t>
      </w:r>
    </w:p>
    <w:p>
      <w:pPr>
        <w:tabs>
          <w:tab w:val="left" w:pos="0"/>
        </w:tabs>
        <w:spacing w:line="360" w:lineRule="auto"/>
        <w:ind w:firstLine="480"/>
        <w:rPr>
          <w:rFonts w:ascii="宋体" w:hAnsi="宋体" w:cs="宋体"/>
          <w:kern w:val="0"/>
          <w:sz w:val="24"/>
        </w:rPr>
      </w:pPr>
      <w:r>
        <w:rPr>
          <w:rFonts w:hint="eastAsia" w:ascii="宋体" w:hAnsi="宋体" w:cs="宋体"/>
          <w:b/>
          <w:bCs/>
          <w:snapToGrid w:val="0"/>
          <w:color w:val="000000"/>
          <w:kern w:val="28"/>
          <w:sz w:val="24"/>
        </w:rPr>
        <w:t>▲</w:t>
      </w:r>
      <w:r>
        <w:rPr>
          <w:rFonts w:hint="eastAsia" w:ascii="宋体" w:hAnsi="宋体" w:cs="宋体"/>
          <w:kern w:val="0"/>
          <w:sz w:val="24"/>
        </w:rPr>
        <w:t>投标人必须按招标人确定的下列岗位人员数量及要求，配备保安力量。</w:t>
      </w:r>
    </w:p>
    <w:p>
      <w:pPr>
        <w:tabs>
          <w:tab w:val="left" w:pos="0"/>
        </w:tabs>
        <w:spacing w:line="360" w:lineRule="auto"/>
        <w:ind w:firstLine="480"/>
        <w:rPr>
          <w:rFonts w:ascii="宋体" w:hAnsi="宋体" w:cs="宋体"/>
          <w:kern w:val="0"/>
          <w:sz w:val="24"/>
        </w:rPr>
      </w:pPr>
      <w:r>
        <w:rPr>
          <w:rFonts w:hint="eastAsia" w:ascii="宋体" w:hAnsi="宋体" w:cs="宋体"/>
          <w:kern w:val="0"/>
          <w:sz w:val="24"/>
        </w:rPr>
        <w:t>1.校园安保实行24小时执勤，三班8小时上班制，备班人数不少于总岗位数的1/4；</w:t>
      </w:r>
    </w:p>
    <w:p>
      <w:pPr>
        <w:tabs>
          <w:tab w:val="left" w:pos="0"/>
        </w:tabs>
        <w:spacing w:line="360" w:lineRule="auto"/>
        <w:ind w:firstLine="480"/>
        <w:rPr>
          <w:rFonts w:ascii="宋体" w:hAnsi="宋体" w:cs="宋体"/>
          <w:kern w:val="0"/>
          <w:sz w:val="24"/>
        </w:rPr>
      </w:pPr>
      <w:r>
        <w:rPr>
          <w:rFonts w:hint="eastAsia" w:ascii="宋体" w:hAnsi="宋体" w:cs="宋体"/>
          <w:kern w:val="0"/>
          <w:sz w:val="24"/>
        </w:rPr>
        <w:t>2.班长：早、中班各1名，共计2人。</w:t>
      </w:r>
    </w:p>
    <w:p>
      <w:pPr>
        <w:tabs>
          <w:tab w:val="left" w:pos="0"/>
        </w:tabs>
        <w:spacing w:line="360" w:lineRule="auto"/>
        <w:ind w:firstLine="480"/>
        <w:rPr>
          <w:rFonts w:ascii="宋体" w:hAnsi="宋体" w:cs="宋体"/>
          <w:kern w:val="0"/>
          <w:sz w:val="24"/>
        </w:rPr>
      </w:pPr>
      <w:r>
        <w:rPr>
          <w:rFonts w:hint="eastAsia" w:ascii="宋体" w:hAnsi="宋体" w:cs="宋体"/>
          <w:kern w:val="0"/>
          <w:sz w:val="24"/>
        </w:rPr>
        <w:t>3.校园巡逻：早、中、晚班各4名，共计12人。</w:t>
      </w:r>
    </w:p>
    <w:p>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4.门岗：南门、北门、东门、中房大厦早、中班各2名，夜班1名，共计20人。 </w:t>
      </w:r>
    </w:p>
    <w:p>
      <w:pPr>
        <w:tabs>
          <w:tab w:val="left" w:pos="0"/>
        </w:tabs>
        <w:spacing w:line="360" w:lineRule="auto"/>
        <w:ind w:firstLine="480"/>
        <w:rPr>
          <w:rFonts w:ascii="宋体" w:hAnsi="宋体" w:cs="宋体"/>
          <w:kern w:val="0"/>
          <w:sz w:val="24"/>
        </w:rPr>
      </w:pPr>
      <w:r>
        <w:rPr>
          <w:rFonts w:hint="eastAsia" w:ascii="宋体" w:hAnsi="宋体" w:cs="宋体"/>
          <w:kern w:val="0"/>
          <w:sz w:val="24"/>
        </w:rPr>
        <w:t>5.消控中心：早、中、晚班各2名（要求持有建（构）筑物消防员证且至少有1名女性），共计6人。</w:t>
      </w:r>
    </w:p>
    <w:p>
      <w:pPr>
        <w:tabs>
          <w:tab w:val="left" w:pos="0"/>
        </w:tabs>
        <w:spacing w:line="360" w:lineRule="auto"/>
        <w:ind w:firstLine="480"/>
        <w:rPr>
          <w:rFonts w:ascii="宋体" w:hAnsi="宋体" w:cs="宋体"/>
          <w:kern w:val="0"/>
          <w:sz w:val="24"/>
        </w:rPr>
      </w:pPr>
      <w:r>
        <w:rPr>
          <w:rFonts w:hint="eastAsia" w:ascii="宋体" w:hAnsi="宋体" w:cs="宋体"/>
          <w:kern w:val="0"/>
          <w:sz w:val="24"/>
        </w:rPr>
        <w:t>共计40个岗位，要求常住校内不得少于13人，上述保安人员安排及人数要求为投标人必须保证的每天岗位人数，投标人在组织、安排保安工作时，应符合国家相关法规，给予劳动者足够的休息时间，维护保安人员的合法权益。</w:t>
      </w:r>
    </w:p>
    <w:p>
      <w:pPr>
        <w:tabs>
          <w:tab w:val="left" w:pos="0"/>
        </w:tabs>
        <w:spacing w:line="360" w:lineRule="auto"/>
        <w:ind w:firstLine="480"/>
        <w:rPr>
          <w:rFonts w:ascii="宋体" w:hAnsi="宋体" w:cs="宋体"/>
          <w:b/>
          <w:bCs/>
          <w:kern w:val="0"/>
          <w:sz w:val="24"/>
        </w:rPr>
      </w:pPr>
      <w:r>
        <w:rPr>
          <w:rFonts w:hint="eastAsia" w:ascii="宋体" w:hAnsi="宋体" w:cs="宋体"/>
          <w:b/>
          <w:bCs/>
          <w:kern w:val="0"/>
          <w:sz w:val="24"/>
        </w:rPr>
        <w:t>4、其他技术及商务条款</w:t>
      </w:r>
    </w:p>
    <w:p>
      <w:pPr>
        <w:tabs>
          <w:tab w:val="left" w:pos="0"/>
        </w:tabs>
        <w:spacing w:line="360" w:lineRule="auto"/>
        <w:ind w:firstLine="480"/>
        <w:rPr>
          <w:rFonts w:ascii="宋体" w:hAnsi="宋体" w:cs="宋体"/>
          <w:b/>
          <w:bCs/>
          <w:kern w:val="0"/>
          <w:sz w:val="24"/>
        </w:rPr>
      </w:pPr>
      <w:r>
        <w:rPr>
          <w:rFonts w:hint="eastAsia" w:ascii="宋体" w:hAnsi="宋体" w:cs="宋体"/>
          <w:b/>
          <w:bCs/>
          <w:kern w:val="0"/>
          <w:sz w:val="24"/>
        </w:rPr>
        <w:t>4.1 项目执行：</w:t>
      </w:r>
    </w:p>
    <w:p>
      <w:pPr>
        <w:pStyle w:val="26"/>
        <w:spacing w:line="360" w:lineRule="auto"/>
        <w:rPr>
          <w:rFonts w:cs="宋体"/>
          <w:kern w:val="0"/>
        </w:rPr>
      </w:pPr>
      <w:r>
        <w:rPr>
          <w:rFonts w:hint="eastAsia" w:cs="宋体"/>
          <w:kern w:val="0"/>
        </w:rPr>
        <w:t>1.中标人在中标后签订合同前应将保安人员备齐，人员情况需报采购人审核，满足招标要求后双方签订服务合同。</w:t>
      </w:r>
    </w:p>
    <w:p>
      <w:pPr>
        <w:pStyle w:val="26"/>
        <w:spacing w:line="360" w:lineRule="auto"/>
        <w:rPr>
          <w:rFonts w:cs="宋体"/>
          <w:kern w:val="0"/>
        </w:rPr>
      </w:pPr>
      <w:r>
        <w:rPr>
          <w:rFonts w:hint="eastAsia" w:cs="宋体"/>
          <w:kern w:val="0"/>
        </w:rPr>
        <w:t>★2.中标人每年从本项目金额中单列6万元，做为优秀保安队员的奖励金，奖励人员由采购人保卫处审核认定，中标人凭单发放。该部分款项与保安的工资薪金无关，中标人不得从基本工资中提取。</w:t>
      </w:r>
    </w:p>
    <w:p>
      <w:pPr>
        <w:pStyle w:val="58"/>
        <w:shd w:val="clear" w:color="auto" w:fill="FFFFFF"/>
        <w:adjustRightInd/>
        <w:spacing w:line="360" w:lineRule="auto"/>
        <w:ind w:firstLine="448"/>
      </w:pPr>
      <w:r>
        <w:rPr>
          <w:rFonts w:hint="eastAsia" w:cs="宋体"/>
          <w:b/>
          <w:bCs/>
          <w:snapToGrid w:val="0"/>
          <w:color w:val="000000"/>
          <w:kern w:val="28"/>
          <w:highlight w:val="none"/>
        </w:rPr>
        <w:t>▲</w:t>
      </w:r>
      <w:r>
        <w:rPr>
          <w:rFonts w:hint="eastAsia"/>
          <w:highlight w:val="none"/>
        </w:rPr>
        <w:t>3.中标人需至少提供一辆校内巡逻车和一辆可上路的小型汽车供校园安保服务使用，车辆维修保养保险等所有费用由中标人承担。</w:t>
      </w:r>
      <w:r>
        <w:rPr>
          <w:rFonts w:hint="eastAsia"/>
          <w:highlight w:val="yellow"/>
        </w:rPr>
        <w:br w:type="textWrapping"/>
      </w:r>
      <w:r>
        <w:rPr>
          <w:rFonts w:hint="eastAsia"/>
        </w:rPr>
        <w:t xml:space="preserve">   </w:t>
      </w:r>
      <w:r>
        <w:rPr>
          <w:rFonts w:hint="eastAsia" w:cs="宋体"/>
        </w:rPr>
        <w:t xml:space="preserve"> 4.中标人须在合同签订后向采购人缴纳合同总金额的0.1%作为履约保证金（履约保证金应当以支票、汇票、本票或者金融机构、担保机构出具的保函等非现金形式提交）给采购人，履约保证金在协议服务期的规定存续期间不计息。履约保证金在采购人认为中标人在服务期内没有涉及采购人的应付而未付金额或违约行为，采购人在服务期满后或提前终止协议后（非任何一方违约造成）一个月内全额退还履约保证金。服务期内，如中标人不按双方协议约定履约，给采购人造成严重损失的，则采购人没收其全部履约保证金，如中标人未能按协议约定及采购需求全面履行义务，给采购人造成严重损失的，则采购人有权从履约保证金中取得补偿或赔偿，履约保证金不足以赔偿损失的，按实际损失赔偿，同时不影响采购人要求中标人承担协议约定的超过履约保证金的违约责任的权力。采购人有权从履约保证金中扣除用于发生安全事故或安全隐患情况、修复中标人损坏采购人的设备、设施、场地或因中标人违约（履约不力）而导致损失的金额和违约金，且中标人应在接到扣除履约保证金通知后一周内补足差额，保证服务期间履约保证金的完整。</w:t>
      </w:r>
      <w:r>
        <w:rPr>
          <w:rFonts w:hint="eastAsia" w:cs="宋体"/>
        </w:rPr>
        <w:br w:type="textWrapping"/>
      </w:r>
      <w:r>
        <w:rPr>
          <w:rFonts w:hint="eastAsia"/>
        </w:rPr>
        <w:t xml:space="preserve">    </w:t>
      </w:r>
      <w:r>
        <w:rPr>
          <w:rFonts w:hint="eastAsia" w:cs="宋体"/>
        </w:rPr>
        <w:t>5.服务期：3年，以合同签订时间为准。合同期满，中标人需继续服务至采购人该项目招标结束新中标人入场，以保障采购人正常教学秩序，延续服务期限最长不超过2个月，费用标准按本合同规定执行。合同期内采购人若因“独立学院转设”而导致无法继续履行合同，则有权单方解除合同，不承担违约责任，费用按实际服务情况支付。</w:t>
      </w:r>
      <w:r>
        <w:rPr>
          <w:rFonts w:hint="eastAsia"/>
        </w:rPr>
        <w:br w:type="textWrapping"/>
      </w:r>
      <w:r>
        <w:rPr>
          <w:rFonts w:hint="eastAsia"/>
        </w:rPr>
        <w:t xml:space="preserve">    6.付款方式及条件：采购人将对保安服务进行考核，前三个月每月考核一次，80分（含）以上为合格，采购人支付相应全额服务费，低于80分，每低一分（</w:t>
      </w:r>
      <w:r>
        <w:rPr>
          <w:rFonts w:hint="eastAsia" w:cs="宋体"/>
        </w:rPr>
        <w:t>以80分为基准计算</w:t>
      </w:r>
      <w:r>
        <w:rPr>
          <w:rFonts w:hint="eastAsia"/>
        </w:rPr>
        <w:t>）扣应付服务费的1%，70分（不含）以下为不合格，若连续三次考核低于70分，采购人有权解除合同，并没收履约保证金。三个月之后按季度考核，考核方式同上。中标人如有违约现象，将依据合同约定，做出相应处理，采购人有权扣除履约保证金直至终止协议，并由中标人承担违约和赔偿责任。</w:t>
      </w:r>
      <w:r>
        <w:rPr>
          <w:rFonts w:hint="eastAsia"/>
        </w:rPr>
        <w:br w:type="textWrapping"/>
      </w:r>
      <w:r>
        <w:rPr>
          <w:rFonts w:hint="eastAsia"/>
        </w:rPr>
        <w:t xml:space="preserve">    采购人凭中标人开具的正规发票按季度支付服务费用，税金由中标人承担。</w:t>
      </w:r>
      <w:r>
        <w:rPr>
          <w:rFonts w:hint="eastAsia"/>
        </w:rPr>
        <w:br w:type="textWrapping"/>
      </w:r>
      <w:r>
        <w:rPr>
          <w:rFonts w:hint="eastAsia"/>
        </w:rPr>
        <w:t xml:space="preserve">    7</w:t>
      </w:r>
      <w:r>
        <w:rPr>
          <w:rFonts w:hint="eastAsia"/>
          <w:highlight w:val="none"/>
        </w:rPr>
        <w:t>.</w:t>
      </w:r>
      <w:r>
        <w:rPr>
          <w:rFonts w:hint="eastAsia"/>
        </w:rPr>
        <w:t>最高限价：691.2万元（3年），该费用包括但不限于保安人员的工资、培训费、保险费、相关社保费用、国家法定假期的加班费、服装费、劳保用品费以及公司管理费用、利润及税金等本项目执行所有费用。</w:t>
      </w:r>
      <w:r>
        <w:rPr>
          <w:rFonts w:hint="eastAsia"/>
        </w:rPr>
        <w:br w:type="textWrapping"/>
      </w:r>
    </w:p>
    <w:tbl>
      <w:tblPr>
        <w:tblStyle w:val="62"/>
        <w:tblpPr w:leftFromText="180" w:rightFromText="180" w:vertAnchor="text" w:horzAnchor="page" w:tblpX="1033" w:tblpY="-507"/>
        <w:tblOverlap w:val="never"/>
        <w:tblW w:w="9597" w:type="dxa"/>
        <w:tblInd w:w="0" w:type="dxa"/>
        <w:tblLayout w:type="fixed"/>
        <w:tblCellMar>
          <w:top w:w="0" w:type="dxa"/>
          <w:left w:w="108" w:type="dxa"/>
          <w:bottom w:w="0" w:type="dxa"/>
          <w:right w:w="108" w:type="dxa"/>
        </w:tblCellMar>
      </w:tblPr>
      <w:tblGrid>
        <w:gridCol w:w="1451"/>
        <w:gridCol w:w="2320"/>
        <w:gridCol w:w="1635"/>
        <w:gridCol w:w="2616"/>
        <w:gridCol w:w="1575"/>
      </w:tblGrid>
      <w:tr>
        <w:tblPrEx>
          <w:tblCellMar>
            <w:top w:w="0" w:type="dxa"/>
            <w:left w:w="108" w:type="dxa"/>
            <w:bottom w:w="0" w:type="dxa"/>
            <w:right w:w="108" w:type="dxa"/>
          </w:tblCellMar>
        </w:tblPrEx>
        <w:trPr>
          <w:trHeight w:val="405" w:hRule="atLeast"/>
        </w:trPr>
        <w:tc>
          <w:tcPr>
            <w:tcW w:w="9597" w:type="dxa"/>
            <w:gridSpan w:val="5"/>
            <w:vMerge w:val="restart"/>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30"/>
                <w:szCs w:val="30"/>
              </w:rPr>
            </w:pPr>
            <w:r>
              <w:rPr>
                <w:rFonts w:hint="eastAsia" w:ascii="宋体" w:hAnsi="宋体" w:cs="宋体"/>
                <w:color w:val="000000"/>
                <w:kern w:val="0"/>
                <w:sz w:val="30"/>
                <w:szCs w:val="30"/>
                <w:lang w:bidi="ar"/>
              </w:rPr>
              <w:t>保安服务考核表</w:t>
            </w:r>
          </w:p>
        </w:tc>
      </w:tr>
      <w:tr>
        <w:tblPrEx>
          <w:tblCellMar>
            <w:top w:w="0" w:type="dxa"/>
            <w:left w:w="108" w:type="dxa"/>
            <w:bottom w:w="0" w:type="dxa"/>
            <w:right w:w="108" w:type="dxa"/>
          </w:tblCellMar>
        </w:tblPrEx>
        <w:trPr>
          <w:trHeight w:val="467" w:hRule="atLeast"/>
        </w:trPr>
        <w:tc>
          <w:tcPr>
            <w:tcW w:w="9597" w:type="dxa"/>
            <w:gridSpan w:val="5"/>
            <w:vMerge w:val="continue"/>
            <w:tcBorders>
              <w:top w:val="nil"/>
              <w:left w:val="nil"/>
              <w:bottom w:val="nil"/>
              <w:right w:val="nil"/>
            </w:tcBorders>
            <w:shd w:val="clear" w:color="auto" w:fill="auto"/>
            <w:noWrap/>
            <w:vAlign w:val="center"/>
          </w:tcPr>
          <w:p>
            <w:pPr>
              <w:jc w:val="center"/>
              <w:rPr>
                <w:rFonts w:ascii="宋体" w:hAnsi="宋体" w:cs="宋体"/>
                <w:color w:val="000000"/>
                <w:sz w:val="36"/>
                <w:szCs w:val="36"/>
              </w:rPr>
            </w:pPr>
          </w:p>
        </w:tc>
      </w:tr>
      <w:tr>
        <w:tblPrEx>
          <w:tblCellMar>
            <w:top w:w="0" w:type="dxa"/>
            <w:left w:w="108" w:type="dxa"/>
            <w:bottom w:w="0" w:type="dxa"/>
            <w:right w:w="108" w:type="dxa"/>
          </w:tblCellMar>
        </w:tblPrEx>
        <w:trPr>
          <w:trHeight w:val="405" w:hRule="atLeast"/>
        </w:trPr>
        <w:tc>
          <w:tcPr>
            <w:tcW w:w="1451" w:type="dxa"/>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保安公司：</w:t>
            </w:r>
          </w:p>
        </w:tc>
        <w:tc>
          <w:tcPr>
            <w:tcW w:w="2320" w:type="dxa"/>
            <w:tcBorders>
              <w:top w:val="nil"/>
              <w:left w:val="nil"/>
              <w:bottom w:val="single" w:color="000000" w:sz="4" w:space="0"/>
              <w:right w:val="nil"/>
            </w:tcBorders>
            <w:shd w:val="clear" w:color="auto" w:fill="auto"/>
            <w:noWrap/>
            <w:vAlign w:val="center"/>
          </w:tcPr>
          <w:p>
            <w:pPr>
              <w:rPr>
                <w:rFonts w:ascii="宋体" w:hAnsi="宋体" w:cs="宋体"/>
                <w:color w:val="000000"/>
                <w:sz w:val="24"/>
              </w:rPr>
            </w:pPr>
          </w:p>
        </w:tc>
        <w:tc>
          <w:tcPr>
            <w:tcW w:w="1635" w:type="dxa"/>
            <w:tcBorders>
              <w:top w:val="nil"/>
              <w:left w:val="nil"/>
              <w:bottom w:val="single" w:color="000000" w:sz="4" w:space="0"/>
              <w:right w:val="nil"/>
            </w:tcBorders>
            <w:shd w:val="clear" w:color="auto" w:fill="auto"/>
            <w:noWrap/>
            <w:vAlign w:val="center"/>
          </w:tcPr>
          <w:p>
            <w:pPr>
              <w:rPr>
                <w:rFonts w:ascii="宋体" w:hAnsi="宋体" w:cs="宋体"/>
                <w:color w:val="000000"/>
                <w:sz w:val="24"/>
              </w:rPr>
            </w:pPr>
          </w:p>
        </w:tc>
        <w:tc>
          <w:tcPr>
            <w:tcW w:w="2616" w:type="dxa"/>
            <w:tcBorders>
              <w:top w:val="nil"/>
              <w:left w:val="nil"/>
              <w:bottom w:val="single" w:color="000000" w:sz="4" w:space="0"/>
              <w:right w:val="nil"/>
            </w:tcBorders>
            <w:shd w:val="clear" w:color="auto" w:fill="auto"/>
            <w:noWrap/>
            <w:vAlign w:val="center"/>
          </w:tcPr>
          <w:p>
            <w:pPr>
              <w:rPr>
                <w:rFonts w:ascii="宋体" w:hAnsi="宋体" w:cs="宋体"/>
                <w:color w:val="000000"/>
                <w:sz w:val="24"/>
              </w:rPr>
            </w:pPr>
          </w:p>
        </w:tc>
        <w:tc>
          <w:tcPr>
            <w:tcW w:w="1575" w:type="dxa"/>
            <w:tcBorders>
              <w:top w:val="nil"/>
              <w:left w:val="nil"/>
              <w:bottom w:val="single" w:color="000000" w:sz="4" w:space="0"/>
              <w:right w:val="nil"/>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公司自评</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保卫处项目责任人评定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保卫处评定</w:t>
            </w: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保安配备（7分）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人员素质（7分）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器材配备（7分）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遵章守纪（7分）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服从管理（7分）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台帐管理（7分）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礼仪规范（7分）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保安培训（7分）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门岗执勤（7分）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校园巡逻（7分）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消控管理（8分）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监控管理（7分）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应急处置（7分）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失误失责（8分）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05" w:hRule="atLeast"/>
        </w:trPr>
        <w:tc>
          <w:tcPr>
            <w:tcW w:w="3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总体评价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451" w:type="dxa"/>
            <w:tcBorders>
              <w:top w:val="nil"/>
              <w:left w:val="nil"/>
              <w:bottom w:val="nil"/>
              <w:right w:val="nil"/>
            </w:tcBorders>
            <w:shd w:val="clear" w:color="auto" w:fill="auto"/>
            <w:noWrap/>
            <w:vAlign w:val="center"/>
          </w:tcPr>
          <w:p>
            <w:pPr>
              <w:jc w:val="center"/>
              <w:rPr>
                <w:rFonts w:ascii="宋体" w:hAnsi="宋体" w:cs="宋体"/>
                <w:color w:val="000000"/>
                <w:sz w:val="24"/>
              </w:rPr>
            </w:pPr>
          </w:p>
        </w:tc>
        <w:tc>
          <w:tcPr>
            <w:tcW w:w="2320" w:type="dxa"/>
            <w:tcBorders>
              <w:top w:val="nil"/>
              <w:left w:val="nil"/>
              <w:bottom w:val="nil"/>
              <w:right w:val="nil"/>
            </w:tcBorders>
            <w:shd w:val="clear" w:color="auto" w:fill="auto"/>
            <w:noWrap/>
            <w:vAlign w:val="center"/>
          </w:tcPr>
          <w:p>
            <w:pPr>
              <w:jc w:val="center"/>
              <w:rPr>
                <w:rFonts w:ascii="宋体" w:hAnsi="宋体" w:cs="宋体"/>
                <w:color w:val="000000"/>
                <w:sz w:val="24"/>
              </w:rPr>
            </w:pPr>
          </w:p>
        </w:tc>
        <w:tc>
          <w:tcPr>
            <w:tcW w:w="1635" w:type="dxa"/>
            <w:tcBorders>
              <w:top w:val="nil"/>
              <w:left w:val="nil"/>
              <w:bottom w:val="nil"/>
              <w:right w:val="nil"/>
            </w:tcBorders>
            <w:shd w:val="clear" w:color="auto" w:fill="auto"/>
            <w:noWrap/>
            <w:vAlign w:val="center"/>
          </w:tcPr>
          <w:p>
            <w:pPr>
              <w:rPr>
                <w:rFonts w:ascii="宋体" w:hAnsi="宋体" w:cs="宋体"/>
                <w:color w:val="000000"/>
                <w:sz w:val="24"/>
              </w:rPr>
            </w:pPr>
          </w:p>
        </w:tc>
        <w:tc>
          <w:tcPr>
            <w:tcW w:w="2616" w:type="dxa"/>
            <w:tcBorders>
              <w:top w:val="nil"/>
              <w:left w:val="nil"/>
              <w:bottom w:val="nil"/>
              <w:right w:val="nil"/>
            </w:tcBorders>
            <w:shd w:val="clear" w:color="auto" w:fill="auto"/>
            <w:noWrap/>
            <w:vAlign w:val="center"/>
          </w:tcPr>
          <w:p>
            <w:pPr>
              <w:rPr>
                <w:rFonts w:ascii="宋体" w:hAnsi="宋体" w:cs="宋体"/>
                <w:color w:val="000000"/>
                <w:sz w:val="24"/>
              </w:rPr>
            </w:pPr>
          </w:p>
        </w:tc>
        <w:tc>
          <w:tcPr>
            <w:tcW w:w="1575" w:type="dxa"/>
            <w:tcBorders>
              <w:top w:val="nil"/>
              <w:left w:val="nil"/>
              <w:bottom w:val="nil"/>
              <w:right w:val="nil"/>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451" w:type="dxa"/>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公司代表：</w:t>
            </w:r>
          </w:p>
        </w:tc>
        <w:tc>
          <w:tcPr>
            <w:tcW w:w="2320" w:type="dxa"/>
            <w:tcBorders>
              <w:top w:val="nil"/>
              <w:left w:val="nil"/>
              <w:bottom w:val="nil"/>
              <w:right w:val="nil"/>
            </w:tcBorders>
            <w:shd w:val="clear" w:color="auto" w:fill="auto"/>
            <w:noWrap/>
            <w:vAlign w:val="center"/>
          </w:tcPr>
          <w:p>
            <w:pPr>
              <w:jc w:val="center"/>
              <w:rPr>
                <w:rFonts w:ascii="宋体" w:hAnsi="宋体" w:cs="宋体"/>
                <w:color w:val="000000"/>
                <w:sz w:val="24"/>
              </w:rPr>
            </w:pPr>
          </w:p>
        </w:tc>
        <w:tc>
          <w:tcPr>
            <w:tcW w:w="1635" w:type="dxa"/>
            <w:tcBorders>
              <w:top w:val="nil"/>
              <w:left w:val="nil"/>
              <w:bottom w:val="nil"/>
              <w:right w:val="nil"/>
            </w:tcBorders>
            <w:shd w:val="clear" w:color="auto" w:fill="auto"/>
            <w:noWrap/>
            <w:vAlign w:val="center"/>
          </w:tcPr>
          <w:p>
            <w:pPr>
              <w:rPr>
                <w:rFonts w:ascii="宋体" w:hAnsi="宋体" w:cs="宋体"/>
                <w:color w:val="000000"/>
                <w:sz w:val="24"/>
              </w:rPr>
            </w:pPr>
          </w:p>
        </w:tc>
        <w:tc>
          <w:tcPr>
            <w:tcW w:w="2616"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lang w:bidi="ar"/>
              </w:rPr>
              <w:t>学院保卫处代表：</w:t>
            </w:r>
          </w:p>
        </w:tc>
        <w:tc>
          <w:tcPr>
            <w:tcW w:w="1575" w:type="dxa"/>
            <w:tcBorders>
              <w:top w:val="nil"/>
              <w:left w:val="nil"/>
              <w:bottom w:val="nil"/>
              <w:right w:val="nil"/>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451" w:type="dxa"/>
            <w:tcBorders>
              <w:top w:val="nil"/>
              <w:left w:val="nil"/>
              <w:bottom w:val="nil"/>
              <w:right w:val="nil"/>
            </w:tcBorders>
            <w:shd w:val="clear" w:color="auto" w:fill="auto"/>
            <w:noWrap/>
            <w:vAlign w:val="center"/>
          </w:tcPr>
          <w:p>
            <w:pPr>
              <w:jc w:val="center"/>
              <w:rPr>
                <w:rFonts w:ascii="宋体" w:hAnsi="宋体" w:cs="宋体"/>
                <w:color w:val="000000"/>
                <w:sz w:val="24"/>
              </w:rPr>
            </w:pPr>
          </w:p>
        </w:tc>
        <w:tc>
          <w:tcPr>
            <w:tcW w:w="2320" w:type="dxa"/>
            <w:tcBorders>
              <w:top w:val="nil"/>
              <w:left w:val="nil"/>
              <w:bottom w:val="nil"/>
              <w:right w:val="nil"/>
            </w:tcBorders>
            <w:shd w:val="clear" w:color="auto" w:fill="auto"/>
            <w:noWrap/>
            <w:vAlign w:val="center"/>
          </w:tcPr>
          <w:p>
            <w:pPr>
              <w:jc w:val="center"/>
              <w:rPr>
                <w:rFonts w:ascii="宋体" w:hAnsi="宋体" w:cs="宋体"/>
                <w:color w:val="000000"/>
                <w:sz w:val="24"/>
              </w:rPr>
            </w:pPr>
          </w:p>
        </w:tc>
        <w:tc>
          <w:tcPr>
            <w:tcW w:w="1635" w:type="dxa"/>
            <w:tcBorders>
              <w:top w:val="nil"/>
              <w:left w:val="nil"/>
              <w:bottom w:val="nil"/>
              <w:right w:val="nil"/>
            </w:tcBorders>
            <w:shd w:val="clear" w:color="auto" w:fill="auto"/>
            <w:noWrap/>
            <w:vAlign w:val="center"/>
          </w:tcPr>
          <w:p>
            <w:pPr>
              <w:rPr>
                <w:rFonts w:ascii="宋体" w:hAnsi="宋体" w:cs="宋体"/>
                <w:color w:val="000000"/>
                <w:sz w:val="24"/>
              </w:rPr>
            </w:pPr>
          </w:p>
        </w:tc>
        <w:tc>
          <w:tcPr>
            <w:tcW w:w="2616" w:type="dxa"/>
            <w:tcBorders>
              <w:top w:val="nil"/>
              <w:left w:val="nil"/>
              <w:bottom w:val="nil"/>
              <w:right w:val="nil"/>
            </w:tcBorders>
            <w:shd w:val="clear" w:color="auto" w:fill="auto"/>
            <w:noWrap/>
            <w:vAlign w:val="center"/>
          </w:tcPr>
          <w:p>
            <w:pPr>
              <w:rPr>
                <w:rFonts w:ascii="宋体" w:hAnsi="宋体" w:cs="宋体"/>
                <w:color w:val="000000"/>
                <w:sz w:val="24"/>
              </w:rPr>
            </w:pPr>
          </w:p>
        </w:tc>
        <w:tc>
          <w:tcPr>
            <w:tcW w:w="1575" w:type="dxa"/>
            <w:tcBorders>
              <w:top w:val="nil"/>
              <w:left w:val="nil"/>
              <w:bottom w:val="nil"/>
              <w:right w:val="nil"/>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1451" w:type="dxa"/>
            <w:tcBorders>
              <w:top w:val="nil"/>
              <w:left w:val="nil"/>
              <w:bottom w:val="nil"/>
              <w:right w:val="nil"/>
            </w:tcBorders>
            <w:shd w:val="clear" w:color="auto" w:fill="auto"/>
            <w:noWrap/>
            <w:vAlign w:val="center"/>
          </w:tcPr>
          <w:p>
            <w:pPr>
              <w:jc w:val="center"/>
              <w:rPr>
                <w:rFonts w:ascii="宋体" w:hAnsi="宋体" w:cs="宋体"/>
                <w:color w:val="000000"/>
                <w:sz w:val="24"/>
              </w:rPr>
            </w:pPr>
          </w:p>
        </w:tc>
        <w:tc>
          <w:tcPr>
            <w:tcW w:w="2320" w:type="dxa"/>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  月   日</w:t>
            </w:r>
          </w:p>
        </w:tc>
        <w:tc>
          <w:tcPr>
            <w:tcW w:w="1635" w:type="dxa"/>
            <w:tcBorders>
              <w:top w:val="nil"/>
              <w:left w:val="nil"/>
              <w:bottom w:val="nil"/>
              <w:right w:val="nil"/>
            </w:tcBorders>
            <w:shd w:val="clear" w:color="auto" w:fill="auto"/>
            <w:noWrap/>
            <w:vAlign w:val="center"/>
          </w:tcPr>
          <w:p>
            <w:pPr>
              <w:rPr>
                <w:rFonts w:ascii="宋体" w:hAnsi="宋体" w:cs="宋体"/>
                <w:color w:val="000000"/>
                <w:sz w:val="24"/>
              </w:rPr>
            </w:pPr>
          </w:p>
        </w:tc>
        <w:tc>
          <w:tcPr>
            <w:tcW w:w="2616" w:type="dxa"/>
            <w:tcBorders>
              <w:top w:val="nil"/>
              <w:left w:val="nil"/>
              <w:bottom w:val="nil"/>
              <w:right w:val="nil"/>
            </w:tcBorders>
            <w:shd w:val="clear" w:color="auto" w:fill="auto"/>
            <w:noWrap/>
            <w:vAlign w:val="center"/>
          </w:tcPr>
          <w:p>
            <w:pPr>
              <w:rPr>
                <w:rFonts w:ascii="宋体" w:hAnsi="宋体" w:cs="宋体"/>
                <w:color w:val="000000"/>
                <w:sz w:val="24"/>
              </w:rPr>
            </w:pPr>
          </w:p>
        </w:tc>
        <w:tc>
          <w:tcPr>
            <w:tcW w:w="1575"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年  月   日</w:t>
            </w:r>
          </w:p>
        </w:tc>
      </w:tr>
      <w:tr>
        <w:tblPrEx>
          <w:tblCellMar>
            <w:top w:w="0" w:type="dxa"/>
            <w:left w:w="108" w:type="dxa"/>
            <w:bottom w:w="0" w:type="dxa"/>
            <w:right w:w="108" w:type="dxa"/>
          </w:tblCellMar>
        </w:tblPrEx>
        <w:trPr>
          <w:trHeight w:val="285" w:hRule="atLeast"/>
        </w:trPr>
        <w:tc>
          <w:tcPr>
            <w:tcW w:w="1451" w:type="dxa"/>
            <w:tcBorders>
              <w:top w:val="nil"/>
              <w:left w:val="nil"/>
              <w:bottom w:val="nil"/>
              <w:right w:val="nil"/>
            </w:tcBorders>
            <w:shd w:val="clear" w:color="auto" w:fill="auto"/>
            <w:noWrap/>
            <w:vAlign w:val="center"/>
          </w:tcPr>
          <w:p>
            <w:pPr>
              <w:jc w:val="center"/>
              <w:rPr>
                <w:rFonts w:ascii="宋体" w:hAnsi="宋体" w:cs="宋体"/>
                <w:color w:val="000000"/>
                <w:sz w:val="24"/>
              </w:rPr>
            </w:pPr>
          </w:p>
        </w:tc>
        <w:tc>
          <w:tcPr>
            <w:tcW w:w="2320" w:type="dxa"/>
            <w:tcBorders>
              <w:top w:val="nil"/>
              <w:left w:val="nil"/>
              <w:bottom w:val="nil"/>
              <w:right w:val="nil"/>
            </w:tcBorders>
            <w:shd w:val="clear" w:color="auto" w:fill="auto"/>
            <w:noWrap/>
            <w:vAlign w:val="center"/>
          </w:tcPr>
          <w:p>
            <w:pPr>
              <w:jc w:val="center"/>
              <w:rPr>
                <w:rFonts w:ascii="宋体" w:hAnsi="宋体" w:cs="宋体"/>
                <w:color w:val="000000"/>
                <w:sz w:val="24"/>
              </w:rPr>
            </w:pPr>
          </w:p>
        </w:tc>
        <w:tc>
          <w:tcPr>
            <w:tcW w:w="1635" w:type="dxa"/>
            <w:tcBorders>
              <w:top w:val="nil"/>
              <w:left w:val="nil"/>
              <w:bottom w:val="nil"/>
              <w:right w:val="nil"/>
            </w:tcBorders>
            <w:shd w:val="clear" w:color="auto" w:fill="auto"/>
            <w:noWrap/>
            <w:vAlign w:val="center"/>
          </w:tcPr>
          <w:p>
            <w:pPr>
              <w:rPr>
                <w:rFonts w:ascii="宋体" w:hAnsi="宋体" w:cs="宋体"/>
                <w:color w:val="000000"/>
                <w:sz w:val="24"/>
              </w:rPr>
            </w:pPr>
          </w:p>
        </w:tc>
        <w:tc>
          <w:tcPr>
            <w:tcW w:w="2616" w:type="dxa"/>
            <w:tcBorders>
              <w:top w:val="nil"/>
              <w:left w:val="nil"/>
              <w:bottom w:val="nil"/>
              <w:right w:val="nil"/>
            </w:tcBorders>
            <w:shd w:val="clear" w:color="auto" w:fill="auto"/>
            <w:noWrap/>
            <w:vAlign w:val="center"/>
          </w:tcPr>
          <w:p>
            <w:pPr>
              <w:rPr>
                <w:rFonts w:ascii="宋体" w:hAnsi="宋体" w:cs="宋体"/>
                <w:color w:val="000000"/>
                <w:sz w:val="24"/>
              </w:rPr>
            </w:pPr>
          </w:p>
        </w:tc>
        <w:tc>
          <w:tcPr>
            <w:tcW w:w="1575" w:type="dxa"/>
            <w:tcBorders>
              <w:top w:val="nil"/>
              <w:left w:val="nil"/>
              <w:bottom w:val="nil"/>
              <w:right w:val="nil"/>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70" w:hRule="atLeast"/>
        </w:trPr>
        <w:tc>
          <w:tcPr>
            <w:tcW w:w="1451"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2320"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1635"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2616"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575" w:type="dxa"/>
            <w:tcBorders>
              <w:top w:val="nil"/>
              <w:left w:val="nil"/>
              <w:bottom w:val="nil"/>
              <w:right w:val="nil"/>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1451" w:type="dxa"/>
            <w:tcBorders>
              <w:top w:val="nil"/>
              <w:left w:val="nil"/>
              <w:bottom w:val="nil"/>
              <w:right w:val="nil"/>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评分细则：</w:t>
            </w:r>
          </w:p>
        </w:tc>
        <w:tc>
          <w:tcPr>
            <w:tcW w:w="2320" w:type="dxa"/>
            <w:tcBorders>
              <w:top w:val="nil"/>
              <w:left w:val="nil"/>
              <w:bottom w:val="nil"/>
              <w:right w:val="nil"/>
            </w:tcBorders>
            <w:shd w:val="clear" w:color="auto" w:fill="auto"/>
            <w:vAlign w:val="center"/>
          </w:tcPr>
          <w:p>
            <w:pPr>
              <w:rPr>
                <w:rFonts w:ascii="宋体" w:hAnsi="宋体" w:cs="宋体"/>
                <w:b/>
                <w:bCs/>
                <w:color w:val="000000"/>
                <w:sz w:val="22"/>
                <w:szCs w:val="22"/>
              </w:rPr>
            </w:pPr>
          </w:p>
        </w:tc>
        <w:tc>
          <w:tcPr>
            <w:tcW w:w="1635" w:type="dxa"/>
            <w:tcBorders>
              <w:top w:val="nil"/>
              <w:left w:val="nil"/>
              <w:bottom w:val="nil"/>
              <w:right w:val="nil"/>
            </w:tcBorders>
            <w:shd w:val="clear" w:color="auto" w:fill="auto"/>
            <w:vAlign w:val="center"/>
          </w:tcPr>
          <w:p>
            <w:pPr>
              <w:rPr>
                <w:rFonts w:ascii="宋体" w:hAnsi="宋体" w:cs="宋体"/>
                <w:b/>
                <w:bCs/>
                <w:color w:val="000000"/>
                <w:sz w:val="22"/>
                <w:szCs w:val="22"/>
              </w:rPr>
            </w:pPr>
          </w:p>
        </w:tc>
        <w:tc>
          <w:tcPr>
            <w:tcW w:w="2616" w:type="dxa"/>
            <w:tcBorders>
              <w:top w:val="nil"/>
              <w:left w:val="nil"/>
              <w:bottom w:val="nil"/>
              <w:right w:val="nil"/>
            </w:tcBorders>
            <w:shd w:val="clear" w:color="auto" w:fill="auto"/>
            <w:vAlign w:val="center"/>
          </w:tcPr>
          <w:p>
            <w:pPr>
              <w:rPr>
                <w:rFonts w:ascii="宋体" w:hAnsi="宋体" w:cs="宋体"/>
                <w:b/>
                <w:bCs/>
                <w:color w:val="000000"/>
                <w:sz w:val="22"/>
                <w:szCs w:val="22"/>
              </w:rPr>
            </w:pPr>
          </w:p>
        </w:tc>
        <w:tc>
          <w:tcPr>
            <w:tcW w:w="1575" w:type="dxa"/>
            <w:tcBorders>
              <w:top w:val="nil"/>
              <w:left w:val="nil"/>
              <w:bottom w:val="nil"/>
              <w:right w:val="nil"/>
            </w:tcBorders>
            <w:shd w:val="clear" w:color="auto" w:fill="auto"/>
            <w:vAlign w:val="center"/>
          </w:tcPr>
          <w:p>
            <w:pPr>
              <w:rPr>
                <w:rFonts w:ascii="宋体" w:hAnsi="宋体" w:cs="宋体"/>
                <w:b/>
                <w:bCs/>
                <w:color w:val="000000"/>
                <w:sz w:val="22"/>
                <w:szCs w:val="22"/>
              </w:rPr>
            </w:pPr>
          </w:p>
        </w:tc>
      </w:tr>
      <w:tr>
        <w:tblPrEx>
          <w:tblCellMar>
            <w:top w:w="0" w:type="dxa"/>
            <w:left w:w="108" w:type="dxa"/>
            <w:bottom w:w="0" w:type="dxa"/>
            <w:right w:w="108" w:type="dxa"/>
          </w:tblCellMar>
        </w:tblPrEx>
        <w:trPr>
          <w:trHeight w:val="915"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Style w:val="263"/>
                <w:rFonts w:hint="default"/>
                <w:lang w:bidi="ar"/>
              </w:rPr>
              <w:t>保安配备</w:t>
            </w:r>
            <w:r>
              <w:rPr>
                <w:rStyle w:val="311"/>
                <w:rFonts w:hint="default"/>
                <w:lang w:bidi="ar"/>
              </w:rPr>
              <w:t>：三个月内出现超过三个（含，以下同）班次到岗人数缺少1人或出现一个班次到岗人数缺少2人及以上的情况，得0分；总人数少于合同要求，通过加班达到上岗人数要求，根据加班情况斟情评分。</w:t>
            </w:r>
          </w:p>
        </w:tc>
      </w:tr>
      <w:tr>
        <w:tblPrEx>
          <w:tblCellMar>
            <w:top w:w="0" w:type="dxa"/>
            <w:left w:w="108" w:type="dxa"/>
            <w:bottom w:w="0" w:type="dxa"/>
            <w:right w:w="108" w:type="dxa"/>
          </w:tblCellMar>
        </w:tblPrEx>
        <w:trPr>
          <w:trHeight w:val="525"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Style w:val="263"/>
                <w:rFonts w:hint="default"/>
                <w:lang w:bidi="ar"/>
              </w:rPr>
              <w:t>人员素质</w:t>
            </w:r>
            <w:r>
              <w:rPr>
                <w:rStyle w:val="143"/>
                <w:rFonts w:hint="default"/>
                <w:lang w:bidi="ar"/>
              </w:rPr>
              <w:t>：被派遣保安出现年龄、行业用工条件、劳动合同签订、岗前培训、上岗资质、派遣手续等不符合合同要求的，每人次扣1分。</w:t>
            </w:r>
          </w:p>
        </w:tc>
      </w:tr>
      <w:tr>
        <w:tblPrEx>
          <w:tblCellMar>
            <w:top w:w="0" w:type="dxa"/>
            <w:left w:w="108" w:type="dxa"/>
            <w:bottom w:w="0" w:type="dxa"/>
            <w:right w:w="108" w:type="dxa"/>
          </w:tblCellMar>
        </w:tblPrEx>
        <w:trPr>
          <w:trHeight w:val="510"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Style w:val="263"/>
                <w:rFonts w:hint="default"/>
                <w:lang w:bidi="ar"/>
              </w:rPr>
              <w:t>器材配备</w:t>
            </w:r>
            <w:r>
              <w:rPr>
                <w:rStyle w:val="143"/>
                <w:rFonts w:hint="default"/>
                <w:lang w:bidi="ar"/>
              </w:rPr>
              <w:t>：进驻保安队员执勤所需服装、装备、器材不到位的，每件次扣1分。</w:t>
            </w:r>
          </w:p>
        </w:tc>
      </w:tr>
      <w:tr>
        <w:tblPrEx>
          <w:tblCellMar>
            <w:top w:w="0" w:type="dxa"/>
            <w:left w:w="108" w:type="dxa"/>
            <w:bottom w:w="0" w:type="dxa"/>
            <w:right w:w="108" w:type="dxa"/>
          </w:tblCellMar>
        </w:tblPrEx>
        <w:trPr>
          <w:trHeight w:val="1170"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Style w:val="263"/>
                <w:rFonts w:hint="default"/>
                <w:lang w:bidi="ar"/>
              </w:rPr>
              <w:t>遵章守纪</w:t>
            </w:r>
            <w:r>
              <w:rPr>
                <w:rStyle w:val="143"/>
                <w:rFonts w:hint="default"/>
                <w:lang w:bidi="ar"/>
              </w:rPr>
              <w:t>：保安队员出现严重违反学院规章制度，严重失职、徇私舞弊给学院造成重大损失的，得0分；一般损失，每次扣5分；轻微损失，每次扣3分；未造成损失，每次扣2分。保安公司违反《劳动法》、《劳动合同法》等给学院造成恶劣社会影响的，得0分；未对学院造成损失的，每次扣2分。</w:t>
            </w:r>
          </w:p>
        </w:tc>
      </w:tr>
      <w:tr>
        <w:tblPrEx>
          <w:tblCellMar>
            <w:top w:w="0" w:type="dxa"/>
            <w:left w:w="108" w:type="dxa"/>
            <w:bottom w:w="0" w:type="dxa"/>
            <w:right w:w="108" w:type="dxa"/>
          </w:tblCellMar>
        </w:tblPrEx>
        <w:trPr>
          <w:trHeight w:val="915"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从管理：公司未落实校园安保方案的，得0分；保安队员不服从学院工作安排的、不服从学院管理的，每人次扣2分；保安队员加班、调班、请假、人员更换不经过学院保卫处批准的，每人次扣1分。保安队员执勤时串岗、睡岗、脱岗的，每次扣1分。</w:t>
            </w:r>
          </w:p>
        </w:tc>
      </w:tr>
      <w:tr>
        <w:tblPrEx>
          <w:tblCellMar>
            <w:top w:w="0" w:type="dxa"/>
            <w:left w:w="108" w:type="dxa"/>
            <w:bottom w:w="0" w:type="dxa"/>
            <w:right w:w="108" w:type="dxa"/>
          </w:tblCellMar>
        </w:tblPrEx>
        <w:trPr>
          <w:trHeight w:val="690"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Style w:val="263"/>
                <w:rFonts w:hint="default"/>
                <w:lang w:bidi="ar"/>
              </w:rPr>
              <w:t>台账管理</w:t>
            </w:r>
            <w:r>
              <w:rPr>
                <w:rStyle w:val="143"/>
                <w:rFonts w:hint="default"/>
                <w:lang w:bidi="ar"/>
              </w:rPr>
              <w:t>：出现台账记录严重缺失、长期不做台帐的，得0分；出现值班、巡查记录漏记，员工考勤、检查纪录漏记，消控、监控记录漏记，每次扣1分；</w:t>
            </w:r>
          </w:p>
        </w:tc>
      </w:tr>
      <w:tr>
        <w:tblPrEx>
          <w:tblCellMar>
            <w:top w:w="0" w:type="dxa"/>
            <w:left w:w="108" w:type="dxa"/>
            <w:bottom w:w="0" w:type="dxa"/>
            <w:right w:w="108" w:type="dxa"/>
          </w:tblCellMar>
        </w:tblPrEx>
        <w:trPr>
          <w:trHeight w:val="1125"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Style w:val="263"/>
                <w:rFonts w:hint="default"/>
                <w:lang w:bidi="ar"/>
              </w:rPr>
              <w:t>礼仪规范</w:t>
            </w:r>
            <w:r>
              <w:rPr>
                <w:rStyle w:val="143"/>
                <w:rFonts w:hint="default"/>
                <w:lang w:bidi="ar"/>
              </w:rPr>
              <w:t>：出现被投诉且查证属实的，每次扣3分；值勤时不注重工作中的礼节礼貌，不尊重师生员工，无理顶撞师生员工或访客，对师生员工或访客的合理请求不理不睬，语言不文明，行为粗暴、蛮横等查证属实的，每次扣2分；执勤时出现未规范着装、未按规定携带装备、工作拖延、抽烟的，每人次扣1分。</w:t>
            </w:r>
          </w:p>
        </w:tc>
      </w:tr>
      <w:tr>
        <w:tblPrEx>
          <w:tblCellMar>
            <w:top w:w="0" w:type="dxa"/>
            <w:left w:w="108" w:type="dxa"/>
            <w:bottom w:w="0" w:type="dxa"/>
            <w:right w:w="108" w:type="dxa"/>
          </w:tblCellMar>
        </w:tblPrEx>
        <w:trPr>
          <w:trHeight w:val="960"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Style w:val="263"/>
                <w:rFonts w:hint="default"/>
                <w:lang w:bidi="ar"/>
              </w:rPr>
              <w:t>保安培训</w:t>
            </w:r>
            <w:r>
              <w:rPr>
                <w:rStyle w:val="143"/>
                <w:rFonts w:hint="default"/>
                <w:lang w:bidi="ar"/>
              </w:rPr>
              <w:t>：每季度少于1次岗中培训、每月少于1次业务知识和服务意识训练的，得0分；未积极开展早操、日常体能训练、列队训练、擒拿格斗训练、应急演练的，根据情况斟情评分；保安队员不参加校卫队日常训练和培训的，每人次扣1分。</w:t>
            </w:r>
          </w:p>
        </w:tc>
      </w:tr>
      <w:tr>
        <w:tblPrEx>
          <w:tblCellMar>
            <w:top w:w="0" w:type="dxa"/>
            <w:left w:w="108" w:type="dxa"/>
            <w:bottom w:w="0" w:type="dxa"/>
            <w:right w:w="108" w:type="dxa"/>
          </w:tblCellMar>
        </w:tblPrEx>
        <w:trPr>
          <w:trHeight w:val="1305"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Style w:val="263"/>
                <w:rFonts w:hint="default"/>
                <w:lang w:bidi="ar"/>
              </w:rPr>
              <w:t>门岗执勤</w:t>
            </w:r>
            <w:r>
              <w:rPr>
                <w:rStyle w:val="143"/>
                <w:rFonts w:hint="default"/>
                <w:lang w:bidi="ar"/>
              </w:rPr>
              <w:t>（含所有出入口）：未对携带公物出校园的车辆进行检查和登记且造成学院重大损失的，得0分；一般损失，每次扣5分；轻微损失，每次扣3分。未按学院规定或临时通知后仍让外来人员随意进出的，每次扣2分；未对携带公物出校园的车辆进行检查和登记、未对无通行证的车辆进出进行检查和登记、未对未报备的外来人员进出进行检查和登记，但没有造成学院损失的，每次扣0.5分。</w:t>
            </w:r>
          </w:p>
        </w:tc>
      </w:tr>
      <w:tr>
        <w:tblPrEx>
          <w:tblCellMar>
            <w:top w:w="0" w:type="dxa"/>
            <w:left w:w="108" w:type="dxa"/>
            <w:bottom w:w="0" w:type="dxa"/>
            <w:right w:w="108" w:type="dxa"/>
          </w:tblCellMar>
        </w:tblPrEx>
        <w:trPr>
          <w:trHeight w:val="1200"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Style w:val="263"/>
                <w:rFonts w:hint="default"/>
                <w:lang w:bidi="ar"/>
              </w:rPr>
              <w:t>校园巡逻</w:t>
            </w:r>
            <w:r>
              <w:rPr>
                <w:rStyle w:val="143"/>
                <w:rFonts w:hint="default"/>
                <w:lang w:bidi="ar"/>
              </w:rPr>
              <w:t>：发现突发事件和灾害事故不及时、发现事件事故不上报且造成学院重大损失的，得0分；一般损失，每次扣5分；轻微损失，每次扣3分；未造成损失的扣1分。未按学院要求维护校园治安的，每次扣2分；未按学院要求做到护卫、巡逻的，每次扣1分；维护交通秩序不力的，每次扣0.5至2分。</w:t>
            </w:r>
          </w:p>
        </w:tc>
      </w:tr>
      <w:tr>
        <w:tblPrEx>
          <w:tblCellMar>
            <w:top w:w="0" w:type="dxa"/>
            <w:left w:w="108" w:type="dxa"/>
            <w:bottom w:w="0" w:type="dxa"/>
            <w:right w:w="108" w:type="dxa"/>
          </w:tblCellMar>
        </w:tblPrEx>
        <w:trPr>
          <w:trHeight w:val="1095"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b/>
                <w:bCs/>
                <w:color w:val="000000"/>
                <w:kern w:val="0"/>
                <w:sz w:val="22"/>
                <w:szCs w:val="22"/>
                <w:lang w:bidi="ar"/>
              </w:rPr>
              <w:t>消控管理：</w:t>
            </w:r>
            <w:r>
              <w:rPr>
                <w:rFonts w:hint="eastAsia" w:ascii="宋体" w:hAnsi="宋体" w:cs="宋体"/>
                <w:color w:val="000000"/>
                <w:kern w:val="0"/>
                <w:sz w:val="22"/>
                <w:szCs w:val="22"/>
                <w:lang w:bidi="ar"/>
              </w:rPr>
              <w:t>不能及时发现火情、发现火情不按规程处置、不及时上报，未按学院保卫处要求巡查消防设施、巡查不到位等，造成学院重大损失的，得0分；一般损失，每次扣5分；轻微损失，每次扣3分；未造成损失的扣1分。因工作失误造成消防设施、消控设备损坏的，扣1分以上直至扣完该项分值。</w:t>
            </w:r>
          </w:p>
        </w:tc>
      </w:tr>
      <w:tr>
        <w:tblPrEx>
          <w:tblCellMar>
            <w:top w:w="0" w:type="dxa"/>
            <w:left w:w="108" w:type="dxa"/>
            <w:bottom w:w="0" w:type="dxa"/>
            <w:right w:w="108" w:type="dxa"/>
          </w:tblCellMar>
        </w:tblPrEx>
        <w:trPr>
          <w:trHeight w:val="1440"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b/>
                <w:bCs/>
                <w:color w:val="000000"/>
                <w:kern w:val="0"/>
                <w:sz w:val="22"/>
                <w:szCs w:val="22"/>
                <w:lang w:bidi="ar"/>
              </w:rPr>
              <w:t>监控管理：</w:t>
            </w:r>
            <w:r>
              <w:rPr>
                <w:rFonts w:hint="eastAsia" w:ascii="宋体" w:hAnsi="宋体" w:cs="宋体"/>
                <w:color w:val="000000"/>
                <w:kern w:val="0"/>
                <w:sz w:val="22"/>
                <w:szCs w:val="22"/>
                <w:lang w:bidi="ar"/>
              </w:rPr>
              <w:t>不能及时发现违法线索和警情、发现线索和警情不按规程处置、不及时上报的，未按保卫处要求巡查监控设施、巡查不到位的，造成学院重大损失的，得0分；一般损失，每次扣5分；轻微损失，每次扣3分；未造成损失的扣1分。未经保卫处允许，录制监控视频外泄的，扣5分；未经保卫处允许，调看敏感部位视频，每次扣3分；未经保卫处指示或监控管理员申报并经允许，私自调动监控角度、缩放比例，每次扣1分；因工作失误造成监控设备损坏的，扣1分以上直至扣完该项分值。</w:t>
            </w:r>
          </w:p>
        </w:tc>
      </w:tr>
      <w:tr>
        <w:tblPrEx>
          <w:tblCellMar>
            <w:top w:w="0" w:type="dxa"/>
            <w:left w:w="108" w:type="dxa"/>
            <w:bottom w:w="0" w:type="dxa"/>
            <w:right w:w="108" w:type="dxa"/>
          </w:tblCellMar>
        </w:tblPrEx>
        <w:trPr>
          <w:trHeight w:val="1185"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b/>
                <w:bCs/>
                <w:color w:val="000000"/>
                <w:kern w:val="0"/>
                <w:sz w:val="22"/>
                <w:szCs w:val="22"/>
                <w:lang w:bidi="ar"/>
              </w:rPr>
              <w:t>应急处置：</w:t>
            </w:r>
            <w:r>
              <w:rPr>
                <w:rFonts w:hint="eastAsia" w:ascii="宋体" w:hAnsi="宋体" w:cs="宋体"/>
                <w:color w:val="000000"/>
                <w:kern w:val="0"/>
                <w:sz w:val="22"/>
                <w:szCs w:val="22"/>
                <w:lang w:bidi="ar"/>
              </w:rPr>
              <w:t>发生突发事件时未能在合同规定时间安排规定数量人员到达指定地点，造成学院重大损失或严重后果的，得0分；一般损失，每次扣5分；轻微损失，每次扣3分；未造成损失的扣1分。发生突发事件不熟悉处置流程或处置不力的，扣3分；突发事件演练，保卫队员未按保卫处规定赶赴演习地点、不熟悉处置流程的，扣2分。</w:t>
            </w:r>
          </w:p>
        </w:tc>
      </w:tr>
      <w:tr>
        <w:tblPrEx>
          <w:tblCellMar>
            <w:top w:w="0" w:type="dxa"/>
            <w:left w:w="108" w:type="dxa"/>
            <w:bottom w:w="0" w:type="dxa"/>
            <w:right w:w="108" w:type="dxa"/>
          </w:tblCellMar>
        </w:tblPrEx>
        <w:trPr>
          <w:trHeight w:val="675" w:hRule="atLeast"/>
        </w:trPr>
        <w:tc>
          <w:tcPr>
            <w:tcW w:w="959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Style w:val="263"/>
                <w:rFonts w:hint="default"/>
                <w:lang w:bidi="ar"/>
              </w:rPr>
              <w:t>失误失责</w:t>
            </w:r>
            <w:r>
              <w:rPr>
                <w:rStyle w:val="143"/>
                <w:rFonts w:hint="default"/>
                <w:lang w:bidi="ar"/>
              </w:rPr>
              <w:t>：在保安警戒范围内，发生因保安失职造成学院被盗、火灾或重大突发事件发生，造成学院重大损失的，得0分；一般损失，每次扣5分；轻微损失，每次扣3分；未造成损失的扣1分。</w:t>
            </w:r>
          </w:p>
        </w:tc>
      </w:tr>
      <w:tr>
        <w:tblPrEx>
          <w:tblCellMar>
            <w:top w:w="0" w:type="dxa"/>
            <w:left w:w="108" w:type="dxa"/>
            <w:bottom w:w="0" w:type="dxa"/>
            <w:right w:w="108" w:type="dxa"/>
          </w:tblCellMar>
        </w:tblPrEx>
        <w:trPr>
          <w:trHeight w:val="615" w:hRule="atLeast"/>
        </w:trPr>
        <w:tc>
          <w:tcPr>
            <w:tcW w:w="1451" w:type="dxa"/>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说明：</w:t>
            </w:r>
          </w:p>
        </w:tc>
        <w:tc>
          <w:tcPr>
            <w:tcW w:w="8146"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1、评分细则中，学院特指浙江工商大学杭州商学院，保卫处特指浙江工商大学杭州商学院保卫处。</w:t>
            </w:r>
          </w:p>
        </w:tc>
      </w:tr>
      <w:tr>
        <w:tblPrEx>
          <w:tblCellMar>
            <w:top w:w="0" w:type="dxa"/>
            <w:left w:w="108" w:type="dxa"/>
            <w:bottom w:w="0" w:type="dxa"/>
            <w:right w:w="108" w:type="dxa"/>
          </w:tblCellMar>
        </w:tblPrEx>
        <w:trPr>
          <w:trHeight w:val="1245" w:hRule="atLeast"/>
        </w:trPr>
        <w:tc>
          <w:tcPr>
            <w:tcW w:w="1451"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8146"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细则中损失界定，重大损失：经济损失人民币5万元（含）以上、4人（含）以上受轻伤、1人（含）以上受重伤或死亡，达到一条或多条；一般损失：1人至3人受轻伤，人民币5000元至50000元经济损失，达到一条或多条；轻微损失：有人受伤、有5000元以下人民币损失，达到一条或多条。</w:t>
            </w:r>
          </w:p>
        </w:tc>
      </w:tr>
      <w:tr>
        <w:tblPrEx>
          <w:tblCellMar>
            <w:top w:w="0" w:type="dxa"/>
            <w:left w:w="108" w:type="dxa"/>
            <w:bottom w:w="0" w:type="dxa"/>
            <w:right w:w="108" w:type="dxa"/>
          </w:tblCellMar>
        </w:tblPrEx>
        <w:trPr>
          <w:trHeight w:val="540" w:hRule="atLeast"/>
        </w:trPr>
        <w:tc>
          <w:tcPr>
            <w:tcW w:w="1451"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8146"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3、每个项目最高扣分为该项的满分值，不出现负分。同一事件只在一个项目中扣分，符合在二个及以上项目中扣分时，原则上取最高扣分项。</w:t>
            </w:r>
          </w:p>
        </w:tc>
      </w:tr>
      <w:tr>
        <w:tblPrEx>
          <w:tblCellMar>
            <w:top w:w="0" w:type="dxa"/>
            <w:left w:w="108" w:type="dxa"/>
            <w:bottom w:w="0" w:type="dxa"/>
            <w:right w:w="108" w:type="dxa"/>
          </w:tblCellMar>
        </w:tblPrEx>
        <w:trPr>
          <w:trHeight w:val="630" w:hRule="atLeast"/>
        </w:trPr>
        <w:tc>
          <w:tcPr>
            <w:tcW w:w="1451"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8146"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4、最终评分，以学院保卫处总体评价结果为准，保安公司对评分有疑议的项目，可出具书面疑议函，双方本着实事求是的精神按实评分。</w:t>
            </w:r>
          </w:p>
        </w:tc>
      </w:tr>
      <w:tr>
        <w:tblPrEx>
          <w:tblCellMar>
            <w:top w:w="0" w:type="dxa"/>
            <w:left w:w="108" w:type="dxa"/>
            <w:bottom w:w="0" w:type="dxa"/>
            <w:right w:w="108" w:type="dxa"/>
          </w:tblCellMar>
        </w:tblPrEx>
        <w:trPr>
          <w:trHeight w:val="645" w:hRule="atLeast"/>
        </w:trPr>
        <w:tc>
          <w:tcPr>
            <w:tcW w:w="1451"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8146"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5、在学院、保安公司双方签订的《保安服务协议书》中规定的权利、义务和违约责任规定条款范围内，根据《保安服务协议书》执行。</w:t>
            </w:r>
          </w:p>
        </w:tc>
      </w:tr>
      <w:tr>
        <w:tblPrEx>
          <w:tblCellMar>
            <w:top w:w="0" w:type="dxa"/>
            <w:left w:w="108" w:type="dxa"/>
            <w:bottom w:w="0" w:type="dxa"/>
            <w:right w:w="108" w:type="dxa"/>
          </w:tblCellMar>
        </w:tblPrEx>
        <w:trPr>
          <w:trHeight w:val="870" w:hRule="atLeast"/>
        </w:trPr>
        <w:tc>
          <w:tcPr>
            <w:tcW w:w="1451"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8146"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6、在执行上一条的基础上，保卫处评定的总体评价分在80（含 ）以上为合格，支付全额服务费用；低于80分，每低一分扣应付服务费的1%，70分以下为不合格，三个月不合格学院有权重新启动招标程序。</w:t>
            </w:r>
          </w:p>
        </w:tc>
      </w:tr>
    </w:tbl>
    <w:p>
      <w:pPr>
        <w:pStyle w:val="58"/>
        <w:shd w:val="clear" w:color="auto" w:fill="FFFFFF"/>
        <w:adjustRightInd/>
        <w:spacing w:line="360" w:lineRule="auto"/>
        <w:ind w:firstLine="448"/>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6" w:name="_Toc184308100"/>
      <w:bookmarkEnd w:id="26"/>
      <w:bookmarkStart w:id="27" w:name="_Toc184310284"/>
      <w:bookmarkEnd w:id="27"/>
      <w:bookmarkStart w:id="28" w:name="_Toc184310306"/>
      <w:bookmarkEnd w:id="28"/>
      <w:bookmarkStart w:id="29" w:name="_Toc184308085"/>
      <w:bookmarkEnd w:id="29"/>
      <w:bookmarkStart w:id="30" w:name="_Toc184308084"/>
      <w:bookmarkEnd w:id="30"/>
      <w:bookmarkStart w:id="31" w:name="_Toc184313295"/>
      <w:bookmarkEnd w:id="31"/>
      <w:bookmarkStart w:id="32" w:name="_Toc184312138"/>
      <w:bookmarkEnd w:id="32"/>
      <w:bookmarkStart w:id="33" w:name="_Toc184313262"/>
      <w:bookmarkEnd w:id="33"/>
      <w:bookmarkStart w:id="34" w:name="_Toc184310299"/>
      <w:bookmarkEnd w:id="34"/>
      <w:bookmarkStart w:id="35" w:name="_Toc184310314"/>
      <w:bookmarkEnd w:id="35"/>
      <w:bookmarkStart w:id="36" w:name="_Toc184312114"/>
      <w:bookmarkEnd w:id="36"/>
      <w:bookmarkStart w:id="37" w:name="_Toc184310318"/>
      <w:bookmarkEnd w:id="37"/>
      <w:bookmarkStart w:id="38" w:name="_Toc184312093"/>
      <w:bookmarkEnd w:id="38"/>
      <w:bookmarkStart w:id="39" w:name="_Toc184312081"/>
      <w:bookmarkEnd w:id="39"/>
      <w:bookmarkStart w:id="40" w:name="_Toc184312075"/>
      <w:bookmarkEnd w:id="40"/>
      <w:bookmarkStart w:id="41" w:name="_Toc184314473"/>
      <w:bookmarkEnd w:id="41"/>
      <w:bookmarkStart w:id="42" w:name="_Toc184313260"/>
      <w:bookmarkEnd w:id="42"/>
      <w:bookmarkStart w:id="43" w:name="_Toc184310323"/>
      <w:bookmarkEnd w:id="43"/>
      <w:bookmarkStart w:id="44" w:name="_Toc184312087"/>
      <w:bookmarkEnd w:id="44"/>
      <w:bookmarkStart w:id="45" w:name="_Toc184308072"/>
      <w:bookmarkEnd w:id="45"/>
      <w:bookmarkStart w:id="46" w:name="_Toc184312130"/>
      <w:bookmarkEnd w:id="46"/>
      <w:bookmarkStart w:id="47" w:name="_Toc184314482"/>
      <w:bookmarkEnd w:id="47"/>
      <w:bookmarkStart w:id="48" w:name="_Toc184314479"/>
      <w:bookmarkEnd w:id="48"/>
      <w:bookmarkStart w:id="49" w:name="_Toc184314450"/>
      <w:bookmarkEnd w:id="49"/>
      <w:bookmarkStart w:id="50" w:name="_Toc184312071"/>
      <w:bookmarkEnd w:id="50"/>
      <w:bookmarkStart w:id="51" w:name="_Toc184314428"/>
      <w:bookmarkEnd w:id="51"/>
      <w:bookmarkStart w:id="52" w:name="_Toc184312102"/>
      <w:bookmarkEnd w:id="52"/>
      <w:bookmarkStart w:id="53" w:name="_Toc184314465"/>
      <w:bookmarkEnd w:id="53"/>
      <w:bookmarkStart w:id="54" w:name="_Toc184308096"/>
      <w:bookmarkEnd w:id="54"/>
      <w:bookmarkStart w:id="55" w:name="_Toc184310309"/>
      <w:bookmarkEnd w:id="55"/>
      <w:bookmarkStart w:id="56" w:name="_Toc184312127"/>
      <w:bookmarkEnd w:id="56"/>
      <w:bookmarkStart w:id="57" w:name="_Toc184308107"/>
      <w:bookmarkEnd w:id="57"/>
      <w:bookmarkStart w:id="58" w:name="_Toc184314478"/>
      <w:bookmarkEnd w:id="58"/>
      <w:bookmarkStart w:id="59" w:name="_Toc184308073"/>
      <w:bookmarkEnd w:id="59"/>
      <w:bookmarkStart w:id="60" w:name="_Toc184310289"/>
      <w:bookmarkEnd w:id="60"/>
      <w:bookmarkStart w:id="61" w:name="_Toc184313241"/>
      <w:bookmarkEnd w:id="61"/>
      <w:bookmarkStart w:id="62" w:name="_Toc184313265"/>
      <w:bookmarkEnd w:id="62"/>
      <w:bookmarkStart w:id="63" w:name="_Toc184308105"/>
      <w:bookmarkEnd w:id="63"/>
      <w:bookmarkStart w:id="64" w:name="_Toc184313243"/>
      <w:bookmarkEnd w:id="64"/>
      <w:bookmarkStart w:id="65" w:name="_Toc184310277"/>
      <w:bookmarkEnd w:id="65"/>
      <w:bookmarkStart w:id="66" w:name="_Toc184314477"/>
      <w:bookmarkEnd w:id="66"/>
      <w:bookmarkStart w:id="67" w:name="_Toc184312078"/>
      <w:bookmarkEnd w:id="67"/>
      <w:bookmarkStart w:id="68" w:name="_Toc184313239"/>
      <w:bookmarkEnd w:id="68"/>
      <w:bookmarkStart w:id="69" w:name="_Toc184314447"/>
      <w:bookmarkEnd w:id="69"/>
      <w:bookmarkStart w:id="70" w:name="_Toc184314432"/>
      <w:bookmarkEnd w:id="70"/>
      <w:bookmarkStart w:id="71" w:name="_Toc184314460"/>
      <w:bookmarkEnd w:id="71"/>
      <w:bookmarkStart w:id="72" w:name="_Toc184314418"/>
      <w:bookmarkEnd w:id="72"/>
      <w:bookmarkStart w:id="73" w:name="_Toc184314415"/>
      <w:bookmarkEnd w:id="73"/>
      <w:bookmarkStart w:id="74" w:name="_Toc184312067"/>
      <w:bookmarkEnd w:id="74"/>
      <w:bookmarkStart w:id="75" w:name="_Toc184308074"/>
      <w:bookmarkEnd w:id="75"/>
      <w:bookmarkStart w:id="76" w:name="_Toc184313279"/>
      <w:bookmarkEnd w:id="76"/>
      <w:bookmarkStart w:id="77" w:name="_Toc184313282"/>
      <w:bookmarkEnd w:id="77"/>
      <w:bookmarkStart w:id="78" w:name="_Toc184313278"/>
      <w:bookmarkEnd w:id="78"/>
      <w:bookmarkStart w:id="79" w:name="_Toc184312104"/>
      <w:bookmarkEnd w:id="79"/>
      <w:bookmarkStart w:id="80" w:name="_Toc184314481"/>
      <w:bookmarkEnd w:id="80"/>
      <w:bookmarkStart w:id="81" w:name="_Toc184308036"/>
      <w:bookmarkEnd w:id="81"/>
      <w:bookmarkStart w:id="82" w:name="_Toc184308088"/>
      <w:bookmarkEnd w:id="82"/>
      <w:bookmarkStart w:id="83" w:name="_Toc184314452"/>
      <w:bookmarkEnd w:id="83"/>
      <w:bookmarkStart w:id="84" w:name="_Toc184313248"/>
      <w:bookmarkEnd w:id="84"/>
      <w:bookmarkStart w:id="85" w:name="_Toc184314411"/>
      <w:bookmarkEnd w:id="85"/>
      <w:bookmarkStart w:id="86" w:name="_Toc184314461"/>
      <w:bookmarkEnd w:id="86"/>
      <w:bookmarkStart w:id="87" w:name="_Toc184308092"/>
      <w:bookmarkEnd w:id="87"/>
      <w:bookmarkStart w:id="88" w:name="_Toc184310310"/>
      <w:bookmarkEnd w:id="88"/>
      <w:bookmarkStart w:id="89" w:name="_Toc184313290"/>
      <w:bookmarkEnd w:id="89"/>
      <w:bookmarkStart w:id="90" w:name="_Toc184312122"/>
      <w:bookmarkEnd w:id="90"/>
      <w:bookmarkStart w:id="91" w:name="_Toc184312132"/>
      <w:bookmarkEnd w:id="91"/>
      <w:bookmarkStart w:id="92" w:name="_Toc184312099"/>
      <w:bookmarkEnd w:id="92"/>
      <w:bookmarkStart w:id="93" w:name="_Toc184310280"/>
      <w:bookmarkEnd w:id="93"/>
      <w:bookmarkStart w:id="94" w:name="_Toc184314462"/>
      <w:bookmarkEnd w:id="94"/>
      <w:bookmarkStart w:id="95" w:name="_Toc184308040"/>
      <w:bookmarkEnd w:id="95"/>
      <w:bookmarkStart w:id="96" w:name="_Toc184312137"/>
      <w:bookmarkEnd w:id="96"/>
      <w:bookmarkStart w:id="97" w:name="_Toc184314459"/>
      <w:bookmarkEnd w:id="97"/>
      <w:bookmarkStart w:id="98" w:name="_Toc184312100"/>
      <w:bookmarkEnd w:id="98"/>
      <w:bookmarkStart w:id="99" w:name="_Toc184312083"/>
      <w:bookmarkEnd w:id="99"/>
      <w:bookmarkStart w:id="100" w:name="_Toc184310339"/>
      <w:bookmarkEnd w:id="100"/>
      <w:bookmarkStart w:id="101" w:name="_Toc184312112"/>
      <w:bookmarkEnd w:id="101"/>
      <w:bookmarkStart w:id="102" w:name="_Toc184312117"/>
      <w:bookmarkEnd w:id="102"/>
      <w:bookmarkStart w:id="103" w:name="_Toc184313244"/>
      <w:bookmarkEnd w:id="103"/>
      <w:bookmarkStart w:id="104" w:name="_Toc184308087"/>
      <w:bookmarkEnd w:id="104"/>
      <w:bookmarkStart w:id="105" w:name="_Toc184312101"/>
      <w:bookmarkEnd w:id="105"/>
      <w:bookmarkStart w:id="106" w:name="_Toc184313303"/>
      <w:bookmarkEnd w:id="106"/>
      <w:bookmarkStart w:id="107" w:name="_Toc184314443"/>
      <w:bookmarkEnd w:id="107"/>
      <w:bookmarkStart w:id="108" w:name="_Toc184308045"/>
      <w:bookmarkEnd w:id="108"/>
      <w:bookmarkStart w:id="109" w:name="_Toc184312077"/>
      <w:bookmarkEnd w:id="109"/>
      <w:bookmarkStart w:id="110" w:name="_Toc184310341"/>
      <w:bookmarkEnd w:id="110"/>
      <w:bookmarkStart w:id="111" w:name="_Toc184312131"/>
      <w:bookmarkEnd w:id="111"/>
      <w:bookmarkStart w:id="112" w:name="_Toc184314471"/>
      <w:bookmarkEnd w:id="112"/>
      <w:bookmarkStart w:id="113" w:name="_Toc184313296"/>
      <w:bookmarkEnd w:id="113"/>
      <w:bookmarkStart w:id="114" w:name="_Toc184308064"/>
      <w:bookmarkEnd w:id="114"/>
      <w:bookmarkStart w:id="115" w:name="_Toc184310272"/>
      <w:bookmarkEnd w:id="115"/>
      <w:bookmarkStart w:id="116" w:name="_Toc184310302"/>
      <w:bookmarkEnd w:id="116"/>
      <w:bookmarkStart w:id="117" w:name="_Toc184310336"/>
      <w:bookmarkEnd w:id="117"/>
      <w:bookmarkStart w:id="118" w:name="_Toc184310288"/>
      <w:bookmarkEnd w:id="118"/>
      <w:bookmarkStart w:id="119" w:name="_Toc184312091"/>
      <w:bookmarkEnd w:id="119"/>
      <w:bookmarkStart w:id="120" w:name="_Toc184314469"/>
      <w:bookmarkEnd w:id="120"/>
      <w:bookmarkStart w:id="121" w:name="_Toc184312068"/>
      <w:bookmarkEnd w:id="121"/>
      <w:bookmarkStart w:id="122" w:name="_Toc184310332"/>
      <w:bookmarkEnd w:id="122"/>
      <w:bookmarkStart w:id="123" w:name="_Toc184312085"/>
      <w:bookmarkEnd w:id="123"/>
      <w:bookmarkStart w:id="124" w:name="_Toc184313271"/>
      <w:bookmarkEnd w:id="124"/>
      <w:bookmarkStart w:id="125" w:name="_Toc184313275"/>
      <w:bookmarkEnd w:id="125"/>
      <w:bookmarkStart w:id="126" w:name="_Toc184314430"/>
      <w:bookmarkEnd w:id="126"/>
      <w:bookmarkStart w:id="127" w:name="_Toc184310334"/>
      <w:bookmarkEnd w:id="127"/>
      <w:bookmarkStart w:id="128" w:name="_Toc184313309"/>
      <w:bookmarkEnd w:id="128"/>
      <w:bookmarkStart w:id="129" w:name="_Toc184310326"/>
      <w:bookmarkEnd w:id="129"/>
      <w:bookmarkStart w:id="130" w:name="_Toc184310295"/>
      <w:bookmarkEnd w:id="130"/>
      <w:bookmarkStart w:id="131" w:name="_Toc184308069"/>
      <w:bookmarkEnd w:id="131"/>
      <w:bookmarkStart w:id="132" w:name="_Toc184310322"/>
      <w:bookmarkEnd w:id="132"/>
      <w:bookmarkStart w:id="133" w:name="_Toc184310300"/>
      <w:bookmarkEnd w:id="133"/>
      <w:bookmarkStart w:id="134" w:name="_Toc184313263"/>
      <w:bookmarkEnd w:id="134"/>
      <w:bookmarkStart w:id="135" w:name="_Toc184308063"/>
      <w:bookmarkEnd w:id="135"/>
      <w:bookmarkStart w:id="136" w:name="_Toc184314470"/>
      <w:bookmarkEnd w:id="136"/>
      <w:bookmarkStart w:id="137" w:name="_Toc184312125"/>
      <w:bookmarkEnd w:id="137"/>
      <w:bookmarkStart w:id="138" w:name="_Toc184310292"/>
      <w:bookmarkEnd w:id="138"/>
      <w:bookmarkStart w:id="139" w:name="_Toc184310307"/>
      <w:bookmarkEnd w:id="139"/>
      <w:bookmarkStart w:id="140" w:name="_Toc184313292"/>
      <w:bookmarkEnd w:id="140"/>
      <w:bookmarkStart w:id="141" w:name="_Toc184312084"/>
      <w:bookmarkEnd w:id="141"/>
      <w:bookmarkStart w:id="142" w:name="_Toc184312090"/>
      <w:bookmarkEnd w:id="142"/>
      <w:bookmarkStart w:id="143" w:name="_Toc184308056"/>
      <w:bookmarkEnd w:id="143"/>
      <w:bookmarkStart w:id="144" w:name="_Toc184314435"/>
      <w:bookmarkEnd w:id="144"/>
      <w:bookmarkStart w:id="145" w:name="_Toc184310333"/>
      <w:bookmarkEnd w:id="145"/>
      <w:bookmarkStart w:id="146" w:name="_Toc184313286"/>
      <w:bookmarkEnd w:id="146"/>
      <w:bookmarkStart w:id="147" w:name="_Toc184312115"/>
      <w:bookmarkEnd w:id="147"/>
      <w:bookmarkStart w:id="148" w:name="_Toc184312110"/>
      <w:bookmarkEnd w:id="148"/>
      <w:bookmarkStart w:id="149" w:name="_Toc184314444"/>
      <w:bookmarkEnd w:id="149"/>
      <w:bookmarkStart w:id="150" w:name="_Toc184313268"/>
      <w:bookmarkEnd w:id="150"/>
      <w:bookmarkStart w:id="151" w:name="_Toc184310304"/>
      <w:bookmarkEnd w:id="151"/>
      <w:bookmarkStart w:id="152" w:name="_Toc184312105"/>
      <w:bookmarkEnd w:id="152"/>
      <w:bookmarkStart w:id="153" w:name="_Toc184313250"/>
      <w:bookmarkEnd w:id="153"/>
      <w:bookmarkStart w:id="154" w:name="_Toc184312107"/>
      <w:bookmarkEnd w:id="154"/>
      <w:bookmarkStart w:id="155" w:name="_Toc184314468"/>
      <w:bookmarkEnd w:id="155"/>
      <w:bookmarkStart w:id="156" w:name="_Toc184312109"/>
      <w:bookmarkEnd w:id="156"/>
      <w:bookmarkStart w:id="157" w:name="_Toc184313299"/>
      <w:bookmarkEnd w:id="157"/>
      <w:bookmarkStart w:id="158" w:name="_Toc184310278"/>
      <w:bookmarkEnd w:id="158"/>
      <w:bookmarkStart w:id="159" w:name="_Toc184313305"/>
      <w:bookmarkEnd w:id="159"/>
      <w:bookmarkStart w:id="160" w:name="_Toc184310325"/>
      <w:bookmarkEnd w:id="160"/>
      <w:bookmarkStart w:id="161" w:name="_Toc184308095"/>
      <w:bookmarkEnd w:id="161"/>
      <w:bookmarkStart w:id="162" w:name="_Toc184313252"/>
      <w:bookmarkEnd w:id="162"/>
      <w:bookmarkStart w:id="163" w:name="_Toc184312080"/>
      <w:bookmarkEnd w:id="163"/>
      <w:bookmarkStart w:id="164" w:name="_Toc184310337"/>
      <w:bookmarkEnd w:id="164"/>
      <w:bookmarkStart w:id="165" w:name="_Toc184308058"/>
      <w:bookmarkEnd w:id="165"/>
      <w:bookmarkStart w:id="166" w:name="_Toc184308099"/>
      <w:bookmarkEnd w:id="166"/>
      <w:bookmarkStart w:id="167" w:name="_Toc184310343"/>
      <w:bookmarkEnd w:id="167"/>
      <w:bookmarkStart w:id="168" w:name="_Toc184312134"/>
      <w:bookmarkEnd w:id="168"/>
      <w:bookmarkStart w:id="169" w:name="_Toc184310276"/>
      <w:bookmarkEnd w:id="169"/>
      <w:bookmarkStart w:id="170" w:name="_Toc184313246"/>
      <w:bookmarkEnd w:id="170"/>
      <w:bookmarkStart w:id="171" w:name="_Toc184308062"/>
      <w:bookmarkEnd w:id="171"/>
      <w:bookmarkStart w:id="172" w:name="_Toc184308055"/>
      <w:bookmarkEnd w:id="172"/>
      <w:bookmarkStart w:id="173" w:name="_Toc184313245"/>
      <w:bookmarkEnd w:id="173"/>
      <w:bookmarkStart w:id="174" w:name="_Toc184314425"/>
      <w:bookmarkEnd w:id="174"/>
      <w:bookmarkStart w:id="175" w:name="_Toc184312070"/>
      <w:bookmarkEnd w:id="175"/>
      <w:bookmarkStart w:id="176" w:name="_Toc184314457"/>
      <w:bookmarkEnd w:id="176"/>
      <w:bookmarkStart w:id="177" w:name="_Toc184313298"/>
      <w:bookmarkEnd w:id="177"/>
      <w:bookmarkStart w:id="178" w:name="_Toc184308070"/>
      <w:bookmarkEnd w:id="178"/>
      <w:bookmarkStart w:id="179" w:name="_Toc184310282"/>
      <w:bookmarkEnd w:id="179"/>
      <w:bookmarkStart w:id="180" w:name="_Toc184314442"/>
      <w:bookmarkEnd w:id="180"/>
      <w:bookmarkStart w:id="181" w:name="_Toc184313283"/>
      <w:bookmarkEnd w:id="181"/>
      <w:bookmarkStart w:id="182" w:name="_Toc184310317"/>
      <w:bookmarkEnd w:id="182"/>
      <w:bookmarkStart w:id="183" w:name="_Toc184308061"/>
      <w:bookmarkEnd w:id="183"/>
      <w:bookmarkStart w:id="184" w:name="_Toc184310330"/>
      <w:bookmarkEnd w:id="184"/>
      <w:bookmarkStart w:id="185" w:name="_Toc184308071"/>
      <w:bookmarkEnd w:id="185"/>
      <w:bookmarkStart w:id="186" w:name="_Toc184313284"/>
      <w:bookmarkEnd w:id="186"/>
      <w:bookmarkStart w:id="187" w:name="_Toc184310324"/>
      <w:bookmarkEnd w:id="187"/>
      <w:bookmarkStart w:id="188" w:name="_Toc184314438"/>
      <w:bookmarkEnd w:id="188"/>
      <w:bookmarkStart w:id="189" w:name="_Toc184308093"/>
      <w:bookmarkEnd w:id="189"/>
      <w:bookmarkStart w:id="190" w:name="_Toc184308059"/>
      <w:bookmarkEnd w:id="190"/>
      <w:bookmarkStart w:id="191" w:name="_Toc184314472"/>
      <w:bookmarkEnd w:id="191"/>
      <w:bookmarkStart w:id="192" w:name="_Toc184308037"/>
      <w:bookmarkEnd w:id="192"/>
      <w:bookmarkStart w:id="193" w:name="_Toc184308057"/>
      <w:bookmarkEnd w:id="193"/>
      <w:bookmarkStart w:id="194" w:name="_Toc184310296"/>
      <w:bookmarkEnd w:id="194"/>
      <w:bookmarkStart w:id="195" w:name="_Toc184314429"/>
      <w:bookmarkEnd w:id="195"/>
      <w:bookmarkStart w:id="196" w:name="_Toc184308041"/>
      <w:bookmarkEnd w:id="196"/>
      <w:bookmarkStart w:id="197" w:name="_Toc184312069"/>
      <w:bookmarkEnd w:id="197"/>
      <w:bookmarkStart w:id="198" w:name="_Toc184313287"/>
      <w:bookmarkEnd w:id="198"/>
      <w:bookmarkStart w:id="199" w:name="_Toc184308048"/>
      <w:bookmarkEnd w:id="199"/>
      <w:bookmarkStart w:id="200" w:name="_Toc184313267"/>
      <w:bookmarkEnd w:id="200"/>
      <w:bookmarkStart w:id="201" w:name="_Toc184308083"/>
      <w:bookmarkEnd w:id="201"/>
      <w:bookmarkStart w:id="202" w:name="_Toc184308038"/>
      <w:bookmarkEnd w:id="202"/>
      <w:bookmarkStart w:id="203" w:name="_Toc184313253"/>
      <w:bookmarkEnd w:id="203"/>
      <w:bookmarkStart w:id="204" w:name="_Toc184313291"/>
      <w:bookmarkEnd w:id="204"/>
      <w:bookmarkStart w:id="205" w:name="_Toc184314448"/>
      <w:bookmarkEnd w:id="205"/>
      <w:bookmarkStart w:id="206" w:name="_Toc184308101"/>
      <w:bookmarkEnd w:id="206"/>
      <w:bookmarkStart w:id="207" w:name="_Toc184313255"/>
      <w:bookmarkEnd w:id="207"/>
      <w:bookmarkStart w:id="208" w:name="_Toc184312126"/>
      <w:bookmarkEnd w:id="208"/>
      <w:bookmarkStart w:id="209" w:name="_Toc184313251"/>
      <w:bookmarkEnd w:id="209"/>
      <w:bookmarkStart w:id="210" w:name="_Toc184313276"/>
      <w:bookmarkEnd w:id="210"/>
      <w:bookmarkStart w:id="211" w:name="_Toc184308047"/>
      <w:bookmarkEnd w:id="211"/>
      <w:bookmarkStart w:id="212" w:name="_Toc184310287"/>
      <w:bookmarkEnd w:id="212"/>
      <w:bookmarkStart w:id="213" w:name="_Toc184308097"/>
      <w:bookmarkEnd w:id="213"/>
      <w:bookmarkStart w:id="214" w:name="_Toc184310290"/>
      <w:bookmarkEnd w:id="214"/>
      <w:bookmarkStart w:id="215" w:name="_Toc184313302"/>
      <w:bookmarkEnd w:id="215"/>
      <w:bookmarkStart w:id="216" w:name="_Toc184312111"/>
      <w:bookmarkEnd w:id="216"/>
      <w:bookmarkStart w:id="217" w:name="_Toc184312120"/>
      <w:bookmarkEnd w:id="217"/>
      <w:bookmarkStart w:id="218" w:name="_Toc184314456"/>
      <w:bookmarkEnd w:id="218"/>
      <w:bookmarkStart w:id="219" w:name="_Toc184312098"/>
      <w:bookmarkEnd w:id="219"/>
      <w:bookmarkStart w:id="220" w:name="_Toc184310281"/>
      <w:bookmarkEnd w:id="220"/>
      <w:bookmarkStart w:id="221" w:name="_Toc184314426"/>
      <w:bookmarkEnd w:id="221"/>
      <w:bookmarkStart w:id="222" w:name="_Toc184313257"/>
      <w:bookmarkEnd w:id="222"/>
      <w:bookmarkStart w:id="223" w:name="_Toc184313240"/>
      <w:bookmarkEnd w:id="223"/>
      <w:bookmarkStart w:id="224" w:name="_Toc184314464"/>
      <w:bookmarkEnd w:id="224"/>
      <w:bookmarkStart w:id="225" w:name="_Toc184314422"/>
      <w:bookmarkEnd w:id="225"/>
      <w:bookmarkStart w:id="226" w:name="_Toc184314474"/>
      <w:bookmarkEnd w:id="226"/>
      <w:bookmarkStart w:id="227" w:name="_Toc184312088"/>
      <w:bookmarkEnd w:id="227"/>
      <w:bookmarkStart w:id="228" w:name="_Toc184312123"/>
      <w:bookmarkEnd w:id="228"/>
      <w:bookmarkStart w:id="229" w:name="_Toc184313270"/>
      <w:bookmarkEnd w:id="229"/>
      <w:bookmarkStart w:id="230" w:name="_Toc184308082"/>
      <w:bookmarkEnd w:id="230"/>
      <w:bookmarkStart w:id="231" w:name="_Toc184308060"/>
      <w:bookmarkEnd w:id="231"/>
      <w:bookmarkStart w:id="232" w:name="_Toc184312076"/>
      <w:bookmarkEnd w:id="232"/>
      <w:bookmarkStart w:id="233" w:name="_Toc184314455"/>
      <w:bookmarkEnd w:id="233"/>
      <w:bookmarkStart w:id="234" w:name="_Toc184313285"/>
      <w:bookmarkEnd w:id="234"/>
      <w:bookmarkStart w:id="235" w:name="_Toc184313306"/>
      <w:bookmarkEnd w:id="235"/>
      <w:bookmarkStart w:id="236" w:name="_Toc184313269"/>
      <w:bookmarkEnd w:id="236"/>
      <w:bookmarkStart w:id="237" w:name="_Toc184314417"/>
      <w:bookmarkEnd w:id="237"/>
      <w:bookmarkStart w:id="238" w:name="_Toc184314413"/>
      <w:bookmarkEnd w:id="238"/>
      <w:bookmarkStart w:id="239" w:name="_Toc184313297"/>
      <w:bookmarkEnd w:id="239"/>
      <w:bookmarkStart w:id="240" w:name="_Toc184314424"/>
      <w:bookmarkEnd w:id="240"/>
      <w:bookmarkStart w:id="241" w:name="_Toc184313280"/>
      <w:bookmarkEnd w:id="241"/>
      <w:bookmarkStart w:id="242" w:name="_Toc184314419"/>
      <w:bookmarkEnd w:id="242"/>
      <w:bookmarkStart w:id="243" w:name="_Toc184313249"/>
      <w:bookmarkEnd w:id="243"/>
      <w:bookmarkStart w:id="244" w:name="_Toc184313242"/>
      <w:bookmarkEnd w:id="244"/>
      <w:bookmarkStart w:id="245" w:name="_Toc184308081"/>
      <w:bookmarkEnd w:id="245"/>
      <w:bookmarkStart w:id="246" w:name="_Toc184310340"/>
      <w:bookmarkEnd w:id="246"/>
      <w:bookmarkStart w:id="247" w:name="_Toc184314434"/>
      <w:bookmarkEnd w:id="247"/>
      <w:bookmarkStart w:id="248" w:name="_Toc184310313"/>
      <w:bookmarkEnd w:id="248"/>
      <w:bookmarkStart w:id="249" w:name="_Toc184308053"/>
      <w:bookmarkEnd w:id="249"/>
      <w:bookmarkStart w:id="250" w:name="_Toc184310275"/>
      <w:bookmarkEnd w:id="250"/>
      <w:bookmarkStart w:id="251" w:name="_Toc184314453"/>
      <w:bookmarkEnd w:id="251"/>
      <w:bookmarkStart w:id="252" w:name="_Toc184308043"/>
      <w:bookmarkEnd w:id="252"/>
      <w:bookmarkStart w:id="253" w:name="_Toc184308054"/>
      <w:bookmarkEnd w:id="253"/>
      <w:bookmarkStart w:id="254" w:name="_Toc184308068"/>
      <w:bookmarkEnd w:id="254"/>
      <w:bookmarkStart w:id="255" w:name="_Toc184313288"/>
      <w:bookmarkEnd w:id="255"/>
      <w:bookmarkStart w:id="256" w:name="_Toc184308065"/>
      <w:bookmarkEnd w:id="256"/>
      <w:bookmarkStart w:id="257" w:name="_Toc184308102"/>
      <w:bookmarkEnd w:id="257"/>
      <w:bookmarkStart w:id="258" w:name="_Toc184310329"/>
      <w:bookmarkEnd w:id="258"/>
      <w:bookmarkStart w:id="259" w:name="_Toc184314436"/>
      <w:bookmarkEnd w:id="259"/>
      <w:bookmarkStart w:id="260" w:name="_Toc184308078"/>
      <w:bookmarkEnd w:id="260"/>
      <w:bookmarkStart w:id="261" w:name="_Toc184308090"/>
      <w:bookmarkEnd w:id="261"/>
      <w:bookmarkStart w:id="262" w:name="_Toc184312072"/>
      <w:bookmarkEnd w:id="262"/>
      <w:bookmarkStart w:id="263" w:name="_Toc184310273"/>
      <w:bookmarkEnd w:id="263"/>
      <w:bookmarkStart w:id="264" w:name="_Toc184308098"/>
      <w:bookmarkEnd w:id="264"/>
      <w:bookmarkStart w:id="265" w:name="_Toc184312121"/>
      <w:bookmarkEnd w:id="265"/>
      <w:bookmarkStart w:id="266" w:name="_Toc184314466"/>
      <w:bookmarkEnd w:id="266"/>
      <w:bookmarkStart w:id="267" w:name="_Toc184314437"/>
      <w:bookmarkEnd w:id="267"/>
      <w:bookmarkStart w:id="268" w:name="_Toc184314427"/>
      <w:bookmarkEnd w:id="268"/>
      <w:bookmarkStart w:id="269" w:name="_Toc184314410"/>
      <w:bookmarkEnd w:id="269"/>
      <w:bookmarkStart w:id="270" w:name="_Toc184314446"/>
      <w:bookmarkEnd w:id="270"/>
      <w:bookmarkStart w:id="271" w:name="_Toc184310294"/>
      <w:bookmarkEnd w:id="271"/>
      <w:bookmarkStart w:id="272" w:name="_Toc184312128"/>
      <w:bookmarkEnd w:id="272"/>
      <w:bookmarkStart w:id="273" w:name="_Toc184313247"/>
      <w:bookmarkEnd w:id="273"/>
      <w:bookmarkStart w:id="274" w:name="_Toc184310338"/>
      <w:bookmarkEnd w:id="274"/>
      <w:bookmarkStart w:id="275" w:name="_Toc184310291"/>
      <w:bookmarkEnd w:id="275"/>
      <w:bookmarkStart w:id="276" w:name="_Toc184312108"/>
      <w:bookmarkEnd w:id="276"/>
      <w:bookmarkStart w:id="277" w:name="_Toc184312136"/>
      <w:bookmarkEnd w:id="277"/>
      <w:bookmarkStart w:id="278" w:name="_Toc184312094"/>
      <w:bookmarkEnd w:id="278"/>
      <w:bookmarkStart w:id="279" w:name="_Toc184313293"/>
      <w:bookmarkEnd w:id="279"/>
      <w:bookmarkStart w:id="280" w:name="_Toc184310321"/>
      <w:bookmarkEnd w:id="280"/>
      <w:bookmarkStart w:id="281" w:name="_Toc184312103"/>
      <w:bookmarkEnd w:id="281"/>
      <w:bookmarkStart w:id="282" w:name="_Toc184308046"/>
      <w:bookmarkEnd w:id="282"/>
      <w:bookmarkStart w:id="283" w:name="_Toc184310344"/>
      <w:bookmarkEnd w:id="283"/>
      <w:bookmarkStart w:id="284" w:name="_Toc184313310"/>
      <w:bookmarkEnd w:id="284"/>
      <w:bookmarkStart w:id="285" w:name="_Toc184312116"/>
      <w:bookmarkEnd w:id="285"/>
      <w:bookmarkStart w:id="286" w:name="_Toc184312096"/>
      <w:bookmarkEnd w:id="286"/>
      <w:bookmarkStart w:id="287" w:name="_Toc184308050"/>
      <w:bookmarkEnd w:id="287"/>
      <w:bookmarkStart w:id="288" w:name="_Toc184312118"/>
      <w:bookmarkEnd w:id="288"/>
      <w:bookmarkStart w:id="289" w:name="_Toc184308052"/>
      <w:bookmarkEnd w:id="289"/>
      <w:bookmarkStart w:id="290" w:name="_Toc184314451"/>
      <w:bookmarkEnd w:id="290"/>
      <w:bookmarkStart w:id="291" w:name="_Toc184310320"/>
      <w:bookmarkEnd w:id="291"/>
      <w:bookmarkStart w:id="292" w:name="_Toc184312113"/>
      <w:bookmarkEnd w:id="292"/>
      <w:bookmarkStart w:id="293" w:name="_Toc184314423"/>
      <w:bookmarkEnd w:id="293"/>
      <w:bookmarkStart w:id="294" w:name="_Toc184313273"/>
      <w:bookmarkEnd w:id="294"/>
      <w:bookmarkStart w:id="295" w:name="_Toc184313307"/>
      <w:bookmarkEnd w:id="295"/>
      <w:bookmarkStart w:id="296" w:name="_Toc184313238"/>
      <w:bookmarkEnd w:id="296"/>
      <w:bookmarkStart w:id="297" w:name="_Toc184314441"/>
      <w:bookmarkEnd w:id="297"/>
      <w:bookmarkStart w:id="298" w:name="_Toc184308077"/>
      <w:bookmarkEnd w:id="298"/>
      <w:bookmarkStart w:id="299" w:name="_Toc184310315"/>
      <w:bookmarkEnd w:id="299"/>
      <w:bookmarkStart w:id="300" w:name="_Toc184312119"/>
      <w:bookmarkEnd w:id="300"/>
      <w:bookmarkStart w:id="301" w:name="_Toc184310298"/>
      <w:bookmarkEnd w:id="301"/>
      <w:bookmarkStart w:id="302" w:name="_Toc184313258"/>
      <w:bookmarkEnd w:id="302"/>
      <w:bookmarkStart w:id="303" w:name="_Toc184310305"/>
      <w:bookmarkEnd w:id="303"/>
      <w:bookmarkStart w:id="304" w:name="_Toc184314421"/>
      <w:bookmarkEnd w:id="304"/>
      <w:bookmarkStart w:id="305" w:name="_Toc184314439"/>
      <w:bookmarkEnd w:id="305"/>
      <w:bookmarkStart w:id="306" w:name="_Toc184310308"/>
      <w:bookmarkEnd w:id="306"/>
      <w:bookmarkStart w:id="307" w:name="_Toc184314454"/>
      <w:bookmarkEnd w:id="307"/>
      <w:bookmarkStart w:id="308" w:name="_Toc184313277"/>
      <w:bookmarkEnd w:id="308"/>
      <w:bookmarkStart w:id="309" w:name="_Toc184310297"/>
      <w:bookmarkEnd w:id="309"/>
      <w:bookmarkStart w:id="310" w:name="_Toc184313281"/>
      <w:bookmarkEnd w:id="310"/>
      <w:bookmarkStart w:id="311" w:name="_Toc184312089"/>
      <w:bookmarkEnd w:id="311"/>
      <w:bookmarkStart w:id="312" w:name="_Toc184308104"/>
      <w:bookmarkEnd w:id="312"/>
      <w:bookmarkStart w:id="313" w:name="_Toc184308039"/>
      <w:bookmarkEnd w:id="313"/>
      <w:bookmarkStart w:id="314" w:name="_Toc184312133"/>
      <w:bookmarkEnd w:id="314"/>
      <w:bookmarkStart w:id="315" w:name="_Toc184313304"/>
      <w:bookmarkEnd w:id="315"/>
      <w:bookmarkStart w:id="316" w:name="_Toc184312129"/>
      <w:bookmarkEnd w:id="316"/>
      <w:bookmarkStart w:id="317" w:name="_Toc184313289"/>
      <w:bookmarkEnd w:id="317"/>
      <w:bookmarkStart w:id="318" w:name="_Toc184308103"/>
      <w:bookmarkEnd w:id="318"/>
      <w:bookmarkStart w:id="319" w:name="_Toc184314476"/>
      <w:bookmarkEnd w:id="319"/>
      <w:bookmarkStart w:id="320" w:name="_Toc184308051"/>
      <w:bookmarkEnd w:id="320"/>
      <w:bookmarkStart w:id="321" w:name="_Toc184314412"/>
      <w:bookmarkEnd w:id="321"/>
      <w:bookmarkStart w:id="322" w:name="_Toc184310327"/>
      <w:bookmarkEnd w:id="322"/>
      <w:bookmarkStart w:id="323" w:name="_Toc184308080"/>
      <w:bookmarkEnd w:id="323"/>
      <w:bookmarkStart w:id="324" w:name="_Toc184308044"/>
      <w:bookmarkEnd w:id="324"/>
      <w:bookmarkStart w:id="325" w:name="_Toc184312135"/>
      <w:bookmarkEnd w:id="325"/>
      <w:bookmarkStart w:id="326" w:name="_Toc184308076"/>
      <w:bookmarkEnd w:id="326"/>
      <w:bookmarkStart w:id="327" w:name="_Toc184310286"/>
      <w:bookmarkEnd w:id="327"/>
      <w:bookmarkStart w:id="328" w:name="_Toc184314431"/>
      <w:bookmarkEnd w:id="328"/>
      <w:bookmarkStart w:id="329" w:name="_Toc184314480"/>
      <w:bookmarkEnd w:id="329"/>
      <w:bookmarkStart w:id="330" w:name="_Toc184312092"/>
      <w:bookmarkEnd w:id="330"/>
      <w:bookmarkStart w:id="331" w:name="_Toc184308067"/>
      <w:bookmarkEnd w:id="331"/>
      <w:bookmarkStart w:id="332" w:name="_Toc184310274"/>
      <w:bookmarkEnd w:id="332"/>
      <w:bookmarkStart w:id="333" w:name="_Toc184314475"/>
      <w:bookmarkEnd w:id="333"/>
      <w:bookmarkStart w:id="334" w:name="_Toc184312139"/>
      <w:bookmarkEnd w:id="334"/>
      <w:bookmarkStart w:id="335" w:name="_Toc184310293"/>
      <w:bookmarkEnd w:id="335"/>
      <w:bookmarkStart w:id="336" w:name="_Toc184310285"/>
      <w:bookmarkEnd w:id="336"/>
      <w:bookmarkStart w:id="337" w:name="_Toc184312073"/>
      <w:bookmarkEnd w:id="337"/>
      <w:bookmarkStart w:id="338" w:name="_Toc184310303"/>
      <w:bookmarkEnd w:id="338"/>
      <w:bookmarkStart w:id="339" w:name="_Toc184310328"/>
      <w:bookmarkEnd w:id="339"/>
      <w:bookmarkStart w:id="340" w:name="_Toc184313300"/>
      <w:bookmarkEnd w:id="340"/>
      <w:bookmarkStart w:id="341" w:name="_Toc184308066"/>
      <w:bookmarkEnd w:id="341"/>
      <w:bookmarkStart w:id="342" w:name="_Toc184314458"/>
      <w:bookmarkEnd w:id="342"/>
      <w:bookmarkStart w:id="343" w:name="_Toc184314420"/>
      <w:bookmarkEnd w:id="343"/>
      <w:bookmarkStart w:id="344" w:name="_Toc184313272"/>
      <w:bookmarkEnd w:id="344"/>
      <w:bookmarkStart w:id="345" w:name="_Toc184314440"/>
      <w:bookmarkEnd w:id="345"/>
      <w:bookmarkStart w:id="346" w:name="_Toc184310319"/>
      <w:bookmarkEnd w:id="346"/>
      <w:bookmarkStart w:id="347" w:name="_Toc184312079"/>
      <w:bookmarkEnd w:id="347"/>
      <w:bookmarkStart w:id="348" w:name="_Toc184310311"/>
      <w:bookmarkEnd w:id="348"/>
      <w:bookmarkStart w:id="349" w:name="_Toc184312086"/>
      <w:bookmarkEnd w:id="349"/>
      <w:bookmarkStart w:id="350" w:name="_Toc184308106"/>
      <w:bookmarkEnd w:id="350"/>
      <w:bookmarkStart w:id="351" w:name="_Toc184314449"/>
      <w:bookmarkEnd w:id="351"/>
      <w:bookmarkStart w:id="352" w:name="_Toc184310316"/>
      <w:bookmarkEnd w:id="352"/>
      <w:bookmarkStart w:id="353" w:name="_Toc184308079"/>
      <w:bookmarkEnd w:id="353"/>
      <w:bookmarkStart w:id="354" w:name="_Toc184310301"/>
      <w:bookmarkEnd w:id="354"/>
      <w:bookmarkStart w:id="355" w:name="_Toc184308086"/>
      <w:bookmarkEnd w:id="355"/>
      <w:bookmarkStart w:id="356" w:name="_Toc184312095"/>
      <w:bookmarkEnd w:id="356"/>
      <w:bookmarkStart w:id="357" w:name="_Toc184313274"/>
      <w:bookmarkEnd w:id="357"/>
      <w:bookmarkStart w:id="358" w:name="_Toc184313266"/>
      <w:bookmarkEnd w:id="358"/>
      <w:bookmarkStart w:id="359" w:name="_Toc184308049"/>
      <w:bookmarkEnd w:id="359"/>
      <w:bookmarkStart w:id="360" w:name="_Toc184313294"/>
      <w:bookmarkEnd w:id="360"/>
      <w:bookmarkStart w:id="361" w:name="_Toc184308108"/>
      <w:bookmarkEnd w:id="361"/>
      <w:bookmarkStart w:id="362" w:name="_Toc184313254"/>
      <w:bookmarkEnd w:id="362"/>
      <w:bookmarkStart w:id="363" w:name="_Toc184308075"/>
      <w:bookmarkEnd w:id="363"/>
      <w:bookmarkStart w:id="364" w:name="_Toc184314445"/>
      <w:bookmarkEnd w:id="364"/>
      <w:bookmarkStart w:id="365" w:name="_Toc184313308"/>
      <w:bookmarkEnd w:id="365"/>
      <w:bookmarkStart w:id="366" w:name="_Toc184313261"/>
      <w:bookmarkEnd w:id="366"/>
      <w:bookmarkStart w:id="367" w:name="_Toc184312124"/>
      <w:bookmarkEnd w:id="367"/>
      <w:bookmarkStart w:id="368" w:name="_Toc184310331"/>
      <w:bookmarkEnd w:id="368"/>
      <w:bookmarkStart w:id="369" w:name="_Toc184314467"/>
      <w:bookmarkEnd w:id="369"/>
      <w:bookmarkStart w:id="370" w:name="_Toc184312106"/>
      <w:bookmarkEnd w:id="370"/>
      <w:bookmarkStart w:id="371" w:name="_Toc184308042"/>
      <w:bookmarkEnd w:id="371"/>
      <w:bookmarkStart w:id="372" w:name="_Toc184313256"/>
      <w:bookmarkEnd w:id="372"/>
      <w:bookmarkStart w:id="373" w:name="_Toc184310283"/>
      <w:bookmarkEnd w:id="373"/>
      <w:bookmarkStart w:id="374" w:name="_Toc184313301"/>
      <w:bookmarkEnd w:id="374"/>
      <w:bookmarkStart w:id="375" w:name="_Toc184313264"/>
      <w:bookmarkEnd w:id="375"/>
      <w:bookmarkStart w:id="376" w:name="_Toc184314433"/>
      <w:bookmarkEnd w:id="376"/>
      <w:bookmarkStart w:id="377" w:name="_Toc184314416"/>
      <w:bookmarkEnd w:id="377"/>
      <w:bookmarkStart w:id="378" w:name="_Toc184310335"/>
      <w:bookmarkEnd w:id="378"/>
      <w:bookmarkStart w:id="379" w:name="_Toc184312097"/>
      <w:bookmarkEnd w:id="379"/>
      <w:bookmarkStart w:id="380" w:name="_Toc184310312"/>
      <w:bookmarkEnd w:id="380"/>
      <w:bookmarkStart w:id="381" w:name="_Toc184310342"/>
      <w:bookmarkEnd w:id="381"/>
      <w:bookmarkStart w:id="382" w:name="_Toc184308089"/>
      <w:bookmarkEnd w:id="382"/>
      <w:bookmarkStart w:id="383" w:name="_Toc184308091"/>
      <w:bookmarkEnd w:id="383"/>
      <w:bookmarkStart w:id="384" w:name="_Toc184314463"/>
      <w:bookmarkEnd w:id="384"/>
      <w:bookmarkStart w:id="385" w:name="_Toc184312082"/>
      <w:bookmarkEnd w:id="385"/>
      <w:bookmarkStart w:id="386" w:name="_Toc184314414"/>
      <w:bookmarkEnd w:id="386"/>
      <w:bookmarkStart w:id="387" w:name="_Toc184308094"/>
      <w:bookmarkEnd w:id="387"/>
      <w:bookmarkStart w:id="388" w:name="_Toc184312074"/>
      <w:bookmarkEnd w:id="388"/>
      <w:bookmarkStart w:id="389" w:name="_Toc184313259"/>
      <w:bookmarkEnd w:id="389"/>
      <w:bookmarkStart w:id="390" w:name="_Toc184310279"/>
      <w:bookmarkEnd w:id="390"/>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1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590"/>
        <w:gridCol w:w="1095"/>
        <w:gridCol w:w="1320"/>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ascii="宋体" w:hAnsi="宋体"/>
                <w:kern w:val="0"/>
                <w:sz w:val="24"/>
              </w:rPr>
            </w:pPr>
            <w:r>
              <w:rPr>
                <w:rFonts w:hint="eastAsia" w:ascii="宋体" w:hAnsi="宋体"/>
                <w:kern w:val="0"/>
                <w:sz w:val="24"/>
              </w:rPr>
              <w:t>序号</w:t>
            </w:r>
          </w:p>
        </w:tc>
        <w:tc>
          <w:tcPr>
            <w:tcW w:w="4590" w:type="dxa"/>
            <w:vAlign w:val="center"/>
          </w:tcPr>
          <w:p>
            <w:pPr>
              <w:snapToGrid w:val="0"/>
              <w:spacing w:line="360" w:lineRule="auto"/>
              <w:jc w:val="center"/>
              <w:rPr>
                <w:rFonts w:ascii="宋体" w:hAnsi="宋体"/>
                <w:kern w:val="0"/>
                <w:sz w:val="24"/>
              </w:rPr>
            </w:pPr>
            <w:r>
              <w:rPr>
                <w:rFonts w:hint="eastAsia" w:ascii="宋体" w:hAnsi="宋体"/>
                <w:kern w:val="0"/>
                <w:sz w:val="24"/>
              </w:rPr>
              <w:t>评标标准</w:t>
            </w:r>
          </w:p>
        </w:tc>
        <w:tc>
          <w:tcPr>
            <w:tcW w:w="1095" w:type="dxa"/>
            <w:vAlign w:val="center"/>
          </w:tcPr>
          <w:p>
            <w:pPr>
              <w:snapToGrid w:val="0"/>
              <w:spacing w:line="360" w:lineRule="auto"/>
              <w:jc w:val="center"/>
              <w:rPr>
                <w:rFonts w:ascii="宋体" w:hAnsi="宋体"/>
                <w:kern w:val="0"/>
                <w:sz w:val="24"/>
              </w:rPr>
            </w:pPr>
            <w:r>
              <w:rPr>
                <w:rFonts w:hint="eastAsia" w:ascii="宋体" w:hAnsi="宋体"/>
                <w:kern w:val="0"/>
                <w:sz w:val="24"/>
              </w:rPr>
              <w:t>最高分值</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主观分/客观分属性</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1</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投标人自2018年5月份以来承接过同类项目业绩，每个得</w:t>
            </w:r>
            <w:r>
              <w:rPr>
                <w:rFonts w:hint="eastAsia" w:ascii="宋体" w:hAnsi="宋体"/>
                <w:sz w:val="24"/>
                <w:szCs w:val="24"/>
                <w:lang w:val="en-US" w:eastAsia="zh-CN"/>
              </w:rPr>
              <w:t>1</w:t>
            </w:r>
            <w:r>
              <w:rPr>
                <w:rFonts w:hint="eastAsia" w:ascii="宋体" w:hAnsi="宋体"/>
                <w:sz w:val="24"/>
                <w:szCs w:val="24"/>
              </w:rPr>
              <w:t>分，最高</w:t>
            </w:r>
            <w:r>
              <w:rPr>
                <w:rFonts w:hint="eastAsia" w:ascii="宋体" w:hAnsi="宋体"/>
                <w:sz w:val="24"/>
                <w:szCs w:val="24"/>
                <w:lang w:val="en-US" w:eastAsia="zh-CN"/>
              </w:rPr>
              <w:t>2</w:t>
            </w:r>
            <w:r>
              <w:rPr>
                <w:rFonts w:hint="eastAsia" w:ascii="宋体" w:hAnsi="宋体"/>
                <w:sz w:val="24"/>
                <w:szCs w:val="24"/>
              </w:rPr>
              <w:t>分；（需提供合同扫描件，时间以合同签订时间为准。）</w:t>
            </w:r>
          </w:p>
        </w:tc>
        <w:tc>
          <w:tcPr>
            <w:tcW w:w="1095" w:type="dxa"/>
          </w:tcPr>
          <w:p>
            <w:pPr>
              <w:snapToGrid w:val="0"/>
              <w:spacing w:line="360" w:lineRule="auto"/>
              <w:jc w:val="center"/>
              <w:rPr>
                <w:rFonts w:hint="eastAsia" w:ascii="宋体" w:hAnsi="宋体" w:eastAsia="宋体"/>
                <w:kern w:val="0"/>
                <w:sz w:val="24"/>
                <w:lang w:eastAsia="zh-CN"/>
              </w:rPr>
            </w:pPr>
            <w:r>
              <w:rPr>
                <w:rFonts w:hint="eastAsia" w:ascii="宋体" w:hAnsi="宋体"/>
                <w:kern w:val="0"/>
                <w:sz w:val="24"/>
                <w:lang w:val="en-US" w:eastAsia="zh-CN"/>
              </w:rPr>
              <w:t>2</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客观分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（一）投标人业绩情况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2</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投标人具有质量体系认证、环境体系认证、职业健康体系认证，且证书在有效期内的，每提供一个得1分，最高得3分，（需提供证书原件扫描件。）</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3</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客观分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（二）认证证书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3</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投标人对项目现状、存在的问题和保安服务的难点、要点等问题进行调查剖析，评委根据投标人的提出克服难点和要点技术措施进行评分。</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5</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（三）本项目重点、难点分析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4</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投标人有比较完善的组织架构，清晰简练地列出主要管理流程，包括对运作流程图、激励机制、监督机制、自我约束机制、信息反馈渠道及处理机制，管理指标承诺达到保安服务标准。</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3</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（四）物业组织架构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5</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包括但不限于保安工作人员职责制度、义务消防制度、保安交接班、队伍例会制度、监督机制、队伍招聘、使用、管理、调配和辞退、奖惩制度、绩效考核等内容。</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5</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（五）管理制度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6</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投标人根据本项目的实际情况，提出合理的可操作性的项目进场接管方案。</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2</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lang w:eastAsia="zh-CN"/>
              </w:rPr>
              <w:t>（</w:t>
            </w:r>
            <w:r>
              <w:rPr>
                <w:rFonts w:hint="eastAsia" w:ascii="宋体" w:hAnsi="宋体"/>
                <w:kern w:val="0"/>
                <w:sz w:val="24"/>
                <w:lang w:val="en-US" w:eastAsia="zh-CN"/>
              </w:rPr>
              <w:t>六</w:t>
            </w:r>
            <w:r>
              <w:rPr>
                <w:rFonts w:hint="eastAsia" w:ascii="宋体" w:hAnsi="宋体"/>
                <w:kern w:val="0"/>
                <w:sz w:val="24"/>
                <w:lang w:eastAsia="zh-CN"/>
              </w:rPr>
              <w:t>）</w:t>
            </w:r>
            <w:r>
              <w:rPr>
                <w:rFonts w:hint="eastAsia" w:ascii="宋体" w:hAnsi="宋体"/>
                <w:kern w:val="0"/>
                <w:sz w:val="24"/>
              </w:rPr>
              <w:t>项目交接方案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7</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投标人根据本项目特点，充分考虑用户的日常用途和需求提出合理的管理服务理念，提出服务定位、目标，制定有针对性的，切实可行的方案。</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5</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8</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夜间服务方案。</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3</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9</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重要接待任务、重大活动等的服务方案。</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2</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10</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校外住宿点的安保方案和措施。</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5</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11</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投标人具有本地化服务支撑能力的情况（包括但不限于在特殊安保需要时，能迅速派出周边驻点足够数量的有经验的增援人员；投标人自有应急专用机动车辆，响应人对运输能力进行具体阐述和承诺，提供车辆照片、行驶证复印件）。</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5</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12</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投标人的应急处置方案（具备应急预案、案件防控、打击犯罪、自然灾害、突发事件处置）的全面程度、响应时间及专业技术支持等对本项目实施的有利程度。</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5</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13</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highlight w:val="none"/>
              </w:rPr>
              <w:t>常驻校内人员的宿舍</w:t>
            </w:r>
            <w:r>
              <w:rPr>
                <w:rFonts w:hint="eastAsia" w:ascii="宋体" w:hAnsi="宋体"/>
                <w:sz w:val="24"/>
                <w:szCs w:val="24"/>
              </w:rPr>
              <w:t>安全管理方案。</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2</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4590" w:type="dxa"/>
            <w:vAlign w:val="center"/>
          </w:tcPr>
          <w:p>
            <w:pPr>
              <w:snapToGrid w:val="0"/>
              <w:rPr>
                <w:rFonts w:ascii="宋体" w:hAnsi="宋体"/>
                <w:kern w:val="0"/>
                <w:sz w:val="24"/>
              </w:rPr>
            </w:pPr>
            <w:r>
              <w:rPr>
                <w:rFonts w:hint="eastAsia" w:ascii="宋体" w:hAnsi="宋体"/>
                <w:kern w:val="0"/>
                <w:sz w:val="24"/>
              </w:rPr>
              <w:t>安保人员培训方案：开展系统的专业知识、业务技能、安全意识培训，且有贴合实际需求的演练；有切实可行的每月不少于一次的培训计划的。</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5</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15</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节假日员工缺岗、临时换岗调整方案以及安保人员团队的稳定措施。</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3</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16</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结合采购内容及服务要求，投标人对安保人员的福利待遇、薪资补贴、慰问品等方面的措施。</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3</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17</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供应商投入本项目的秩序维护执勤器材方案及对学院提供的执勤器材的无偿维护、维修等情况的方案。</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4</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七</w:t>
            </w:r>
            <w:r>
              <w:rPr>
                <w:rFonts w:hint="eastAsia" w:ascii="宋体" w:hAnsi="宋体"/>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18</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1、拟派项目负责人年龄、学历、执业证书和同类工作经验情况。（4分）</w:t>
            </w:r>
          </w:p>
          <w:p>
            <w:pPr>
              <w:pStyle w:val="137"/>
              <w:widowControl w:val="0"/>
              <w:jc w:val="both"/>
              <w:rPr>
                <w:rFonts w:ascii="宋体" w:hAnsi="宋体"/>
                <w:sz w:val="24"/>
                <w:szCs w:val="24"/>
              </w:rPr>
            </w:pPr>
            <w:r>
              <w:rPr>
                <w:rFonts w:hint="eastAsia" w:ascii="宋体" w:hAnsi="宋体"/>
                <w:sz w:val="24"/>
                <w:szCs w:val="24"/>
              </w:rPr>
              <w:t>2、项目负责人具有国家职业资格保安员贰级及以上证书的得2分。</w:t>
            </w:r>
          </w:p>
          <w:p>
            <w:pPr>
              <w:pStyle w:val="137"/>
              <w:widowControl w:val="0"/>
              <w:jc w:val="both"/>
              <w:rPr>
                <w:rFonts w:ascii="宋体" w:hAnsi="宋体"/>
                <w:sz w:val="24"/>
                <w:szCs w:val="24"/>
              </w:rPr>
            </w:pPr>
            <w:r>
              <w:rPr>
                <w:rFonts w:hint="eastAsia" w:ascii="宋体" w:hAnsi="宋体"/>
                <w:sz w:val="24"/>
                <w:szCs w:val="24"/>
              </w:rPr>
              <w:t>注：提供相关证明材料及在本单位近三个月的社保证明，否则该项不得分。</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6</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八</w:t>
            </w:r>
            <w:r>
              <w:rPr>
                <w:rFonts w:hint="eastAsia" w:ascii="宋体" w:hAnsi="宋体"/>
                <w:kern w:val="0"/>
                <w:sz w:val="24"/>
              </w:rPr>
              <w:t>）人力资源投入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19</w:t>
            </w:r>
          </w:p>
        </w:tc>
        <w:tc>
          <w:tcPr>
            <w:tcW w:w="4590" w:type="dxa"/>
            <w:vAlign w:val="center"/>
          </w:tcPr>
          <w:p>
            <w:pPr>
              <w:pStyle w:val="137"/>
              <w:widowControl w:val="0"/>
              <w:jc w:val="both"/>
              <w:rPr>
                <w:rFonts w:ascii="宋体" w:hAnsi="宋体"/>
                <w:sz w:val="24"/>
                <w:szCs w:val="24"/>
              </w:rPr>
            </w:pPr>
            <w:r>
              <w:rPr>
                <w:rFonts w:hint="eastAsia" w:ascii="宋体" w:hAnsi="宋体"/>
                <w:sz w:val="24"/>
                <w:szCs w:val="24"/>
              </w:rPr>
              <w:t>保安队长：具有专科及以上学历的得1分，不符合不得分；具有3年及以上的校园安保管理服务经验的得1分，不符合不得分； 具有保安员证的得1分，不符合不得分；具有公安部消防局颁发的建（构）筑物消防员证书的得1分，不符合不得分。注：须提供保安队长在投标人最近连续6个月社保缴纳记录或投标人与拟派保安队长共同出具的保证能在本项目服务期间为本项目服务的承诺函，提供相关证明材料，不提供不得分。</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4</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客观分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八</w:t>
            </w:r>
            <w:r>
              <w:rPr>
                <w:rFonts w:hint="eastAsia" w:ascii="宋体" w:hAnsi="宋体"/>
                <w:kern w:val="0"/>
                <w:sz w:val="24"/>
              </w:rPr>
              <w:t>）人力资源投入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20</w:t>
            </w:r>
          </w:p>
        </w:tc>
        <w:tc>
          <w:tcPr>
            <w:tcW w:w="4590" w:type="dxa"/>
            <w:vAlign w:val="center"/>
          </w:tcPr>
          <w:p>
            <w:pPr>
              <w:pStyle w:val="137"/>
              <w:widowControl w:val="0"/>
              <w:numPr>
                <w:ilvl w:val="-1"/>
                <w:numId w:val="0"/>
              </w:numPr>
              <w:jc w:val="both"/>
              <w:rPr>
                <w:rFonts w:hint="eastAsia" w:ascii="宋体" w:hAnsi="宋体"/>
                <w:sz w:val="24"/>
                <w:szCs w:val="24"/>
              </w:rPr>
            </w:pPr>
            <w:r>
              <w:rPr>
                <w:rFonts w:hint="eastAsia" w:ascii="宋体" w:hAnsi="宋体"/>
                <w:sz w:val="24"/>
                <w:szCs w:val="24"/>
              </w:rPr>
              <w:t>投入本项目的拟派人员专业、年龄结构和学历、工作经历层次、持证情况是否满足需要等情况</w:t>
            </w:r>
            <w:r>
              <w:rPr>
                <w:rFonts w:hint="eastAsia" w:ascii="宋体" w:hAnsi="宋体"/>
                <w:sz w:val="24"/>
                <w:szCs w:val="24"/>
                <w:lang w:eastAsia="zh-CN"/>
              </w:rPr>
              <w:t>。</w:t>
            </w:r>
            <w:r>
              <w:rPr>
                <w:rFonts w:hint="eastAsia" w:ascii="宋体" w:hAnsi="宋体"/>
                <w:sz w:val="24"/>
                <w:szCs w:val="24"/>
              </w:rPr>
              <w:t>附人员类似任职经历的证明</w:t>
            </w:r>
          </w:p>
          <w:p>
            <w:pPr>
              <w:pStyle w:val="137"/>
              <w:widowControl w:val="0"/>
              <w:numPr>
                <w:ilvl w:val="-1"/>
                <w:numId w:val="0"/>
              </w:numPr>
              <w:jc w:val="both"/>
              <w:rPr>
                <w:rFonts w:ascii="宋体" w:hAnsi="宋体"/>
                <w:sz w:val="24"/>
                <w:szCs w:val="24"/>
              </w:rPr>
            </w:pPr>
            <w:r>
              <w:rPr>
                <w:rFonts w:hint="eastAsia" w:ascii="宋体" w:hAnsi="宋体"/>
                <w:sz w:val="24"/>
                <w:szCs w:val="24"/>
              </w:rPr>
              <w:t>材料，及在本单位近三个月的社保证明或</w:t>
            </w:r>
            <w:bookmarkStart w:id="515" w:name="_GoBack"/>
            <w:bookmarkEnd w:id="515"/>
            <w:r>
              <w:rPr>
                <w:rFonts w:hint="eastAsia" w:ascii="宋体" w:hAnsi="宋体"/>
                <w:sz w:val="24"/>
                <w:szCs w:val="24"/>
              </w:rPr>
              <w:t>投标人出具的保证能在本项目服务期间为本项目服务的承诺函，否则该项不得分。</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5</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八</w:t>
            </w:r>
            <w:r>
              <w:rPr>
                <w:rFonts w:hint="eastAsia" w:ascii="宋体" w:hAnsi="宋体"/>
                <w:kern w:val="0"/>
                <w:sz w:val="24"/>
              </w:rPr>
              <w:t>）人力资源投入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21</w:t>
            </w:r>
          </w:p>
        </w:tc>
        <w:tc>
          <w:tcPr>
            <w:tcW w:w="4590" w:type="dxa"/>
          </w:tcPr>
          <w:p>
            <w:pPr>
              <w:snapToGrid w:val="0"/>
              <w:spacing w:line="360" w:lineRule="auto"/>
              <w:jc w:val="left"/>
              <w:rPr>
                <w:rFonts w:ascii="宋体" w:hAnsi="宋体"/>
                <w:kern w:val="0"/>
                <w:sz w:val="24"/>
              </w:rPr>
            </w:pPr>
            <w:r>
              <w:rPr>
                <w:rFonts w:hint="eastAsia" w:ascii="宋体" w:hAnsi="宋体"/>
                <w:kern w:val="0"/>
                <w:sz w:val="24"/>
                <w:highlight w:val="none"/>
              </w:rPr>
              <w:t>投标人提出的</w:t>
            </w:r>
            <w:r>
              <w:rPr>
                <w:rFonts w:hint="eastAsia" w:ascii="宋体" w:hAnsi="宋体"/>
                <w:kern w:val="0"/>
                <w:sz w:val="24"/>
                <w:highlight w:val="none"/>
                <w:lang w:val="en-US" w:eastAsia="zh-CN"/>
              </w:rPr>
              <w:t>其他</w:t>
            </w:r>
            <w:r>
              <w:rPr>
                <w:rFonts w:hint="eastAsia" w:ascii="宋体" w:hAnsi="宋体"/>
                <w:kern w:val="0"/>
                <w:sz w:val="24"/>
                <w:highlight w:val="none"/>
              </w:rPr>
              <w:t>服务和承诺情况，包括信息化管理、配合采购人保卫处工作方案、提高服务质量、管理水平和其他服务的承诺等。</w:t>
            </w:r>
          </w:p>
        </w:tc>
        <w:tc>
          <w:tcPr>
            <w:tcW w:w="1095" w:type="dxa"/>
          </w:tcPr>
          <w:p>
            <w:pPr>
              <w:snapToGrid w:val="0"/>
              <w:spacing w:line="360" w:lineRule="auto"/>
              <w:jc w:val="center"/>
              <w:rPr>
                <w:rFonts w:ascii="宋体" w:hAnsi="宋体"/>
                <w:kern w:val="0"/>
                <w:sz w:val="24"/>
              </w:rPr>
            </w:pPr>
            <w:r>
              <w:rPr>
                <w:rFonts w:hint="eastAsia" w:ascii="宋体" w:hAnsi="宋体"/>
                <w:kern w:val="0"/>
                <w:sz w:val="24"/>
              </w:rPr>
              <w:t>3</w:t>
            </w:r>
          </w:p>
        </w:tc>
        <w:tc>
          <w:tcPr>
            <w:tcW w:w="1320" w:type="dxa"/>
            <w:vAlign w:val="center"/>
          </w:tcPr>
          <w:p>
            <w:pPr>
              <w:snapToGrid w:val="0"/>
              <w:spacing w:line="360" w:lineRule="auto"/>
              <w:jc w:val="center"/>
              <w:rPr>
                <w:rFonts w:ascii="宋体" w:hAnsi="宋体"/>
                <w:kern w:val="0"/>
                <w:sz w:val="24"/>
              </w:rPr>
            </w:pPr>
            <w:r>
              <w:rPr>
                <w:rFonts w:hint="eastAsia" w:ascii="宋体" w:hAnsi="宋体"/>
                <w:kern w:val="0"/>
                <w:sz w:val="24"/>
              </w:rPr>
              <w:t>主观分</w:t>
            </w:r>
          </w:p>
        </w:tc>
        <w:tc>
          <w:tcPr>
            <w:tcW w:w="1791" w:type="dxa"/>
          </w:tcPr>
          <w:p>
            <w:pPr>
              <w:snapToGrid w:val="0"/>
              <w:spacing w:line="360" w:lineRule="auto"/>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九</w:t>
            </w:r>
            <w:r>
              <w:rPr>
                <w:rFonts w:hint="eastAsia" w:ascii="宋体" w:hAnsi="宋体"/>
                <w:kern w:val="0"/>
                <w:sz w:val="24"/>
              </w:rPr>
              <w:t>）其他个性化服务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22</w:t>
            </w:r>
          </w:p>
        </w:tc>
        <w:tc>
          <w:tcPr>
            <w:tcW w:w="4590" w:type="dxa"/>
          </w:tcPr>
          <w:p>
            <w:pPr>
              <w:spacing w:line="360" w:lineRule="auto"/>
              <w:outlineLvl w:val="0"/>
              <w:rPr>
                <w:rFonts w:ascii="宋体" w:hAnsi="宋体"/>
                <w:kern w:val="0"/>
                <w:sz w:val="24"/>
              </w:rPr>
            </w:pPr>
            <w:r>
              <w:rPr>
                <w:rFonts w:hint="eastAsia" w:ascii="宋体" w:hAnsi="宋体"/>
                <w:kern w:val="0"/>
                <w:sz w:val="24"/>
              </w:rPr>
              <w:t>有效投标报价的最低价作为评标基准价，其最低报价为满分；按［投标报价得分=（评标基准价/投标报价）*20］的计算公式计算。</w:t>
            </w:r>
          </w:p>
        </w:tc>
        <w:tc>
          <w:tcPr>
            <w:tcW w:w="1095" w:type="dxa"/>
            <w:vAlign w:val="center"/>
          </w:tcPr>
          <w:p>
            <w:pPr>
              <w:spacing w:line="360" w:lineRule="auto"/>
              <w:jc w:val="center"/>
              <w:outlineLvl w:val="0"/>
              <w:rPr>
                <w:rFonts w:ascii="宋体" w:hAnsi="宋体"/>
                <w:kern w:val="0"/>
                <w:sz w:val="24"/>
              </w:rPr>
            </w:pPr>
            <w:r>
              <w:rPr>
                <w:rFonts w:hint="eastAsia" w:ascii="宋体" w:hAnsi="宋体"/>
                <w:kern w:val="0"/>
                <w:sz w:val="24"/>
              </w:rPr>
              <w:t>20</w:t>
            </w:r>
          </w:p>
        </w:tc>
        <w:tc>
          <w:tcPr>
            <w:tcW w:w="1320" w:type="dxa"/>
            <w:vAlign w:val="center"/>
          </w:tcPr>
          <w:p>
            <w:pPr>
              <w:spacing w:line="360" w:lineRule="auto"/>
              <w:jc w:val="center"/>
              <w:outlineLvl w:val="0"/>
              <w:rPr>
                <w:rFonts w:ascii="宋体" w:hAnsi="宋体"/>
                <w:kern w:val="0"/>
                <w:sz w:val="24"/>
              </w:rPr>
            </w:pPr>
          </w:p>
        </w:tc>
        <w:tc>
          <w:tcPr>
            <w:tcW w:w="1791" w:type="dxa"/>
            <w:vAlign w:val="center"/>
          </w:tcPr>
          <w:p>
            <w:pPr>
              <w:spacing w:line="360" w:lineRule="auto"/>
              <w:jc w:val="center"/>
              <w:outlineLvl w:val="0"/>
              <w:rPr>
                <w:rFonts w:ascii="宋体" w:hAnsi="宋体"/>
                <w:kern w:val="0"/>
                <w:sz w:val="24"/>
              </w:rPr>
            </w:pPr>
            <w:r>
              <w:rPr>
                <w:rFonts w:hint="eastAsia" w:ascii="宋体" w:hAnsi="宋体"/>
                <w:kern w:val="0"/>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pStyle w:val="6"/>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w:t>
      </w:r>
      <w:r>
        <w:rPr>
          <w:rFonts w:hint="eastAsia" w:ascii="宋体" w:hAnsi="宋体" w:cs="宋体"/>
          <w:kern w:val="0"/>
          <w:sz w:val="24"/>
        </w:rPr>
        <w:t>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5"/>
    <w:p>
      <w:pPr>
        <w:widowControl/>
        <w:adjustRightInd/>
        <w:jc w:val="left"/>
        <w:rPr>
          <w:rFonts w:ascii="宋体" w:hAnsi="宋体" w:cs="宋体"/>
          <w:b/>
          <w:sz w:val="36"/>
          <w:szCs w:val="36"/>
        </w:rPr>
      </w:pPr>
      <w:bookmarkStart w:id="391" w:name="第五部分"/>
      <w:bookmarkStart w:id="392" w:name="_Toc86217003"/>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6"/>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宋体" w:hAnsi="宋体" w:cs="宋体"/>
          <w:color w:val="0000FF"/>
          <w:sz w:val="24"/>
          <w:u w:val="single"/>
        </w:rPr>
        <w:t>（采购人）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color w:val="0000FF"/>
          <w:sz w:val="24"/>
          <w:u w:val="single"/>
        </w:rPr>
        <w:t xml:space="preserve">（项目名称）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asciiTheme="minorEastAsia" w:hAnsiTheme="minorEastAsia" w:eastAsiaTheme="minorEastAsia"/>
          <w:color w:val="0000FF"/>
          <w:sz w:val="24"/>
          <w:u w:val="single"/>
        </w:rPr>
        <w:t xml:space="preserve">（采购人）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393" w:name="_Toc22967"/>
      <w:bookmarkStart w:id="394" w:name="_Toc20421"/>
      <w:bookmarkStart w:id="395" w:name="_Toc28855"/>
      <w:bookmarkStart w:id="396" w:name="_Toc19273"/>
      <w:bookmarkStart w:id="397" w:name="_Toc153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3"/>
      <w:bookmarkEnd w:id="394"/>
      <w:bookmarkEnd w:id="395"/>
      <w:bookmarkEnd w:id="396"/>
      <w:bookmarkEnd w:id="397"/>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398" w:name="_Toc6773"/>
      <w:bookmarkStart w:id="399" w:name="_Toc22185"/>
      <w:bookmarkStart w:id="400" w:name="_Toc18585"/>
      <w:bookmarkStart w:id="401" w:name="_Toc2918"/>
      <w:bookmarkStart w:id="402" w:name="_Toc6311"/>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398"/>
      <w:bookmarkEnd w:id="399"/>
      <w:bookmarkEnd w:id="400"/>
      <w:bookmarkEnd w:id="401"/>
      <w:bookmarkEnd w:id="402"/>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03" w:name="_Toc5635"/>
      <w:bookmarkStart w:id="404" w:name="_Toc21124"/>
      <w:bookmarkStart w:id="405" w:name="_Toc1386"/>
      <w:bookmarkStart w:id="406" w:name="_Toc13918"/>
      <w:bookmarkStart w:id="407" w:name="_Toc4929"/>
      <w:r>
        <w:rPr>
          <w:rFonts w:asciiTheme="minorEastAsia" w:hAnsiTheme="minorEastAsia" w:eastAsiaTheme="minorEastAsia"/>
          <w:b/>
          <w:sz w:val="24"/>
        </w:rPr>
        <w:t>1.3 价款</w:t>
      </w:r>
      <w:bookmarkEnd w:id="403"/>
      <w:bookmarkEnd w:id="404"/>
      <w:bookmarkEnd w:id="405"/>
      <w:bookmarkEnd w:id="406"/>
      <w:bookmarkEnd w:id="40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0"/>
        <w:rPr>
          <w:rFonts w:asciiTheme="minorEastAsia" w:hAnsiTheme="minorEastAsia" w:eastAsiaTheme="minorEastAsia"/>
          <w:b/>
          <w:sz w:val="24"/>
        </w:rPr>
      </w:pPr>
      <w:bookmarkStart w:id="408" w:name="_Toc14993"/>
      <w:bookmarkStart w:id="409" w:name="_Toc3654"/>
      <w:bookmarkStart w:id="410" w:name="_Toc30506"/>
      <w:bookmarkStart w:id="411" w:name="_Toc26916"/>
      <w:bookmarkStart w:id="412" w:name="_Toc30158"/>
      <w:r>
        <w:rPr>
          <w:rFonts w:asciiTheme="minorEastAsia" w:hAnsiTheme="minorEastAsia" w:eastAsiaTheme="minorEastAsia"/>
          <w:b/>
          <w:sz w:val="24"/>
        </w:rPr>
        <w:t>1.4 付款方式和发票开具方式</w:t>
      </w:r>
      <w:bookmarkEnd w:id="408"/>
      <w:bookmarkEnd w:id="409"/>
      <w:bookmarkEnd w:id="410"/>
      <w:bookmarkEnd w:id="411"/>
      <w:bookmarkEnd w:id="412"/>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合同预付款比例为合同金额的5</w:t>
      </w:r>
      <w:r>
        <w:rPr>
          <w:rFonts w:asciiTheme="minorEastAsia" w:hAnsiTheme="minorEastAsia" w:eastAsiaTheme="minorEastAsia"/>
          <w:sz w:val="24"/>
        </w:rPr>
        <w:t>0％；项目分年安排预算的，每年预付款比例为项目年度计划支付资金额的</w:t>
      </w:r>
      <w:r>
        <w:rPr>
          <w:rFonts w:hint="eastAsia" w:asciiTheme="minorEastAsia" w:hAnsiTheme="minorEastAsia" w:eastAsiaTheme="minorEastAsia"/>
          <w:sz w:val="24"/>
        </w:rPr>
        <w:t>5</w:t>
      </w:r>
      <w:r>
        <w:rPr>
          <w:rFonts w:asciiTheme="minorEastAsia" w:hAnsiTheme="minorEastAsia" w:eastAsiaTheme="minorEastAsia"/>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0"/>
        <w:rPr>
          <w:rFonts w:asciiTheme="minorEastAsia" w:hAnsiTheme="minorEastAsia" w:eastAsiaTheme="minorEastAsia"/>
          <w:b/>
          <w:sz w:val="24"/>
        </w:rPr>
      </w:pPr>
      <w:bookmarkStart w:id="413" w:name="_Toc31421"/>
      <w:bookmarkStart w:id="414" w:name="_Toc11108"/>
      <w:bookmarkStart w:id="415" w:name="_Toc4760"/>
      <w:bookmarkStart w:id="416" w:name="_Toc8772"/>
      <w:bookmarkStart w:id="417" w:name="_Toc3625"/>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3"/>
      <w:bookmarkEnd w:id="414"/>
      <w:bookmarkEnd w:id="415"/>
      <w:bookmarkEnd w:id="416"/>
      <w:bookmarkEnd w:id="417"/>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bookmarkStart w:id="418" w:name="_Toc3079"/>
      <w:bookmarkStart w:id="419" w:name="_Toc2375"/>
      <w:bookmarkStart w:id="420" w:name="_Toc5698"/>
      <w:bookmarkStart w:id="421" w:name="_Toc8586"/>
      <w:bookmarkStart w:id="422" w:name="_Toc24662"/>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18"/>
      <w:bookmarkEnd w:id="419"/>
      <w:bookmarkEnd w:id="420"/>
      <w:bookmarkEnd w:id="421"/>
      <w:bookmarkEnd w:id="42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0"/>
        <w:rPr>
          <w:rFonts w:asciiTheme="minorEastAsia" w:hAnsiTheme="minorEastAsia" w:eastAsiaTheme="minorEastAsia"/>
          <w:b/>
          <w:sz w:val="24"/>
        </w:rPr>
      </w:pPr>
      <w:bookmarkStart w:id="423" w:name="_Toc18683"/>
      <w:bookmarkStart w:id="424" w:name="_Toc30329"/>
      <w:bookmarkStart w:id="425" w:name="_Toc26807"/>
      <w:bookmarkStart w:id="426" w:name="_Toc9497"/>
      <w:bookmarkStart w:id="427" w:name="_Toc32454"/>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3"/>
      <w:bookmarkEnd w:id="424"/>
      <w:bookmarkEnd w:id="425"/>
      <w:bookmarkEnd w:id="426"/>
      <w:bookmarkEnd w:id="427"/>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428" w:name="_Toc23784"/>
      <w:bookmarkStart w:id="429" w:name="_Toc12273"/>
      <w:bookmarkStart w:id="430" w:name="_Toc16417"/>
      <w:bookmarkStart w:id="431" w:name="_Toc15827"/>
      <w:bookmarkStart w:id="432" w:name="_Toc26227"/>
      <w:r>
        <w:rPr>
          <w:rFonts w:asciiTheme="minorEastAsia" w:hAnsiTheme="minorEastAsia" w:eastAsiaTheme="minorEastAsia"/>
          <w:b/>
          <w:sz w:val="24"/>
        </w:rPr>
        <w:t>1.8 合同生效</w:t>
      </w:r>
      <w:bookmarkEnd w:id="428"/>
      <w:bookmarkEnd w:id="429"/>
      <w:bookmarkEnd w:id="430"/>
      <w:bookmarkEnd w:id="431"/>
      <w:bookmarkEnd w:id="432"/>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pPr>
        <w:pStyle w:val="699"/>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0"/>
        <w:rPr>
          <w:rFonts w:asciiTheme="minorEastAsia" w:hAnsiTheme="minorEastAsia" w:eastAsiaTheme="minorEastAsia"/>
          <w:b/>
          <w:sz w:val="24"/>
        </w:rPr>
      </w:pPr>
      <w:bookmarkStart w:id="433" w:name="_Toc14021"/>
      <w:bookmarkStart w:id="434" w:name="_Toc25079"/>
      <w:bookmarkStart w:id="435" w:name="_Toc5228"/>
      <w:bookmarkStart w:id="436" w:name="_Toc19680"/>
      <w:bookmarkStart w:id="437" w:name="_Toc31297"/>
      <w:r>
        <w:rPr>
          <w:rFonts w:asciiTheme="minorEastAsia" w:hAnsiTheme="minorEastAsia" w:eastAsiaTheme="minorEastAsia"/>
          <w:b/>
          <w:sz w:val="24"/>
        </w:rPr>
        <w:t>2.1 定义</w:t>
      </w:r>
      <w:bookmarkEnd w:id="433"/>
      <w:bookmarkEnd w:id="434"/>
      <w:bookmarkEnd w:id="435"/>
      <w:bookmarkEnd w:id="436"/>
      <w:bookmarkEnd w:id="43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0"/>
        <w:rPr>
          <w:rFonts w:asciiTheme="minorEastAsia" w:hAnsiTheme="minorEastAsia" w:eastAsiaTheme="minorEastAsia"/>
          <w:b/>
          <w:sz w:val="24"/>
        </w:rPr>
      </w:pPr>
      <w:bookmarkStart w:id="438" w:name="_Toc16752"/>
      <w:bookmarkStart w:id="439" w:name="_Toc3769"/>
      <w:bookmarkStart w:id="440" w:name="_Toc23289"/>
      <w:bookmarkStart w:id="441" w:name="_Toc19539"/>
      <w:bookmarkStart w:id="442" w:name="_Toc31402"/>
      <w:r>
        <w:rPr>
          <w:rFonts w:asciiTheme="minorEastAsia" w:hAnsiTheme="minorEastAsia" w:eastAsiaTheme="minorEastAsia"/>
          <w:b/>
          <w:sz w:val="24"/>
        </w:rPr>
        <w:t>2.2 技术规范</w:t>
      </w:r>
      <w:bookmarkEnd w:id="438"/>
      <w:bookmarkEnd w:id="439"/>
      <w:bookmarkEnd w:id="440"/>
      <w:bookmarkEnd w:id="441"/>
      <w:bookmarkEnd w:id="44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443" w:name="_Toc12412"/>
      <w:bookmarkStart w:id="444" w:name="_Toc27945"/>
      <w:bookmarkStart w:id="445" w:name="_Toc4133"/>
      <w:bookmarkStart w:id="446" w:name="_Toc13673"/>
      <w:bookmarkStart w:id="447" w:name="_Toc9161"/>
      <w:r>
        <w:rPr>
          <w:rFonts w:asciiTheme="minorEastAsia" w:hAnsiTheme="minorEastAsia" w:eastAsiaTheme="minorEastAsia"/>
          <w:b/>
          <w:sz w:val="24"/>
        </w:rPr>
        <w:t>2.3 知识产权</w:t>
      </w:r>
      <w:bookmarkEnd w:id="443"/>
      <w:bookmarkEnd w:id="444"/>
      <w:bookmarkEnd w:id="445"/>
      <w:bookmarkEnd w:id="446"/>
      <w:bookmarkEnd w:id="44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rPr>
      </w:pPr>
      <w:bookmarkStart w:id="448" w:name="_Toc31233"/>
      <w:bookmarkStart w:id="449" w:name="_Toc26555"/>
      <w:bookmarkStart w:id="450" w:name="_Toc32670"/>
      <w:bookmarkStart w:id="451" w:name="_Toc22011"/>
      <w:bookmarkStart w:id="452" w:name="_Toc15447"/>
      <w:r>
        <w:rPr>
          <w:rFonts w:asciiTheme="minorEastAsia" w:hAnsiTheme="minorEastAsia" w:eastAsiaTheme="minorEastAsia"/>
          <w:b/>
          <w:sz w:val="24"/>
        </w:rPr>
        <w:t>2.5 结算方式和付款条件</w:t>
      </w:r>
      <w:bookmarkEnd w:id="448"/>
      <w:bookmarkEnd w:id="449"/>
      <w:bookmarkEnd w:id="450"/>
      <w:bookmarkEnd w:id="451"/>
      <w:bookmarkEnd w:id="45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53" w:name="_Toc13154"/>
      <w:bookmarkStart w:id="454" w:name="_Toc30507"/>
      <w:bookmarkStart w:id="455" w:name="_Toc18990"/>
      <w:bookmarkStart w:id="456" w:name="_Toc16163"/>
      <w:bookmarkStart w:id="457" w:name="_Toc13467"/>
      <w:r>
        <w:rPr>
          <w:rFonts w:asciiTheme="minorEastAsia" w:hAnsiTheme="minorEastAsia" w:eastAsiaTheme="minorEastAsia"/>
          <w:b/>
          <w:sz w:val="24"/>
        </w:rPr>
        <w:t>2.6 技术资料和保密义务</w:t>
      </w:r>
      <w:bookmarkEnd w:id="453"/>
      <w:bookmarkEnd w:id="454"/>
      <w:bookmarkEnd w:id="455"/>
      <w:bookmarkEnd w:id="456"/>
      <w:bookmarkEnd w:id="45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458"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5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459"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5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0"/>
        <w:rPr>
          <w:rFonts w:asciiTheme="minorEastAsia" w:hAnsiTheme="minorEastAsia" w:eastAsiaTheme="minorEastAsia"/>
          <w:b/>
          <w:sz w:val="24"/>
        </w:rPr>
      </w:pPr>
      <w:bookmarkStart w:id="460"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0"/>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61" w:name="_Toc23368"/>
      <w:bookmarkStart w:id="462" w:name="_Toc10663"/>
      <w:bookmarkStart w:id="463" w:name="_Toc26689"/>
      <w:bookmarkStart w:id="464" w:name="_Toc21830"/>
      <w:bookmarkStart w:id="465" w:name="_Toc42"/>
      <w:r>
        <w:rPr>
          <w:rFonts w:asciiTheme="minorEastAsia" w:hAnsiTheme="minorEastAsia" w:eastAsiaTheme="minorEastAsia"/>
          <w:b/>
          <w:sz w:val="24"/>
        </w:rPr>
        <w:t>2.10 合同转让和分包</w:t>
      </w:r>
      <w:bookmarkEnd w:id="461"/>
      <w:bookmarkEnd w:id="462"/>
      <w:bookmarkEnd w:id="463"/>
      <w:bookmarkEnd w:id="464"/>
      <w:bookmarkEnd w:id="46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466" w:name="_Toc32494"/>
      <w:bookmarkStart w:id="467" w:name="_Toc14371"/>
      <w:bookmarkStart w:id="468" w:name="_Toc4720"/>
      <w:bookmarkStart w:id="469" w:name="_Toc25571"/>
      <w:bookmarkStart w:id="470" w:name="_Toc26633"/>
      <w:r>
        <w:rPr>
          <w:rFonts w:asciiTheme="minorEastAsia" w:hAnsiTheme="minorEastAsia" w:eastAsiaTheme="minorEastAsia"/>
          <w:b/>
          <w:sz w:val="24"/>
        </w:rPr>
        <w:t>2.11 不可抗力</w:t>
      </w:r>
      <w:bookmarkEnd w:id="466"/>
      <w:bookmarkEnd w:id="467"/>
      <w:bookmarkEnd w:id="468"/>
      <w:bookmarkEnd w:id="469"/>
      <w:bookmarkEnd w:id="47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71" w:name="_Toc23854"/>
      <w:bookmarkStart w:id="472" w:name="_Toc3638"/>
      <w:bookmarkStart w:id="473" w:name="_Toc14115"/>
      <w:bookmarkStart w:id="474" w:name="_Toc25783"/>
      <w:bookmarkStart w:id="475" w:name="_Toc24465"/>
      <w:r>
        <w:rPr>
          <w:rFonts w:asciiTheme="minorEastAsia" w:hAnsiTheme="minorEastAsia" w:eastAsiaTheme="minorEastAsia"/>
          <w:b/>
          <w:sz w:val="24"/>
        </w:rPr>
        <w:t>2.12 税费</w:t>
      </w:r>
      <w:bookmarkEnd w:id="471"/>
      <w:bookmarkEnd w:id="472"/>
      <w:bookmarkEnd w:id="473"/>
      <w:bookmarkEnd w:id="474"/>
      <w:bookmarkEnd w:id="47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0"/>
        <w:rPr>
          <w:rFonts w:asciiTheme="minorEastAsia" w:hAnsiTheme="minorEastAsia" w:eastAsiaTheme="minorEastAsia"/>
          <w:b/>
          <w:sz w:val="24"/>
        </w:rPr>
      </w:pPr>
      <w:bookmarkStart w:id="476" w:name="_Toc30105"/>
      <w:bookmarkStart w:id="477" w:name="_Toc25525"/>
      <w:bookmarkStart w:id="478" w:name="_Toc14814"/>
      <w:bookmarkStart w:id="479" w:name="_Toc7315"/>
      <w:bookmarkStart w:id="480" w:name="_Toc26883"/>
      <w:r>
        <w:rPr>
          <w:rFonts w:asciiTheme="minorEastAsia" w:hAnsiTheme="minorEastAsia" w:eastAsiaTheme="minorEastAsia"/>
          <w:b/>
          <w:sz w:val="24"/>
        </w:rPr>
        <w:t>2.13 乙方破产</w:t>
      </w:r>
      <w:bookmarkEnd w:id="476"/>
      <w:bookmarkEnd w:id="477"/>
      <w:bookmarkEnd w:id="478"/>
      <w:bookmarkEnd w:id="479"/>
      <w:bookmarkEnd w:id="48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81" w:name="_Toc1123"/>
      <w:bookmarkStart w:id="482" w:name="_Toc2016"/>
      <w:bookmarkStart w:id="483" w:name="_Toc23323"/>
      <w:r>
        <w:rPr>
          <w:rFonts w:asciiTheme="minorEastAsia" w:hAnsiTheme="minorEastAsia" w:eastAsiaTheme="minorEastAsia"/>
          <w:b/>
          <w:sz w:val="24"/>
        </w:rPr>
        <w:t>2.14 合同中止、终止</w:t>
      </w:r>
      <w:bookmarkEnd w:id="481"/>
      <w:bookmarkEnd w:id="482"/>
      <w:bookmarkEnd w:id="48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84" w:name="_Toc1969"/>
      <w:bookmarkStart w:id="485" w:name="_Toc17363"/>
      <w:bookmarkStart w:id="486" w:name="_Toc14525"/>
      <w:r>
        <w:rPr>
          <w:rFonts w:asciiTheme="minorEastAsia" w:hAnsiTheme="minorEastAsia" w:eastAsiaTheme="minorEastAsia"/>
          <w:b/>
          <w:sz w:val="24"/>
        </w:rPr>
        <w:t>2.15 检验和验收</w:t>
      </w:r>
      <w:bookmarkEnd w:id="484"/>
      <w:bookmarkEnd w:id="485"/>
      <w:bookmarkEnd w:id="486"/>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0"/>
        <w:rPr>
          <w:rFonts w:asciiTheme="minorEastAsia" w:hAnsiTheme="minorEastAsia" w:eastAsiaTheme="minorEastAsia"/>
          <w:b/>
          <w:sz w:val="24"/>
        </w:rPr>
      </w:pPr>
      <w:bookmarkStart w:id="487" w:name="_Toc12666"/>
      <w:bookmarkStart w:id="488" w:name="_Toc31892"/>
      <w:bookmarkStart w:id="489" w:name="_Toc2308"/>
      <w:bookmarkStart w:id="490" w:name="_Toc25198"/>
      <w:bookmarkStart w:id="491" w:name="_Toc9808"/>
      <w:r>
        <w:rPr>
          <w:rFonts w:asciiTheme="minorEastAsia" w:hAnsiTheme="minorEastAsia" w:eastAsiaTheme="minorEastAsia"/>
          <w:b/>
          <w:sz w:val="24"/>
        </w:rPr>
        <w:t>2.16 通知和送达</w:t>
      </w:r>
      <w:bookmarkEnd w:id="487"/>
      <w:bookmarkEnd w:id="488"/>
      <w:bookmarkEnd w:id="489"/>
      <w:bookmarkEnd w:id="490"/>
      <w:bookmarkEnd w:id="491"/>
    </w:p>
    <w:p>
      <w:pPr>
        <w:spacing w:line="560" w:lineRule="exact"/>
        <w:ind w:firstLine="480" w:firstLineChars="200"/>
        <w:rPr>
          <w:rFonts w:asciiTheme="minorEastAsia" w:hAnsiTheme="minorEastAsia" w:eastAsiaTheme="minorEastAsia"/>
          <w:sz w:val="24"/>
        </w:rPr>
      </w:pPr>
      <w:bookmarkStart w:id="492" w:name="_Toc18401"/>
      <w:bookmarkStart w:id="493"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2"/>
      <w:bookmarkEnd w:id="493"/>
    </w:p>
    <w:p>
      <w:pPr>
        <w:spacing w:line="560" w:lineRule="exact"/>
        <w:ind w:firstLine="482" w:firstLineChars="200"/>
        <w:outlineLvl w:val="0"/>
        <w:rPr>
          <w:rFonts w:asciiTheme="minorEastAsia" w:hAnsiTheme="minorEastAsia" w:eastAsiaTheme="minorEastAsia"/>
          <w:b/>
          <w:sz w:val="24"/>
        </w:rPr>
      </w:pPr>
      <w:bookmarkStart w:id="494" w:name="_Toc12254"/>
      <w:bookmarkStart w:id="495" w:name="_Toc20808"/>
      <w:bookmarkStart w:id="496" w:name="_Toc5063"/>
      <w:bookmarkStart w:id="497" w:name="_Toc27644"/>
      <w:bookmarkStart w:id="498" w:name="_Toc28906"/>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4"/>
      <w:bookmarkEnd w:id="495"/>
      <w:bookmarkEnd w:id="496"/>
      <w:bookmarkEnd w:id="497"/>
      <w:bookmarkEnd w:id="49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0"/>
        <w:rPr>
          <w:rFonts w:asciiTheme="minorEastAsia" w:hAnsiTheme="minorEastAsia" w:eastAsiaTheme="minorEastAsia"/>
          <w:b/>
          <w:sz w:val="24"/>
        </w:rPr>
      </w:pPr>
      <w:bookmarkStart w:id="499" w:name="_Toc27403"/>
      <w:bookmarkStart w:id="500" w:name="_Toc30096"/>
      <w:bookmarkStart w:id="501" w:name="_Toc27127"/>
      <w:bookmarkStart w:id="502" w:name="_Toc22266"/>
      <w:bookmarkStart w:id="503" w:name="_Toc1492"/>
      <w:r>
        <w:rPr>
          <w:rFonts w:asciiTheme="minorEastAsia" w:hAnsiTheme="minorEastAsia" w:eastAsiaTheme="minorEastAsia"/>
          <w:b/>
          <w:sz w:val="24"/>
        </w:rPr>
        <w:t>2.18 履约保证金</w:t>
      </w:r>
      <w:bookmarkEnd w:id="499"/>
      <w:bookmarkEnd w:id="500"/>
      <w:bookmarkEnd w:id="501"/>
      <w:bookmarkEnd w:id="502"/>
      <w:bookmarkEnd w:id="503"/>
    </w:p>
    <w:p>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4" w:name="_Toc331685784"/>
      <w:r>
        <w:rPr>
          <w:rFonts w:hint="eastAsia" w:ascii="宋体" w:hAnsi="宋体" w:cs="宋体"/>
          <w:b/>
          <w:sz w:val="24"/>
        </w:rPr>
        <w:t xml:space="preserve"> </w:t>
      </w:r>
      <w:bookmarkEnd w:id="504"/>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w:t>
            </w:r>
          </w:p>
        </w:tc>
        <w:tc>
          <w:tcPr>
            <w:tcW w:w="453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left"/>
        <w:rPr>
          <w:rFonts w:ascii="宋体" w:hAnsi="宋体" w:cs="宋体"/>
          <w:b/>
          <w:sz w:val="36"/>
          <w:szCs w:val="20"/>
        </w:rPr>
      </w:pPr>
      <w:r>
        <w:rPr>
          <w:rFonts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1"/>
      <w:r>
        <w:rPr>
          <w:rFonts w:hint="eastAsia" w:ascii="宋体" w:hAnsi="宋体" w:cs="宋体"/>
          <w:b/>
          <w:sz w:val="36"/>
          <w:szCs w:val="20"/>
        </w:rPr>
        <w:t xml:space="preserve"> </w:t>
      </w:r>
      <w:bookmarkEnd w:id="392"/>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、杭州市公共资源交易中心：</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r>
        <w:rPr>
          <w:rFonts w:hint="eastAsia" w:ascii="宋体" w:hAnsi="宋体" w:cs="宋体"/>
          <w:b/>
          <w:color w:val="FF0000"/>
          <w:kern w:val="0"/>
          <w:sz w:val="32"/>
          <w:szCs w:val="32"/>
        </w:rPr>
        <w:t>（如果有）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、杭州市公共资源交易中心</w:t>
      </w:r>
      <w:r>
        <w:rPr>
          <w:rFonts w:hint="eastAsia" w:ascii="宋体" w:hAnsi="宋体" w:cs="宋体"/>
          <w:color w:val="auto"/>
          <w:sz w:val="24"/>
          <w:lang w:val="en-US" w:eastAsia="zh-CN"/>
        </w:rPr>
        <w:t>桐庐分中心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5" w:name="_Hlk101257010"/>
      <w:r>
        <w:rPr>
          <w:rFonts w:hint="eastAsia" w:ascii="宋体" w:hAnsi="宋体" w:cs="宋体"/>
          <w:color w:val="FF0000"/>
          <w:sz w:val="24"/>
        </w:rPr>
        <w:t>（如果有)</w:t>
      </w:r>
      <w:bookmarkEnd w:id="505"/>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6"/>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、杭州市公共资源交易中心桐庐分中心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、杭州市公共资源交易中心桐庐分中心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highlight w:val="cyan"/>
          <w:lang w:val="zh-CN"/>
        </w:rPr>
        <w:t>注：</w:t>
      </w:r>
      <w:r>
        <w:rPr>
          <w:rFonts w:hint="eastAsia" w:ascii="宋体" w:hAnsi="宋体" w:cs="宋体"/>
          <w:kern w:val="0"/>
          <w:sz w:val="24"/>
          <w:highlight w:val="red"/>
          <w:lang w:val="zh-CN"/>
        </w:rPr>
        <w:t>▲</w:t>
      </w:r>
      <w:r>
        <w:rPr>
          <w:rFonts w:hint="eastAsia" w:ascii="宋体" w:hAnsi="宋体" w:cs="宋体"/>
          <w:kern w:val="0"/>
          <w:sz w:val="24"/>
          <w:highlight w:val="cyan"/>
          <w:lang w:val="zh-CN"/>
        </w:rPr>
        <w:t>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、杭州市公共资源交易中心桐庐分中心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、杭州市公共资源交易中心桐庐分中心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highlight w:val="cyan"/>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cyan"/>
        </w:rPr>
        <w:t>视为</w:t>
      </w:r>
      <w:r>
        <w:rPr>
          <w:rFonts w:hint="eastAsia" w:ascii="宋体" w:hAnsi="宋体" w:cs="宋体"/>
          <w:b/>
          <w:sz w:val="24"/>
          <w:highlight w:val="cyan"/>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cyan"/>
        </w:rPr>
      </w:pPr>
      <w:r>
        <w:rPr>
          <w:rFonts w:hint="eastAsia" w:ascii="宋体" w:hAnsi="宋体" w:cs="宋体"/>
          <w:b/>
          <w:sz w:val="24"/>
          <w:highlight w:val="cyan"/>
        </w:rPr>
        <w:t>5、特别说明：</w:t>
      </w:r>
      <w:r>
        <w:rPr>
          <w:rFonts w:hint="eastAsia" w:ascii="宋体" w:hAnsi="宋体" w:cs="宋体"/>
          <w:b/>
          <w:sz w:val="24"/>
          <w:highlight w:val="red"/>
        </w:rPr>
        <w:t>▲</w:t>
      </w:r>
      <w:r>
        <w:rPr>
          <w:rFonts w:hint="eastAsia" w:ascii="宋体" w:hAnsi="宋体" w:cs="宋体"/>
          <w:b/>
          <w:sz w:val="24"/>
          <w:highlight w:val="cyan"/>
        </w:rPr>
        <w:t>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6" w:name="OLE_LINK14"/>
      <w:bookmarkStart w:id="507" w:name="OLE_LINK13"/>
      <w:r>
        <w:rPr>
          <w:rFonts w:hint="eastAsia" w:ascii="宋体" w:hAnsi="宋体" w:cs="宋体"/>
          <w:b/>
          <w:spacing w:val="6"/>
          <w:sz w:val="32"/>
          <w:szCs w:val="32"/>
        </w:rPr>
        <w:t>残疾人福利性单位声明函</w:t>
      </w:r>
    </w:p>
    <w:bookmarkEnd w:id="506"/>
    <w:bookmarkEnd w:id="50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、杭州市公共资源交易中心桐庐分中心：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0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09"/>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1" w:name="_Toc164085800"/>
    <w:bookmarkStart w:id="512" w:name="_Toc131845147"/>
    <w:bookmarkStart w:id="513" w:name="_Toc36110187"/>
    <w:bookmarkStart w:id="514" w:name="_Toc91899912"/>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4439F"/>
    <w:multiLevelType w:val="singleLevel"/>
    <w:tmpl w:val="E664439F"/>
    <w:lvl w:ilvl="0" w:tentative="0">
      <w:start w:val="3"/>
      <w:numFmt w:val="decimal"/>
      <w:suff w:val="nothing"/>
      <w:lvlText w:val="%1、"/>
      <w:lvlJc w:val="left"/>
    </w:lvl>
  </w:abstractNum>
  <w:abstractNum w:abstractNumId="1">
    <w:nsid w:val="22110D41"/>
    <w:multiLevelType w:val="multilevel"/>
    <w:tmpl w:val="22110D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E5C82F"/>
    <w:multiLevelType w:val="singleLevel"/>
    <w:tmpl w:val="65E5C82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ZWNjNzAxZDY1ODYwOTRhMGY0ZTRmYjkwNmM5Ym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6DFF"/>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C4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96A"/>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51F"/>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2EB8"/>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D69"/>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6F97"/>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B6D"/>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226"/>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6BD0"/>
    <w:rsid w:val="01B37585"/>
    <w:rsid w:val="01C506B1"/>
    <w:rsid w:val="01D55165"/>
    <w:rsid w:val="01DF6BF8"/>
    <w:rsid w:val="01EC2C57"/>
    <w:rsid w:val="025F0711"/>
    <w:rsid w:val="026B2E25"/>
    <w:rsid w:val="02824D4D"/>
    <w:rsid w:val="02A82995"/>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F2533"/>
    <w:rsid w:val="05251E14"/>
    <w:rsid w:val="05A16594"/>
    <w:rsid w:val="05A36F5B"/>
    <w:rsid w:val="05A7762D"/>
    <w:rsid w:val="060E5941"/>
    <w:rsid w:val="06110FAF"/>
    <w:rsid w:val="06493CA7"/>
    <w:rsid w:val="065A6178"/>
    <w:rsid w:val="066F1CF3"/>
    <w:rsid w:val="06930BB8"/>
    <w:rsid w:val="06A408FC"/>
    <w:rsid w:val="06B34F7C"/>
    <w:rsid w:val="07245D42"/>
    <w:rsid w:val="07264C62"/>
    <w:rsid w:val="0779354C"/>
    <w:rsid w:val="08061376"/>
    <w:rsid w:val="08452D77"/>
    <w:rsid w:val="086401F8"/>
    <w:rsid w:val="08751CAA"/>
    <w:rsid w:val="087E4C40"/>
    <w:rsid w:val="08964B56"/>
    <w:rsid w:val="08A871D0"/>
    <w:rsid w:val="08D66AD6"/>
    <w:rsid w:val="08DA33A3"/>
    <w:rsid w:val="08E80F13"/>
    <w:rsid w:val="09335624"/>
    <w:rsid w:val="093B6C52"/>
    <w:rsid w:val="0944690F"/>
    <w:rsid w:val="09535675"/>
    <w:rsid w:val="095F057D"/>
    <w:rsid w:val="09642282"/>
    <w:rsid w:val="09733572"/>
    <w:rsid w:val="09772C16"/>
    <w:rsid w:val="098353B5"/>
    <w:rsid w:val="09A92330"/>
    <w:rsid w:val="09B06B87"/>
    <w:rsid w:val="09C13146"/>
    <w:rsid w:val="09E04166"/>
    <w:rsid w:val="09F14739"/>
    <w:rsid w:val="0A1C0718"/>
    <w:rsid w:val="0A3E7710"/>
    <w:rsid w:val="0A5B7E63"/>
    <w:rsid w:val="0AA374A5"/>
    <w:rsid w:val="0AAB7649"/>
    <w:rsid w:val="0ABC5606"/>
    <w:rsid w:val="0B30404E"/>
    <w:rsid w:val="0B4C6C14"/>
    <w:rsid w:val="0B547599"/>
    <w:rsid w:val="0B631A88"/>
    <w:rsid w:val="0B683D45"/>
    <w:rsid w:val="0B7F3F11"/>
    <w:rsid w:val="0B884417"/>
    <w:rsid w:val="0BE856C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E4367"/>
    <w:rsid w:val="0E6D5D79"/>
    <w:rsid w:val="0E9903F8"/>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84F3E"/>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87963"/>
    <w:rsid w:val="17557BEF"/>
    <w:rsid w:val="17D349C1"/>
    <w:rsid w:val="1830729E"/>
    <w:rsid w:val="1870062C"/>
    <w:rsid w:val="18817102"/>
    <w:rsid w:val="18830A15"/>
    <w:rsid w:val="18852B28"/>
    <w:rsid w:val="188B5321"/>
    <w:rsid w:val="188B5D59"/>
    <w:rsid w:val="19596573"/>
    <w:rsid w:val="197C45E7"/>
    <w:rsid w:val="19932372"/>
    <w:rsid w:val="19A20DD5"/>
    <w:rsid w:val="19AE03F1"/>
    <w:rsid w:val="1A071A03"/>
    <w:rsid w:val="1A1F16AE"/>
    <w:rsid w:val="1A3B5C77"/>
    <w:rsid w:val="1A984BAD"/>
    <w:rsid w:val="1AB8220E"/>
    <w:rsid w:val="1AE4166C"/>
    <w:rsid w:val="1AF06CFB"/>
    <w:rsid w:val="1AF11B8D"/>
    <w:rsid w:val="1B11359C"/>
    <w:rsid w:val="1B2A271F"/>
    <w:rsid w:val="1B493545"/>
    <w:rsid w:val="1B530544"/>
    <w:rsid w:val="1B713184"/>
    <w:rsid w:val="1B754AFC"/>
    <w:rsid w:val="1BA209CF"/>
    <w:rsid w:val="1BB4777D"/>
    <w:rsid w:val="1BD75AB8"/>
    <w:rsid w:val="1C0459C2"/>
    <w:rsid w:val="1C1B3B4A"/>
    <w:rsid w:val="1C88086E"/>
    <w:rsid w:val="1CAB4C1C"/>
    <w:rsid w:val="1D266CE1"/>
    <w:rsid w:val="1D3963AF"/>
    <w:rsid w:val="1D6A673C"/>
    <w:rsid w:val="1D9247AE"/>
    <w:rsid w:val="1DB567EC"/>
    <w:rsid w:val="1DF51A98"/>
    <w:rsid w:val="1E3D060F"/>
    <w:rsid w:val="1E3F7D2E"/>
    <w:rsid w:val="1E4134E4"/>
    <w:rsid w:val="1E5062B3"/>
    <w:rsid w:val="1E523514"/>
    <w:rsid w:val="1E564262"/>
    <w:rsid w:val="1E714A66"/>
    <w:rsid w:val="1E802593"/>
    <w:rsid w:val="1E8B6156"/>
    <w:rsid w:val="1EA703CC"/>
    <w:rsid w:val="1EB7330C"/>
    <w:rsid w:val="1F0A0FF3"/>
    <w:rsid w:val="1F5771FF"/>
    <w:rsid w:val="1FA557A8"/>
    <w:rsid w:val="1FE868A9"/>
    <w:rsid w:val="20034907"/>
    <w:rsid w:val="20173E4B"/>
    <w:rsid w:val="204E48BC"/>
    <w:rsid w:val="208921B3"/>
    <w:rsid w:val="20934C00"/>
    <w:rsid w:val="20973DEB"/>
    <w:rsid w:val="20B26522"/>
    <w:rsid w:val="20B44310"/>
    <w:rsid w:val="211116EB"/>
    <w:rsid w:val="212D27FA"/>
    <w:rsid w:val="216133FC"/>
    <w:rsid w:val="21823A71"/>
    <w:rsid w:val="21D56769"/>
    <w:rsid w:val="21E52EF3"/>
    <w:rsid w:val="21FB5D7B"/>
    <w:rsid w:val="22015E94"/>
    <w:rsid w:val="220B1C3D"/>
    <w:rsid w:val="221D1D20"/>
    <w:rsid w:val="22334A87"/>
    <w:rsid w:val="22925714"/>
    <w:rsid w:val="22B73EAC"/>
    <w:rsid w:val="22BE6801"/>
    <w:rsid w:val="233500BF"/>
    <w:rsid w:val="23377FF7"/>
    <w:rsid w:val="236B425F"/>
    <w:rsid w:val="23836192"/>
    <w:rsid w:val="23873AAD"/>
    <w:rsid w:val="23901F29"/>
    <w:rsid w:val="239C0061"/>
    <w:rsid w:val="23B4085A"/>
    <w:rsid w:val="23B908A4"/>
    <w:rsid w:val="23E95BEF"/>
    <w:rsid w:val="23FD0064"/>
    <w:rsid w:val="245375B0"/>
    <w:rsid w:val="24642C0A"/>
    <w:rsid w:val="24B22173"/>
    <w:rsid w:val="24B95AD9"/>
    <w:rsid w:val="24BE24DA"/>
    <w:rsid w:val="24CF5825"/>
    <w:rsid w:val="24D663E6"/>
    <w:rsid w:val="24D77F2B"/>
    <w:rsid w:val="25167837"/>
    <w:rsid w:val="257969DC"/>
    <w:rsid w:val="258B00E2"/>
    <w:rsid w:val="25A34AAF"/>
    <w:rsid w:val="25A917A6"/>
    <w:rsid w:val="25BE27CC"/>
    <w:rsid w:val="25F74A5C"/>
    <w:rsid w:val="2628662C"/>
    <w:rsid w:val="262D45DE"/>
    <w:rsid w:val="26871DC8"/>
    <w:rsid w:val="26881B2A"/>
    <w:rsid w:val="26A53EF9"/>
    <w:rsid w:val="26A94201"/>
    <w:rsid w:val="26AC274F"/>
    <w:rsid w:val="27044A29"/>
    <w:rsid w:val="271D34C8"/>
    <w:rsid w:val="276142BF"/>
    <w:rsid w:val="27783712"/>
    <w:rsid w:val="278F7785"/>
    <w:rsid w:val="27907362"/>
    <w:rsid w:val="28333E1D"/>
    <w:rsid w:val="28454BD6"/>
    <w:rsid w:val="28455253"/>
    <w:rsid w:val="28551971"/>
    <w:rsid w:val="285B1C53"/>
    <w:rsid w:val="289F7086"/>
    <w:rsid w:val="28C32028"/>
    <w:rsid w:val="28CC490F"/>
    <w:rsid w:val="28DD5A06"/>
    <w:rsid w:val="28DE40AA"/>
    <w:rsid w:val="29345E77"/>
    <w:rsid w:val="294C65AD"/>
    <w:rsid w:val="29806583"/>
    <w:rsid w:val="298B3C4C"/>
    <w:rsid w:val="29CA2459"/>
    <w:rsid w:val="29F26D24"/>
    <w:rsid w:val="2A15033F"/>
    <w:rsid w:val="2A1662C1"/>
    <w:rsid w:val="2A1C7367"/>
    <w:rsid w:val="2A2815FA"/>
    <w:rsid w:val="2A6D6092"/>
    <w:rsid w:val="2A7D76B4"/>
    <w:rsid w:val="2B404F7D"/>
    <w:rsid w:val="2B437463"/>
    <w:rsid w:val="2B7807EE"/>
    <w:rsid w:val="2BA50BF7"/>
    <w:rsid w:val="2BBF00EC"/>
    <w:rsid w:val="2BC37CFD"/>
    <w:rsid w:val="2BD5237F"/>
    <w:rsid w:val="2BE536CE"/>
    <w:rsid w:val="2BE758D9"/>
    <w:rsid w:val="2C09049E"/>
    <w:rsid w:val="2C0A653C"/>
    <w:rsid w:val="2C191F85"/>
    <w:rsid w:val="2C68227D"/>
    <w:rsid w:val="2C91401E"/>
    <w:rsid w:val="2CE82D6F"/>
    <w:rsid w:val="2D343236"/>
    <w:rsid w:val="2D5C2DDF"/>
    <w:rsid w:val="2DD15014"/>
    <w:rsid w:val="2DF72DE4"/>
    <w:rsid w:val="2E0220AF"/>
    <w:rsid w:val="2E4B082A"/>
    <w:rsid w:val="2E5D4E86"/>
    <w:rsid w:val="2E5D790B"/>
    <w:rsid w:val="2E933762"/>
    <w:rsid w:val="2E9A3C18"/>
    <w:rsid w:val="2EBB0FEE"/>
    <w:rsid w:val="2EC63002"/>
    <w:rsid w:val="2F0A6B38"/>
    <w:rsid w:val="2F946CCB"/>
    <w:rsid w:val="2FAF40C2"/>
    <w:rsid w:val="2FD25781"/>
    <w:rsid w:val="2FDC745C"/>
    <w:rsid w:val="2FFD7934"/>
    <w:rsid w:val="30733ACD"/>
    <w:rsid w:val="308C3862"/>
    <w:rsid w:val="309379D8"/>
    <w:rsid w:val="30A270F7"/>
    <w:rsid w:val="30DF1478"/>
    <w:rsid w:val="30EC586F"/>
    <w:rsid w:val="319C6071"/>
    <w:rsid w:val="31AC537E"/>
    <w:rsid w:val="31E3679B"/>
    <w:rsid w:val="31E732FD"/>
    <w:rsid w:val="3243161E"/>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A3638E"/>
    <w:rsid w:val="363A3B40"/>
    <w:rsid w:val="365302AE"/>
    <w:rsid w:val="36607A0A"/>
    <w:rsid w:val="366E227C"/>
    <w:rsid w:val="366F2E0D"/>
    <w:rsid w:val="367B6A5C"/>
    <w:rsid w:val="36A74ADA"/>
    <w:rsid w:val="36AD60D5"/>
    <w:rsid w:val="36B224F9"/>
    <w:rsid w:val="36EC0CC9"/>
    <w:rsid w:val="371C0798"/>
    <w:rsid w:val="373F410B"/>
    <w:rsid w:val="37EE7094"/>
    <w:rsid w:val="37F524EF"/>
    <w:rsid w:val="38296C89"/>
    <w:rsid w:val="383002EB"/>
    <w:rsid w:val="38586797"/>
    <w:rsid w:val="3876182C"/>
    <w:rsid w:val="389E342F"/>
    <w:rsid w:val="38BC0149"/>
    <w:rsid w:val="38D87D1C"/>
    <w:rsid w:val="39636459"/>
    <w:rsid w:val="396B7F6C"/>
    <w:rsid w:val="39B417A9"/>
    <w:rsid w:val="39FC5695"/>
    <w:rsid w:val="3A006D8E"/>
    <w:rsid w:val="3A3651E5"/>
    <w:rsid w:val="3A5E59CC"/>
    <w:rsid w:val="3A744481"/>
    <w:rsid w:val="3A8C7BEF"/>
    <w:rsid w:val="3A906246"/>
    <w:rsid w:val="3B2349B7"/>
    <w:rsid w:val="3B366115"/>
    <w:rsid w:val="3B616CFF"/>
    <w:rsid w:val="3B6259F6"/>
    <w:rsid w:val="3B976654"/>
    <w:rsid w:val="3BC01EFC"/>
    <w:rsid w:val="3BCA786A"/>
    <w:rsid w:val="3BD31E2F"/>
    <w:rsid w:val="3BF15831"/>
    <w:rsid w:val="3C105946"/>
    <w:rsid w:val="3C471448"/>
    <w:rsid w:val="3C5F759A"/>
    <w:rsid w:val="3C6C525A"/>
    <w:rsid w:val="3C8E5AC2"/>
    <w:rsid w:val="3CCE23CB"/>
    <w:rsid w:val="3CD17D17"/>
    <w:rsid w:val="3D3C7F39"/>
    <w:rsid w:val="3D440F09"/>
    <w:rsid w:val="3D4504A0"/>
    <w:rsid w:val="3D8734BB"/>
    <w:rsid w:val="3D9A11D4"/>
    <w:rsid w:val="3DA16D89"/>
    <w:rsid w:val="3DA364BE"/>
    <w:rsid w:val="3DC079A3"/>
    <w:rsid w:val="3DE041CB"/>
    <w:rsid w:val="3E0D48F6"/>
    <w:rsid w:val="3E1868B4"/>
    <w:rsid w:val="3E377251"/>
    <w:rsid w:val="3E42664B"/>
    <w:rsid w:val="3E506F79"/>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931E1"/>
    <w:rsid w:val="3FF00414"/>
    <w:rsid w:val="4019356B"/>
    <w:rsid w:val="401D6296"/>
    <w:rsid w:val="40592157"/>
    <w:rsid w:val="406E1CAE"/>
    <w:rsid w:val="40A0133A"/>
    <w:rsid w:val="40C31A53"/>
    <w:rsid w:val="40FF545D"/>
    <w:rsid w:val="410067C8"/>
    <w:rsid w:val="418F0D2A"/>
    <w:rsid w:val="41BC7097"/>
    <w:rsid w:val="41D01505"/>
    <w:rsid w:val="42474939"/>
    <w:rsid w:val="424C3C57"/>
    <w:rsid w:val="42613FF3"/>
    <w:rsid w:val="42660D96"/>
    <w:rsid w:val="428667D2"/>
    <w:rsid w:val="42AB3CF3"/>
    <w:rsid w:val="42CD1CE0"/>
    <w:rsid w:val="42E1381E"/>
    <w:rsid w:val="42ED6459"/>
    <w:rsid w:val="42FE58DD"/>
    <w:rsid w:val="43174B3D"/>
    <w:rsid w:val="434B790E"/>
    <w:rsid w:val="4360274F"/>
    <w:rsid w:val="43977AB6"/>
    <w:rsid w:val="43A3342B"/>
    <w:rsid w:val="43C77C27"/>
    <w:rsid w:val="43C97954"/>
    <w:rsid w:val="43DE09EE"/>
    <w:rsid w:val="44002FAD"/>
    <w:rsid w:val="449101DD"/>
    <w:rsid w:val="44DE1391"/>
    <w:rsid w:val="44E34AB6"/>
    <w:rsid w:val="451B225C"/>
    <w:rsid w:val="452410C9"/>
    <w:rsid w:val="45317DFB"/>
    <w:rsid w:val="456D3CE4"/>
    <w:rsid w:val="4579042C"/>
    <w:rsid w:val="457F0571"/>
    <w:rsid w:val="45851176"/>
    <w:rsid w:val="45927E77"/>
    <w:rsid w:val="45C63B94"/>
    <w:rsid w:val="460E7DA5"/>
    <w:rsid w:val="46422483"/>
    <w:rsid w:val="4659254A"/>
    <w:rsid w:val="465B0637"/>
    <w:rsid w:val="465E3F0D"/>
    <w:rsid w:val="466A16E6"/>
    <w:rsid w:val="46893F2B"/>
    <w:rsid w:val="46C4686E"/>
    <w:rsid w:val="46FE6D21"/>
    <w:rsid w:val="476B4E2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31B86"/>
    <w:rsid w:val="497654FD"/>
    <w:rsid w:val="49B64211"/>
    <w:rsid w:val="49CF3448"/>
    <w:rsid w:val="49F6167F"/>
    <w:rsid w:val="4A056E6A"/>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046FC"/>
    <w:rsid w:val="50C11EEE"/>
    <w:rsid w:val="50E97CFC"/>
    <w:rsid w:val="50FA4028"/>
    <w:rsid w:val="510D65B7"/>
    <w:rsid w:val="511157AB"/>
    <w:rsid w:val="5142540C"/>
    <w:rsid w:val="518832C8"/>
    <w:rsid w:val="518A61BF"/>
    <w:rsid w:val="519D3C50"/>
    <w:rsid w:val="51A0432A"/>
    <w:rsid w:val="51A86090"/>
    <w:rsid w:val="51B45471"/>
    <w:rsid w:val="51B7396D"/>
    <w:rsid w:val="51F9519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05B5D"/>
    <w:rsid w:val="54013861"/>
    <w:rsid w:val="54487265"/>
    <w:rsid w:val="544D6070"/>
    <w:rsid w:val="54605E1E"/>
    <w:rsid w:val="54B3506A"/>
    <w:rsid w:val="54CA0D16"/>
    <w:rsid w:val="54DD4057"/>
    <w:rsid w:val="54E7490F"/>
    <w:rsid w:val="550764A4"/>
    <w:rsid w:val="55087246"/>
    <w:rsid w:val="550B2BF6"/>
    <w:rsid w:val="55214EB5"/>
    <w:rsid w:val="55364C94"/>
    <w:rsid w:val="55364EFD"/>
    <w:rsid w:val="5559450E"/>
    <w:rsid w:val="555D4828"/>
    <w:rsid w:val="557A4C8B"/>
    <w:rsid w:val="558931E1"/>
    <w:rsid w:val="55923347"/>
    <w:rsid w:val="55925180"/>
    <w:rsid w:val="55983B1B"/>
    <w:rsid w:val="55A8376B"/>
    <w:rsid w:val="55BF6A13"/>
    <w:rsid w:val="55DC29B6"/>
    <w:rsid w:val="55DD4241"/>
    <w:rsid w:val="55F12FED"/>
    <w:rsid w:val="566B6D1E"/>
    <w:rsid w:val="5675437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7124D"/>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705DC"/>
    <w:rsid w:val="5C02690E"/>
    <w:rsid w:val="5C196DA7"/>
    <w:rsid w:val="5C2A048C"/>
    <w:rsid w:val="5C80234E"/>
    <w:rsid w:val="5C8A680C"/>
    <w:rsid w:val="5CBB76B1"/>
    <w:rsid w:val="5D0C4701"/>
    <w:rsid w:val="5D0F0395"/>
    <w:rsid w:val="5D0F3FFC"/>
    <w:rsid w:val="5D221076"/>
    <w:rsid w:val="5D397964"/>
    <w:rsid w:val="5D5A391C"/>
    <w:rsid w:val="5D5F10C0"/>
    <w:rsid w:val="5D850B8A"/>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E1088"/>
    <w:rsid w:val="61654E3F"/>
    <w:rsid w:val="6182292A"/>
    <w:rsid w:val="619F7F92"/>
    <w:rsid w:val="61BA27D8"/>
    <w:rsid w:val="61F94C26"/>
    <w:rsid w:val="62000E56"/>
    <w:rsid w:val="624F3E49"/>
    <w:rsid w:val="625B3673"/>
    <w:rsid w:val="62632286"/>
    <w:rsid w:val="62885958"/>
    <w:rsid w:val="62A870EA"/>
    <w:rsid w:val="62F40B65"/>
    <w:rsid w:val="62FC2CFE"/>
    <w:rsid w:val="630006BE"/>
    <w:rsid w:val="63024505"/>
    <w:rsid w:val="635600A5"/>
    <w:rsid w:val="635B1DB5"/>
    <w:rsid w:val="63711FED"/>
    <w:rsid w:val="63880DDC"/>
    <w:rsid w:val="638D750D"/>
    <w:rsid w:val="63AC6CC0"/>
    <w:rsid w:val="64055776"/>
    <w:rsid w:val="64240056"/>
    <w:rsid w:val="643E143A"/>
    <w:rsid w:val="64491666"/>
    <w:rsid w:val="648B6EEF"/>
    <w:rsid w:val="649E3136"/>
    <w:rsid w:val="64C158BF"/>
    <w:rsid w:val="64CE2EAA"/>
    <w:rsid w:val="65102E3B"/>
    <w:rsid w:val="651D5558"/>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0568B"/>
    <w:rsid w:val="6A2406C8"/>
    <w:rsid w:val="6A822F52"/>
    <w:rsid w:val="6A845731"/>
    <w:rsid w:val="6ADE0BD1"/>
    <w:rsid w:val="6AE96859"/>
    <w:rsid w:val="6B147746"/>
    <w:rsid w:val="6B24787C"/>
    <w:rsid w:val="6B573233"/>
    <w:rsid w:val="6B5B6274"/>
    <w:rsid w:val="6B7D26AE"/>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04980"/>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209CF"/>
    <w:rsid w:val="757C2967"/>
    <w:rsid w:val="7583797F"/>
    <w:rsid w:val="75AB6268"/>
    <w:rsid w:val="75D20F1D"/>
    <w:rsid w:val="75DA2C18"/>
    <w:rsid w:val="75E11546"/>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7181C"/>
    <w:rsid w:val="77EC04CC"/>
    <w:rsid w:val="7823286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4B688A"/>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F11A4"/>
    <w:rsid w:val="7DE60973"/>
    <w:rsid w:val="7DEF0916"/>
    <w:rsid w:val="7E1E5218"/>
    <w:rsid w:val="7E9A4E1F"/>
    <w:rsid w:val="7EA7723A"/>
    <w:rsid w:val="7EF56FBB"/>
    <w:rsid w:val="7F0768EB"/>
    <w:rsid w:val="7F143BEC"/>
    <w:rsid w:val="7F715AF2"/>
    <w:rsid w:val="7F886E69"/>
    <w:rsid w:val="7FD648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字符"/>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basedOn w:val="69"/>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2"/>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2"/>
    <w:qFormat/>
    <w:uiPriority w:val="99"/>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BF676-7BEF-4B8D-BED5-7E84D6DEF52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38540</Words>
  <Characters>40469</Characters>
  <Lines>337</Lines>
  <Paragraphs>95</Paragraphs>
  <TotalTime>36</TotalTime>
  <ScaleCrop>false</ScaleCrop>
  <LinksUpToDate>false</LinksUpToDate>
  <CharactersWithSpaces>45534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王花花</cp:lastModifiedBy>
  <cp:lastPrinted>2021-12-27T03:06:00Z</cp:lastPrinted>
  <dcterms:modified xsi:type="dcterms:W3CDTF">2023-05-15T01:19:48Z</dcterms:modified>
  <dc:title>杭州市市民卡扩大发卡工程</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