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sz w:val="52"/>
          <w:szCs w:val="52"/>
        </w:rPr>
      </w:pPr>
    </w:p>
    <w:p>
      <w:pPr>
        <w:spacing w:line="480" w:lineRule="auto"/>
        <w:jc w:val="center"/>
        <w:rPr>
          <w:rFonts w:hint="eastAsia" w:ascii="宋体" w:hAnsi="宋体" w:eastAsia="宋体" w:cs="Courier New"/>
          <w:b/>
          <w:color w:val="FF0000"/>
          <w:sz w:val="32"/>
          <w:szCs w:val="32"/>
          <w:lang w:eastAsia="zh-CN"/>
        </w:rPr>
      </w:pPr>
      <w:bookmarkStart w:id="0" w:name="_Hlt67893495"/>
      <w:bookmarkEnd w:id="0"/>
      <w:r>
        <w:rPr>
          <w:rFonts w:hint="eastAsia" w:ascii="宋体" w:hAnsi="宋体" w:cs="Courier New"/>
          <w:b/>
          <w:bCs/>
          <w:color w:val="000000"/>
          <w:sz w:val="32"/>
          <w:szCs w:val="32"/>
          <w:lang w:eastAsia="zh-CN"/>
        </w:rPr>
        <w:t>桐庐县生态环境污染隐患主动预警干预提质扩面项目（第二次）</w:t>
      </w:r>
    </w:p>
    <w:p>
      <w:pPr>
        <w:pStyle w:val="13"/>
        <w:spacing w:line="480" w:lineRule="auto"/>
        <w:jc w:val="center"/>
        <w:rPr>
          <w:rFonts w:hAnsi="宋体"/>
          <w:b/>
          <w:sz w:val="56"/>
          <w:szCs w:val="72"/>
        </w:rPr>
      </w:pPr>
      <w:r>
        <w:rPr>
          <w:rFonts w:hint="eastAsia" w:hAnsi="宋体"/>
          <w:b/>
          <w:sz w:val="56"/>
          <w:szCs w:val="72"/>
        </w:rPr>
        <w:t>竞争性磋商文件</w:t>
      </w:r>
    </w:p>
    <w:p>
      <w:pPr>
        <w:pStyle w:val="13"/>
        <w:spacing w:line="480" w:lineRule="auto"/>
        <w:jc w:val="center"/>
        <w:rPr>
          <w:rFonts w:hAnsi="宋体" w:cs="Courier New"/>
          <w:b/>
          <w:bCs/>
          <w:color w:val="000000"/>
          <w:sz w:val="32"/>
          <w:szCs w:val="32"/>
        </w:rPr>
      </w:pPr>
      <w:r>
        <w:rPr>
          <w:rFonts w:hint="eastAsia" w:hAnsi="宋体" w:cs="Courier New"/>
          <w:b/>
          <w:bCs/>
          <w:color w:val="000000"/>
          <w:sz w:val="32"/>
          <w:szCs w:val="32"/>
        </w:rPr>
        <w:t>(政府采购)</w:t>
      </w:r>
    </w:p>
    <w:p>
      <w:pPr>
        <w:spacing w:line="480" w:lineRule="auto"/>
        <w:jc w:val="center"/>
        <w:rPr>
          <w:rFonts w:ascii="宋体" w:hAnsi="宋体"/>
          <w:szCs w:val="28"/>
        </w:rPr>
      </w:pPr>
      <w:r>
        <w:rPr>
          <w:rFonts w:hint="eastAsia" w:ascii="宋体" w:hAnsi="宋体"/>
          <w:szCs w:val="28"/>
        </w:rPr>
        <w:t>（编号：</w:t>
      </w:r>
      <w:r>
        <w:rPr>
          <w:rFonts w:hint="eastAsia" w:ascii="宋体" w:hAnsi="宋体"/>
          <w:szCs w:val="21"/>
          <w:lang w:eastAsia="zh-CN"/>
        </w:rPr>
        <w:t>TLHT-CG-2024-004-1</w:t>
      </w:r>
      <w:r>
        <w:rPr>
          <w:rFonts w:hint="eastAsia" w:ascii="宋体" w:hAnsi="宋体"/>
          <w:szCs w:val="28"/>
        </w:rPr>
        <w:t>）</w:t>
      </w:r>
    </w:p>
    <w:p>
      <w:pPr>
        <w:tabs>
          <w:tab w:val="left" w:pos="1980"/>
          <w:tab w:val="left" w:pos="3240"/>
          <w:tab w:val="left" w:pos="3420"/>
          <w:tab w:val="left" w:pos="3600"/>
          <w:tab w:val="left" w:pos="3780"/>
        </w:tabs>
        <w:spacing w:line="960" w:lineRule="auto"/>
        <w:rPr>
          <w:rFonts w:ascii="宋体" w:hAnsi="宋体" w:cs="宋体"/>
          <w:b/>
          <w:spacing w:val="-20"/>
          <w:kern w:val="10"/>
          <w:sz w:val="30"/>
          <w:szCs w:val="32"/>
          <w:u w:val="single"/>
        </w:rPr>
      </w:pPr>
      <w:r>
        <w:rPr>
          <w:rFonts w:hint="eastAsia" w:ascii="宋体" w:hAnsi="宋体" w:cs="宋体"/>
          <w:sz w:val="32"/>
        </w:rPr>
        <w:t>采购单位 ：</w:t>
      </w:r>
      <w:r>
        <w:rPr>
          <w:rFonts w:hint="eastAsia" w:ascii="宋体" w:hAnsi="宋体" w:cs="宋体"/>
          <w:sz w:val="32"/>
          <w:u w:val="single"/>
        </w:rPr>
        <w:t xml:space="preserve"> </w:t>
      </w:r>
      <w:r>
        <w:rPr>
          <w:rFonts w:hint="eastAsia" w:ascii="宋体" w:hAnsi="宋体" w:cs="宋体"/>
          <w:sz w:val="33"/>
          <w:szCs w:val="33"/>
          <w:u w:val="single"/>
        </w:rPr>
        <w:t xml:space="preserve">    杭州市生态环境局桐庐分局    （盖章）</w:t>
      </w:r>
      <w:r>
        <w:rPr>
          <w:rFonts w:hint="eastAsia" w:ascii="宋体" w:hAnsi="宋体" w:cs="宋体"/>
          <w:b/>
          <w:spacing w:val="-20"/>
          <w:kern w:val="10"/>
          <w:sz w:val="30"/>
          <w:szCs w:val="32"/>
          <w:u w:val="single"/>
        </w:rPr>
        <w:t xml:space="preserve"> </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u w:val="single"/>
        </w:rPr>
        <w:t xml:space="preserve">       徐江宏         </w:t>
      </w:r>
      <w:r>
        <w:rPr>
          <w:rFonts w:hint="eastAsia" w:ascii="宋体" w:hAnsi="宋体" w:cs="宋体"/>
          <w:sz w:val="33"/>
          <w:szCs w:val="33"/>
          <w:u w:val="single"/>
        </w:rPr>
        <w:t xml:space="preserve">      </w:t>
      </w:r>
    </w:p>
    <w:p>
      <w:pPr>
        <w:tabs>
          <w:tab w:val="left" w:pos="1620"/>
          <w:tab w:val="left" w:pos="1800"/>
          <w:tab w:val="left" w:pos="1980"/>
        </w:tabs>
        <w:spacing w:line="960" w:lineRule="auto"/>
        <w:rPr>
          <w:rFonts w:ascii="宋体" w:hAnsi="宋体" w:cs="宋体"/>
          <w:w w:val="90"/>
          <w:sz w:val="33"/>
          <w:szCs w:val="33"/>
          <w:u w:val="single"/>
        </w:rPr>
      </w:pPr>
      <w:r>
        <w:rPr>
          <w:rFonts w:hint="eastAsia" w:ascii="宋体" w:hAnsi="宋体" w:cs="宋体"/>
          <w:sz w:val="33"/>
          <w:szCs w:val="33"/>
        </w:rPr>
        <w:t>采购代理机构：</w:t>
      </w:r>
      <w:r>
        <w:rPr>
          <w:rFonts w:hint="eastAsia" w:ascii="宋体" w:hAnsi="宋体" w:cs="宋体"/>
          <w:sz w:val="33"/>
          <w:szCs w:val="33"/>
          <w:u w:val="single"/>
        </w:rPr>
        <w:t xml:space="preserve">    桐庐鸿泰工程咨询有限公司   （盖章）</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u w:val="single"/>
        </w:rPr>
        <w:t xml:space="preserve">       </w:t>
      </w:r>
      <w:r>
        <w:rPr>
          <w:rFonts w:hint="eastAsia" w:ascii="宋体" w:hAnsi="宋体" w:cs="宋体"/>
          <w:sz w:val="33"/>
          <w:szCs w:val="33"/>
          <w:u w:val="single"/>
        </w:rPr>
        <w:t>叶   灵  　</w:t>
      </w:r>
      <w:r>
        <w:rPr>
          <w:rFonts w:hint="eastAsia" w:ascii="宋体" w:hAnsi="宋体" w:cs="宋体"/>
          <w:sz w:val="32"/>
          <w:u w:val="single"/>
        </w:rPr>
        <w:t xml:space="preserve">　         </w:t>
      </w:r>
    </w:p>
    <w:p>
      <w:pPr>
        <w:spacing w:line="360" w:lineRule="auto"/>
        <w:jc w:val="center"/>
        <w:rPr>
          <w:rFonts w:ascii="宋体" w:hAnsi="宋体" w:cs="宋体"/>
          <w:sz w:val="33"/>
          <w:szCs w:val="33"/>
        </w:rPr>
      </w:pPr>
      <w:r>
        <w:rPr>
          <w:rFonts w:hint="eastAsia" w:ascii="宋体" w:hAnsi="宋体" w:cs="宋体"/>
          <w:sz w:val="33"/>
          <w:szCs w:val="33"/>
        </w:rPr>
        <w:t>2024年0</w:t>
      </w:r>
      <w:r>
        <w:rPr>
          <w:rFonts w:hint="eastAsia" w:ascii="宋体" w:hAnsi="宋体" w:cs="宋体"/>
          <w:sz w:val="33"/>
          <w:szCs w:val="33"/>
          <w:lang w:val="en-US" w:eastAsia="zh-CN"/>
        </w:rPr>
        <w:t>4</w:t>
      </w:r>
      <w:r>
        <w:rPr>
          <w:rFonts w:hint="eastAsia" w:ascii="宋体" w:hAnsi="宋体" w:cs="宋体"/>
          <w:sz w:val="33"/>
          <w:szCs w:val="33"/>
        </w:rPr>
        <w:t>月</w:t>
      </w:r>
    </w:p>
    <w:p>
      <w:pPr>
        <w:spacing w:line="360" w:lineRule="auto"/>
        <w:jc w:val="center"/>
        <w:rPr>
          <w:rFonts w:ascii="宋体" w:hAnsi="宋体" w:cs="宋体"/>
          <w:sz w:val="33"/>
          <w:szCs w:val="33"/>
        </w:rPr>
      </w:pPr>
    </w:p>
    <w:p>
      <w:pPr>
        <w:spacing w:line="360" w:lineRule="auto"/>
        <w:jc w:val="center"/>
        <w:rPr>
          <w:rFonts w:ascii="宋体" w:hAnsi="宋体" w:cs="宋体"/>
          <w:sz w:val="33"/>
          <w:szCs w:val="33"/>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竞争性磋商公告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磋商供应商须知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pStyle w:val="8"/>
        <w:rPr>
          <w:rFonts w:ascii="宋体" w:hAnsi="宋体" w:cs="宋体"/>
          <w:sz w:val="24"/>
        </w:rPr>
      </w:pPr>
    </w:p>
    <w:p>
      <w:pPr>
        <w:rPr>
          <w:rFonts w:ascii="宋体" w:hAnsi="宋体" w:cs="宋体"/>
          <w:sz w:val="24"/>
        </w:rPr>
      </w:pPr>
    </w:p>
    <w:bookmarkEnd w:id="2"/>
    <w:p>
      <w:pPr>
        <w:adjustRightInd/>
        <w:spacing w:line="360" w:lineRule="auto"/>
        <w:outlineLvl w:val="0"/>
        <w:rPr>
          <w:rFonts w:ascii="宋体" w:hAnsi="宋体" w:cs="宋体"/>
          <w:b/>
          <w:sz w:val="36"/>
          <w:szCs w:val="20"/>
        </w:rPr>
      </w:pPr>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p>
    <w:p>
      <w:pPr>
        <w:pStyle w:val="29"/>
        <w:rPr>
          <w:rFonts w:ascii="宋体" w:hAnsi="宋体" w:cs="宋体"/>
          <w:b/>
          <w:sz w:val="36"/>
          <w:szCs w:val="20"/>
        </w:rPr>
      </w:pPr>
    </w:p>
    <w:p>
      <w:pPr>
        <w:pStyle w:val="29"/>
        <w:rPr>
          <w:rFonts w:ascii="宋体"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桐庐县生态环境污染隐患主动预警干预提质扩面项目（第二次）</w:t>
      </w:r>
      <w:r>
        <w:rPr>
          <w:rFonts w:hint="eastAsia" w:ascii="宋体" w:hAnsi="宋体" w:cs="宋体"/>
          <w:sz w:val="24"/>
        </w:rPr>
        <w:t>的潜在供应商应在政采云平台（</w:t>
      </w:r>
      <w:r>
        <w:fldChar w:fldCharType="begin"/>
      </w:r>
      <w:r>
        <w:instrText xml:space="preserve"> HYPERLINK "https://www.zcygov.cn/）获取（下载）招标文件，并于2021年" </w:instrText>
      </w:r>
      <w:r>
        <w:fldChar w:fldCharType="separate"/>
      </w:r>
      <w:r>
        <w:rPr>
          <w:rStyle w:val="27"/>
          <w:rFonts w:hint="eastAsia" w:ascii="宋体" w:hAnsi="宋体" w:eastAsia="宋体" w:cs="宋体"/>
          <w:snapToGrid/>
          <w:color w:val="auto"/>
          <w:kern w:val="2"/>
          <w:sz w:val="24"/>
          <w:szCs w:val="24"/>
        </w:rPr>
        <w:t>https://www.zcygov.cn/）获取（下载</w:t>
      </w:r>
      <w:r>
        <w:rPr>
          <w:rFonts w:hint="eastAsia" w:ascii="宋体" w:hAnsi="宋体" w:cs="宋体"/>
          <w:sz w:val="24"/>
        </w:rPr>
        <w:t>）竞争性磋商文件</w:t>
      </w:r>
      <w:r>
        <w:rPr>
          <w:rStyle w:val="27"/>
          <w:rFonts w:hint="eastAsia" w:ascii="宋体" w:hAnsi="宋体" w:eastAsia="宋体" w:cs="宋体"/>
          <w:snapToGrid/>
          <w:color w:val="auto"/>
          <w:kern w:val="2"/>
          <w:sz w:val="24"/>
          <w:szCs w:val="24"/>
        </w:rPr>
        <w:t>，并于</w:t>
      </w:r>
      <w:r>
        <w:rPr>
          <w:rFonts w:hint="eastAsia" w:ascii="宋体" w:hAnsi="宋体" w:cs="宋体"/>
          <w:sz w:val="24"/>
          <w:u w:val="single"/>
          <w:lang w:eastAsia="zh-CN"/>
        </w:rPr>
        <w:t>2024年04月19日09点30分00秒</w:t>
      </w:r>
      <w:r>
        <w:rPr>
          <w:rFonts w:hint="eastAsia" w:ascii="宋体" w:hAnsi="宋体" w:cs="宋体"/>
          <w:sz w:val="24"/>
          <w:u w:val="single"/>
        </w:rPr>
        <w:fldChar w:fldCharType="end"/>
      </w:r>
      <w:r>
        <w:rPr>
          <w:rFonts w:hint="eastAsia" w:ascii="宋体" w:hAnsi="宋体" w:cs="宋体"/>
          <w:bCs/>
          <w:sz w:val="24"/>
        </w:rPr>
        <w:t>（北京时间）前</w:t>
      </w:r>
      <w:r>
        <w:rPr>
          <w:rFonts w:hint="eastAsia" w:ascii="宋体" w:hAnsi="宋体" w:cs="宋体"/>
          <w:sz w:val="24"/>
        </w:rPr>
        <w:t>递交（上传）磋商响应文件。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hint="eastAsia" w:ascii="宋体" w:hAnsi="宋体" w:eastAsia="宋体" w:cs="宋体"/>
          <w:sz w:val="24"/>
          <w:lang w:eastAsia="zh-CN"/>
        </w:rPr>
      </w:pPr>
      <w:r>
        <w:rPr>
          <w:rFonts w:hint="eastAsia" w:ascii="宋体" w:hAnsi="宋体" w:cs="宋体"/>
          <w:b/>
          <w:sz w:val="24"/>
        </w:rPr>
        <w:t>项目编号：</w:t>
      </w:r>
      <w:r>
        <w:rPr>
          <w:rFonts w:hint="eastAsia" w:ascii="宋体" w:hAnsi="宋体" w:cs="宋体"/>
          <w:sz w:val="24"/>
          <w:lang w:eastAsia="zh-CN"/>
        </w:rPr>
        <w:t>TLHT-CG-2024-004-1</w:t>
      </w:r>
    </w:p>
    <w:p>
      <w:pPr>
        <w:spacing w:line="360" w:lineRule="auto"/>
        <w:ind w:firstLine="480"/>
        <w:rPr>
          <w:rFonts w:hint="eastAsia" w:ascii="宋体" w:hAnsi="宋体" w:eastAsia="宋体" w:cs="宋体"/>
          <w:sz w:val="24"/>
          <w:lang w:eastAsia="zh-CN"/>
        </w:rPr>
      </w:pPr>
      <w:r>
        <w:rPr>
          <w:rFonts w:hint="eastAsia" w:ascii="宋体" w:hAnsi="宋体" w:cs="宋体"/>
          <w:b/>
          <w:sz w:val="24"/>
        </w:rPr>
        <w:t>项目名称：</w:t>
      </w:r>
      <w:r>
        <w:rPr>
          <w:rFonts w:hint="eastAsia" w:ascii="宋体" w:hAnsi="宋体" w:cs="宋体"/>
          <w:sz w:val="24"/>
          <w:lang w:eastAsia="zh-CN"/>
        </w:rPr>
        <w:t>桐庐县生态环境污染隐患主动预警干预提质扩面项目（第二次）</w:t>
      </w:r>
    </w:p>
    <w:p>
      <w:pPr>
        <w:spacing w:line="360" w:lineRule="auto"/>
        <w:ind w:firstLine="480"/>
        <w:rPr>
          <w:rFonts w:ascii="宋体" w:hAnsi="宋体" w:cs="宋体"/>
          <w:sz w:val="24"/>
        </w:rPr>
      </w:pPr>
      <w:r>
        <w:rPr>
          <w:rFonts w:hint="eastAsia" w:ascii="宋体" w:hAnsi="宋体" w:cs="宋体"/>
          <w:b/>
          <w:sz w:val="24"/>
        </w:rPr>
        <w:t>预算金额（元）：</w:t>
      </w:r>
      <w:r>
        <w:rPr>
          <w:rFonts w:hint="eastAsia" w:ascii="宋体" w:hAnsi="宋体" w:cs="宋体"/>
          <w:bCs/>
          <w:sz w:val="24"/>
        </w:rPr>
        <w:t>3820000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rPr>
        <w:t>3820000</w:t>
      </w:r>
    </w:p>
    <w:p>
      <w:pPr>
        <w:pStyle w:val="5"/>
        <w:spacing w:line="360" w:lineRule="auto"/>
        <w:ind w:firstLine="480"/>
        <w:rPr>
          <w:rFonts w:hAnsi="宋体" w:cs="宋体"/>
          <w:b/>
          <w:color w:val="auto"/>
          <w:sz w:val="24"/>
        </w:rPr>
      </w:pPr>
      <w:r>
        <w:rPr>
          <w:rFonts w:hint="eastAsia" w:hAnsi="宋体" w:cs="宋体"/>
          <w:b/>
          <w:color w:val="auto"/>
          <w:sz w:val="24"/>
        </w:rPr>
        <w:t>采购需求：</w:t>
      </w:r>
      <w:r>
        <w:rPr>
          <w:rFonts w:hint="eastAsia" w:hAnsi="宋体" w:cs="宋体"/>
          <w:bCs/>
          <w:color w:val="auto"/>
          <w:sz w:val="24"/>
        </w:rPr>
        <w:t>详见竞争性磋商文件第三部分采购需求。</w:t>
      </w:r>
    </w:p>
    <w:p>
      <w:pPr>
        <w:spacing w:line="360" w:lineRule="auto"/>
        <w:ind w:firstLine="480"/>
        <w:rPr>
          <w:rFonts w:ascii="宋体" w:hAnsi="宋体" w:cs="宋体" w:eastAsiaTheme="minorEastAsia"/>
          <w:bCs/>
          <w:sz w:val="24"/>
        </w:rPr>
      </w:pPr>
      <w:r>
        <w:rPr>
          <w:rFonts w:hint="eastAsia" w:ascii="宋体" w:hAnsi="宋体" w:cs="宋体"/>
          <w:b/>
          <w:sz w:val="24"/>
        </w:rPr>
        <w:t>合同履约期限：</w:t>
      </w:r>
      <w:r>
        <w:rPr>
          <w:rFonts w:hint="eastAsia" w:cs="宋体" w:asciiTheme="minorEastAsia" w:hAnsiTheme="minorEastAsia" w:eastAsiaTheme="minorEastAsia"/>
          <w:bCs/>
          <w:sz w:val="24"/>
        </w:rPr>
        <w:t>详见磋商文件第三部分采购需求。</w:t>
      </w:r>
    </w:p>
    <w:p>
      <w:pPr>
        <w:pStyle w:val="5"/>
        <w:spacing w:line="360" w:lineRule="auto"/>
        <w:ind w:firstLine="480"/>
        <w:rPr>
          <w:rFonts w:hAnsi="宋体" w:cs="宋体"/>
          <w:b/>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是，</w:t>
      </w:r>
      <w:sdt>
        <w:sdtPr>
          <w:rPr>
            <w:rFonts w:hint="eastAsia" w:hAnsi="宋体" w:cs="宋体"/>
            <w:color w:val="auto"/>
            <w:kern w:val="0"/>
            <w:sz w:val="24"/>
          </w:rPr>
          <w:id w:val="-1765526721"/>
        </w:sdtPr>
        <w:sdtEndPr>
          <w:rPr>
            <w:rFonts w:hint="eastAsia" w:hAnsi="宋体" w:cs="宋体"/>
            <w:color w:val="auto"/>
            <w:kern w:val="0"/>
            <w:sz w:val="24"/>
          </w:rPr>
        </w:sdtEndPr>
        <w:sdtContent>
          <w:r>
            <w:rPr>
              <w:rFonts w:ascii="Wingdings" w:hAnsi="Wingdings"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无；</w:t>
      </w:r>
    </w:p>
    <w:p>
      <w:pPr>
        <w:spacing w:line="360" w:lineRule="auto"/>
        <w:ind w:firstLine="480" w:firstLineChars="200"/>
        <w:rPr>
          <w:rFonts w:ascii="宋体" w:hAnsi="宋体" w:cs="宋体"/>
          <w:sz w:val="24"/>
          <w:u w:val="single"/>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rPr>
      </w:pPr>
      <w:sdt>
        <w:sdtPr>
          <w:rPr>
            <w:rFonts w:hint="eastAsia" w:ascii="宋体" w:hAnsi="宋体" w:cs="宋体"/>
            <w:kern w:val="0"/>
            <w:sz w:val="24"/>
          </w:rPr>
          <w:id w:val="-2141025358"/>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3.本项目的特定资格要求：/</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三、获取竞争性磋商文件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19</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30分</w:t>
      </w:r>
      <w:bookmarkStart w:id="402" w:name="_GoBack"/>
      <w:bookmarkEnd w:id="402"/>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四、提交磋商响应文件截止时间、开标时间和地点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提交磋商响应文件截止时间：</w:t>
      </w:r>
      <w:r>
        <w:rPr>
          <w:rFonts w:hint="eastAsia" w:ascii="宋体" w:hAnsi="宋体" w:cs="宋体"/>
          <w:sz w:val="24"/>
          <w:u w:val="single"/>
        </w:rPr>
        <w:t xml:space="preserve"> </w:t>
      </w:r>
      <w:r>
        <w:rPr>
          <w:rFonts w:hint="eastAsia" w:ascii="宋体" w:hAnsi="宋体" w:cs="宋体"/>
          <w:sz w:val="24"/>
          <w:u w:val="single"/>
          <w:lang w:eastAsia="zh-CN"/>
        </w:rPr>
        <w:t>2024年04月19日09点30分</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lang w:eastAsia="zh-CN"/>
        </w:rPr>
        <w:t>2024年04月19日09点30分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自本公告发布之日起3个工作日。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竞争性磋商文件使自己的权益受到损害的，可以自获取竞争性磋商文件之日或者竞争性磋商公告期限届满之日（公告期限届满后获取竞争性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竞争性磋商文件的第二部分总则。（2）电子招投标的说明：①电子招投标：本项目以数据电文形式，依托“政府采购云平台（www.zcygov.cn）”进行招投标活动，不接受纸质磋商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竞争性磋商文件的获取：使用账号登录或者使用CA登录政采云平台；进入“项目采购”应用，在获取采购文件菜单中选择项目，获取竞争性磋商文件；④磋商响应文件的制作：在“政采云电子交易客户端”中完成“填写基本信息”、“导入磋商响应文件”、“标书关联”、“标书检查”、“电子签名”、“生成电子标书”等操作；⑤采购人、采购机构将依托政采云平台完成本项目的电子交易活动，平台不接受未按上述方式获取竞争性磋商文件的供应商进行投标活动；⑥对未按上述方式获取竞争性磋商文件的供应商对该文件提出的质疑，采购人或采购代理机构将不予处理；⑦不提供竞争性磋商文件纸质版；⑧磋商响应文件的传输递交：供应商在投标截止时间前将加密的磋商响应文件上传至政府采购云平台，还可以在投标截止时间前直接提交或者以邮政快递方式递交备份磋商响应文件1份。备份磋商响应文件的制作、存储、密封详见竞争性磋商文件第二部分第15点—“备份磋商响应文件”；⑨磋商响应文件的解密：供应商按照平台提示和竞争性磋商文件的规定在半小时内完成在线解密。通过“政府采购云平台”上传递交的磋商响应文件无法按时解密，投标供应商递交了备份磋商响应文件的，以备份磋商响应文件为依据，否则视为磋商响应文件撤回。通过“政府采购云平台”上传递交的磋商响应文件已按时解密的，备份磋商响应文件自动失效。供应商仅提交备份磋商响应文件，没有在电子交易平台传输递交磋商响应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ascii="宋体" w:hAnsi="宋体" w:cs="宋体"/>
          <w:sz w:val="24"/>
        </w:rPr>
      </w:pPr>
      <w:r>
        <w:rPr>
          <w:rFonts w:hint="eastAsia" w:ascii="宋体" w:hAnsi="宋体" w:cs="宋体"/>
          <w:sz w:val="24"/>
        </w:rPr>
        <w:t xml:space="preserve">名    称：杭州市生态环境局桐庐分局 </w:t>
      </w:r>
    </w:p>
    <w:p>
      <w:pPr>
        <w:spacing w:line="360" w:lineRule="auto"/>
        <w:ind w:firstLine="480" w:firstLineChars="200"/>
        <w:rPr>
          <w:rFonts w:ascii="宋体" w:hAnsi="宋体" w:cs="宋体"/>
          <w:sz w:val="24"/>
        </w:rPr>
      </w:pPr>
      <w:r>
        <w:rPr>
          <w:rFonts w:hint="eastAsia" w:ascii="宋体" w:hAnsi="宋体" w:cs="宋体"/>
          <w:sz w:val="24"/>
        </w:rPr>
        <w:t xml:space="preserve">项目联系人：蒋一腾   </w:t>
      </w:r>
    </w:p>
    <w:p>
      <w:pPr>
        <w:spacing w:line="360" w:lineRule="auto"/>
        <w:ind w:firstLine="480" w:firstLineChars="200"/>
        <w:rPr>
          <w:rFonts w:ascii="宋体" w:hAnsi="宋体" w:cs="宋体"/>
          <w:sz w:val="24"/>
        </w:rPr>
      </w:pPr>
      <w:r>
        <w:rPr>
          <w:rFonts w:hint="eastAsia" w:ascii="宋体" w:hAnsi="宋体" w:cs="宋体"/>
          <w:sz w:val="24"/>
        </w:rPr>
        <w:t xml:space="preserve">项目联系方式：15867156794 </w:t>
      </w:r>
    </w:p>
    <w:p>
      <w:pPr>
        <w:spacing w:line="360" w:lineRule="auto"/>
        <w:ind w:firstLine="480" w:firstLineChars="200"/>
        <w:rPr>
          <w:rFonts w:ascii="宋体" w:hAnsi="宋体" w:cs="宋体"/>
          <w:sz w:val="24"/>
        </w:rPr>
      </w:pPr>
      <w:r>
        <w:rPr>
          <w:rFonts w:hint="eastAsia" w:ascii="宋体" w:hAnsi="宋体" w:cs="宋体"/>
          <w:sz w:val="24"/>
        </w:rPr>
        <w:t>质疑联系人：林杰</w:t>
      </w:r>
    </w:p>
    <w:p>
      <w:pPr>
        <w:spacing w:line="360" w:lineRule="auto"/>
        <w:ind w:firstLine="480" w:firstLineChars="200"/>
        <w:rPr>
          <w:rFonts w:ascii="宋体" w:hAnsi="宋体" w:cs="宋体"/>
          <w:sz w:val="24"/>
        </w:rPr>
      </w:pPr>
      <w:r>
        <w:rPr>
          <w:rFonts w:hint="eastAsia" w:ascii="宋体" w:hAnsi="宋体" w:cs="宋体"/>
          <w:sz w:val="24"/>
        </w:rPr>
        <w:t>质疑联系方式：0571-89546236</w:t>
      </w:r>
    </w:p>
    <w:p>
      <w:pPr>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ascii="宋体" w:hAnsi="宋体" w:cs="宋体"/>
          <w:sz w:val="24"/>
        </w:rPr>
      </w:pPr>
      <w:r>
        <w:rPr>
          <w:rFonts w:hint="eastAsia" w:ascii="宋体" w:hAnsi="宋体" w:cs="宋体"/>
          <w:sz w:val="24"/>
        </w:rPr>
        <w:t>名    称：桐庐鸿泰工程咨询有限公司</w:t>
      </w:r>
    </w:p>
    <w:p>
      <w:pPr>
        <w:spacing w:line="360" w:lineRule="auto"/>
        <w:ind w:firstLine="480" w:firstLineChars="200"/>
        <w:rPr>
          <w:rFonts w:ascii="宋体" w:hAnsi="宋体" w:cs="宋体"/>
          <w:sz w:val="24"/>
        </w:rPr>
      </w:pPr>
      <w:r>
        <w:rPr>
          <w:rFonts w:hint="eastAsia" w:ascii="宋体" w:hAnsi="宋体" w:cs="宋体"/>
          <w:sz w:val="24"/>
        </w:rPr>
        <w:t xml:space="preserve">地    址：桐庐县迎春南路88号桦桐大厦20楼           </w:t>
      </w:r>
    </w:p>
    <w:p>
      <w:pPr>
        <w:spacing w:line="360" w:lineRule="auto"/>
        <w:ind w:firstLine="480" w:firstLineChars="200"/>
        <w:rPr>
          <w:rFonts w:ascii="宋体" w:hAnsi="宋体" w:cs="宋体"/>
          <w:sz w:val="24"/>
        </w:rPr>
      </w:pPr>
      <w:r>
        <w:rPr>
          <w:rFonts w:hint="eastAsia" w:ascii="宋体" w:hAnsi="宋体" w:cs="宋体"/>
          <w:sz w:val="24"/>
        </w:rPr>
        <w:t xml:space="preserve">项目联系人：孙鸣         </w:t>
      </w:r>
    </w:p>
    <w:p>
      <w:pPr>
        <w:spacing w:line="360" w:lineRule="auto"/>
        <w:rPr>
          <w:rFonts w:ascii="宋体" w:hAnsi="宋体" w:cs="宋体"/>
          <w:sz w:val="24"/>
        </w:rPr>
      </w:pPr>
      <w:r>
        <w:rPr>
          <w:rFonts w:hint="eastAsia" w:ascii="宋体" w:hAnsi="宋体" w:cs="宋体"/>
          <w:sz w:val="24"/>
        </w:rPr>
        <w:t xml:space="preserve">    项目联系方式： 15168292397 </w:t>
      </w:r>
    </w:p>
    <w:p>
      <w:pPr>
        <w:spacing w:line="360" w:lineRule="auto"/>
        <w:ind w:firstLine="480" w:firstLineChars="200"/>
        <w:rPr>
          <w:rFonts w:ascii="宋体" w:hAnsi="宋体" w:cs="宋体"/>
          <w:sz w:val="24"/>
        </w:rPr>
      </w:pPr>
      <w:r>
        <w:rPr>
          <w:rFonts w:hint="eastAsia" w:ascii="宋体" w:hAnsi="宋体" w:cs="宋体"/>
          <w:sz w:val="24"/>
        </w:rPr>
        <w:t>3.同级政府采购监督管理部门</w:t>
      </w:r>
    </w:p>
    <w:p>
      <w:pPr>
        <w:spacing w:line="360" w:lineRule="auto"/>
        <w:ind w:firstLine="480" w:firstLineChars="200"/>
        <w:rPr>
          <w:rFonts w:ascii="宋体" w:hAnsi="宋体" w:cs="宋体"/>
          <w:sz w:val="24"/>
        </w:rPr>
      </w:pPr>
      <w:r>
        <w:rPr>
          <w:rFonts w:hint="eastAsia" w:ascii="宋体" w:hAnsi="宋体" w:cs="宋体"/>
          <w:sz w:val="24"/>
        </w:rPr>
        <w:t>名    称：桐庐县财政局、浙江省政府采购行政裁决服务中心（杭州）</w:t>
      </w:r>
    </w:p>
    <w:p>
      <w:pPr>
        <w:spacing w:line="360" w:lineRule="auto"/>
        <w:ind w:firstLine="480" w:firstLineChars="200"/>
        <w:rPr>
          <w:rFonts w:ascii="宋体" w:hAnsi="宋体" w:cs="宋体"/>
          <w:sz w:val="24"/>
        </w:rPr>
      </w:pPr>
      <w:r>
        <w:rPr>
          <w:rFonts w:hint="eastAsia" w:ascii="宋体" w:hAnsi="宋体" w:cs="宋体"/>
          <w:sz w:val="24"/>
        </w:rPr>
        <w:t>地    址：杭州市上城区四季青街道新业路市民之家G03办公室（快递仅限ems或顺丰）</w:t>
      </w:r>
    </w:p>
    <w:p>
      <w:pPr>
        <w:spacing w:line="360" w:lineRule="auto"/>
        <w:ind w:firstLine="480" w:firstLineChars="200"/>
        <w:rPr>
          <w:rFonts w:ascii="宋体" w:hAnsi="宋体" w:cs="宋体"/>
          <w:sz w:val="24"/>
        </w:rPr>
      </w:pPr>
      <w:r>
        <w:rPr>
          <w:rFonts w:hint="eastAsia" w:ascii="宋体" w:hAnsi="宋体" w:cs="宋体"/>
          <w:sz w:val="24"/>
        </w:rPr>
        <w:t>联系人 ：朱女士、王女士</w:t>
      </w:r>
    </w:p>
    <w:p>
      <w:pPr>
        <w:spacing w:line="360" w:lineRule="auto"/>
        <w:ind w:firstLine="480" w:firstLineChars="200"/>
        <w:rPr>
          <w:rFonts w:ascii="宋体" w:hAnsi="宋体" w:cs="宋体"/>
          <w:sz w:val="24"/>
        </w:rPr>
      </w:pPr>
      <w:r>
        <w:rPr>
          <w:rFonts w:hint="eastAsia" w:ascii="宋体" w:hAnsi="宋体" w:cs="宋体"/>
          <w:sz w:val="24"/>
        </w:rPr>
        <w:t>监督投诉电话：0571-85252453</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13"/>
        <w:spacing w:line="360" w:lineRule="auto"/>
        <w:ind w:firstLine="480" w:firstLineChars="200"/>
        <w:rPr>
          <w:rFonts w:hAnsi="宋体" w:cs="宋体"/>
          <w:sz w:val="24"/>
          <w:szCs w:val="24"/>
        </w:rPr>
      </w:pPr>
      <w:r>
        <w:rPr>
          <w:rFonts w:hint="eastAsia" w:hAnsi="宋体" w:cs="宋体"/>
          <w:sz w:val="24"/>
        </w:rPr>
        <w:t xml:space="preserve">                              </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7"/>
      <w:r>
        <w:rPr>
          <w:rFonts w:hint="eastAsia" w:ascii="宋体" w:hAnsi="宋体" w:cs="宋体"/>
          <w:b/>
          <w:sz w:val="36"/>
          <w:szCs w:val="20"/>
        </w:rPr>
        <w:t xml:space="preserve"> 磋商供应商须知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23"/>
        <w:tblW w:w="9389" w:type="dxa"/>
        <w:tblInd w:w="-2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0"/>
        <w:gridCol w:w="1785"/>
        <w:gridCol w:w="68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7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2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7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2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。磋商响应文件中价格全部采用人民币报价。磋商响应文件未列明，而供应商认为必需的费用也需列入报价。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磋商响应文件出现不是唯一的、有选择性投标报价的；</w:t>
            </w:r>
          </w:p>
          <w:p>
            <w:pPr>
              <w:snapToGrid w:val="0"/>
              <w:spacing w:line="360" w:lineRule="auto"/>
              <w:jc w:val="left"/>
              <w:rPr>
                <w:rFonts w:ascii="宋体" w:hAnsi="宋体" w:cs="宋体"/>
                <w:kern w:val="0"/>
                <w:sz w:val="24"/>
                <w:lang w:val="zh-CN"/>
              </w:rPr>
            </w:pPr>
            <w:r>
              <w:rPr>
                <w:rFonts w:hint="eastAsia" w:ascii="宋体" w:hAnsi="宋体" w:cs="宋体"/>
                <w:b/>
                <w:kern w:val="0"/>
                <w:sz w:val="24"/>
                <w:lang w:val="zh-CN"/>
              </w:rPr>
              <w:t>投标报价超过竞争性磋商文件中规定的预算金额或者最高限价的;</w:t>
            </w:r>
          </w:p>
          <w:p>
            <w:pPr>
              <w:spacing w:line="360" w:lineRule="auto"/>
              <w:rPr>
                <w:rFonts w:ascii="宋体" w:hAnsi="宋体" w:cs="宋体"/>
                <w:b/>
                <w:sz w:val="24"/>
              </w:rPr>
            </w:pPr>
            <w:r>
              <w:rPr>
                <w:rFonts w:hint="eastAsia" w:ascii="宋体" w:hAnsi="宋体" w:cs="宋体"/>
                <w:b/>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供应商对根据修正原则修正后的报价不确认的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7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78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供应商应当提供的资格、资信证明文件</w:t>
            </w:r>
          </w:p>
        </w:tc>
        <w:tc>
          <w:tcPr>
            <w:tcW w:w="682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（1）资格证明文件：见竞争性磋商文件第二部分11.1。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供应商未提供有效的资格证明文件的，视为供应商不具备竞争性磋商文件中规定的资格要求，投标无效。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78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2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（2）资信证明文件：根据竞争性磋商文件第四部分评标标准提供。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7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sdt>
              <w:sdtPr>
                <w:rPr>
                  <w:rFonts w:hint="eastAsia" w:ascii="宋体" w:hAnsi="宋体" w:cs="宋体"/>
                  <w:kern w:val="0"/>
                  <w:sz w:val="24"/>
                </w:rPr>
                <w:id w:val="-212966419"/>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7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MS Gothic" w:hAnsi="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B组织。</w:t>
            </w:r>
          </w:p>
          <w:p>
            <w:pPr>
              <w:spacing w:line="360" w:lineRule="auto"/>
              <w:rPr>
                <w:rFonts w:ascii="宋体" w:hAnsi="宋体" w:cs="宋体"/>
                <w:kern w:val="0"/>
                <w:sz w:val="24"/>
                <w:lang w:val="zh-CN"/>
              </w:rPr>
            </w:pPr>
            <w:r>
              <w:rPr>
                <w:rFonts w:ascii="宋体" w:hAnsi="宋体" w:cs="宋体"/>
                <w:snapToGrid w:val="0"/>
                <w:kern w:val="0"/>
                <w:sz w:val="24"/>
              </w:rPr>
              <w:t>供应商</w:t>
            </w:r>
            <w:r>
              <w:rPr>
                <w:rFonts w:hint="eastAsia" w:ascii="宋体" w:hAnsi="宋体" w:cs="宋体"/>
                <w:snapToGrid w:val="0"/>
                <w:kern w:val="0"/>
                <w:sz w:val="24"/>
              </w:rPr>
              <w:t>无需</w:t>
            </w:r>
            <w:r>
              <w:rPr>
                <w:rFonts w:ascii="宋体" w:hAnsi="宋体" w:cs="宋体"/>
                <w:snapToGrid w:val="0"/>
                <w:kern w:val="0"/>
                <w:sz w:val="24"/>
              </w:rPr>
              <w:t>到现场演示，提供影像等电子资料拷贝至U盘</w:t>
            </w:r>
            <w:r>
              <w:rPr>
                <w:rFonts w:hint="eastAsia" w:ascii="宋体" w:hAnsi="宋体" w:cs="宋体"/>
                <w:snapToGrid w:val="0"/>
                <w:kern w:val="0"/>
                <w:sz w:val="24"/>
              </w:rPr>
              <w:t>，</w:t>
            </w:r>
            <w:r>
              <w:rPr>
                <w:rFonts w:ascii="宋体" w:hAnsi="宋体" w:cs="宋体"/>
                <w:snapToGrid w:val="0"/>
                <w:kern w:val="0"/>
                <w:sz w:val="24"/>
              </w:rPr>
              <w:t>供应商须在投标截止时间前将U盘密封一袋邮寄至采购代理机构处，开标结束后U盘不予退还，作为投标文件的组成部分，不演示不得分。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18727868"/>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w:t>
            </w:r>
            <w:r>
              <w:rPr>
                <w:rFonts w:hint="eastAsia" w:ascii="宋体" w:hAnsi="宋体" w:cs="宋体"/>
                <w:sz w:val="24"/>
              </w:rPr>
              <w:t>。</w:t>
            </w:r>
          </w:p>
          <w:p>
            <w:pPr>
              <w:spacing w:line="360" w:lineRule="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3"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采购标的对应的中小企业划分标准所属行业</w:t>
            </w:r>
          </w:p>
        </w:tc>
        <w:tc>
          <w:tcPr>
            <w:tcW w:w="682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（1）标的1：</w:t>
            </w:r>
            <w:r>
              <w:rPr>
                <w:rFonts w:hint="eastAsia" w:ascii="宋体" w:hAnsi="宋体" w:cs="宋体"/>
                <w:kern w:val="0"/>
                <w:sz w:val="24"/>
                <w:u w:val="single"/>
              </w:rPr>
              <w:t>生态环境污染隐患主动预警干预提质扩面</w:t>
            </w:r>
            <w:r>
              <w:rPr>
                <w:rFonts w:hint="eastAsia" w:ascii="宋体" w:hAnsi="宋体" w:cs="宋体"/>
                <w:kern w:val="0"/>
                <w:sz w:val="24"/>
              </w:rPr>
              <w:t>，属于</w:t>
            </w:r>
            <w:r>
              <w:rPr>
                <w:rFonts w:hint="eastAsia" w:ascii="宋体" w:hAnsi="宋体" w:cs="宋体"/>
                <w:kern w:val="0"/>
                <w:sz w:val="24"/>
                <w:u w:val="single"/>
              </w:rPr>
              <w:t>其他未列明</w:t>
            </w:r>
            <w:r>
              <w:rPr>
                <w:rFonts w:hint="eastAsia" w:ascii="宋体" w:hAnsi="宋体" w:cs="宋体"/>
                <w:kern w:val="0"/>
                <w:sz w:val="24"/>
              </w:rPr>
              <w:t>；</w:t>
            </w:r>
          </w:p>
          <w:p>
            <w:pPr>
              <w:snapToGrid w:val="0"/>
              <w:spacing w:line="360" w:lineRule="auto"/>
              <w:rPr>
                <w:rFonts w:ascii="宋体" w:hAnsi="宋体" w:cs="宋体"/>
              </w:rPr>
            </w:pPr>
            <w:r>
              <w:rPr>
                <w:rFonts w:hint="eastAsia" w:ascii="宋体" w:hAnsi="宋体" w:cs="宋体"/>
                <w:kern w:val="0"/>
                <w:sz w:val="24"/>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82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785"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34" w:hRule="atLeast"/>
        </w:trPr>
        <w:tc>
          <w:tcPr>
            <w:tcW w:w="780"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785"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2"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备份磋商响应文件及演示文件送达地点和签收人员 </w:t>
            </w:r>
          </w:p>
        </w:tc>
        <w:tc>
          <w:tcPr>
            <w:tcW w:w="6824" w:type="dxa"/>
            <w:tcBorders>
              <w:top w:val="single" w:color="000000" w:sz="8" w:space="0"/>
              <w:left w:val="single" w:color="000000" w:sz="2" w:space="0"/>
              <w:bottom w:val="single" w:color="000000" w:sz="8" w:space="0"/>
              <w:right w:val="single" w:color="000000" w:sz="8" w:space="0"/>
            </w:tcBorders>
            <w:vAlign w:val="center"/>
          </w:tcPr>
          <w:p>
            <w:pPr>
              <w:pStyle w:val="13"/>
              <w:spacing w:line="360" w:lineRule="auto"/>
              <w:rPr>
                <w:rFonts w:hAnsi="宋体" w:cs="宋体"/>
                <w:kern w:val="28"/>
                <w:sz w:val="24"/>
                <w:szCs w:val="24"/>
              </w:rPr>
            </w:pPr>
            <w:r>
              <w:rPr>
                <w:rFonts w:hint="eastAsia" w:hAnsi="宋体" w:cs="宋体"/>
                <w:b/>
                <w:bCs/>
                <w:kern w:val="28"/>
                <w:sz w:val="24"/>
                <w:szCs w:val="24"/>
              </w:rPr>
              <w:t>备份磋商响应文件及演示文件送达地点：</w:t>
            </w:r>
            <w:r>
              <w:rPr>
                <w:rFonts w:hint="eastAsia" w:hAnsi="宋体" w:cs="宋体"/>
                <w:b/>
                <w:bCs/>
                <w:sz w:val="24"/>
                <w:u w:val="single"/>
              </w:rPr>
              <w:t>桐庐县迎春南路88号桦桐大厦20楼</w:t>
            </w:r>
            <w:r>
              <w:rPr>
                <w:rFonts w:hint="eastAsia" w:hAnsi="宋体" w:cs="宋体"/>
                <w:kern w:val="28"/>
                <w:sz w:val="24"/>
                <w:szCs w:val="24"/>
              </w:rPr>
              <w:t>；</w:t>
            </w:r>
          </w:p>
          <w:p>
            <w:pPr>
              <w:pStyle w:val="13"/>
              <w:spacing w:line="360" w:lineRule="auto"/>
              <w:rPr>
                <w:rFonts w:hAnsi="宋体" w:cs="宋体"/>
                <w:sz w:val="24"/>
                <w:szCs w:val="24"/>
              </w:rPr>
            </w:pPr>
            <w:r>
              <w:rPr>
                <w:rFonts w:hint="eastAsia" w:hAnsi="宋体" w:cs="宋体"/>
                <w:kern w:val="28"/>
                <w:sz w:val="24"/>
                <w:szCs w:val="24"/>
              </w:rPr>
              <w:t>备份磋商响应及演示文件签收人员联系电话：</w:t>
            </w:r>
            <w:r>
              <w:rPr>
                <w:rFonts w:hint="eastAsia" w:hAnsi="宋体" w:cs="宋体"/>
                <w:sz w:val="24"/>
                <w:u w:val="single"/>
              </w:rPr>
              <w:t>孙鸣收，15168292397</w:t>
            </w:r>
            <w:r>
              <w:rPr>
                <w:rFonts w:hint="eastAsia" w:hAnsi="宋体" w:cs="宋体"/>
                <w:sz w:val="24"/>
                <w:szCs w:val="24"/>
              </w:rPr>
              <w:t>。</w:t>
            </w:r>
          </w:p>
          <w:p>
            <w:pPr>
              <w:pStyle w:val="14"/>
              <w:ind w:left="0" w:leftChars="0"/>
            </w:pPr>
            <w:r>
              <w:rPr>
                <w:rFonts w:hint="eastAsia" w:hAnsi="宋体" w:cs="宋体"/>
                <w:sz w:val="24"/>
              </w:rPr>
              <w:t>备份磋商响应文件及演示文件应至少距开标时间一个工作日前邮寄至相应地址。因U盘原因、文件格式原因或快递原因导致未能正常打开相关文件的，责任由投标人自行承担。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78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bCs/>
                <w:sz w:val="24"/>
              </w:rPr>
              <w:t>代理服务费</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432" w:lineRule="auto"/>
              <w:rPr>
                <w:rFonts w:ascii="宋体" w:hAnsi="宋体"/>
                <w:sz w:val="24"/>
              </w:rPr>
            </w:pPr>
            <w:r>
              <w:rPr>
                <w:rFonts w:hint="eastAsia" w:ascii="宋体" w:hAnsi="宋体"/>
                <w:sz w:val="24"/>
              </w:rPr>
              <w:t>本项目的招标代理费：以收费标准按浙价服〔2003〕77号文件（服务类）等相关文件收费标准计取，若计算结果大于16000.00元，则按16000.00元计取；若计算结果小于16000.00元，则按实际结果计取。</w:t>
            </w:r>
          </w:p>
          <w:p>
            <w:pPr>
              <w:spacing w:line="432" w:lineRule="auto"/>
              <w:rPr>
                <w:rFonts w:ascii="宋体" w:hAnsi="宋体"/>
                <w:sz w:val="24"/>
              </w:rPr>
            </w:pPr>
            <w:r>
              <w:rPr>
                <w:rFonts w:hint="eastAsia" w:ascii="宋体" w:hAnsi="宋体"/>
                <w:sz w:val="24"/>
              </w:rPr>
              <w:t>本项目在开评标过程中产生的其他费用由乙方先行垫付；</w:t>
            </w:r>
          </w:p>
          <w:p>
            <w:pPr>
              <w:snapToGrid w:val="0"/>
              <w:spacing w:line="360" w:lineRule="auto"/>
              <w:rPr>
                <w:rFonts w:ascii="宋体" w:hAnsi="宋体"/>
                <w:sz w:val="24"/>
              </w:rPr>
            </w:pPr>
            <w:r>
              <w:rPr>
                <w:rFonts w:hint="eastAsia" w:ascii="宋体" w:hAnsi="宋体"/>
                <w:sz w:val="24"/>
              </w:rPr>
              <w:t>上述费用在中标单位领取中标通知书时一次性向乙方结清。</w:t>
            </w:r>
          </w:p>
          <w:p>
            <w:pPr>
              <w:snapToGrid w:val="0"/>
              <w:spacing w:line="360" w:lineRule="auto"/>
              <w:rPr>
                <w:rFonts w:cs="宋体" w:asciiTheme="minorEastAsia" w:hAnsiTheme="minorEastAsia" w:eastAsiaTheme="minorEastAsia"/>
                <w:b/>
                <w:bCs/>
                <w:sz w:val="24"/>
              </w:rPr>
            </w:pPr>
            <w:r>
              <w:rPr>
                <w:rFonts w:hint="eastAsia" w:asciiTheme="minorEastAsia" w:hAnsiTheme="minorEastAsia" w:eastAsiaTheme="minorEastAsia" w:cstheme="minorEastAsia"/>
                <w:sz w:val="24"/>
              </w:rPr>
              <w:t>上述费用应含在投标报价中（不得单独列项），投标人在投标报价让利中考虑上述费用。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7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82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Cs/>
                <w:sz w:val="24"/>
              </w:rPr>
            </w:pPr>
            <w:r>
              <w:rPr>
                <w:rFonts w:hint="eastAsia" w:ascii="宋体" w:hAnsi="宋体" w:cs="宋体"/>
                <w:bCs/>
                <w:sz w:val="24"/>
              </w:rPr>
              <w:t>无。</w:t>
            </w:r>
          </w:p>
        </w:tc>
      </w:tr>
      <w:bookmarkEnd w:id="9"/>
    </w:tbl>
    <w:p>
      <w:pPr>
        <w:pStyle w:val="32"/>
        <w:ind w:left="0" w:leftChars="0" w:firstLine="0" w:firstLineChars="0"/>
        <w:rPr>
          <w:rFonts w:ascii="宋体" w:hAnsi="宋体" w:cs="宋体"/>
          <w:b/>
          <w:sz w:val="32"/>
          <w:szCs w:val="20"/>
        </w:rPr>
      </w:pPr>
      <w:bookmarkStart w:id="10" w:name="第三部分"/>
      <w:bookmarkStart w:id="11" w:name="_Toc164416483"/>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本竞争性磋商文件适用于该项目的招标、投标、开标、资格审查及信用信息查询、评标、定标、合同、验收等行为（法律、法规另有规定的，从其规定）。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“采购人”系指竞争性磋商公告中载明的本项目的采购人。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“采购机构”系指竞争性磋商公告中载明的本项目的采购机构。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“供应商”系指是指响应招标、参加投标竞争的法人、其他组织或者自然人。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竞争性磋商文件要求提供相关产品认证证书。▲</w:t>
      </w:r>
      <w:r>
        <w:rPr>
          <w:rFonts w:hint="eastAsia" w:ascii="宋体" w:hAnsi="宋体" w:cs="宋体"/>
          <w:b/>
          <w:sz w:val="24"/>
        </w:rPr>
        <w:t>采购人拟采购的产品属于政府强制采购的节能产品品目清单范围的，供应商未按竞争性磋商文件要求提供国家确定的认证机构出具的、处于有效期之内的节能产品认证证书的，投标无效。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修缮、装修类项目采购建材的，采购人应将绿色建筑和绿色建材性能、指标等作为实质性条件纳入竞争性磋商文件和合同。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在政府采购活动中，供应商提供的货物、工程或者服务符合下列情形的，享受中小企业扶持政策：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10%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供应商应按照竞争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1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.1提出质疑的供应商应当是参与所质疑项目采购活动的供应商。潜在供应商已依法获取其可质疑的竞争性磋商文件的，可以对该文件提出质疑。</w:t>
      </w:r>
    </w:p>
    <w:p>
      <w:pPr>
        <w:pStyle w:val="1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竞争性磋商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4.2.2.1对竞争性磋商文件提出质疑的，质疑期限为供应商获得竞争性磋商文件之日或者竞争性磋商文件公告期限届满之日起计算。</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4.2.2.2对采购过程提出质疑的，质疑期限为各采购程序环节结束之日起计算。对同一采购程序环节的质疑，供应商须一次性提出。</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4.2.2.3对采购结果提出质疑的，质疑期限自采购结果公告期限届满之日起计算。</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w:t>
      </w:r>
      <w:r>
        <w:rPr>
          <w:rFonts w:hint="eastAsia" w:hAnsi="宋体" w:cs="宋体"/>
          <w:snapToGrid/>
          <w:color w:val="auto"/>
          <w:kern w:val="2"/>
          <w:sz w:val="24"/>
        </w:rPr>
        <w:t>供应商提出质疑应当提交质疑函和必要的证明材料。质疑函应当包括下列内容：</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4.2.3.1供应商的姓名或者名称、地址、邮编、联系人及联系电话；</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4.2.3.2质疑项目的名称、编号；</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4.2.3.3具体、明确的质疑事项和与质疑事项相关的请求；</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4.2.3.4事实依据；</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4.2.3.5必要的法律依据；</w:t>
      </w:r>
    </w:p>
    <w:p>
      <w:pPr>
        <w:pStyle w:val="5"/>
        <w:spacing w:line="360" w:lineRule="auto"/>
        <w:ind w:firstLine="480" w:firstLineChars="200"/>
        <w:rPr>
          <w:rFonts w:hAnsi="宋体" w:cs="宋体"/>
          <w:snapToGrid/>
          <w:color w:val="auto"/>
          <w:kern w:val="2"/>
          <w:sz w:val="24"/>
          <w:lang w:val="zh-CN"/>
        </w:rPr>
      </w:pPr>
      <w:r>
        <w:rPr>
          <w:rFonts w:hint="eastAsia" w:hAnsi="宋体" w:cs="宋体"/>
          <w:snapToGrid/>
          <w:color w:val="auto"/>
          <w:kern w:val="2"/>
          <w:sz w:val="24"/>
          <w:lang w:val="zh-CN"/>
        </w:rPr>
        <w:t>4.2.3.6提出质疑的日期。</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供应商提交的质疑函需一式三份。供应商为自然人的，应当由本人签字；供应商为法人或者其他组织的，应当由法定代表人、主要负责人，或者其授权代表签字或者盖章，并加盖公章。</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质疑函范本及制作说明详见附件2。</w:t>
      </w:r>
    </w:p>
    <w:p>
      <w:pPr>
        <w:pStyle w:val="5"/>
        <w:spacing w:line="360" w:lineRule="auto"/>
        <w:ind w:firstLine="480" w:firstLineChars="200"/>
        <w:rPr>
          <w:rFonts w:hAnsi="宋体" w:cs="宋体"/>
          <w:color w:val="auto"/>
          <w:kern w:val="2"/>
          <w:sz w:val="24"/>
          <w:szCs w:val="21"/>
        </w:rPr>
      </w:pPr>
      <w:r>
        <w:rPr>
          <w:rFonts w:hint="eastAsia" w:hAnsi="宋体" w:cs="宋体"/>
          <w:snapToGrid/>
          <w:color w:val="auto"/>
          <w:kern w:val="2"/>
          <w:sz w:val="24"/>
          <w:lang w:val="zh-CN"/>
        </w:rPr>
        <w:t>4.2</w:t>
      </w:r>
      <w:r>
        <w:rPr>
          <w:rFonts w:hint="eastAsia" w:hAnsi="宋体" w:cs="宋体"/>
          <w:snapToGrid/>
          <w:color w:val="auto"/>
          <w:kern w:val="2"/>
          <w:sz w:val="24"/>
        </w:rPr>
        <w:t>.4采购人或者采购机构应当在收到供应商的书面质疑后七个工作日内作出答复，并以书面形式通知质疑供应商和其他与质疑处理结果有利害关系的政府采购当事人，但</w:t>
      </w:r>
      <w:r>
        <w:rPr>
          <w:rFonts w:hint="eastAsia" w:hAnsi="宋体" w:cs="宋体"/>
          <w:color w:val="auto"/>
          <w:kern w:val="2"/>
          <w:sz w:val="24"/>
          <w:szCs w:val="21"/>
        </w:rPr>
        <w:t>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lang w:val="zh-CN"/>
        </w:rPr>
        <w:t>4.2</w:t>
      </w:r>
      <w:r>
        <w:rPr>
          <w:rFonts w:hint="eastAsia" w:hAnsi="宋体" w:cs="宋体"/>
          <w:color w:val="auto"/>
          <w:kern w:val="2"/>
          <w:sz w:val="24"/>
          <w:szCs w:val="21"/>
        </w:rPr>
        <w:t>.5询问或者质疑事项可能影响采购结果的，采购人应当暂停签订合同，已经签订合同的，应当中止履行合同。</w:t>
      </w:r>
    </w:p>
    <w:p>
      <w:pPr>
        <w:pStyle w:val="5"/>
        <w:spacing w:line="360" w:lineRule="auto"/>
        <w:ind w:firstLine="480" w:firstLineChars="200"/>
        <w:rPr>
          <w:rFonts w:hAnsi="宋体" w:cs="宋体"/>
          <w:color w:val="auto"/>
          <w:kern w:val="2"/>
          <w:sz w:val="24"/>
          <w:szCs w:val="21"/>
          <w:lang w:val="zh-CN"/>
        </w:rPr>
      </w:pPr>
      <w:r>
        <w:rPr>
          <w:rFonts w:hint="eastAsia" w:hAnsi="宋体" w:cs="宋体"/>
          <w:color w:val="auto"/>
          <w:kern w:val="2"/>
          <w:sz w:val="24"/>
          <w:szCs w:val="21"/>
          <w:lang w:val="zh-CN"/>
        </w:rPr>
        <w:t>4.3供应商投诉</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rPr>
        <w:t>4.3.1质疑供应商对采购人、采购机构的答复不满意或者采购人、采购机构未在规定的时间内作出答复的，可以在答复期满后十五个工作日内向同级政府采购监督管理部门提出投诉。</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rPr>
        <w:t>4.3.</w:t>
      </w:r>
      <w:r>
        <w:rPr>
          <w:rFonts w:hint="eastAsia" w:hAnsi="宋体" w:cs="宋体"/>
          <w:color w:val="auto"/>
          <w:kern w:val="2"/>
          <w:sz w:val="24"/>
          <w:szCs w:val="21"/>
          <w:lang w:val="zh-CN"/>
        </w:rPr>
        <w:t>2</w:t>
      </w:r>
      <w:r>
        <w:rPr>
          <w:rFonts w:hint="eastAsia" w:hAnsi="宋体" w:cs="宋体"/>
          <w:color w:val="auto"/>
          <w:kern w:val="2"/>
          <w:sz w:val="24"/>
          <w:szCs w:val="21"/>
        </w:rPr>
        <w:t>供应商投诉的事项不得超出已质疑事项的范围，基于质疑答复内容提出的投诉事项除外。</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rPr>
        <w:t>4.3.3供应商投诉应当有明确的请求和必要的证明材料。</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rPr>
        <w:t>4.3.5 以联合体形式参加政府采购活动的，其投诉应当由组成联合体的所有供应商共同提出。</w:t>
      </w:r>
    </w:p>
    <w:p>
      <w:pPr>
        <w:pStyle w:val="5"/>
        <w:spacing w:line="360" w:lineRule="auto"/>
        <w:ind w:firstLine="480" w:firstLineChars="200"/>
        <w:rPr>
          <w:rFonts w:hAnsi="宋体" w:cs="宋体"/>
          <w:color w:val="auto"/>
          <w:kern w:val="2"/>
          <w:sz w:val="24"/>
          <w:szCs w:val="21"/>
        </w:rPr>
      </w:pPr>
      <w:r>
        <w:rPr>
          <w:rFonts w:hint="eastAsia" w:hAnsi="宋体" w:cs="宋体"/>
          <w:color w:val="auto"/>
          <w:kern w:val="2"/>
          <w:sz w:val="24"/>
          <w:szCs w:val="21"/>
        </w:rPr>
        <w:t>投诉书范本及制作说明详见附件3。</w:t>
      </w:r>
    </w:p>
    <w:p>
      <w:pPr>
        <w:pStyle w:val="34"/>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二、竞争性磋商文件的构成、澄清、修改</w:t>
      </w:r>
    </w:p>
    <w:p>
      <w:pPr>
        <w:pStyle w:val="13"/>
        <w:spacing w:line="360" w:lineRule="auto"/>
        <w:rPr>
          <w:rFonts w:hAnsi="宋体" w:cs="宋体"/>
          <w:b/>
          <w:sz w:val="24"/>
          <w:szCs w:val="24"/>
        </w:rPr>
      </w:pPr>
      <w:r>
        <w:rPr>
          <w:rFonts w:hint="eastAsia" w:hAnsi="宋体" w:cs="宋体"/>
          <w:b/>
          <w:sz w:val="24"/>
          <w:szCs w:val="24"/>
        </w:rPr>
        <w:t>5．竞争性磋商文件的构成</w:t>
      </w:r>
    </w:p>
    <w:p>
      <w:pPr>
        <w:pStyle w:val="13"/>
        <w:spacing w:line="360" w:lineRule="auto"/>
        <w:ind w:firstLine="480" w:firstLineChars="200"/>
        <w:rPr>
          <w:rFonts w:hAnsi="宋体" w:cs="宋体"/>
          <w:sz w:val="24"/>
          <w:szCs w:val="24"/>
        </w:rPr>
      </w:pPr>
      <w:r>
        <w:rPr>
          <w:rFonts w:hint="eastAsia" w:hAnsi="宋体" w:cs="宋体"/>
          <w:sz w:val="24"/>
          <w:szCs w:val="24"/>
        </w:rPr>
        <w:t>5.1 竞争性磋商文件包括下列文件及附件：</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5.1.1竞争性磋商公告；</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5.1.2磋商供应商须知；</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1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1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澄清或者修改的内容为竞争性磋商文件的组成部分</w:t>
      </w:r>
      <w:r>
        <w:rPr>
          <w:rFonts w:hint="eastAsia" w:ascii="宋体" w:hAnsi="宋体" w:cs="宋体"/>
          <w:sz w:val="24"/>
        </w:rPr>
        <w:t>。</w:t>
      </w:r>
    </w:p>
    <w:p>
      <w:pPr>
        <w:pStyle w:val="13"/>
        <w:spacing w:line="360" w:lineRule="auto"/>
        <w:rPr>
          <w:rFonts w:hAnsi="宋体" w:cs="宋体"/>
          <w:b/>
          <w:sz w:val="24"/>
          <w:szCs w:val="24"/>
        </w:rPr>
      </w:pPr>
      <w:r>
        <w:rPr>
          <w:rFonts w:hint="eastAsia" w:hAnsi="宋体" w:cs="宋体"/>
          <w:b/>
          <w:sz w:val="24"/>
          <w:szCs w:val="24"/>
        </w:rPr>
        <w:t>6. 竞争性磋商文件的澄清、修改</w:t>
      </w:r>
    </w:p>
    <w:p>
      <w:pPr>
        <w:pStyle w:val="34"/>
        <w:snapToGrid w:val="0"/>
        <w:spacing w:before="0"/>
        <w:ind w:firstLine="480"/>
        <w:rPr>
          <w:rFonts w:ascii="宋体" w:hAnsi="宋体" w:cs="宋体"/>
        </w:rPr>
      </w:pPr>
      <w:r>
        <w:rPr>
          <w:rFonts w:hint="eastAsia" w:ascii="宋体" w:hAnsi="宋体" w:cs="宋体"/>
        </w:rPr>
        <w:t>6.1已获取竞争性磋商文件的潜在供应商，若有问题需要澄清，应于投标截止时间前，以书面形式向采购机构提出。</w:t>
      </w:r>
    </w:p>
    <w:p>
      <w:pPr>
        <w:pStyle w:val="34"/>
        <w:snapToGrid w:val="0"/>
        <w:spacing w:before="0"/>
        <w:ind w:firstLine="480"/>
        <w:rPr>
          <w:rFonts w:ascii="宋体" w:hAnsi="宋体" w:cs="宋体"/>
        </w:rPr>
      </w:pPr>
      <w:r>
        <w:rPr>
          <w:rFonts w:hint="eastAsia" w:ascii="宋体" w:hAnsi="宋体" w:cs="宋体"/>
        </w:rPr>
        <w:t>6.2 采购机构对竞争性磋商文件进行澄清或修改的，将同时通过电子交易平台通知已获取竞争性磋商文件的潜在供应商。依法应当公告的，将按规定公告，同时视情况延长投标截止时间和开标时间。该澄清或者修改的内容为竞争性磋商文件的组成部分。</w:t>
      </w:r>
    </w:p>
    <w:p>
      <w:pPr>
        <w:pStyle w:val="10"/>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三、磋商响应</w:t>
      </w:r>
    </w:p>
    <w:p>
      <w:pPr>
        <w:pStyle w:val="13"/>
        <w:spacing w:line="360" w:lineRule="auto"/>
        <w:rPr>
          <w:rFonts w:hAnsi="宋体" w:cs="宋体"/>
          <w:b/>
          <w:sz w:val="24"/>
          <w:szCs w:val="24"/>
        </w:rPr>
      </w:pPr>
      <w:r>
        <w:rPr>
          <w:rFonts w:hint="eastAsia" w:hAnsi="宋体" w:cs="宋体"/>
          <w:b/>
          <w:sz w:val="24"/>
          <w:szCs w:val="24"/>
        </w:rPr>
        <w:t>7. 竞争性磋商文件的获取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详见竞争性磋商公告中获取竞争性磋商文件的时间期限、地点、方式及竞争性磋商文件售价。</w:t>
      </w:r>
    </w:p>
    <w:p>
      <w:pPr>
        <w:pStyle w:val="13"/>
        <w:spacing w:line="360" w:lineRule="auto"/>
        <w:rPr>
          <w:rFonts w:hAnsi="宋体" w:cs="宋体"/>
          <w:b/>
          <w:sz w:val="24"/>
          <w:szCs w:val="24"/>
        </w:rPr>
      </w:pPr>
      <w:r>
        <w:rPr>
          <w:rFonts w:hint="eastAsia" w:hAnsi="宋体" w:cs="宋体"/>
          <w:b/>
          <w:sz w:val="24"/>
          <w:szCs w:val="24"/>
        </w:rPr>
        <w:t>8.开标前答疑会或现场考察</w:t>
      </w:r>
    </w:p>
    <w:p>
      <w:pPr>
        <w:pStyle w:val="13"/>
        <w:spacing w:line="360" w:lineRule="auto"/>
        <w:ind w:firstLine="480" w:firstLineChars="200"/>
        <w:rPr>
          <w:rFonts w:hAnsi="宋体" w:cs="宋体"/>
          <w:sz w:val="24"/>
          <w:szCs w:val="24"/>
        </w:rPr>
      </w:pPr>
      <w:r>
        <w:rPr>
          <w:rFonts w:hint="eastAsia" w:hAnsi="宋体" w:cs="宋体"/>
          <w:sz w:val="24"/>
          <w:szCs w:val="24"/>
        </w:rPr>
        <w:t>采购人组织潜在供应商现场考察或者召开开标前答疑会的，潜在供应商按第二部分供应商须知前附表的规定参加现场考察或者开标前答疑会。</w:t>
      </w:r>
    </w:p>
    <w:p>
      <w:pPr>
        <w:pStyle w:val="13"/>
        <w:spacing w:line="360" w:lineRule="auto"/>
        <w:rPr>
          <w:rFonts w:hAnsi="宋体" w:cs="宋体"/>
          <w:b/>
          <w:szCs w:val="24"/>
        </w:rPr>
      </w:pPr>
      <w:r>
        <w:rPr>
          <w:rFonts w:hint="eastAsia" w:hAnsi="宋体" w:cs="宋体"/>
          <w:b/>
          <w:kern w:val="28"/>
          <w:sz w:val="24"/>
          <w:szCs w:val="24"/>
        </w:rPr>
        <w:t>9.磋商保证金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本项目不需缴纳磋商保证金。</w:t>
      </w:r>
    </w:p>
    <w:p>
      <w:pPr>
        <w:pStyle w:val="13"/>
        <w:spacing w:line="360" w:lineRule="auto"/>
        <w:rPr>
          <w:rFonts w:hAnsi="宋体" w:cs="宋体"/>
          <w:b/>
          <w:sz w:val="24"/>
          <w:szCs w:val="24"/>
        </w:rPr>
      </w:pPr>
      <w:r>
        <w:rPr>
          <w:rFonts w:hint="eastAsia" w:hAnsi="宋体" w:cs="宋体"/>
          <w:b/>
          <w:sz w:val="24"/>
          <w:szCs w:val="24"/>
        </w:rPr>
        <w:t>10. 磋商响应文件的语言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磋商响应文件及供应商与采购有关的来往通知、函件和文件均应使用中文。</w:t>
      </w:r>
    </w:p>
    <w:p>
      <w:pPr>
        <w:pStyle w:val="13"/>
        <w:spacing w:line="360" w:lineRule="auto"/>
        <w:rPr>
          <w:rFonts w:hAnsi="宋体" w:cs="宋体"/>
          <w:b/>
          <w:sz w:val="24"/>
          <w:szCs w:val="24"/>
        </w:rPr>
      </w:pPr>
      <w:r>
        <w:rPr>
          <w:rFonts w:hint="eastAsia" w:hAnsi="宋体" w:cs="宋体"/>
          <w:b/>
          <w:sz w:val="24"/>
          <w:szCs w:val="24"/>
        </w:rPr>
        <w:t>11. 磋商响应文件的组成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11.1.1符合参加政府采购活动应当具备的一般条件的承诺函；（资格文件后附格式一）</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；（附件6）</w:t>
      </w:r>
    </w:p>
    <w:p>
      <w:pPr>
        <w:snapToGrid w:val="0"/>
        <w:spacing w:line="360" w:lineRule="auto"/>
        <w:ind w:firstLine="480" w:firstLineChars="200"/>
        <w:rPr>
          <w:rFonts w:ascii="宋体" w:hAnsi="宋体" w:cs="宋体"/>
          <w:b/>
          <w:bCs/>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11.2.1投标函；（商务技术文件后附格式一）</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11.2.2授权委托书或法定代表人（单位负责人、自然人本人）身份证明；（商务技术文件后附格式二）</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11.2.3符合性审查资料；（商务技术文件后附格式三）</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11.2.4评标标准相应的商务技术资料；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11.2.5投标标的清单；（商务技术文件后附格式五）</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11.2.6商务技术偏离表；（商务技术文件后附格式六）</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sz w:val="24"/>
        </w:rPr>
        <w:t>（商务技术文件后附格式七）</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11.2.8安全承诺书。</w:t>
      </w:r>
      <w:r>
        <w:rPr>
          <w:rFonts w:hint="eastAsia" w:cs="宋体" w:asciiTheme="minorEastAsia" w:hAnsiTheme="minorEastAsia" w:eastAsiaTheme="minorEastAsia"/>
          <w:sz w:val="24"/>
        </w:rPr>
        <w:t>（商务技术文件后附格式八）</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11.2.9演示文件（U盘形式邮寄，若无演示则不提供）</w:t>
      </w:r>
      <w:r>
        <w:rPr>
          <w:rFonts w:hint="eastAsia" w:cs="宋体" w:asciiTheme="minorEastAsia" w:hAnsiTheme="minorEastAsia" w:eastAsiaTheme="minorEastAsia"/>
          <w:sz w:val="24"/>
        </w:rPr>
        <w:t>（商务技术文件后附格式九）</w:t>
      </w:r>
      <w:r>
        <w:rPr>
          <w:rFonts w:hint="eastAsia" w:asciiTheme="minorEastAsia" w:hAnsiTheme="minorEastAsia" w:eastAsiaTheme="minorEastAsia" w:cstheme="minorEastAsia"/>
          <w:sz w:val="24"/>
        </w:rPr>
        <w:t>。</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r>
        <w:rPr>
          <w:rFonts w:hint="eastAsia" w:cs="宋体" w:asciiTheme="minorEastAsia" w:hAnsiTheme="minorEastAsia" w:eastAsiaTheme="minorEastAsia"/>
          <w:sz w:val="24"/>
        </w:rPr>
        <w:t>（报价文件后附格式一）</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11.3.2中小企业声明函。（附件6）</w:t>
      </w:r>
    </w:p>
    <w:p>
      <w:pPr>
        <w:snapToGrid w:val="0"/>
        <w:spacing w:line="360" w:lineRule="auto"/>
        <w:ind w:firstLine="960" w:firstLineChars="400"/>
        <w:rPr>
          <w:rFonts w:ascii="宋体" w:hAnsi="宋体" w:cs="宋体"/>
          <w:sz w:val="24"/>
        </w:rPr>
      </w:pPr>
      <w:r>
        <w:rPr>
          <w:rFonts w:hint="eastAsia" w:cs="宋体" w:asciiTheme="minorEastAsia" w:hAnsiTheme="minorEastAsia" w:eastAsiaTheme="minorEastAsia"/>
          <w:sz w:val="24"/>
        </w:rPr>
        <w:t>11.3.3报价明细表（报价文件后附格式二）</w:t>
      </w:r>
    </w:p>
    <w:p>
      <w:pPr>
        <w:spacing w:line="360" w:lineRule="auto"/>
        <w:ind w:firstLine="723" w:firstLineChars="300"/>
        <w:rPr>
          <w:rFonts w:ascii="宋体" w:hAnsi="宋体" w:cs="宋体"/>
          <w:b/>
          <w:sz w:val="24"/>
        </w:rPr>
      </w:pPr>
      <w:r>
        <w:rPr>
          <w:rFonts w:hint="eastAsia" w:ascii="宋体" w:hAnsi="宋体" w:cs="宋体"/>
          <w:b/>
          <w:sz w:val="24"/>
        </w:rPr>
        <w:t>磋商响应文件含有采购人不能接受的附加条件的，投标无效；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供应商提供虚假材料投标的，投标无效。</w:t>
      </w:r>
    </w:p>
    <w:p>
      <w:pPr>
        <w:pStyle w:val="34"/>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磋商响应文件的编制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磋商响应文件分为资格文件、商务技术文件、报价文件三部分。各供应商在编制磋商响应文件时请按照竞争性磋商文件第六部分规定的格式进行，混乱的编排导致磋商响应文件被误读或评标委员会查找不到有效文件是供应商的风险。</w:t>
      </w:r>
      <w:r>
        <w:rPr>
          <w:rFonts w:hint="eastAsia" w:ascii="宋体" w:hAnsi="宋体" w:cs="宋体"/>
          <w:b/>
          <w:sz w:val="24"/>
          <w:szCs w:val="20"/>
        </w:rPr>
        <w:t>投标文件未按规定的格式编制的，投标无效；</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竞争性磋商文件和电子交易平台的要求编制并加密磋商响应文件。供应商未按规定加密的磋商响应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13.磋商响应文件的签署、盖章</w:t>
      </w:r>
    </w:p>
    <w:p>
      <w:pPr>
        <w:pStyle w:val="34"/>
        <w:snapToGrid w:val="0"/>
        <w:spacing w:before="0"/>
        <w:ind w:firstLine="480"/>
        <w:rPr>
          <w:rFonts w:ascii="宋体" w:hAnsi="宋体" w:cs="宋体"/>
          <w:b/>
        </w:rPr>
      </w:pPr>
      <w:r>
        <w:rPr>
          <w:rFonts w:hint="eastAsia" w:ascii="宋体" w:hAnsi="宋体" w:cs="宋体"/>
          <w:szCs w:val="24"/>
        </w:rPr>
        <w:t>13.1磋商响应文件按照竞争性磋商文件第六部分格式要</w:t>
      </w:r>
      <w:r>
        <w:rPr>
          <w:rFonts w:hint="eastAsia" w:ascii="宋体" w:hAnsi="宋体" w:cs="宋体"/>
        </w:rPr>
        <w:t>求进行签署、盖章。</w:t>
      </w:r>
      <w:r>
        <w:rPr>
          <w:rFonts w:hint="eastAsia" w:ascii="宋体" w:hAnsi="宋体" w:cs="宋体"/>
          <w:b/>
        </w:rPr>
        <w:t>▲供应商的磋商响应文件未按照竞争性磋商文件要求签署、盖章的，其投标无效</w:t>
      </w:r>
      <w:r>
        <w:rPr>
          <w:rFonts w:hint="eastAsia" w:ascii="宋体" w:hAnsi="宋体" w:cs="宋体"/>
          <w:szCs w:val="24"/>
        </w:rPr>
        <w:t>。</w:t>
      </w:r>
    </w:p>
    <w:p>
      <w:pPr>
        <w:pStyle w:val="34"/>
        <w:snapToGrid w:val="0"/>
        <w:spacing w:before="0"/>
        <w:ind w:firstLine="480"/>
        <w:rPr>
          <w:rFonts w:ascii="宋体" w:hAnsi="宋体" w:cs="宋体"/>
        </w:rPr>
      </w:pPr>
      <w:r>
        <w:rPr>
          <w:rFonts w:hint="eastAsia" w:ascii="宋体" w:hAnsi="宋体" w:cs="宋体"/>
        </w:rPr>
        <w:t>13.2为确保网上操作合法、有效和安全，供应商应当在投标截止时间前完成在“政府采购云平台”的身份认证，确保在电子投标过程中能够对相关数据电文进行加密和使用电子签名。</w:t>
      </w:r>
    </w:p>
    <w:p>
      <w:pPr>
        <w:pStyle w:val="34"/>
        <w:snapToGrid w:val="0"/>
        <w:spacing w:before="0"/>
        <w:ind w:firstLine="480"/>
        <w:rPr>
          <w:rFonts w:ascii="宋体" w:hAnsi="宋体" w:cs="宋体"/>
          <w:szCs w:val="24"/>
        </w:rPr>
      </w:pPr>
      <w:r>
        <w:rPr>
          <w:rFonts w:hint="eastAsia" w:ascii="宋体" w:hAnsi="宋体" w:cs="宋体"/>
        </w:rPr>
        <w:t>13.3竞争性磋商文件对磋商响应文件签署、盖章的要求适用于电子签名。</w:t>
      </w:r>
    </w:p>
    <w:p>
      <w:pPr>
        <w:pStyle w:val="34"/>
        <w:spacing w:before="0"/>
        <w:ind w:firstLine="0" w:firstLineChars="0"/>
        <w:rPr>
          <w:rFonts w:ascii="宋体" w:hAnsi="宋体" w:cs="宋体"/>
          <w:b/>
          <w:szCs w:val="24"/>
        </w:rPr>
      </w:pPr>
      <w:r>
        <w:rPr>
          <w:rFonts w:hint="eastAsia" w:ascii="宋体" w:hAnsi="宋体" w:cs="宋体"/>
          <w:b/>
          <w:szCs w:val="24"/>
        </w:rPr>
        <w:t>14. 磋商响应文件的提交、补充、修改、撤回</w:t>
      </w:r>
    </w:p>
    <w:p>
      <w:pPr>
        <w:pStyle w:val="34"/>
        <w:snapToGrid w:val="0"/>
        <w:spacing w:before="0"/>
        <w:ind w:firstLine="480"/>
        <w:rPr>
          <w:rFonts w:ascii="宋体" w:hAnsi="宋体" w:cs="宋体"/>
        </w:rPr>
      </w:pPr>
      <w:r>
        <w:rPr>
          <w:rFonts w:hint="eastAsia" w:ascii="宋体" w:hAnsi="宋体" w:cs="宋体"/>
        </w:rPr>
        <w:t>14.1 供应商应当在投标截止时间前完成磋商响应文件的传输递交，并可以补充、修改或者撤回磋商响应文件。补充或者修改磋商响应文件的，应当先行撤回原文件，补充、修改后重新传输递交。投标截止时间前未完成传输的，视为撤回磋商响应文件。投标截止时间后递交的磋商响应文件，电子交易平台将拒收。</w:t>
      </w:r>
    </w:p>
    <w:p>
      <w:pPr>
        <w:pStyle w:val="34"/>
        <w:snapToGrid w:val="0"/>
        <w:spacing w:before="0"/>
        <w:ind w:firstLine="480"/>
        <w:rPr>
          <w:rFonts w:ascii="宋体" w:hAnsi="宋体" w:cs="宋体"/>
        </w:rPr>
      </w:pPr>
      <w:r>
        <w:rPr>
          <w:rFonts w:hint="eastAsia" w:ascii="宋体" w:hAnsi="宋体" w:cs="宋体"/>
        </w:rPr>
        <w:t>14.2电子交易平台收到磋商响应文件，将妥善保存并即时向供应商发出确认回执通知。在投标截止时间前，除供应商补充、修改或者撤回磋商响应文件外，任何单位和个人不得解密或提取磋商响应文件。</w:t>
      </w:r>
    </w:p>
    <w:p>
      <w:pPr>
        <w:pStyle w:val="34"/>
        <w:snapToGrid w:val="0"/>
        <w:spacing w:before="0"/>
        <w:ind w:firstLine="480"/>
        <w:rPr>
          <w:rFonts w:ascii="宋体" w:hAnsi="宋体" w:cs="宋体"/>
        </w:rPr>
      </w:pPr>
      <w:r>
        <w:rPr>
          <w:rFonts w:hint="eastAsia" w:ascii="宋体" w:hAnsi="宋体" w:cs="宋体"/>
        </w:rPr>
        <w:t>14.3采购人、采购机构可以视情况延长磋商响应文件提交的截止时间。在上述情况下，采购机构与供应商以前在投标截止期方面的全部权利、责任和义务，将适用于延长至新的投标截止期。</w:t>
      </w:r>
    </w:p>
    <w:p>
      <w:pPr>
        <w:pStyle w:val="13"/>
        <w:spacing w:line="360" w:lineRule="auto"/>
        <w:rPr>
          <w:rFonts w:hAnsi="宋体" w:cs="宋体"/>
          <w:b/>
          <w:sz w:val="24"/>
          <w:szCs w:val="24"/>
        </w:rPr>
      </w:pPr>
      <w:r>
        <w:rPr>
          <w:rFonts w:hint="eastAsia" w:hAnsi="宋体" w:cs="宋体"/>
          <w:b/>
          <w:sz w:val="24"/>
          <w:szCs w:val="24"/>
        </w:rPr>
        <w:t>15.备份磋商响应文件</w:t>
      </w:r>
    </w:p>
    <w:p>
      <w:pPr>
        <w:pStyle w:val="13"/>
        <w:spacing w:line="360" w:lineRule="auto"/>
        <w:ind w:firstLine="360" w:firstLineChars="150"/>
        <w:rPr>
          <w:rFonts w:hAnsi="宋体" w:cs="宋体"/>
          <w:b/>
          <w:sz w:val="24"/>
          <w:szCs w:val="24"/>
        </w:rPr>
      </w:pPr>
      <w:r>
        <w:rPr>
          <w:rFonts w:hint="eastAsia" w:hAnsi="宋体" w:cs="宋体"/>
          <w:sz w:val="24"/>
          <w:szCs w:val="24"/>
        </w:rPr>
        <w:t xml:space="preserve"> 15.1供应商在电子交易平台传输递交磋商响应文件后，还可以在投标截止时间前直接提交或者以邮政快递方式递交备份磋商响应文件1份，</w:t>
      </w:r>
      <w:r>
        <w:rPr>
          <w:rFonts w:hint="eastAsia" w:hAnsi="宋体" w:cs="宋体"/>
          <w:b/>
          <w:sz w:val="24"/>
          <w:szCs w:val="24"/>
        </w:rPr>
        <w:t>但采购人、采购机构不强制或变相强制供应商提交备份磋商响应文件。</w:t>
      </w:r>
    </w:p>
    <w:p>
      <w:pPr>
        <w:pStyle w:val="13"/>
        <w:spacing w:line="360" w:lineRule="auto"/>
        <w:ind w:firstLine="480" w:firstLineChars="200"/>
        <w:rPr>
          <w:rFonts w:hAnsi="宋体" w:cs="宋体"/>
          <w:b/>
          <w:sz w:val="24"/>
          <w:szCs w:val="24"/>
        </w:rPr>
      </w:pPr>
      <w:r>
        <w:rPr>
          <w:rFonts w:hint="eastAsia" w:hAnsi="宋体" w:cs="宋体"/>
          <w:sz w:val="24"/>
          <w:szCs w:val="24"/>
        </w:rPr>
        <w:t>15.2备份磋商响应文件须在“政采云投标客户端”制作生成，并储存在</w:t>
      </w:r>
      <w:r>
        <w:rPr>
          <w:rFonts w:hint="eastAsia" w:hAnsi="宋体" w:cs="宋体"/>
          <w:sz w:val="24"/>
        </w:rPr>
        <w:t>U盘</w:t>
      </w:r>
      <w:r>
        <w:rPr>
          <w:rFonts w:hint="eastAsia" w:hAnsi="宋体" w:cs="宋体"/>
          <w:sz w:val="24"/>
          <w:szCs w:val="24"/>
        </w:rPr>
        <w:t>中。备份磋商响应文件应当密封包装并在包装上加盖公章并注明投标项目名称，供应商名称(联合体投标的，包装物封面需注明联合体投标，并注明联合体成员各方的名称和联合协议中约定的牵头人的名称)。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存储、密封规定的备份磋商响应文件将被视为无效或者被拒绝接收。</w:t>
      </w:r>
    </w:p>
    <w:p>
      <w:pPr>
        <w:pStyle w:val="13"/>
        <w:spacing w:line="360" w:lineRule="auto"/>
        <w:ind w:firstLine="480" w:firstLineChars="200"/>
        <w:rPr>
          <w:rFonts w:hAnsi="宋体" w:cs="宋体"/>
          <w:sz w:val="24"/>
          <w:szCs w:val="24"/>
        </w:rPr>
      </w:pPr>
      <w:r>
        <w:rPr>
          <w:rFonts w:hint="eastAsia" w:hAnsi="宋体" w:cs="宋体"/>
          <w:sz w:val="24"/>
          <w:szCs w:val="24"/>
        </w:rPr>
        <w:t>15.3直接提交备份磋商响应文件的，供应商应于投标截止时间前在竞争性磋商公告中载明的开标地点将备份磋商响应文件提交给采购机构，采购机构将拒绝接受逾期送达的备份磋商响应文件。</w:t>
      </w:r>
    </w:p>
    <w:p>
      <w:pPr>
        <w:pStyle w:val="13"/>
        <w:spacing w:line="360" w:lineRule="auto"/>
        <w:ind w:firstLine="480" w:firstLineChars="200"/>
        <w:rPr>
          <w:rFonts w:hAnsi="宋体" w:cs="宋体"/>
          <w:sz w:val="24"/>
          <w:szCs w:val="24"/>
        </w:rPr>
      </w:pPr>
      <w:r>
        <w:rPr>
          <w:rFonts w:hint="eastAsia" w:hAnsi="宋体" w:cs="宋体"/>
          <w:sz w:val="24"/>
          <w:szCs w:val="24"/>
        </w:rPr>
        <w:t>15.4以邮政快递方式递交备份磋商响应文件的，供应商应先将备份磋商响应文件按要求密封和标记，再进行邮政快递包装后邮寄。备份磋商响应文件须在投标截止时间之前送达</w:t>
      </w:r>
      <w:r>
        <w:rPr>
          <w:rFonts w:hint="eastAsia" w:hAnsi="宋体" w:cs="宋体"/>
          <w:snapToGrid/>
          <w:sz w:val="24"/>
          <w:szCs w:val="24"/>
        </w:rPr>
        <w:t>竞争性磋商文件第二部分供应商须知前附表规定的备份磋商响应文件送达地点；</w:t>
      </w:r>
      <w:r>
        <w:rPr>
          <w:rFonts w:hint="eastAsia" w:hAnsi="宋体" w:cs="宋体"/>
          <w:sz w:val="24"/>
          <w:szCs w:val="24"/>
        </w:rPr>
        <w:t>送达时间以签收人签收时间为准。采购机构将拒绝接受逾期送达的备份磋商响应文件。邮寄过程中，电子备份磋商响应文件发生泄露、遗失、损坏或延期送达等情况的，由供应商自行负责。</w:t>
      </w:r>
    </w:p>
    <w:p>
      <w:pPr>
        <w:pStyle w:val="13"/>
        <w:spacing w:line="360" w:lineRule="auto"/>
        <w:ind w:firstLine="479" w:firstLineChars="199"/>
        <w:rPr>
          <w:rFonts w:hAnsi="宋体" w:cs="宋体"/>
          <w:b/>
          <w:sz w:val="24"/>
          <w:szCs w:val="24"/>
        </w:rPr>
      </w:pPr>
      <w:r>
        <w:rPr>
          <w:rFonts w:hint="eastAsia" w:hAnsi="宋体" w:cs="宋体"/>
          <w:b/>
          <w:sz w:val="24"/>
          <w:szCs w:val="24"/>
        </w:rPr>
        <w:t>15.5供应商仅提交备份磋商响应文件，没有在电子交易平台传输递交磋商响应文件的，投标无效。</w:t>
      </w:r>
    </w:p>
    <w:p>
      <w:pPr>
        <w:pStyle w:val="34"/>
        <w:spacing w:before="0"/>
        <w:ind w:firstLine="0" w:firstLineChars="0"/>
        <w:rPr>
          <w:rFonts w:ascii="宋体" w:hAnsi="宋体" w:cs="宋体"/>
          <w:b/>
          <w:szCs w:val="24"/>
        </w:rPr>
      </w:pPr>
      <w:r>
        <w:rPr>
          <w:rFonts w:hint="eastAsia" w:ascii="宋体" w:hAnsi="宋体" w:cs="宋体"/>
          <w:b/>
          <w:szCs w:val="24"/>
        </w:rPr>
        <w:t>16.磋商响应文件的无效处理</w:t>
      </w:r>
    </w:p>
    <w:p>
      <w:pPr>
        <w:pStyle w:val="6"/>
        <w:spacing w:line="360" w:lineRule="auto"/>
        <w:ind w:firstLine="360" w:firstLineChars="150"/>
        <w:rPr>
          <w:rFonts w:cs="宋体"/>
          <w:szCs w:val="21"/>
        </w:rPr>
      </w:pPr>
      <w:r>
        <w:rPr>
          <w:rFonts w:hint="eastAsia" w:cs="宋体"/>
          <w:szCs w:val="21"/>
        </w:rPr>
        <w:t>有竞争性磋商文件“磋商响应”</w:t>
      </w:r>
      <w:r>
        <w:rPr>
          <w:rFonts w:hint="eastAsia" w:cs="宋体"/>
        </w:rPr>
        <w:t>规定</w:t>
      </w:r>
      <w:r>
        <w:rPr>
          <w:rFonts w:hint="eastAsia" w:cs="宋体"/>
          <w:szCs w:val="21"/>
        </w:rPr>
        <w:t>的情形之一的，投标无效：</w:t>
      </w:r>
    </w:p>
    <w:p>
      <w:pPr>
        <w:pStyle w:val="34"/>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17.1投标有效期为从提交磋商响应文件的截止之日起90天。▲</w:t>
      </w:r>
      <w:r>
        <w:rPr>
          <w:rFonts w:hint="eastAsia" w:ascii="宋体" w:hAnsi="宋体" w:cs="宋体"/>
          <w:b/>
          <w:sz w:val="24"/>
          <w:szCs w:val="20"/>
        </w:rPr>
        <w:t>供应商的磋商响应文件中承</w:t>
      </w:r>
      <w:r>
        <w:rPr>
          <w:rFonts w:hint="eastAsia" w:ascii="宋体" w:hAnsi="宋体" w:cs="宋体"/>
          <w:b/>
          <w:sz w:val="24"/>
          <w:szCs w:val="21"/>
        </w:rPr>
        <w:t>诺的投标有效期少于竞争性磋商文件中载明的投标有效期的，投标无效。</w:t>
      </w:r>
    </w:p>
    <w:p>
      <w:pPr>
        <w:pStyle w:val="34"/>
        <w:spacing w:before="0"/>
        <w:ind w:firstLine="480"/>
        <w:rPr>
          <w:rFonts w:ascii="宋体" w:hAnsi="宋体" w:cs="宋体"/>
        </w:rPr>
      </w:pPr>
      <w:r>
        <w:rPr>
          <w:rFonts w:hint="eastAsia" w:ascii="宋体" w:hAnsi="宋体" w:cs="宋体"/>
        </w:rPr>
        <w:t>17.2磋商响应文件合格投递后，自投标截止日期起，在投标有效期内有效。</w:t>
      </w:r>
    </w:p>
    <w:p>
      <w:pPr>
        <w:pStyle w:val="34"/>
        <w:spacing w:before="0"/>
        <w:ind w:firstLine="480"/>
        <w:rPr>
          <w:rFonts w:ascii="宋体" w:hAnsi="宋体" w:cs="宋体"/>
        </w:rPr>
      </w:pPr>
      <w:r>
        <w:rPr>
          <w:rFonts w:hint="eastAsia" w:ascii="宋体" w:hAnsi="宋体" w:cs="宋体"/>
        </w:rPr>
        <w:t>17.3在原定投标有效期满之前，如果出现特殊情况，采购机构可以以书面形式通知供应商延长投标有效期。供应商同意延长的，不得要求或被允许修改其磋商响应文件，供应商拒绝延长的，其投标无效。</w:t>
      </w:r>
    </w:p>
    <w:p>
      <w:pPr>
        <w:pStyle w:val="34"/>
        <w:spacing w:before="0"/>
        <w:ind w:firstLine="0" w:firstLineChars="0"/>
        <w:rPr>
          <w:rFonts w:ascii="宋体" w:hAnsi="宋体" w:cs="宋体"/>
          <w:b/>
          <w:sz w:val="32"/>
        </w:rPr>
      </w:pPr>
    </w:p>
    <w:p>
      <w:pPr>
        <w:pStyle w:val="34"/>
        <w:spacing w:before="0"/>
        <w:ind w:firstLine="0" w:firstLineChars="0"/>
        <w:jc w:val="center"/>
        <w:rPr>
          <w:rFonts w:ascii="宋体" w:hAnsi="宋体" w:cs="宋体"/>
          <w:b/>
          <w:sz w:val="32"/>
        </w:rPr>
      </w:pPr>
      <w:r>
        <w:rPr>
          <w:rFonts w:hint="eastAsia" w:ascii="宋体" w:hAnsi="宋体" w:cs="宋体"/>
          <w:b/>
          <w:sz w:val="32"/>
        </w:rPr>
        <w:t>四、开标、资格审查与信用信息查询</w:t>
      </w:r>
    </w:p>
    <w:p>
      <w:pPr>
        <w:pStyle w:val="3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35"/>
        <w:spacing w:before="0" w:line="360" w:lineRule="auto"/>
        <w:ind w:left="0" w:firstLine="480" w:firstLineChars="200"/>
        <w:contextualSpacing/>
        <w:rPr>
          <w:rFonts w:ascii="宋体" w:hAnsi="宋体" w:cs="宋体"/>
          <w:b/>
          <w:bCs/>
          <w:sz w:val="24"/>
        </w:rPr>
      </w:pPr>
      <w:r>
        <w:rPr>
          <w:rFonts w:hint="eastAsia" w:ascii="宋体" w:hAnsi="宋体" w:cs="宋体"/>
          <w:sz w:val="24"/>
        </w:rPr>
        <w:t>18.1采购机构按照竞争性磋商文件规定的时间通过电子交易平台组织开标，所有供应商均应当准时在线参加。供应商不足3家的，不得开标。</w:t>
      </w:r>
    </w:p>
    <w:p>
      <w:pPr>
        <w:pStyle w:val="3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18.2开标时，电子交易平台按开标时间自动提取所有磋商响应文件。采购机构依托电子交易平台发起开始解密指令，供应商按照平台提示和竞争性磋商文件的规定在半小时内完成在线解密。</w:t>
      </w:r>
    </w:p>
    <w:p>
      <w:pPr>
        <w:pStyle w:val="35"/>
        <w:spacing w:before="0" w:line="360" w:lineRule="auto"/>
        <w:ind w:left="0" w:firstLine="240" w:firstLineChars="100"/>
        <w:contextualSpacing/>
        <w:rPr>
          <w:rFonts w:ascii="宋体" w:hAnsi="宋体" w:cs="宋体"/>
          <w:sz w:val="24"/>
        </w:rPr>
      </w:pPr>
      <w:r>
        <w:rPr>
          <w:rFonts w:hint="eastAsia" w:ascii="宋体" w:hAnsi="宋体" w:cs="宋体"/>
          <w:sz w:val="24"/>
        </w:rPr>
        <w:t>　</w:t>
      </w:r>
      <w:r>
        <w:rPr>
          <w:rFonts w:hint="eastAsia" w:ascii="宋体" w:hAnsi="宋体" w:cs="宋体"/>
          <w:b/>
          <w:bCs/>
          <w:sz w:val="24"/>
        </w:rPr>
        <w:t>18.3磋商响应文件未按时解密，供应商提供了备份磋商响应文件的，以备份磋商响应文件作为依据，否则视为磋商响应文件撤回。磋商响应文件已按时解密的，备份磋商响应文件自动失效。</w:t>
      </w:r>
    </w:p>
    <w:p>
      <w:pPr>
        <w:pStyle w:val="34"/>
        <w:spacing w:before="0"/>
        <w:ind w:firstLine="0" w:firstLineChars="0"/>
        <w:rPr>
          <w:rFonts w:ascii="宋体" w:hAnsi="宋体" w:cs="宋体"/>
          <w:b/>
          <w:szCs w:val="24"/>
        </w:rPr>
      </w:pPr>
      <w:r>
        <w:rPr>
          <w:rFonts w:hint="eastAsia" w:ascii="宋体" w:hAnsi="宋体" w:cs="宋体"/>
          <w:b/>
          <w:szCs w:val="24"/>
        </w:rPr>
        <w:t>　19、资格审查</w:t>
      </w:r>
    </w:p>
    <w:p>
      <w:pPr>
        <w:pStyle w:val="34"/>
        <w:spacing w:before="0"/>
        <w:ind w:firstLine="480"/>
        <w:rPr>
          <w:rFonts w:ascii="宋体" w:hAnsi="宋体" w:cs="宋体"/>
          <w:kern w:val="0"/>
          <w:szCs w:val="24"/>
        </w:rPr>
      </w:pPr>
      <w:r>
        <w:rPr>
          <w:rFonts w:hint="eastAsia" w:ascii="宋体" w:hAnsi="宋体" w:cs="宋体"/>
          <w:kern w:val="0"/>
          <w:szCs w:val="24"/>
        </w:rPr>
        <w:t>19.1开标后，采购人或采购机构将依法对供应商的资格进行审查。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采购人或采购机构依据法律法规和竞争性磋商文件的规定，对供应商的基本资格条件、特定资格条件进行审查。</w:t>
      </w:r>
    </w:p>
    <w:p>
      <w:pPr>
        <w:pStyle w:val="34"/>
        <w:spacing w:before="0"/>
        <w:ind w:firstLine="480"/>
        <w:rPr>
          <w:rFonts w:ascii="宋体" w:hAnsi="宋体" w:cs="宋体"/>
        </w:rPr>
      </w:pPr>
      <w:r>
        <w:rPr>
          <w:rFonts w:hint="eastAsia" w:ascii="宋体" w:hAnsi="宋体" w:cs="宋体"/>
          <w:kern w:val="0"/>
          <w:szCs w:val="24"/>
        </w:rPr>
        <w:t>19.3供应商未按照竞争性磋商文件要求提供与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供应商不具备竞争性磋商文件中规定的资格要求，其投标无效。</w:t>
      </w:r>
    </w:p>
    <w:p>
      <w:pPr>
        <w:pStyle w:val="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4对未通过资格审查的供应商，采购人或采购机构告知其未通过的原因。</w:t>
      </w:r>
    </w:p>
    <w:p>
      <w:pPr>
        <w:pStyle w:val="34"/>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5合格供应商不足3家的，不再评标。</w:t>
      </w:r>
    </w:p>
    <w:p>
      <w:pPr>
        <w:pStyle w:val="34"/>
        <w:spacing w:before="0"/>
        <w:ind w:firstLine="0" w:firstLineChars="0"/>
        <w:rPr>
          <w:rFonts w:ascii="宋体" w:hAnsi="宋体" w:cs="宋体"/>
          <w:b/>
          <w:szCs w:val="24"/>
        </w:rPr>
      </w:pPr>
      <w:r>
        <w:rPr>
          <w:rFonts w:hint="eastAsia" w:ascii="宋体" w:hAnsi="宋体" w:cs="宋体"/>
          <w:b/>
          <w:szCs w:val="24"/>
        </w:rPr>
        <w:t>20、信用信息查询</w:t>
      </w:r>
    </w:p>
    <w:p>
      <w:pPr>
        <w:pStyle w:val="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20.1信用信息查询渠道及截止时间：采购机构将通过“信用中国”网站(www.creditchina.gov.cn)、中国政府采购网(www.ccgp.gov.cn)渠道查询供应商投标截止时间当天的信用记录。</w:t>
      </w:r>
    </w:p>
    <w:p>
      <w:pPr>
        <w:pStyle w:val="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20.2信用信息查询记录和证据留存的具体方式：现场查询的供应商的信用记录、查询结果经确认后将与竞争性磋商文件一起存档。</w:t>
      </w:r>
    </w:p>
    <w:p>
      <w:pPr>
        <w:pStyle w:val="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20.3信用信息的使用规则：经查询列入失信被执行人名单、重大税收违法案件当事人名单、政府采购严重违法失信行为记录名单的供应商将被拒绝参与政府采购活动。</w:t>
      </w:r>
    </w:p>
    <w:p>
      <w:pPr>
        <w:pStyle w:val="34"/>
        <w:spacing w:before="0"/>
        <w:ind w:firstLine="480"/>
        <w:rPr>
          <w:rFonts w:ascii="宋体" w:hAnsi="宋体" w:cs="宋体"/>
          <w:b/>
          <w:sz w:val="36"/>
          <w:szCs w:val="36"/>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竞争性磋商文件和有关规定，履行评标工作职责，并按照评标方法及评分标准，全面衡量各供应商对竞争性磋商文件的响应情况。对实质上响应竞争性磋商文件的供应商，按照评审因素的量化指标排出推荐中标的供应商的先后顺序，并按顺序提出授标建议。</w:t>
      </w:r>
      <w:r>
        <w:rPr>
          <w:rFonts w:hint="eastAsia" w:ascii="宋体" w:hAnsi="宋体" w:cs="宋体"/>
          <w:b/>
          <w:sz w:val="24"/>
        </w:rPr>
        <w:t>详见竞争性磋商文件第四部分评标办法。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34"/>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34"/>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采购人与中标人应当通过电子交易平台在中标通知书发出之日起三十日内，按照竞争性磋商文件确定的事项签订政府采购合同，并在合同签订之日起2个工作日内依法发布合同公告。</w:t>
      </w:r>
    </w:p>
    <w:p>
      <w:pPr>
        <w:pStyle w:val="3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3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3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34"/>
        <w:snapToGrid w:val="0"/>
        <w:spacing w:before="0" w:after="120"/>
        <w:ind w:firstLine="480"/>
        <w:rPr>
          <w:rFonts w:ascii="宋体" w:hAnsi="宋体" w:cs="宋体"/>
        </w:rPr>
      </w:pPr>
      <w:r>
        <w:rPr>
          <w:rFonts w:hint="eastAsia" w:ascii="宋体" w:hAnsi="宋体" w:cs="宋体"/>
        </w:rPr>
        <w:t>25.5采购合同由采购人与中标供应商根据竞争性磋商文件、磋商响应文件等内容通过政府采购电子交易平台在线签订，自动备案。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本项目无履约保证金。</w:t>
      </w:r>
    </w:p>
    <w:p>
      <w:pPr>
        <w:snapToGrid w:val="0"/>
        <w:spacing w:line="360" w:lineRule="auto"/>
        <w:ind w:firstLine="3357" w:firstLineChars="1045"/>
        <w:rPr>
          <w:rFonts w:ascii="宋体" w:hAnsi="宋体" w:cs="宋体"/>
          <w:b/>
          <w:sz w:val="32"/>
        </w:rPr>
      </w:pPr>
    </w:p>
    <w:p>
      <w:pPr>
        <w:snapToGrid w:val="0"/>
        <w:spacing w:line="360" w:lineRule="auto"/>
        <w:jc w:val="center"/>
        <w:rPr>
          <w:rFonts w:ascii="宋体" w:hAnsi="宋体" w:cs="宋体"/>
          <w:b/>
          <w:sz w:val="24"/>
        </w:rPr>
      </w:pPr>
      <w:r>
        <w:rPr>
          <w:rFonts w:hint="eastAsia" w:ascii="宋体" w:hAnsi="宋体" w:cs="宋体"/>
          <w:b/>
          <w:sz w:val="32"/>
        </w:rPr>
        <w:t>八、电子交易活动的中止</w:t>
      </w:r>
    </w:p>
    <w:p>
      <w:pPr>
        <w:pStyle w:val="34"/>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34"/>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34"/>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34"/>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34"/>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34"/>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34"/>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4" w:type="first"/>
          <w:footerReference r:id="rId6" w:type="first"/>
          <w:headerReference r:id="rId3" w:type="default"/>
          <w:footerReference r:id="rId5" w:type="default"/>
          <w:pgSz w:w="11906" w:h="16838"/>
          <w:pgMar w:top="1440" w:right="1418" w:bottom="1440" w:left="1418" w:header="851" w:footer="992" w:gutter="0"/>
          <w:pgNumType w:start="1"/>
          <w:cols w:space="0" w:num="1"/>
          <w:titlePg/>
          <w:docGrid w:linePitch="312" w:charSpace="0"/>
        </w:sectPr>
      </w:pPr>
      <w:bookmarkStart w:id="13" w:name="_Hlt68057669"/>
      <w:bookmarkEnd w:id="13"/>
      <w:bookmarkStart w:id="14" w:name="_Hlt74707468"/>
      <w:bookmarkEnd w:id="14"/>
      <w:bookmarkStart w:id="15" w:name="_Hlt74714665"/>
      <w:bookmarkEnd w:id="15"/>
      <w:bookmarkStart w:id="16" w:name="_Hlt74730295"/>
      <w:bookmarkEnd w:id="16"/>
      <w:bookmarkStart w:id="17" w:name="_Hlt74729768"/>
      <w:bookmarkEnd w:id="17"/>
      <w:bookmarkStart w:id="18" w:name="_Hlt75236290"/>
      <w:bookmarkEnd w:id="18"/>
      <w:bookmarkStart w:id="19" w:name="_Hlt68072998"/>
      <w:bookmarkEnd w:id="19"/>
      <w:bookmarkStart w:id="20" w:name="_Hlt75236101"/>
      <w:bookmarkEnd w:id="20"/>
      <w:bookmarkStart w:id="21" w:name="_Hlt75236011"/>
      <w:bookmarkEnd w:id="21"/>
      <w:bookmarkStart w:id="22" w:name="_Hlt68072990"/>
      <w:bookmarkEnd w:id="22"/>
      <w:bookmarkStart w:id="23" w:name="_Hlt68073093"/>
      <w:bookmarkEnd w:id="23"/>
      <w:bookmarkStart w:id="24" w:name="_Hlt68403820"/>
      <w:bookmarkEnd w:id="24"/>
    </w:p>
    <w:bookmarkEnd w:id="10"/>
    <w:bookmarkEnd w:id="11"/>
    <w:p>
      <w:pPr>
        <w:spacing w:line="360" w:lineRule="auto"/>
        <w:jc w:val="center"/>
        <w:outlineLvl w:val="0"/>
        <w:rPr>
          <w:rFonts w:ascii="宋体" w:hAnsi="宋体" w:cs="宋体"/>
          <w:b/>
          <w:color w:val="000000" w:themeColor="text1"/>
          <w:sz w:val="36"/>
          <w:szCs w:val="36"/>
        </w:rPr>
      </w:pPr>
      <w:bookmarkStart w:id="25" w:name="第四部分"/>
      <w:r>
        <w:rPr>
          <w:rFonts w:hint="eastAsia" w:cs="宋体" w:asciiTheme="minorEastAsia" w:hAnsiTheme="minorEastAsia" w:eastAsiaTheme="minorEastAsia"/>
          <w:b/>
          <w:sz w:val="36"/>
          <w:szCs w:val="36"/>
        </w:rPr>
        <w:t>第三部分   采购需求</w:t>
      </w:r>
    </w:p>
    <w:p>
      <w:pPr>
        <w:pStyle w:val="3"/>
        <w:rPr>
          <w:rFonts w:ascii="宋体" w:hAnsi="宋体" w:eastAsia="宋体" w:cs="宋体"/>
          <w:lang w:val="en-US"/>
        </w:rPr>
      </w:pPr>
      <w:r>
        <w:rPr>
          <w:rFonts w:hint="eastAsia" w:ascii="宋体" w:hAnsi="宋体" w:eastAsia="宋体" w:cs="宋体"/>
          <w:lang w:val="en-US"/>
        </w:rPr>
        <w:t>一、项目背景</w:t>
      </w:r>
    </w:p>
    <w:p>
      <w:pPr>
        <w:tabs>
          <w:tab w:val="left" w:pos="0"/>
        </w:tabs>
        <w:spacing w:line="360" w:lineRule="auto"/>
        <w:ind w:firstLine="480"/>
        <w:rPr>
          <w:rFonts w:ascii="宋体" w:hAnsi="宋体" w:cs="宋体"/>
          <w:kern w:val="0"/>
          <w:sz w:val="24"/>
        </w:rPr>
      </w:pPr>
      <w:r>
        <w:rPr>
          <w:rFonts w:hint="eastAsia" w:ascii="宋体" w:hAnsi="宋体" w:cs="宋体"/>
          <w:kern w:val="0"/>
          <w:sz w:val="24"/>
        </w:rPr>
        <w:t>2022年，桐庐县开始谋划桐庐县生态环境污染隐患主动预警干预场景。根据省、市、县数字化改革建设总体要求，围绕桐庐县“为企业减忧、为政府减压、为环境减负，为美丽加分”的工作目标，结合杭州市生态智卫场景延伸贯通的要求，全面继承市级业务场景并迭代、派生出实用的各类子场景。聚焦解决生态环境突出问题，桐庐县生态环境污染隐患主动预警干预场景作为全县生态环境特色场景之一，在生态智卫总体框架下，充分注重实战实用实效，通过构建数据逻辑分析模型，重塑形成大生态环境风险隐患自动分析、主动预警、提前干预、一体化执法、监管与服务并重的环境管控新模式。</w:t>
      </w:r>
    </w:p>
    <w:p>
      <w:pPr>
        <w:tabs>
          <w:tab w:val="left" w:pos="0"/>
        </w:tabs>
        <w:spacing w:line="360" w:lineRule="auto"/>
        <w:ind w:firstLine="480"/>
        <w:rPr>
          <w:rFonts w:ascii="宋体" w:hAnsi="宋体" w:cs="宋体"/>
          <w:kern w:val="0"/>
          <w:sz w:val="24"/>
        </w:rPr>
      </w:pPr>
      <w:r>
        <w:rPr>
          <w:rFonts w:hint="eastAsia" w:ascii="宋体" w:hAnsi="宋体" w:cs="宋体"/>
          <w:kern w:val="0"/>
          <w:sz w:val="24"/>
        </w:rPr>
        <w:t>经过</w:t>
      </w:r>
      <w:r>
        <w:rPr>
          <w:rFonts w:ascii="宋体" w:hAnsi="宋体" w:cs="宋体"/>
          <w:kern w:val="0"/>
          <w:sz w:val="24"/>
        </w:rPr>
        <w:t>2023</w:t>
      </w:r>
      <w:r>
        <w:rPr>
          <w:rFonts w:hint="eastAsia" w:ascii="宋体" w:hAnsi="宋体" w:cs="宋体"/>
          <w:kern w:val="0"/>
          <w:sz w:val="24"/>
        </w:rPr>
        <w:t>年杭州亚运会桐庐县空气质量安全保障的实战检验，取得了明显成效，获得了领导的充分肯定，也获得浙江卫视的相关新闻媒体报道。因此2</w:t>
      </w:r>
      <w:r>
        <w:rPr>
          <w:rFonts w:ascii="宋体" w:hAnsi="宋体" w:cs="宋体"/>
          <w:kern w:val="0"/>
          <w:sz w:val="24"/>
        </w:rPr>
        <w:t>023</w:t>
      </w:r>
      <w:r>
        <w:rPr>
          <w:rFonts w:hint="eastAsia" w:ascii="宋体" w:hAnsi="宋体" w:cs="宋体"/>
          <w:kern w:val="0"/>
          <w:sz w:val="24"/>
        </w:rPr>
        <w:t>年，桐庐县就本场景进行继续建设，充分</w:t>
      </w:r>
      <w:r>
        <w:rPr>
          <w:rFonts w:ascii="宋体" w:hAnsi="宋体" w:cs="宋体"/>
          <w:kern w:val="0"/>
          <w:sz w:val="24"/>
        </w:rPr>
        <w:t>融合数字化改革理念，便利</w:t>
      </w:r>
      <w:r>
        <w:rPr>
          <w:rFonts w:hint="eastAsia" w:ascii="宋体" w:hAnsi="宋体" w:cs="宋体"/>
          <w:kern w:val="0"/>
          <w:sz w:val="24"/>
        </w:rPr>
        <w:t>现</w:t>
      </w:r>
      <w:r>
        <w:rPr>
          <w:rFonts w:ascii="宋体" w:hAnsi="宋体" w:cs="宋体"/>
          <w:kern w:val="0"/>
          <w:sz w:val="24"/>
        </w:rPr>
        <w:t>有业务的同时，拓展数字化治理新模式</w:t>
      </w:r>
      <w:r>
        <w:rPr>
          <w:rFonts w:hint="eastAsia" w:ascii="宋体" w:hAnsi="宋体" w:cs="宋体"/>
          <w:kern w:val="0"/>
          <w:sz w:val="24"/>
        </w:rPr>
        <w:t>。</w:t>
      </w:r>
    </w:p>
    <w:p>
      <w:pPr>
        <w:pStyle w:val="3"/>
        <w:rPr>
          <w:rFonts w:ascii="宋体" w:hAnsi="宋体" w:eastAsia="宋体" w:cs="宋体"/>
          <w:lang w:val="en-US"/>
        </w:rPr>
      </w:pPr>
      <w:r>
        <w:rPr>
          <w:rFonts w:hint="eastAsia" w:ascii="宋体" w:hAnsi="宋体" w:eastAsia="宋体" w:cs="宋体"/>
          <w:lang w:val="en-US"/>
        </w:rPr>
        <w:t>二、建设目标</w:t>
      </w:r>
    </w:p>
    <w:p>
      <w:pPr>
        <w:widowControl/>
        <w:adjustRightInd/>
        <w:spacing w:line="360" w:lineRule="auto"/>
        <w:ind w:firstLine="480" w:firstLineChars="200"/>
        <w:rPr>
          <w:rFonts w:ascii="方正仿宋_GB2312" w:hAnsi="方正仿宋_GB2312" w:eastAsia="方正仿宋_GB2312" w:cs="方正仿宋_GB2312"/>
          <w:kern w:val="0"/>
          <w:sz w:val="32"/>
          <w:szCs w:val="32"/>
        </w:rPr>
      </w:pPr>
      <w:r>
        <w:rPr>
          <w:rFonts w:hint="eastAsia" w:ascii="宋体" w:hAnsi="宋体" w:cs="宋体"/>
          <w:kern w:val="0"/>
          <w:sz w:val="24"/>
        </w:rPr>
        <w:t>坚持大生态大环保理念，边建边用边完善，在治理能力创新提升上下功夫。强化数智赋能，不断推动“生态环境污染隐患主动预警干预系统”子场景增量开发迭代升级，打造最实战、最实用、最实效的应用场景，构建多跨协同、快速反应、闭环管理的“大生态、大环保”工作体系。强化技术支撑，开展大气污染源解析，为全领域、全过程科学精准开展治气工作打下坚实基础。同时，注重提炼总结，形成桐庐经验，力争在省市层面示范推广。</w:t>
      </w:r>
    </w:p>
    <w:p>
      <w:pPr>
        <w:pStyle w:val="3"/>
        <w:rPr>
          <w:rFonts w:ascii="宋体" w:hAnsi="宋体" w:eastAsia="宋体" w:cs="宋体"/>
          <w:lang w:val="en-US"/>
        </w:rPr>
      </w:pPr>
      <w:r>
        <w:rPr>
          <w:rFonts w:hint="eastAsia" w:ascii="宋体" w:hAnsi="宋体" w:eastAsia="宋体" w:cs="宋体"/>
          <w:lang w:val="en-US"/>
        </w:rPr>
        <w:t>三、采购内容</w:t>
      </w:r>
    </w:p>
    <w:p>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本项目为迭代升级项目，聚焦桐庐县域大生态领域，对相关部门大气环境有关数据归集，同时在对一期企业补充完善相关感知设备基础上，辅助建设部分感知设施，对生态环境污染隐患主动预警干预一期功能模块拓展，利用相关分析模型对相关环境风险隐患自动分析预警，对涉气的环境数据归集聚焦环境空气质量管控，建设社会面大气协同预警干预场景。</w:t>
      </w:r>
    </w:p>
    <w:p>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根据前期县数管局组织的专家评审意见，软件平台一次性购买，前端感知设备建设、设备维修维护及相关网络服务以购买服务的模式，服务期为3年。</w:t>
      </w:r>
    </w:p>
    <w:p>
      <w:pPr>
        <w:pStyle w:val="4"/>
        <w:numPr>
          <w:ilvl w:val="0"/>
          <w:numId w:val="1"/>
        </w:numPr>
        <w:spacing w:line="360" w:lineRule="auto"/>
        <w:rPr>
          <w:color w:val="000000" w:themeColor="text1"/>
        </w:rPr>
      </w:pPr>
      <w:bookmarkStart w:id="26" w:name="_Toc8658"/>
      <w:r>
        <w:rPr>
          <w:rFonts w:hint="eastAsia"/>
          <w:color w:val="000000" w:themeColor="text1"/>
        </w:rPr>
        <w:t>软件平台</w:t>
      </w:r>
      <w:bookmarkEnd w:id="26"/>
    </w:p>
    <w:p>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通过</w:t>
      </w:r>
      <w:r>
        <w:rPr>
          <w:rFonts w:hint="eastAsia" w:ascii="宋体" w:hAnsi="宋体" w:cs="宋体"/>
          <w:kern w:val="0"/>
          <w:sz w:val="24"/>
          <w:lang w:eastAsia="zh-CN"/>
        </w:rPr>
        <w:t>桐庐县生态环境污染隐患主动预警干预提质扩面项目（第二次）</w:t>
      </w:r>
      <w:r>
        <w:rPr>
          <w:rFonts w:hint="eastAsia" w:ascii="宋体" w:hAnsi="宋体" w:cs="宋体"/>
          <w:kern w:val="0"/>
          <w:sz w:val="24"/>
        </w:rPr>
        <w:t>，对生态环境污染隐患主动预警干预一期功能模块拓展，对涉气的环境数据归集聚焦环境空气质量管控，建设社会面大气协同预警干预场景。</w:t>
      </w:r>
    </w:p>
    <w:p>
      <w:pPr>
        <w:spacing w:line="360" w:lineRule="auto"/>
        <w:rPr>
          <w:rFonts w:asciiTheme="minorEastAsia" w:hAnsiTheme="minorEastAsia" w:eastAsiaTheme="minorEastAsia" w:cstheme="minorEastAsia"/>
          <w:b/>
          <w:color w:val="000000" w:themeColor="text1"/>
          <w:sz w:val="24"/>
        </w:rPr>
      </w:pPr>
    </w:p>
    <w:p>
      <w:pPr>
        <w:spacing w:line="360" w:lineRule="auto"/>
        <w:rPr>
          <w:color w:val="000000" w:themeColor="text1"/>
          <w:sz w:val="24"/>
        </w:rPr>
      </w:pPr>
      <w:r>
        <w:rPr>
          <w:rFonts w:hint="eastAsia" w:asciiTheme="minorEastAsia" w:hAnsiTheme="minorEastAsia" w:eastAsiaTheme="minorEastAsia" w:cstheme="minorEastAsia"/>
          <w:b/>
          <w:color w:val="000000" w:themeColor="text1"/>
          <w:sz w:val="24"/>
        </w:rPr>
        <w:t>软件清单明细</w:t>
      </w:r>
      <w:r>
        <w:rPr>
          <w:rFonts w:hint="eastAsia"/>
          <w:color w:val="000000" w:themeColor="text1"/>
        </w:rPr>
        <w:t>：</w:t>
      </w:r>
    </w:p>
    <w:tbl>
      <w:tblPr>
        <w:tblStyle w:val="23"/>
        <w:tblpPr w:leftFromText="180" w:rightFromText="180" w:vertAnchor="text" w:horzAnchor="page" w:tblpX="1792" w:tblpY="458"/>
        <w:tblOverlap w:val="never"/>
        <w:tblW w:w="5000" w:type="pct"/>
        <w:tblInd w:w="0" w:type="dxa"/>
        <w:shd w:val="clear" w:color="auto" w:fill="FFFFFF" w:themeFill="background1"/>
        <w:tblLayout w:type="fixed"/>
        <w:tblCellMar>
          <w:top w:w="0" w:type="dxa"/>
          <w:left w:w="108" w:type="dxa"/>
          <w:bottom w:w="0" w:type="dxa"/>
          <w:right w:w="108" w:type="dxa"/>
        </w:tblCellMar>
      </w:tblPr>
      <w:tblGrid>
        <w:gridCol w:w="535"/>
        <w:gridCol w:w="1167"/>
        <w:gridCol w:w="1713"/>
        <w:gridCol w:w="1787"/>
        <w:gridCol w:w="3293"/>
      </w:tblGrid>
      <w:tr>
        <w:tblPrEx>
          <w:shd w:val="clear" w:color="auto" w:fill="FFFFFF" w:themeFill="background1"/>
          <w:tblCellMar>
            <w:top w:w="0" w:type="dxa"/>
            <w:left w:w="108" w:type="dxa"/>
            <w:bottom w:w="0" w:type="dxa"/>
            <w:right w:w="108" w:type="dxa"/>
          </w:tblCellMar>
        </w:tblPrEx>
        <w:trPr>
          <w:trHeight w:val="409" w:hRule="atLeast"/>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场景模块</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一级功能模块</w:t>
            </w:r>
          </w:p>
        </w:tc>
        <w:tc>
          <w:tcPr>
            <w:tcW w:w="105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二级功能模块</w:t>
            </w:r>
          </w:p>
        </w:tc>
        <w:tc>
          <w:tcPr>
            <w:tcW w:w="200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rPr>
              <w:t>描述</w:t>
            </w:r>
          </w:p>
        </w:tc>
      </w:tr>
      <w:tr>
        <w:tblPrEx>
          <w:tblCellMar>
            <w:top w:w="0" w:type="dxa"/>
            <w:left w:w="108" w:type="dxa"/>
            <w:bottom w:w="0" w:type="dxa"/>
            <w:right w:w="108" w:type="dxa"/>
          </w:tblCellMar>
        </w:tblPrEx>
        <w:trPr>
          <w:trHeight w:val="409"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b/>
                <w:bCs/>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b/>
                <w:bCs/>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b/>
                <w:bCs/>
                <w:color w:val="000000"/>
                <w:szCs w:val="21"/>
              </w:rPr>
            </w:pPr>
          </w:p>
        </w:tc>
        <w:tc>
          <w:tcPr>
            <w:tcW w:w="105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b/>
                <w:bCs/>
                <w:color w:val="000000"/>
                <w:szCs w:val="21"/>
              </w:rPr>
            </w:pPr>
          </w:p>
        </w:tc>
        <w:tc>
          <w:tcPr>
            <w:tcW w:w="20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b/>
                <w:bCs/>
                <w:color w:val="000000"/>
                <w:szCs w:val="21"/>
              </w:rPr>
            </w:pPr>
          </w:p>
        </w:tc>
      </w:tr>
      <w:tr>
        <w:tblPrEx>
          <w:tblCellMar>
            <w:top w:w="0" w:type="dxa"/>
            <w:left w:w="108" w:type="dxa"/>
            <w:bottom w:w="0" w:type="dxa"/>
            <w:right w:w="108" w:type="dxa"/>
          </w:tblCellMar>
        </w:tblPrEx>
        <w:trPr>
          <w:trHeight w:val="1060" w:hRule="atLeast"/>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生态环境污染隐患主动预警干预功能模块拓展</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隐患流转处置</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隐患件自动交办</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通过配置隐患自动推送交办流程，系统根据问题的不同来源、严重程度、影响范围，基于各业务场景产生的问题事件自动交办至责任单位/人。</w:t>
            </w:r>
          </w:p>
        </w:tc>
      </w:tr>
      <w:tr>
        <w:tblPrEx>
          <w:tblCellMar>
            <w:top w:w="0" w:type="dxa"/>
            <w:left w:w="108" w:type="dxa"/>
            <w:bottom w:w="0" w:type="dxa"/>
            <w:right w:w="108" w:type="dxa"/>
          </w:tblCellMar>
        </w:tblPrEx>
        <w:trPr>
          <w:trHeight w:val="106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处置答复端升级</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实现答复端升级，针对每个隐患场景（污防设施不正常运行、浓度异常、污水非正常排放和露天焚烧）的处置内容和流程进行定制开发，以满足不同场景的处置需求。</w:t>
            </w:r>
          </w:p>
        </w:tc>
      </w:tr>
      <w:tr>
        <w:tblPrEx>
          <w:tblCellMar>
            <w:top w:w="0" w:type="dxa"/>
            <w:left w:w="108" w:type="dxa"/>
            <w:bottom w:w="0" w:type="dxa"/>
            <w:right w:w="108" w:type="dxa"/>
          </w:tblCellMar>
        </w:tblPrEx>
        <w:trPr>
          <w:trHeight w:val="176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处置结果自动复核</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在现有露天焚烧场景现有隐患主动干预机制基础上，新增二次抓拍火情情况界定，用于判断是否仍存在秸秆焚烧情况，并与原预警信息关联并将预警相关信息对接至大预警平台。系统支持自动复核分析，对未完成处置进行告警并再次交办；对已处置的情况同步回传视频画面进行存档。</w:t>
            </w:r>
          </w:p>
        </w:tc>
      </w:tr>
      <w:tr>
        <w:tblPrEx>
          <w:tblCellMar>
            <w:top w:w="0" w:type="dxa"/>
            <w:left w:w="108" w:type="dxa"/>
            <w:bottom w:w="0" w:type="dxa"/>
            <w:right w:w="108" w:type="dxa"/>
          </w:tblCellMar>
        </w:tblPrEx>
        <w:trPr>
          <w:trHeight w:val="1612"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处置结果自动评价</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系统可对预警事件填报处置结果进行自动评价，包括反馈的位置精准性、现场核查、答复是否有文字、是否有照片、答复是否及时、交办次数情况等进行核查评价，对于严重超期处置、重复和无照片等做无效处置评价。</w:t>
            </w:r>
          </w:p>
        </w:tc>
      </w:tr>
      <w:tr>
        <w:tblPrEx>
          <w:tblCellMar>
            <w:top w:w="0" w:type="dxa"/>
            <w:left w:w="108" w:type="dxa"/>
            <w:bottom w:w="0" w:type="dxa"/>
            <w:right w:w="108" w:type="dxa"/>
          </w:tblCellMar>
        </w:tblPrEx>
        <w:trPr>
          <w:trHeight w:val="14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预警推演厂区标绘</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模拟标绘</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通过可视化引擎及GIS技术，对厂区内污水池的主要工艺流程以及污水池进行可视化设计组合，根据踏勘情况标绘的工业企业污水池分布和排污流向图，结合实时监测数据，直观呈现水流向、浓度、运行状态等。</w:t>
            </w:r>
          </w:p>
        </w:tc>
      </w:tr>
      <w:tr>
        <w:tblPrEx>
          <w:tblCellMar>
            <w:top w:w="0" w:type="dxa"/>
            <w:left w:w="108" w:type="dxa"/>
            <w:bottom w:w="0" w:type="dxa"/>
            <w:right w:w="108" w:type="dxa"/>
          </w:tblCellMar>
        </w:tblPrEx>
        <w:trPr>
          <w:trHeight w:val="7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污水量变化监测</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jc w:val="left"/>
              <w:textAlignment w:val="top"/>
              <w:rPr>
                <w:rFonts w:ascii="宋体" w:hAnsi="宋体" w:cs="宋体"/>
                <w:color w:val="000000"/>
                <w:szCs w:val="21"/>
              </w:rPr>
            </w:pPr>
            <w:r>
              <w:rPr>
                <w:rFonts w:hint="eastAsia" w:ascii="宋体" w:hAnsi="宋体" w:cs="宋体"/>
                <w:color w:val="000000"/>
                <w:kern w:val="0"/>
                <w:szCs w:val="21"/>
              </w:rPr>
              <w:t>对污水池容量、现有容量、空余容量、污水池变化总量、标排口变化总量多个数据进行体现。</w:t>
            </w:r>
          </w:p>
        </w:tc>
      </w:tr>
      <w:tr>
        <w:tblPrEx>
          <w:tblCellMar>
            <w:top w:w="0" w:type="dxa"/>
            <w:left w:w="108" w:type="dxa"/>
            <w:bottom w:w="0" w:type="dxa"/>
            <w:right w:w="108" w:type="dxa"/>
          </w:tblCellMar>
        </w:tblPrEx>
        <w:trPr>
          <w:trHeight w:val="7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集成配置管理</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交办流程配置管理</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包括隐患流程模板、自动交办流程配置。</w:t>
            </w:r>
          </w:p>
        </w:tc>
      </w:tr>
      <w:tr>
        <w:tblPrEx>
          <w:tblCellMar>
            <w:top w:w="0" w:type="dxa"/>
            <w:left w:w="108" w:type="dxa"/>
            <w:bottom w:w="0" w:type="dxa"/>
            <w:right w:w="108" w:type="dxa"/>
          </w:tblCellMar>
        </w:tblPrEx>
        <w:trPr>
          <w:trHeight w:val="217"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预警点位修正</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textAlignment w:val="top"/>
              <w:rPr>
                <w:rFonts w:ascii="宋体" w:hAnsi="宋体" w:cs="宋体"/>
                <w:color w:val="000000"/>
                <w:szCs w:val="21"/>
              </w:rPr>
            </w:pPr>
            <w:r>
              <w:rPr>
                <w:rFonts w:hint="eastAsia" w:ascii="宋体" w:hAnsi="宋体" w:cs="宋体"/>
                <w:color w:val="000000"/>
                <w:kern w:val="0"/>
                <w:szCs w:val="21"/>
              </w:rPr>
              <w:t>对系统判断预警事件发生的经纬度，根据实际定位在地图上对位置进行修正。</w:t>
            </w:r>
          </w:p>
        </w:tc>
      </w:tr>
      <w:tr>
        <w:tblPrEx>
          <w:tblCellMar>
            <w:top w:w="0" w:type="dxa"/>
            <w:left w:w="108" w:type="dxa"/>
            <w:bottom w:w="0" w:type="dxa"/>
            <w:right w:w="108" w:type="dxa"/>
          </w:tblCellMar>
        </w:tblPrEx>
        <w:trPr>
          <w:trHeight w:val="1420" w:hRule="atLeast"/>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社会面大气协同预警干预场景</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空气治理态势</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大气视窗</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以桐庐县行政地图为底图为背景，绘制桐庐县空气质量分布插值图，按图层方式自动加载各类空气站点实况，数据面板从大气地图、大气环境、大气分析、防治措施等维度呈现空气质量总体态势。</w:t>
            </w:r>
          </w:p>
        </w:tc>
      </w:tr>
      <w:tr>
        <w:tblPrEx>
          <w:tblCellMar>
            <w:top w:w="0" w:type="dxa"/>
            <w:left w:w="108" w:type="dxa"/>
            <w:bottom w:w="0" w:type="dxa"/>
            <w:right w:w="108" w:type="dxa"/>
          </w:tblCellMar>
        </w:tblPrEx>
        <w:trPr>
          <w:trHeight w:val="35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预警协同</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预警研判通过融合多种类型预警信息，按照七天播报、预警统计、环境目标预警、轻中度污染预警等，对预警内容进行分类研判、进度反馈实时跟踪，督促问题及时发现、科学分析、自动下派的预警一张图。从各类任务闭环处置流程跟踪以及处置执行效率方面，体现桐庐县协同能力和成效，从而发现闭环堵点，提升处置效率。以地图模式，体现年度所有任务分布情况，可在地图上对任一任务交互查看处理详情，同时数据板块以业务协同、协同作战、协同增效等维度体现任务实况、协同驱动情况、处置效率详情。</w:t>
            </w:r>
          </w:p>
        </w:tc>
      </w:tr>
      <w:tr>
        <w:tblPrEx>
          <w:tblCellMar>
            <w:top w:w="0" w:type="dxa"/>
            <w:left w:w="108" w:type="dxa"/>
            <w:bottom w:w="0" w:type="dxa"/>
            <w:right w:w="108" w:type="dxa"/>
          </w:tblCellMar>
        </w:tblPrEx>
        <w:trPr>
          <w:trHeight w:val="14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乡镇街道模式</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在大气视窗、预警协同板块中，系统自动根据数据的街道属性，显示当前街道的环境质量监测点、气象监测点、涉气污染源监控点、涉气源、涉气预警事件、专项行动任务完成情况等。</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大气环境质量排名</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从桐庐县视角出发，展示桐庐县在市内不同时间维度的排名，桐庐县下辖街道的空气质量排名，并通过浙政钉消息通知以AI报表形式反馈至具体负责人。</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大气环境监测监控</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承接市局接入的国、省、市控等各类站点信息，接入桐庐县自建站点，实现数据监控和历史数据查询。</w:t>
            </w:r>
          </w:p>
        </w:tc>
      </w:tr>
      <w:tr>
        <w:tblPrEx>
          <w:tblCellMar>
            <w:top w:w="0" w:type="dxa"/>
            <w:left w:w="108" w:type="dxa"/>
            <w:bottom w:w="0" w:type="dxa"/>
            <w:right w:w="108" w:type="dxa"/>
          </w:tblCellMar>
        </w:tblPrEx>
        <w:trPr>
          <w:trHeight w:val="386"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大气环境分析诊断</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大气环境的各类指标超标和目标完成情况进行诊断。</w:t>
            </w:r>
          </w:p>
        </w:tc>
      </w:tr>
      <w:tr>
        <w:tblPrEx>
          <w:tblCellMar>
            <w:top w:w="0" w:type="dxa"/>
            <w:left w:w="108" w:type="dxa"/>
            <w:bottom w:w="0" w:type="dxa"/>
            <w:right w:w="108" w:type="dxa"/>
          </w:tblCellMar>
        </w:tblPrEx>
        <w:trPr>
          <w:trHeight w:val="17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涉气污染源监管</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textAlignment w:val="top"/>
              <w:rPr>
                <w:rFonts w:ascii="宋体" w:hAnsi="宋体" w:cs="宋体"/>
                <w:color w:val="000000"/>
                <w:szCs w:val="21"/>
              </w:rPr>
            </w:pPr>
            <w:r>
              <w:rPr>
                <w:rFonts w:hint="eastAsia" w:ascii="宋体" w:hAnsi="宋体" w:cs="宋体"/>
                <w:color w:val="000000"/>
                <w:kern w:val="0"/>
                <w:szCs w:val="21"/>
              </w:rPr>
              <w:t>在承接市局污染源在线数据的基础上，可以接入桐庐县自己管理的废气排口数据，为气环境质量分析研判、预警事件处置提供溯源支持。</w:t>
            </w:r>
          </w:p>
        </w:tc>
      </w:tr>
      <w:tr>
        <w:tblPrEx>
          <w:tblCellMar>
            <w:top w:w="0" w:type="dxa"/>
            <w:left w:w="108" w:type="dxa"/>
            <w:bottom w:w="0" w:type="dxa"/>
            <w:right w:w="108" w:type="dxa"/>
          </w:tblCellMar>
        </w:tblPrEx>
        <w:trPr>
          <w:trHeight w:val="14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洒水车路线跟踪</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textAlignment w:val="top"/>
              <w:rPr>
                <w:rFonts w:ascii="宋体" w:hAnsi="宋体" w:cs="宋体"/>
                <w:color w:val="000000"/>
                <w:szCs w:val="21"/>
              </w:rPr>
            </w:pPr>
            <w:r>
              <w:rPr>
                <w:rFonts w:hint="eastAsia" w:ascii="宋体" w:hAnsi="宋体" w:cs="宋体"/>
                <w:color w:val="000000"/>
                <w:kern w:val="0"/>
                <w:szCs w:val="21"/>
              </w:rPr>
              <w:t>协同洒水车的定位GPS数据，将敏感区周边洒水车的情况在地图上进行展示，同时依据敏感区域的分析结果，动态跟踪洒水车路线。</w:t>
            </w:r>
          </w:p>
        </w:tc>
      </w:tr>
      <w:tr>
        <w:tblPrEx>
          <w:tblCellMar>
            <w:top w:w="0" w:type="dxa"/>
            <w:left w:w="108" w:type="dxa"/>
            <w:bottom w:w="0" w:type="dxa"/>
            <w:right w:w="108" w:type="dxa"/>
          </w:tblCellMar>
        </w:tblPrEx>
        <w:trPr>
          <w:trHeight w:val="14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工地扬尘在线跟踪</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textAlignment w:val="top"/>
              <w:rPr>
                <w:rFonts w:ascii="宋体" w:hAnsi="宋体" w:cs="宋体"/>
                <w:color w:val="000000"/>
                <w:szCs w:val="21"/>
              </w:rPr>
            </w:pPr>
            <w:r>
              <w:rPr>
                <w:rFonts w:hint="eastAsia" w:ascii="宋体" w:hAnsi="宋体" w:cs="宋体"/>
                <w:color w:val="000000"/>
                <w:kern w:val="0"/>
                <w:szCs w:val="21"/>
              </w:rPr>
              <w:t>将重点工地扬尘源相关监测数据和日常巡查相结合，结合现有的实景视频监控、重点工地，可以对重点工地上渣土运输车辆等扬尘违法行为，可联动跟踪查看车辆/非道机械在线监测数据以及作业情况。</w:t>
            </w:r>
          </w:p>
        </w:tc>
      </w:tr>
      <w:tr>
        <w:tblPrEx>
          <w:tblCellMar>
            <w:top w:w="0" w:type="dxa"/>
            <w:left w:w="108" w:type="dxa"/>
            <w:bottom w:w="0" w:type="dxa"/>
            <w:right w:w="108" w:type="dxa"/>
          </w:tblCellMar>
        </w:tblPrEx>
        <w:trPr>
          <w:trHeight w:val="106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道路扬尘在线跟踪</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60" w:lineRule="auto"/>
              <w:textAlignment w:val="top"/>
              <w:rPr>
                <w:rFonts w:ascii="宋体" w:hAnsi="宋体" w:cs="宋体"/>
                <w:color w:val="000000"/>
                <w:szCs w:val="21"/>
              </w:rPr>
            </w:pPr>
            <w:r>
              <w:rPr>
                <w:rFonts w:hint="eastAsia" w:ascii="宋体" w:hAnsi="宋体" w:cs="宋体"/>
                <w:color w:val="000000"/>
                <w:kern w:val="0"/>
                <w:szCs w:val="21"/>
              </w:rPr>
              <w:t>将重点道路扬尘源相关监测数据和日常巡查相结合，结合实景视频监控、重点道路，对重点道路扬尘超标行为进行管控。</w:t>
            </w:r>
          </w:p>
        </w:tc>
      </w:tr>
      <w:tr>
        <w:tblPrEx>
          <w:tblCellMar>
            <w:top w:w="0" w:type="dxa"/>
            <w:left w:w="108" w:type="dxa"/>
            <w:bottom w:w="0" w:type="dxa"/>
            <w:right w:w="108" w:type="dxa"/>
          </w:tblCellMar>
        </w:tblPrEx>
        <w:trPr>
          <w:trHeight w:val="7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汽修行业分布</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将4S店、汽修企业或车漆服务商一同纳入监管体系，对涉VOCs的企业定位显示，在地图上实现一图感知。</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涉气企业生产状态一览</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对已经安装物联感知设备的涉气企业的生产状态在地图上实时显示，实现一图感知。</w:t>
            </w:r>
          </w:p>
        </w:tc>
      </w:tr>
      <w:tr>
        <w:tblPrEx>
          <w:tblCellMar>
            <w:top w:w="0" w:type="dxa"/>
            <w:left w:w="108" w:type="dxa"/>
            <w:bottom w:w="0" w:type="dxa"/>
            <w:right w:w="108" w:type="dxa"/>
          </w:tblCellMar>
        </w:tblPrEx>
        <w:trPr>
          <w:trHeight w:val="142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城区卡口数据统计</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通过定期导入桐庐县城内关键路段的道路交通治安卡口的过往的车辆类型和车辆数量等关键信息，对车流量信息进行统计和分析，辅助了解交通流量和车辆类型对大气环境质量的影响，从而制定更加精准的防治措施。</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露天焚烧指挥干预</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通过与云台设备对接，对监控范围内的露天焚烧等情况可实时监控预警，并将监控到焚烧物的具体焚烧点位的所属乡镇、经纬度、现场照片等实时传输至本应用管理端。</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餐饮油烟情况感知</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结合餐饮油烟的数据，对于敏感区域的餐饮油烟进行在线监管，对于餐饮油烟超标情况进行掌握。</w:t>
            </w:r>
          </w:p>
        </w:tc>
      </w:tr>
      <w:tr>
        <w:tblPrEx>
          <w:tblCellMar>
            <w:top w:w="0" w:type="dxa"/>
            <w:left w:w="108" w:type="dxa"/>
            <w:bottom w:w="0" w:type="dxa"/>
            <w:right w:w="108" w:type="dxa"/>
          </w:tblCellMar>
        </w:tblPrEx>
        <w:trPr>
          <w:trHeight w:val="248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污染特征分析</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根据大气环境质量监测数据，结合大数据分析，识别PM2.5在不同空间和时间尺度的高精度分布特征与演变规律，实现不同高度的相关大气污染物指标的可视化。按照不同的时间尺度(季度、月份、小时)进行时间序列变化分析和空间变化分析，分析桐庐区域相关大气环境时空分布特征，包括年平均质量浓度、月均质量浓度、日平均小时质量浓度以及超标天数。</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污染天气动态云图</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GIS立体变分同化模型</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构建桐庐县GIS立体变分同化模型，利用各国控点、省控点、市控点、微站等观测数据，每天根据各种不同来源、不同误差信息和不同时空分辨率的观测资料融合进入数值模式，利用三维变分同化系统在模式解与实际观测之间找到一个最优解，并可同化常规空气自动监测数据，为数值模式计算提供高精度的化学和气象初始场。</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left"/>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实时监测精准管控</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经本地化处理、变分同化、自动站观测数据后，配合系统实时监测数据实现在轻度污染及以上污染过程发生时，快速计算污染来源，评估对受体点影响较大的网格，实现精准管控。</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left"/>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污染天气动态云图</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结合气象、大气化学模式、污染溯源扩散模式，通过重点攻克小尺度精细化溯源模式等核心模式，建成集数值模式和智能大数据可视化平台为一体的桐庐县污染天气动态立体云图，实现区域污染天气动态云图、天气形势展示、污染形势分析等功能，为大气环境质量精细化管理与环境污染治理决策提供技术工具。</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污染天气指挥调度与发布</w:t>
            </w: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指令下达</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根据大气污染情况污染天气应对通知任务通过党政OA系统进行指令下达。</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系统指令同步</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根据下达指令提醒，人工录入各乡镇街道的具体实施计划，并可根据乡镇实施情况与计划进行比对，分析乡镇的指令实施完成情况。</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落实反馈</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针对指令下达情况，相关人员可通过系统进行落实情况的反馈填报。支持对反馈状态和人数进行统计。</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跟踪评估</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指令接收后根据接收到的任务通知，根据实时天气状况变化，指挥调度环卫保洁作业车辆增加保洁频次，并同步将指令执行结果在地图上呈现。针对未完成指令的单位进行预警。</w:t>
            </w:r>
          </w:p>
        </w:tc>
      </w:tr>
      <w:tr>
        <w:tblPrEx>
          <w:tblCellMar>
            <w:top w:w="0" w:type="dxa"/>
            <w:left w:w="108" w:type="dxa"/>
            <w:bottom w:w="0" w:type="dxa"/>
            <w:right w:w="108" w:type="dxa"/>
          </w:tblCellMar>
        </w:tblPrEx>
        <w:trPr>
          <w:trHeight w:val="90"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p>
        </w:tc>
        <w:tc>
          <w:tcPr>
            <w:tcW w:w="10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洒水车动态行程</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可根据环卫车的GPS定位实时传输，在地图上可显示车辆的行驶情况和状态。</w:t>
            </w:r>
          </w:p>
        </w:tc>
      </w:tr>
      <w:tr>
        <w:tblPrEx>
          <w:tblCellMar>
            <w:top w:w="0" w:type="dxa"/>
            <w:left w:w="108" w:type="dxa"/>
            <w:bottom w:w="0" w:type="dxa"/>
            <w:right w:w="108" w:type="dxa"/>
          </w:tblCellMar>
        </w:tblPrEx>
        <w:trPr>
          <w:trHeight w:val="720" w:hRule="atLeast"/>
        </w:trPr>
        <w:tc>
          <w:tcPr>
            <w:tcW w:w="3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68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rPr>
              <w:t>数据对接</w:t>
            </w:r>
          </w:p>
        </w:tc>
        <w:tc>
          <w:tcPr>
            <w:tcW w:w="198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themeColor="text1"/>
                <w:kern w:val="0"/>
                <w:szCs w:val="21"/>
              </w:rPr>
              <w:t>外部门数据协同</w:t>
            </w:r>
          </w:p>
        </w:tc>
        <w:tc>
          <w:tcPr>
            <w:tcW w:w="20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themeColor="text1"/>
                <w:kern w:val="0"/>
                <w:szCs w:val="21"/>
              </w:rPr>
              <w:t>协同城管部门的餐饮油烟数据、综合执法局的保洁车辆GPS数据、省控空气站点数据、乡镇空气站点数据、清新空气站点数据、物流大通道空气站数据、工业园区VOCS空气站点数据、道路扬尘数据和工地扬尘数据。</w:t>
            </w:r>
          </w:p>
        </w:tc>
      </w:tr>
      <w:tr>
        <w:tblPrEx>
          <w:tblCellMar>
            <w:top w:w="0" w:type="dxa"/>
            <w:left w:w="108" w:type="dxa"/>
            <w:bottom w:w="0" w:type="dxa"/>
            <w:right w:w="108" w:type="dxa"/>
          </w:tblCellMar>
        </w:tblPrEx>
        <w:trPr>
          <w:trHeight w:val="90" w:hRule="atLeast"/>
        </w:trPr>
        <w:tc>
          <w:tcPr>
            <w:tcW w:w="3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68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rPr>
              <w:t>信创云迁移改</w:t>
            </w:r>
          </w:p>
        </w:tc>
        <w:tc>
          <w:tcPr>
            <w:tcW w:w="10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themeColor="text1"/>
                <w:szCs w:val="21"/>
              </w:rPr>
              <w:t>国产化适配</w:t>
            </w:r>
          </w:p>
        </w:tc>
        <w:tc>
          <w:tcPr>
            <w:tcW w:w="298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rPr>
                <w:rFonts w:ascii="宋体" w:hAnsi="宋体" w:cs="宋体"/>
                <w:color w:val="000000"/>
                <w:kern w:val="0"/>
                <w:szCs w:val="21"/>
              </w:rPr>
            </w:pPr>
            <w:r>
              <w:rPr>
                <w:rFonts w:hint="eastAsia" w:ascii="宋体" w:hAnsi="宋体" w:cs="宋体"/>
                <w:color w:val="000000" w:themeColor="text1"/>
                <w:szCs w:val="21"/>
              </w:rPr>
              <w:t>桐庐县生态环境污染隐患主动预警干预项目（一期）及本项目中生态环境污染隐患主动预警干预功能模块拓展部分的国产化适配及信创云迁移服务，将其进行国产化适配改造后迁移至信创云。确保桐庐县生态环境污染隐患主动预警干预项目一期与本期建设功能符合信创要求。</w:t>
            </w:r>
          </w:p>
        </w:tc>
      </w:tr>
    </w:tbl>
    <w:p>
      <w:pPr>
        <w:spacing w:line="360" w:lineRule="auto"/>
        <w:rPr>
          <w:color w:val="000000" w:themeColor="text1"/>
        </w:rPr>
      </w:pPr>
    </w:p>
    <w:p>
      <w:pPr>
        <w:pStyle w:val="4"/>
        <w:keepNext w:val="0"/>
        <w:keepLines w:val="0"/>
        <w:numPr>
          <w:ilvl w:val="0"/>
          <w:numId w:val="1"/>
        </w:numPr>
        <w:tabs>
          <w:tab w:val="clear" w:pos="900"/>
        </w:tabs>
        <w:adjustRightInd/>
        <w:spacing w:line="360" w:lineRule="auto"/>
        <w:jc w:val="left"/>
        <w:rPr>
          <w:color w:val="000000" w:themeColor="text1"/>
        </w:rPr>
      </w:pPr>
      <w:bookmarkStart w:id="27" w:name="_Toc27065"/>
      <w:r>
        <w:rPr>
          <w:rFonts w:hint="eastAsia"/>
          <w:color w:val="000000" w:themeColor="text1"/>
        </w:rPr>
        <w:t>服务购买部分（三年）</w:t>
      </w:r>
      <w:bookmarkEnd w:id="27"/>
    </w:p>
    <w:p>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服务购买部分主要指前端感知设备建设、设备维修维护及相关网络服务。建设内容主要包括一期项目经实际踏勘，需增加安装的物联感知设备，以及本期新涉及的企业物联感知设备安装，包括生态环境监测平台功能的扩展、用电监测子系统（覆盖44家企业，建设过流互感线圈765台、用电主机243台）、紧急报警子系统（覆盖33家企业，建设可视报警盒15台、紧急报警箱102台）、水流量监控子系统等（覆盖21家企业，建设7台进水流量计、90台液位计、32台物联网网关）；并配套30家新增企业的3年的网络通信、日常运维，平台数据对接所需专网。</w:t>
      </w: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rFonts w:asciiTheme="minorEastAsia" w:hAnsiTheme="minorEastAsia" w:cstheme="minorEastAsia"/>
          <w:b/>
          <w:color w:val="000000" w:themeColor="text1"/>
          <w:sz w:val="24"/>
        </w:rPr>
      </w:pPr>
    </w:p>
    <w:p>
      <w:pPr>
        <w:spacing w:line="360" w:lineRule="auto"/>
        <w:rPr>
          <w:color w:val="000000" w:themeColor="text1"/>
        </w:rPr>
      </w:pPr>
      <w:r>
        <w:rPr>
          <w:rFonts w:hint="eastAsia" w:asciiTheme="minorEastAsia" w:hAnsiTheme="minorEastAsia" w:cstheme="minorEastAsia"/>
          <w:b/>
          <w:color w:val="000000" w:themeColor="text1"/>
          <w:sz w:val="24"/>
        </w:rPr>
        <w:t>服务购买</w:t>
      </w:r>
      <w:r>
        <w:rPr>
          <w:rFonts w:hint="eastAsia" w:asciiTheme="minorEastAsia" w:hAnsiTheme="minorEastAsia" w:eastAsiaTheme="minorEastAsia" w:cstheme="minorEastAsia"/>
          <w:b/>
          <w:color w:val="000000" w:themeColor="text1"/>
          <w:sz w:val="24"/>
        </w:rPr>
        <w:t>清单明细</w:t>
      </w:r>
      <w:r>
        <w:rPr>
          <w:rFonts w:hint="eastAsia"/>
          <w:color w:val="000000" w:themeColor="text1"/>
        </w:rPr>
        <w:t>：</w:t>
      </w:r>
    </w:p>
    <w:p>
      <w:pPr>
        <w:spacing w:line="360" w:lineRule="auto"/>
        <w:rPr>
          <w:color w:val="000000" w:themeColor="text1"/>
        </w:rPr>
      </w:pPr>
    </w:p>
    <w:tbl>
      <w:tblPr>
        <w:tblStyle w:val="23"/>
        <w:tblW w:w="4998" w:type="pct"/>
        <w:tblInd w:w="0" w:type="dxa"/>
        <w:tblLayout w:type="autofit"/>
        <w:tblCellMar>
          <w:top w:w="0" w:type="dxa"/>
          <w:left w:w="108" w:type="dxa"/>
          <w:bottom w:w="0" w:type="dxa"/>
          <w:right w:w="108" w:type="dxa"/>
        </w:tblCellMar>
      </w:tblPr>
      <w:tblGrid>
        <w:gridCol w:w="747"/>
        <w:gridCol w:w="1269"/>
        <w:gridCol w:w="3928"/>
        <w:gridCol w:w="1269"/>
        <w:gridCol w:w="1279"/>
      </w:tblGrid>
      <w:tr>
        <w:tblPrEx>
          <w:tblCellMar>
            <w:top w:w="0" w:type="dxa"/>
            <w:left w:w="108" w:type="dxa"/>
            <w:bottom w:w="0" w:type="dxa"/>
            <w:right w:w="108" w:type="dxa"/>
          </w:tblCellMar>
        </w:tblPrEx>
        <w:trPr>
          <w:trHeight w:val="409" w:hRule="atLeast"/>
        </w:trPr>
        <w:tc>
          <w:tcPr>
            <w:tcW w:w="440" w:type="pct"/>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b/>
                <w:bCs/>
                <w:color w:val="000000" w:themeColor="text1"/>
                <w:szCs w:val="21"/>
              </w:rPr>
            </w:pPr>
            <w:r>
              <w:rPr>
                <w:rFonts w:hint="eastAsia" w:ascii="宋体" w:hAnsi="宋体" w:cs="宋体"/>
                <w:b/>
                <w:bCs/>
                <w:color w:val="000000" w:themeColor="text1"/>
                <w:kern w:val="0"/>
                <w:szCs w:val="21"/>
              </w:rPr>
              <w:t>序号</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b/>
                <w:bCs/>
                <w:color w:val="000000" w:themeColor="text1"/>
                <w:szCs w:val="21"/>
              </w:rPr>
            </w:pPr>
            <w:r>
              <w:rPr>
                <w:rFonts w:hint="eastAsia" w:ascii="宋体" w:hAnsi="宋体" w:cs="宋体"/>
                <w:b/>
                <w:bCs/>
                <w:color w:val="000000" w:themeColor="text1"/>
                <w:kern w:val="0"/>
                <w:szCs w:val="21"/>
              </w:rPr>
              <w:t>名称</w:t>
            </w:r>
          </w:p>
        </w:tc>
        <w:tc>
          <w:tcPr>
            <w:tcW w:w="2313"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b/>
                <w:bCs/>
                <w:color w:val="000000" w:themeColor="text1"/>
                <w:szCs w:val="21"/>
              </w:rPr>
            </w:pPr>
            <w:r>
              <w:rPr>
                <w:rFonts w:hint="eastAsia" w:ascii="宋体" w:hAnsi="宋体" w:cs="宋体"/>
                <w:b/>
                <w:bCs/>
                <w:color w:val="000000" w:themeColor="text1"/>
                <w:kern w:val="0"/>
                <w:szCs w:val="21"/>
              </w:rPr>
              <w:t>规格参数</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b/>
                <w:bCs/>
                <w:color w:val="000000" w:themeColor="text1"/>
                <w:szCs w:val="21"/>
              </w:rPr>
            </w:pPr>
            <w:r>
              <w:rPr>
                <w:rFonts w:hint="eastAsia" w:ascii="宋体" w:hAnsi="宋体" w:cs="宋体"/>
                <w:b/>
                <w:bCs/>
                <w:color w:val="000000" w:themeColor="text1"/>
                <w:kern w:val="0"/>
                <w:szCs w:val="21"/>
              </w:rPr>
              <w:t>单位</w:t>
            </w:r>
          </w:p>
        </w:tc>
        <w:tc>
          <w:tcPr>
            <w:tcW w:w="751"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b/>
                <w:bCs/>
                <w:color w:val="000000" w:themeColor="text1"/>
                <w:szCs w:val="21"/>
              </w:rPr>
            </w:pPr>
            <w:r>
              <w:rPr>
                <w:rFonts w:hint="eastAsia" w:ascii="宋体" w:hAnsi="宋体" w:cs="宋体"/>
                <w:b/>
                <w:bCs/>
                <w:color w:val="000000" w:themeColor="text1"/>
                <w:kern w:val="0"/>
                <w:szCs w:val="21"/>
              </w:rPr>
              <w:t>总数量</w:t>
            </w:r>
          </w:p>
        </w:tc>
      </w:tr>
      <w:tr>
        <w:tblPrEx>
          <w:tblCellMar>
            <w:top w:w="0" w:type="dxa"/>
            <w:left w:w="108" w:type="dxa"/>
            <w:bottom w:w="0" w:type="dxa"/>
            <w:right w:w="108" w:type="dxa"/>
          </w:tblCellMar>
        </w:tblPrEx>
        <w:trPr>
          <w:trHeight w:val="409" w:hRule="atLeast"/>
        </w:trPr>
        <w:tc>
          <w:tcPr>
            <w:tcW w:w="440" w:type="pct"/>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2313"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9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一、生态环境监测平台功能扩展</w:t>
            </w:r>
          </w:p>
        </w:tc>
      </w:tr>
      <w:tr>
        <w:tblPrEx>
          <w:tblCellMar>
            <w:top w:w="0" w:type="dxa"/>
            <w:left w:w="108" w:type="dxa"/>
            <w:bottom w:w="0" w:type="dxa"/>
            <w:right w:w="108" w:type="dxa"/>
          </w:tblCellMar>
        </w:tblPrEx>
        <w:trPr>
          <w:trHeight w:val="52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智能统一播报应用</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通过调用API接口让大预警平台控制不同工厂的紧急报警箱/盒播报固定语音（有5-8个语音），实现整体的语音控制</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750"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2</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紧急报警（双向对接设备）客户端扩容</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紧急报警应用基于紧急报警设备（主要为双向对接设备）和事件联动应用服务能力，通过视频、语音对讲能力处理突发的紧急事件、紧急求助，完成报警求助接警业务。</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9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允许300路设备接入与呼叫。</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3</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紧急报警（双向对接设备）数据治理</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通过此模块将双向对讲设备产生的报警信息汇聚，并将数据提供给大预警平台。</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9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事件处置应用提供事件联动的报警事件处置能力，通过客户端应用的方式，实现报警事件真实性的确认，能人工指派相关处理人进行处置并保存事件处置记录，帮助用户实现报警处置业务闭环 ，提升用户针对报警事件处置的及时性和工作效率。</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用电监测设备功能</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该模块将企业中安装的过线电流互感器，组合式电气火灾探测器设备接入，将用电监测设备产生的数据进行汇集治理，并提供给大预警平台调取。</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9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5</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设备网络状态管理功能</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对平台中所接入设备、网络、故障等信息进行管理，对是否在线进行监测</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75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6</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软件功能定制</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设备接入平台跟大预警平台数据对接，对露天焚烧所产生的报警数据上传至大预警平台的反馈进行自动复核，形成处置报警数据。</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r>
      <w:tr>
        <w:tblPrEx>
          <w:tblCellMar>
            <w:top w:w="0" w:type="dxa"/>
            <w:left w:w="108" w:type="dxa"/>
            <w:bottom w:w="0" w:type="dxa"/>
            <w:right w:w="108" w:type="dxa"/>
          </w:tblCellMar>
        </w:tblPrEx>
        <w:trPr>
          <w:trHeight w:val="405" w:hRule="atLeast"/>
        </w:trPr>
        <w:tc>
          <w:tcPr>
            <w:tcW w:w="5000" w:type="pct"/>
            <w:gridSpan w:val="5"/>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二、紧急报警子系统</w:t>
            </w: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可视报警盒</w:t>
            </w:r>
          </w:p>
        </w:tc>
        <w:tc>
          <w:tcPr>
            <w:tcW w:w="2313" w:type="pct"/>
            <w:tcBorders>
              <w:top w:val="single" w:color="000000" w:sz="8" w:space="0"/>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可视报警盒：单按键可视报警盒</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15 </w:t>
            </w: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支持400W像素摄像头，支持H.264/H.265视频编码格式。支持10米红外补光；</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双麦克风阵列，支持智能噪声抑制和回声消除处理，音质更清晰；</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支持最高256G Micro SD存储卡；</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支持2路I/O输入，2路I/O输出，支持警灯警号独立控制；</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支持2个RJ45 10M/100M自适应以太网口；</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支持IP54防护等级;</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支持PoE(802.3 af)，标配DC12V@2A电源适配器；</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支持防拆报警/喧哗报警等功能；</w:t>
            </w:r>
          </w:p>
          <w:p>
            <w:pPr>
              <w:widowControl/>
              <w:spacing w:line="360" w:lineRule="auto"/>
              <w:jc w:val="left"/>
              <w:textAlignment w:val="center"/>
              <w:rPr>
                <w:rFonts w:ascii="宋体" w:hAnsi="宋体" w:cs="宋体"/>
                <w:color w:val="000000" w:themeColor="text1"/>
                <w:kern w:val="0"/>
                <w:szCs w:val="21"/>
                <w:highlight w:val="yellow"/>
              </w:rPr>
            </w:pPr>
            <w:r>
              <w:rPr>
                <w:rFonts w:hint="eastAsia" w:ascii="宋体" w:hAnsi="宋体" w:cs="宋体"/>
                <w:color w:val="000000" w:themeColor="text1"/>
                <w:kern w:val="0"/>
                <w:szCs w:val="21"/>
              </w:rPr>
              <w:t>★设备应支持关键词语音报警功能（提供公安部检测报告证明）</w:t>
            </w:r>
          </w:p>
          <w:p>
            <w:pPr>
              <w:widowControl/>
              <w:spacing w:line="360" w:lineRule="auto"/>
              <w:jc w:val="left"/>
              <w:textAlignment w:val="center"/>
              <w:rPr>
                <w:color w:val="000000" w:themeColor="text1"/>
              </w:rPr>
            </w:pPr>
            <w:r>
              <w:rPr>
                <w:rFonts w:hint="eastAsia" w:ascii="宋体" w:hAnsi="宋体" w:cs="宋体"/>
                <w:color w:val="000000" w:themeColor="text1"/>
                <w:kern w:val="0"/>
                <w:szCs w:val="21"/>
              </w:rPr>
              <w:t>★设备应具有2路麦克风阵列（提供公安部检测报告证明）</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2</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紧急报警箱</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紧急报警箱；</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102 </w:t>
            </w: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采用嵌入式Linux操作系统, 高性能嵌入式SOC处理器，系统运行稳定可靠</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支持网络自适应、音视频自适应功能，在网络丢包情况下，实现音视频低延迟</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支持语音对讲功能，内置高灵敏度麦克风，可实现5米对讲</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支持视频采集功能，内置200W 自动红外超广角高清摄像头，实现全天候24小时实时监控</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支持H.264、 H.264SVC和H.265视频编码格式，支持G.711U和G.726音频压缩标准，支持宽动态、强光抑制，场景适应性好</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音频接口：1个音频输入、1个音频输出接口</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警灯输出：1个红蓝双色警灯，可独立控制；报警输出：2路；警号输出：1个声音110分贝，可独立控制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报警输入：2路；扬声器：内置1路3W扬声器</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补光方式：红外补光；视频压缩标准：H.264;H.265；日夜转换模式：ICR红外滤片式自动切换；镜头视场角：水平视场角:128°；帧率：帧率25fps</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IP等级：IP65</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安装方式：抱箍或者壁挂</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工作温度：-40℃-70℃，</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164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工作湿度：10％-90％</w:t>
            </w:r>
          </w:p>
          <w:p>
            <w:pPr>
              <w:widowControl/>
              <w:spacing w:line="360" w:lineRule="auto"/>
              <w:jc w:val="left"/>
              <w:textAlignment w:val="center"/>
              <w:rPr>
                <w:rFonts w:ascii="宋体" w:hAnsi="宋体" w:cs="宋体"/>
                <w:color w:val="000000" w:themeColor="text1"/>
                <w:kern w:val="0"/>
                <w:szCs w:val="21"/>
                <w:highlight w:val="yellow"/>
              </w:rPr>
            </w:pPr>
            <w:r>
              <w:rPr>
                <w:rFonts w:hint="eastAsia" w:ascii="宋体" w:hAnsi="宋体" w:cs="宋体"/>
                <w:color w:val="000000" w:themeColor="text1"/>
                <w:kern w:val="0"/>
                <w:szCs w:val="21"/>
              </w:rPr>
              <w:t>★设备具有夜间摄像红外补光灯，在光照强度0.1Lx时红外补光距离应不小于10米；支持日夜模式自动切换：通过ICR红外滤片实现自动切换。（提供公安部检测报告证明）</w:t>
            </w:r>
          </w:p>
          <w:p>
            <w:pPr>
              <w:widowControl/>
              <w:spacing w:line="360" w:lineRule="auto"/>
              <w:jc w:val="left"/>
              <w:textAlignment w:val="center"/>
              <w:rPr>
                <w:color w:val="000000" w:themeColor="text1"/>
              </w:rPr>
            </w:pPr>
            <w:r>
              <w:rPr>
                <w:rFonts w:hint="eastAsia" w:ascii="宋体" w:hAnsi="宋体" w:cs="宋体"/>
                <w:color w:val="000000" w:themeColor="text1"/>
                <w:kern w:val="0"/>
                <w:szCs w:val="21"/>
              </w:rPr>
              <w:t>★设备支持实时全双工双向视频对讲和语音通话，支持实时多方通话。（提供公安部检测报告证明）</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9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3</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辅材</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供电源线、网线、光纤、设备安装立杆支架、插板、主机设备箱及PVC管敷设等附属配件</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套</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117 </w:t>
            </w:r>
          </w:p>
        </w:tc>
      </w:tr>
      <w:tr>
        <w:tblPrEx>
          <w:tblCellMar>
            <w:top w:w="0" w:type="dxa"/>
            <w:left w:w="108" w:type="dxa"/>
            <w:bottom w:w="0" w:type="dxa"/>
            <w:right w:w="108" w:type="dxa"/>
          </w:tblCellMar>
        </w:tblPrEx>
        <w:trPr>
          <w:trHeight w:val="55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安装调试费</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安装调试（墙面、地面挖沟敷设管子穿线水泥复原 做供电插座等 管理设备箱安装 设备系统调试）</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项</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117 </w:t>
            </w:r>
          </w:p>
        </w:tc>
      </w:tr>
      <w:tr>
        <w:tblPrEx>
          <w:tblCellMar>
            <w:top w:w="0" w:type="dxa"/>
            <w:left w:w="108" w:type="dxa"/>
            <w:bottom w:w="0" w:type="dxa"/>
            <w:right w:w="108" w:type="dxa"/>
          </w:tblCellMar>
        </w:tblPrEx>
        <w:trPr>
          <w:trHeight w:val="405" w:hRule="atLeast"/>
        </w:trPr>
        <w:tc>
          <w:tcPr>
            <w:tcW w:w="5000" w:type="pct"/>
            <w:gridSpan w:val="5"/>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三、用电监测子系统</w:t>
            </w: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过流互感线圈</w:t>
            </w:r>
          </w:p>
        </w:tc>
        <w:tc>
          <w:tcPr>
            <w:tcW w:w="2313" w:type="pct"/>
            <w:tcBorders>
              <w:top w:val="single" w:color="000000" w:sz="8" w:space="0"/>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【过线电流互感器 100A】</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765 </w:t>
            </w: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额定频率 50/60 Hz</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工作温度 -20℃~70℃</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相对湿度 ≤90%</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额定一次电流 0-100A</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额定二次电流 0-40mA</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额定负荷b R 20Ω</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准确级 0.5</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交流耐压</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一次绕组与二次绕组间工频电压3.0KV/min，无击穿、</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飞弧现象，漏电流＜1mA</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绝缘电阻 一次绕组与二次绕组之间≥100MΩ/500Vdc</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6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2</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用电主机</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监控报警项目 剩余电流、相线温度、环境温度、故障电弧、相电压、相电流、脱扣联动、故障联动、报警联动、联动输入报警</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243 </w:t>
            </w:r>
          </w:p>
        </w:tc>
      </w:tr>
      <w:tr>
        <w:tblPrEx>
          <w:tblCellMar>
            <w:top w:w="0" w:type="dxa"/>
            <w:left w:w="108" w:type="dxa"/>
            <w:bottom w:w="0" w:type="dxa"/>
            <w:right w:w="108" w:type="dxa"/>
          </w:tblCellMar>
        </w:tblPrEx>
        <w:trPr>
          <w:trHeight w:val="76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计量相关监测 过压报警、欠压报警、过流报警、有功功率、无功功率、视在功率、功率因素、有功电能、箱体湿度检测</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通讯方式以太网</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外接端口 </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3路 相电压</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3路 相电流</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零线电流</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故障电弧</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4路 剩余电流\温度混接</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温度</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RS485</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百兆网口</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联动输入</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3路 联动输出</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1路 DC12V输出（带负载短路保护）</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状态指示灯 报警、故障、消音、网络、运行</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功耗 ≤12W(单机工作)</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报警声压 ≥70dB(A),1m</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采集误差 剩余电流：0~1000mA 误差&lt;5%</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电    流：0~1000A   误差&lt;1%</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电    压：0~500V    误差&lt;1%</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温    度：0~150℃   误差&lt;5%</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防护等级 IP30</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工作电压 AC 220V 50Hz</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工作温度 工作温度：‘-20~60℃</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工作湿度 工作湿度：≤95%RH（无凝露）</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产品执行标准 GB 14287.2-2014、GB 14287.3-2014</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安装方式 导轨式安装</w:t>
            </w:r>
          </w:p>
          <w:p>
            <w:pPr>
              <w:widowControl/>
              <w:spacing w:line="360" w:lineRule="auto"/>
              <w:jc w:val="left"/>
              <w:textAlignment w:val="center"/>
              <w:rPr>
                <w:rFonts w:ascii="宋体" w:hAnsi="宋体" w:cs="宋体"/>
                <w:color w:val="000000" w:themeColor="text1"/>
                <w:kern w:val="0"/>
                <w:szCs w:val="21"/>
                <w:highlight w:val="yellow"/>
              </w:rPr>
            </w:pPr>
            <w:r>
              <w:rPr>
                <w:rFonts w:hint="eastAsia" w:ascii="宋体" w:hAnsi="宋体" w:cs="宋体"/>
                <w:color w:val="000000" w:themeColor="text1"/>
                <w:kern w:val="0"/>
                <w:szCs w:val="21"/>
              </w:rPr>
              <w:t>★投标人所投的用电监测设备需采用一体化设计，其中剩余电流和温度探测接口可复用；支持脱扣、报警联动、故障联动；支持设备状态、故障、报警、网络、消音状态显示；支持通道实时值、通道显示单位、通道号显示；支持设备状态查询和显示，多个多功能按键，支持设备查询切换、消音操作、复位操作、状态切换多种组合操作。（提供国家级检验机构委托检验报告复印件证明）</w:t>
            </w:r>
          </w:p>
          <w:p>
            <w:pPr>
              <w:widowControl/>
              <w:spacing w:line="360" w:lineRule="auto"/>
              <w:jc w:val="left"/>
              <w:textAlignment w:val="center"/>
              <w:rPr>
                <w:color w:val="000000" w:themeColor="text1"/>
              </w:rPr>
            </w:pPr>
            <w:r>
              <w:rPr>
                <w:rFonts w:hint="eastAsia" w:ascii="宋体" w:hAnsi="宋体" w:cs="宋体"/>
                <w:color w:val="000000" w:themeColor="text1"/>
                <w:kern w:val="0"/>
                <w:szCs w:val="21"/>
              </w:rPr>
              <w:t>★投标人所投用电监测设备支持故障电弧检测功能，被探测工况线路1S内发生14个及以上半周期的故障电弧时，探测装置在1S内发出报警信号，点亮报警指示灯指示并可以主动通过通讯接口发送报警信息并触发火灾声光报警。（提供国家级检验机构委托检验报告复印件证明）</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3</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辅材</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主用电检测机供电源线，用电主机跟用电检测前端设备链接线，插板，主机设备箱及PVC管敷设等附属配件</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套</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765 </w:t>
            </w:r>
          </w:p>
        </w:tc>
      </w:tr>
      <w:tr>
        <w:tblPrEx>
          <w:tblCellMar>
            <w:top w:w="0" w:type="dxa"/>
            <w:left w:w="108" w:type="dxa"/>
            <w:bottom w:w="0" w:type="dxa"/>
            <w:right w:w="108" w:type="dxa"/>
          </w:tblCellMar>
        </w:tblPrEx>
        <w:trPr>
          <w:trHeight w:val="55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安装调试费</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安装调试（墙面、地面挖沟敷设管子穿线水泥复原 做供电插座等 管理设备箱安装 设备系统调试）</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套</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765 </w:t>
            </w:r>
          </w:p>
        </w:tc>
      </w:tr>
      <w:tr>
        <w:tblPrEx>
          <w:tblCellMar>
            <w:top w:w="0" w:type="dxa"/>
            <w:left w:w="108" w:type="dxa"/>
            <w:bottom w:w="0" w:type="dxa"/>
            <w:right w:w="108" w:type="dxa"/>
          </w:tblCellMar>
        </w:tblPrEx>
        <w:trPr>
          <w:trHeight w:val="90" w:hRule="atLeast"/>
        </w:trPr>
        <w:tc>
          <w:tcPr>
            <w:tcW w:w="5000" w:type="pct"/>
            <w:gridSpan w:val="5"/>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四、水流量监控子系统</w:t>
            </w: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普通电磁流量计（进水）</w:t>
            </w:r>
          </w:p>
        </w:tc>
        <w:tc>
          <w:tcPr>
            <w:tcW w:w="2313" w:type="pct"/>
            <w:tcBorders>
              <w:top w:val="single" w:color="000000" w:sz="8" w:space="0"/>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一、测量要求</w:t>
            </w:r>
          </w:p>
        </w:tc>
        <w:tc>
          <w:tcPr>
            <w:tcW w:w="747"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7 </w:t>
            </w: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 工业级分体式电磁流量计，传感器管径为DN100以内。</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 传感器测量管为304不锈钢， 4电极结构，且电极为316L不锈钢，线圈必须为纯铜，均匀磁场分布，确保流量计接地性能优异。</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4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3、传感器外壳为304不锈钢材质，法兰为碳钢材质；                                                  </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二、 管理要求</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1、RS485通讯协议。</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2、转换器液晶面板可以看到瞬时流量、累计流量、正向累计流量、反向累计流量、空管比、告警信息等数据。</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3、可以与物联网网关和平台结合，远程进行故障诊断，故障含励磁告警、空管告警等。</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三、 其他要求</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鉴于</w:t>
            </w:r>
            <w:r>
              <w:rPr>
                <w:rFonts w:hint="eastAsia" w:ascii="宋体" w:hAnsi="宋体" w:cs="宋体"/>
                <w:color w:val="000000" w:themeColor="text1"/>
                <w:kern w:val="0"/>
                <w:szCs w:val="21"/>
              </w:rPr>
              <w:t>应用场景多为潮湿环境</w:t>
            </w:r>
            <w:r>
              <w:rPr>
                <w:rFonts w:ascii="宋体" w:hAnsi="宋体" w:cs="宋体"/>
                <w:color w:val="000000" w:themeColor="text1"/>
                <w:kern w:val="0"/>
                <w:szCs w:val="21"/>
              </w:rPr>
              <w:t>，</w:t>
            </w:r>
            <w:r>
              <w:rPr>
                <w:rFonts w:hint="eastAsia" w:ascii="宋体" w:hAnsi="宋体" w:cs="宋体"/>
                <w:color w:val="000000" w:themeColor="text1"/>
                <w:kern w:val="0"/>
                <w:szCs w:val="21"/>
              </w:rPr>
              <w:t>为确保产品稳定测量，传感器防护等级需达到</w:t>
            </w:r>
            <w:r>
              <w:rPr>
                <w:rFonts w:ascii="宋体" w:hAnsi="宋体" w:cs="宋体"/>
                <w:color w:val="000000" w:themeColor="text1"/>
                <w:kern w:val="0"/>
                <w:szCs w:val="21"/>
              </w:rPr>
              <w:t>IP68。</w:t>
            </w:r>
            <w:r>
              <w:rPr>
                <w:rFonts w:hint="eastAsia" w:ascii="宋体" w:hAnsi="宋体" w:cs="宋体"/>
                <w:color w:val="000000" w:themeColor="text1"/>
                <w:kern w:val="0"/>
                <w:szCs w:val="21"/>
              </w:rPr>
              <w:t>（投标时需提供加盖生产厂商鲜章的</w:t>
            </w:r>
            <w:r>
              <w:rPr>
                <w:rFonts w:ascii="宋体" w:hAnsi="宋体" w:cs="宋体"/>
                <w:color w:val="000000" w:themeColor="text1"/>
                <w:kern w:val="0"/>
                <w:szCs w:val="21"/>
              </w:rPr>
              <w:t>IP68及以上防护等级证书或检测报告复印件</w:t>
            </w:r>
            <w:r>
              <w:rPr>
                <w:rFonts w:hint="eastAsia" w:ascii="宋体" w:hAnsi="宋体" w:cs="宋体"/>
                <w:color w:val="000000" w:themeColor="text1"/>
                <w:kern w:val="0"/>
                <w:szCs w:val="21"/>
              </w:rPr>
              <w:t>）</w:t>
            </w:r>
          </w:p>
          <w:p>
            <w:pPr>
              <w:widowControl/>
              <w:spacing w:line="360" w:lineRule="auto"/>
              <w:jc w:val="left"/>
              <w:textAlignment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w:t>
            </w:r>
            <w:r>
              <w:rPr>
                <w:rFonts w:ascii="宋体" w:hAnsi="宋体" w:cs="宋体"/>
                <w:color w:val="000000" w:themeColor="text1"/>
                <w:kern w:val="0"/>
                <w:szCs w:val="21"/>
              </w:rPr>
              <w:t>产品应为国产自主知识产权的成熟产品</w:t>
            </w:r>
            <w:r>
              <w:rPr>
                <w:rFonts w:hint="eastAsia" w:ascii="宋体" w:hAnsi="宋体" w:cs="宋体"/>
                <w:color w:val="000000" w:themeColor="text1"/>
                <w:kern w:val="0"/>
                <w:szCs w:val="21"/>
              </w:rPr>
              <w:t>。投标时应提供加盖生产厂商鲜章的软件著作权证书复印件。</w:t>
            </w:r>
          </w:p>
          <w:p>
            <w:pPr>
              <w:widowControl/>
              <w:spacing w:line="360" w:lineRule="auto"/>
              <w:jc w:val="left"/>
              <w:textAlignment w:val="center"/>
              <w:rPr>
                <w:color w:val="000000" w:themeColor="text1"/>
              </w:rPr>
            </w:pPr>
            <w:r>
              <w:rPr>
                <w:rFonts w:hint="eastAsia" w:ascii="宋体" w:hAnsi="宋体" w:cs="宋体"/>
                <w:color w:val="000000" w:themeColor="text1"/>
                <w:kern w:val="0"/>
                <w:szCs w:val="21"/>
              </w:rPr>
              <w:t>★</w:t>
            </w:r>
            <w:r>
              <w:rPr>
                <w:rFonts w:ascii="宋体" w:hAnsi="宋体" w:cs="宋体"/>
                <w:color w:val="000000" w:themeColor="text1"/>
                <w:kern w:val="0"/>
                <w:szCs w:val="21"/>
              </w:rPr>
              <w:t>3、产品应通过省级及以上电子信息产品检验部门的评测。</w:t>
            </w:r>
            <w:r>
              <w:rPr>
                <w:rFonts w:hint="eastAsia" w:ascii="宋体" w:hAnsi="宋体" w:cs="宋体"/>
                <w:color w:val="000000" w:themeColor="text1"/>
                <w:kern w:val="0"/>
                <w:szCs w:val="21"/>
              </w:rPr>
              <w:t>（</w:t>
            </w:r>
            <w:r>
              <w:rPr>
                <w:rFonts w:ascii="宋体" w:hAnsi="宋体" w:cs="宋体"/>
                <w:color w:val="000000" w:themeColor="text1"/>
                <w:kern w:val="0"/>
                <w:szCs w:val="21"/>
              </w:rPr>
              <w:t>投标时应提供加盖生产厂商鲜章的评测报告复印件</w:t>
            </w:r>
            <w:r>
              <w:rPr>
                <w:rFonts w:hint="eastAsia" w:ascii="宋体" w:hAnsi="宋体" w:cs="宋体"/>
                <w:color w:val="000000" w:themeColor="text1"/>
                <w:kern w:val="0"/>
                <w:szCs w:val="21"/>
              </w:rPr>
              <w:t>）</w:t>
            </w:r>
          </w:p>
        </w:tc>
        <w:tc>
          <w:tcPr>
            <w:tcW w:w="747"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single" w:color="000000" w:sz="8" w:space="0"/>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2</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防腐超声波液位计</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一、测量要求</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90 </w:t>
            </w: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1、测量范围：(0～30)m（根据实测量程选定）</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2、盲    区： 0.25m～0.8m</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3、测距精度： 0.5%（标准条件）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4、测距分辨率： 1mm</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5、压    力：常压</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6、传感器具备防腐</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二、通讯要求</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1、模拟输出： (4～20)mA</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2、数字输出：  RS485、Modbus协议或定制协议</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三、整机要求</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1、仪表显示：自带LCD，显示液位或空间距离</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2、供电电压：DC24V/AC220V，防雷装置内置</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3、环境温度：－20℃ ～ ＋60℃</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★4、鉴于应用场景多为潮湿环境，为确保产品稳定测量，超声波探头部分防护等级需达到IP68。（投标时需提供加盖生产厂商鲜章的IP68及以上防护等级证书或检测报告复印件）</w:t>
            </w:r>
          </w:p>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5、产品应为国产自主知识产权的成熟产品。投标时应提供加盖生产厂商鲜章的软件著作权证书复印件。</w:t>
            </w:r>
          </w:p>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★6、产品应通过省级及以上电子信息产品检验部门的评测。（投标时应提供加盖生产厂商鲜章的评测报告复印件）</w:t>
            </w:r>
          </w:p>
          <w:p>
            <w:pPr>
              <w:widowControl/>
              <w:spacing w:line="360" w:lineRule="auto"/>
              <w:jc w:val="left"/>
              <w:textAlignment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restar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3</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物联网网关</w:t>
            </w: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一、通信与安全要求：</w:t>
            </w:r>
          </w:p>
        </w:tc>
        <w:tc>
          <w:tcPr>
            <w:tcW w:w="747"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台</w:t>
            </w:r>
          </w:p>
        </w:tc>
        <w:tc>
          <w:tcPr>
            <w:tcW w:w="751" w:type="pct"/>
            <w:vMerge w:val="restar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32 </w:t>
            </w:r>
          </w:p>
        </w:tc>
      </w:tr>
      <w:tr>
        <w:tblPrEx>
          <w:tblCellMar>
            <w:top w:w="0" w:type="dxa"/>
            <w:left w:w="108" w:type="dxa"/>
            <w:bottom w:w="0" w:type="dxa"/>
            <w:right w:w="108" w:type="dxa"/>
          </w:tblCellMar>
        </w:tblPrEx>
        <w:trPr>
          <w:trHeight w:val="120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鉴于监测站点环境恶劣，为避免因停电、路由器故障、网口松动等情况造成通讯中断，影响站点正常运行，故要求产品应支持以太网和无线移动通讯主备通信，主通信模块为以太网上传数据，在以太网不稳定或中断的情况下，可自动切换为无线备份通信，并将通信状态变化同步告知平台。（投标时需提供加盖生产厂商鲜章的省级及以上电子信息产品检验部门出具的该功能检验报告复印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2、鉴于监测站点为室外环境，备份4G无线通信采用工业级贴片式SIM卡，可有效避免插入式SIM在潮湿、高温、震动的情况下容易出现的生锈、松动等故障。</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二、采集与控制要求：</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1、支持4路开关量输入，支持浮球、门磁、触点开关等传感器接入。</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2、支持3路模拟量输入，支持4-20mA输入。</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3、支持2路继电器远程控制。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4、支持3路Rs485接口，支持与PLC、流量计、在线水质监测仪等485接口设备。</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52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5、无需增加额外设备，远距离持续接收2.45G主动式RFID电子标签（电子工牌）信号，接收距离在30m以上。</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6.   具备异常数据判别功能。</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三、可靠性及管理要求：</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1、支持 DC 9~24V供电。</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750"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★2、鉴于现场可能会发生停电现象，故要求物联网网关内置断电报警功能，断电告警情况下，通过4G无线通信上传数据，无需额外加电池。投标时需提供加盖生产厂商鲜章的断电告警功能技术证明文件复印件。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nil"/>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3、需支持互联网同步对时，内置高精度实时时钟模块。（投标时需提供加盖生产厂商鲜章的省级及以上电子信息产品检验部门出具的该功能检验报告复印件）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38" w:hRule="atLeast"/>
        </w:trPr>
        <w:tc>
          <w:tcPr>
            <w:tcW w:w="440" w:type="pct"/>
            <w:vMerge w:val="continue"/>
            <w:tcBorders>
              <w:top w:val="nil"/>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left"/>
              <w:rPr>
                <w:rFonts w:ascii="宋体" w:hAnsi="宋体" w:cs="宋体"/>
                <w:color w:val="000000" w:themeColor="text1"/>
                <w:szCs w:val="21"/>
              </w:rPr>
            </w:pP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★4、产品应具备静电放电抗扰能力；抗电快速瞬变（脉冲群）干扰能力；抗浪涌（冲击）能力，其设备的供电电源端口、信号、控制和接地端口等均符合GB∕T 17626.2-2018《电磁兼容 试验和测量技术 静电放电抗扰度试验》标准、GB∕T 17626.4-2018《电磁兼容 试验和测量技术 电快速瞬变脉冲群抗扰度试验》标准、GB∕T 17626.5-2008《电磁兼容 试验和测量技术 浪涌(冲击)抗扰度试验》标准。（投标时需提供加盖生产厂商鲜章的国家级质量监督检验机构出具的产品检验报告复印件）</w:t>
            </w:r>
          </w:p>
        </w:tc>
        <w:tc>
          <w:tcPr>
            <w:tcW w:w="747"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c>
          <w:tcPr>
            <w:tcW w:w="751" w:type="pct"/>
            <w:vMerge w:val="continue"/>
            <w:tcBorders>
              <w:top w:val="nil"/>
              <w:left w:val="nil"/>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Cs w:val="21"/>
              </w:rPr>
            </w:pPr>
          </w:p>
        </w:tc>
      </w:tr>
      <w:tr>
        <w:tblPrEx>
          <w:tblCellMar>
            <w:top w:w="0" w:type="dxa"/>
            <w:left w:w="108" w:type="dxa"/>
            <w:bottom w:w="0" w:type="dxa"/>
            <w:right w:w="108" w:type="dxa"/>
          </w:tblCellMar>
        </w:tblPrEx>
        <w:trPr>
          <w:trHeight w:val="40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流量计专用线缆</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原厂定制专用线缆</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米</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120 </w:t>
            </w:r>
          </w:p>
        </w:tc>
      </w:tr>
      <w:tr>
        <w:tblPrEx>
          <w:tblCellMar>
            <w:top w:w="0" w:type="dxa"/>
            <w:left w:w="108" w:type="dxa"/>
            <w:bottom w:w="0" w:type="dxa"/>
            <w:right w:w="108" w:type="dxa"/>
          </w:tblCellMar>
        </w:tblPrEx>
        <w:trPr>
          <w:trHeight w:val="40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5</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液位计支架</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液位计支架定制（不锈钢）</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个</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90 </w:t>
            </w:r>
          </w:p>
        </w:tc>
      </w:tr>
      <w:tr>
        <w:tblPrEx>
          <w:tblCellMar>
            <w:top w:w="0" w:type="dxa"/>
            <w:left w:w="108" w:type="dxa"/>
            <w:bottom w:w="0" w:type="dxa"/>
            <w:right w:w="108" w:type="dxa"/>
          </w:tblCellMar>
        </w:tblPrEx>
        <w:trPr>
          <w:trHeight w:val="97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6</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流量计安装辅材及施工</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流量计安装法兰、管道、变径设备及网络、数据通讯线缆、PVC管、供电设备及链路汇聚点设备箱等辅材及墙面、地面挖沟敷设管子穿线水泥复原、安装调试、数据采集调试等。</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套</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7 </w:t>
            </w:r>
          </w:p>
        </w:tc>
      </w:tr>
      <w:tr>
        <w:tblPrEx>
          <w:tblCellMar>
            <w:top w:w="0" w:type="dxa"/>
            <w:left w:w="108" w:type="dxa"/>
            <w:bottom w:w="0" w:type="dxa"/>
            <w:right w:w="108" w:type="dxa"/>
          </w:tblCellMar>
        </w:tblPrEx>
        <w:trPr>
          <w:trHeight w:val="75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7</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液位计安装辅材及施工</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液位计与网关之间网络数据通讯敷设、网络线或光纤连接、PVC管、线缆、法兰、链路汇聚点设备箱等辅材、地面挖沟敷设管子穿线水泥复原、安装调试、数据采集调试等</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套</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90 </w:t>
            </w:r>
          </w:p>
        </w:tc>
      </w:tr>
      <w:tr>
        <w:tblPrEx>
          <w:tblCellMar>
            <w:top w:w="0" w:type="dxa"/>
            <w:left w:w="108" w:type="dxa"/>
            <w:bottom w:w="0" w:type="dxa"/>
            <w:right w:w="108" w:type="dxa"/>
          </w:tblCellMar>
        </w:tblPrEx>
        <w:trPr>
          <w:trHeight w:val="405" w:hRule="atLeast"/>
        </w:trPr>
        <w:tc>
          <w:tcPr>
            <w:tcW w:w="5000" w:type="pct"/>
            <w:gridSpan w:val="5"/>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五、其他费用</w:t>
            </w:r>
          </w:p>
        </w:tc>
      </w:tr>
      <w:tr>
        <w:tblPrEx>
          <w:tblCellMar>
            <w:top w:w="0" w:type="dxa"/>
            <w:left w:w="108" w:type="dxa"/>
            <w:bottom w:w="0" w:type="dxa"/>
            <w:right w:w="108" w:type="dxa"/>
          </w:tblCellMar>
        </w:tblPrEx>
        <w:trPr>
          <w:trHeight w:val="52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747" w:type="pc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新增企业系统集成费</w:t>
            </w:r>
          </w:p>
        </w:tc>
        <w:tc>
          <w:tcPr>
            <w:tcW w:w="2313" w:type="pc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各子系统与中心平台联网系统集成</w:t>
            </w:r>
          </w:p>
        </w:tc>
        <w:tc>
          <w:tcPr>
            <w:tcW w:w="747" w:type="pc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家</w:t>
            </w:r>
          </w:p>
        </w:tc>
        <w:tc>
          <w:tcPr>
            <w:tcW w:w="751" w:type="pct"/>
            <w:tcBorders>
              <w:top w:val="single" w:color="000000" w:sz="8" w:space="0"/>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30 </w:t>
            </w:r>
          </w:p>
        </w:tc>
      </w:tr>
      <w:tr>
        <w:tblPrEx>
          <w:tblCellMar>
            <w:top w:w="0" w:type="dxa"/>
            <w:left w:w="108" w:type="dxa"/>
            <w:bottom w:w="0" w:type="dxa"/>
            <w:right w:w="108" w:type="dxa"/>
          </w:tblCellMar>
        </w:tblPrEx>
        <w:trPr>
          <w:trHeight w:val="525"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2</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网络通信费</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提供100M链路（三年），用于企业前端物联网感知设备至杭州市生态环境局桐庐分局机房专用光纤网络链路通讯使用。</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条</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30 </w:t>
            </w:r>
          </w:p>
        </w:tc>
      </w:tr>
      <w:tr>
        <w:tblPrEx>
          <w:tblCellMar>
            <w:top w:w="0" w:type="dxa"/>
            <w:left w:w="108" w:type="dxa"/>
            <w:bottom w:w="0" w:type="dxa"/>
            <w:right w:w="108" w:type="dxa"/>
          </w:tblCellMar>
        </w:tblPrEx>
        <w:trPr>
          <w:trHeight w:val="1200" w:hRule="atLeast"/>
        </w:trPr>
        <w:tc>
          <w:tcPr>
            <w:tcW w:w="440" w:type="pct"/>
            <w:tcBorders>
              <w:top w:val="nil"/>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3</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新增企业日常维护费</w:t>
            </w:r>
          </w:p>
        </w:tc>
        <w:tc>
          <w:tcPr>
            <w:tcW w:w="2313" w:type="pct"/>
            <w:tcBorders>
              <w:top w:val="nil"/>
              <w:left w:val="nil"/>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企业前端设备巡查，清洁，维护，校正量程等服务（三年）：1、提供每家企业每月至少一次上门维护并对故障进行维修，维护内容包含以下内容（与项目相关的紧急报警系统、用电检测系统、水流量检测系统、液位仪检测系统、厂内各系统联网设备的维护调试以及本项目相关设施安全隐患检查和整改）；2、提供日常的故障维修服务。</w:t>
            </w:r>
          </w:p>
        </w:tc>
        <w:tc>
          <w:tcPr>
            <w:tcW w:w="747"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家</w:t>
            </w:r>
          </w:p>
        </w:tc>
        <w:tc>
          <w:tcPr>
            <w:tcW w:w="751" w:type="pct"/>
            <w:tcBorders>
              <w:top w:val="nil"/>
              <w:left w:val="nil"/>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 xml:space="preserve">30 </w:t>
            </w:r>
          </w:p>
        </w:tc>
      </w:tr>
      <w:tr>
        <w:tblPrEx>
          <w:tblCellMar>
            <w:top w:w="0" w:type="dxa"/>
            <w:left w:w="108" w:type="dxa"/>
            <w:bottom w:w="0" w:type="dxa"/>
            <w:right w:w="108" w:type="dxa"/>
          </w:tblCellMar>
        </w:tblPrEx>
        <w:trPr>
          <w:trHeight w:val="1200" w:hRule="atLeast"/>
        </w:trPr>
        <w:tc>
          <w:tcPr>
            <w:tcW w:w="4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数据对接专网费</w:t>
            </w:r>
          </w:p>
        </w:tc>
        <w:tc>
          <w:tcPr>
            <w:tcW w:w="2313"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提供本项目平台与其他部门平台数据对接所需专网（三年）</w:t>
            </w:r>
          </w:p>
        </w:tc>
        <w:tc>
          <w:tcPr>
            <w:tcW w:w="747"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c>
          <w:tcPr>
            <w:tcW w:w="75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r>
    </w:tbl>
    <w:p>
      <w:pPr>
        <w:snapToGrid w:val="0"/>
        <w:spacing w:line="360" w:lineRule="auto"/>
        <w:rPr>
          <w:rFonts w:cs="宋体" w:asciiTheme="minorEastAsia" w:hAnsiTheme="minorEastAsia"/>
          <w:b/>
          <w:color w:val="FF0000"/>
          <w:sz w:val="32"/>
        </w:rPr>
      </w:pPr>
    </w:p>
    <w:p>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四、服务期</w:t>
      </w:r>
    </w:p>
    <w:p>
      <w:pPr>
        <w:snapToGrid w:val="0"/>
        <w:spacing w:beforeLines="50" w:line="360" w:lineRule="auto"/>
        <w:rPr>
          <w:rFonts w:ascii="宋体" w:hAnsi="宋体" w:cs="宋体"/>
          <w:sz w:val="24"/>
        </w:rPr>
      </w:pPr>
      <w:r>
        <w:rPr>
          <w:rFonts w:hint="eastAsia" w:ascii="宋体" w:hAnsi="宋体" w:cs="宋体"/>
          <w:kern w:val="0"/>
          <w:sz w:val="24"/>
        </w:rPr>
        <w:t>本项目建设周期</w:t>
      </w:r>
      <w:r>
        <w:rPr>
          <w:rFonts w:ascii="宋体" w:hAnsi="宋体" w:cs="宋体"/>
          <w:kern w:val="0"/>
          <w:sz w:val="24"/>
        </w:rPr>
        <w:t>8</w:t>
      </w:r>
      <w:r>
        <w:rPr>
          <w:rFonts w:hint="eastAsia" w:ascii="宋体" w:hAnsi="宋体" w:cs="宋体"/>
          <w:kern w:val="0"/>
          <w:sz w:val="24"/>
        </w:rPr>
        <w:t>个月</w:t>
      </w:r>
      <w:r>
        <w:rPr>
          <w:rFonts w:hint="eastAsia" w:ascii="宋体" w:hAnsi="宋体" w:cs="宋体"/>
          <w:sz w:val="24"/>
        </w:rPr>
        <w:t>。</w:t>
      </w:r>
    </w:p>
    <w:p>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五、付款方式</w:t>
      </w:r>
    </w:p>
    <w:p>
      <w:pPr>
        <w:snapToGrid w:val="0"/>
        <w:spacing w:beforeLines="50" w:line="360" w:lineRule="auto"/>
        <w:rPr>
          <w:rFonts w:ascii="宋体" w:hAnsi="宋体" w:cs="宋体"/>
          <w:kern w:val="0"/>
          <w:sz w:val="24"/>
        </w:rPr>
      </w:pPr>
      <w:r>
        <w:rPr>
          <w:rFonts w:hint="eastAsia" w:ascii="宋体" w:hAnsi="宋体" w:cs="宋体"/>
          <w:kern w:val="0"/>
          <w:sz w:val="24"/>
        </w:rPr>
        <w:t>1、合同签订后七个工作日内支付合同总额的60%，项目完工并通过验收后再支付合同额的20%，项目验收后第一年度支付合同额的5%，第二年度支付合同额5%，第三年度支付合同额的10%。</w:t>
      </w:r>
    </w:p>
    <w:p>
      <w:pPr>
        <w:snapToGrid w:val="0"/>
        <w:spacing w:beforeLines="50" w:line="360" w:lineRule="auto"/>
        <w:rPr>
          <w:rFonts w:asciiTheme="majorEastAsia" w:hAnsiTheme="majorEastAsia" w:eastAsiaTheme="majorEastAsia" w:cstheme="majorEastAsia"/>
          <w:color w:val="FF0000"/>
          <w:sz w:val="24"/>
        </w:rPr>
      </w:pPr>
      <w:r>
        <w:rPr>
          <w:rFonts w:hint="eastAsia" w:ascii="宋体" w:hAnsi="宋体" w:cs="宋体"/>
          <w:kern w:val="0"/>
          <w:sz w:val="24"/>
        </w:rPr>
        <w:t>2、支付方式最终以合同签订版本为准。</w:t>
      </w:r>
    </w:p>
    <w:p>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六、履约保证金</w:t>
      </w:r>
    </w:p>
    <w:p>
      <w:pPr>
        <w:snapToGrid w:val="0"/>
        <w:spacing w:beforeLines="50" w:line="360" w:lineRule="auto"/>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kern w:val="0"/>
          <w:sz w:val="24"/>
        </w:rPr>
        <w:t>本项目无履约保证金</w:t>
      </w:r>
    </w:p>
    <w:p>
      <w:pPr>
        <w:snapToGrid w:val="0"/>
        <w:spacing w:line="360" w:lineRule="auto"/>
        <w:rPr>
          <w:rFonts w:ascii="宋体" w:hAnsi="宋体" w:cs="宋体"/>
          <w:b/>
          <w:sz w:val="36"/>
          <w:szCs w:val="36"/>
        </w:r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8" w:name="_Toc184312111"/>
      <w:bookmarkEnd w:id="28"/>
      <w:bookmarkStart w:id="29" w:name="_Toc184313247"/>
      <w:bookmarkEnd w:id="29"/>
      <w:bookmarkStart w:id="30" w:name="_Toc184308062"/>
      <w:bookmarkEnd w:id="30"/>
      <w:bookmarkStart w:id="31" w:name="_Toc184314458"/>
      <w:bookmarkEnd w:id="31"/>
      <w:bookmarkStart w:id="32" w:name="_Toc184312073"/>
      <w:bookmarkEnd w:id="32"/>
      <w:bookmarkStart w:id="33" w:name="_Toc184313303"/>
      <w:bookmarkEnd w:id="33"/>
      <w:bookmarkStart w:id="34" w:name="_Toc184310335"/>
      <w:bookmarkEnd w:id="34"/>
      <w:bookmarkStart w:id="35" w:name="_Toc184308052"/>
      <w:bookmarkEnd w:id="35"/>
      <w:bookmarkStart w:id="36" w:name="_Toc184310313"/>
      <w:bookmarkEnd w:id="36"/>
      <w:bookmarkStart w:id="37" w:name="_Toc184314453"/>
      <w:bookmarkEnd w:id="37"/>
      <w:bookmarkStart w:id="38" w:name="_Toc184313278"/>
      <w:bookmarkEnd w:id="38"/>
      <w:bookmarkStart w:id="39" w:name="_Toc184310302"/>
      <w:bookmarkEnd w:id="39"/>
      <w:bookmarkStart w:id="40" w:name="_Toc184312125"/>
      <w:bookmarkEnd w:id="40"/>
      <w:bookmarkStart w:id="41" w:name="_Toc184310295"/>
      <w:bookmarkEnd w:id="41"/>
      <w:bookmarkStart w:id="42" w:name="_Toc184312134"/>
      <w:bookmarkEnd w:id="42"/>
      <w:bookmarkStart w:id="43" w:name="_Toc184314423"/>
      <w:bookmarkEnd w:id="43"/>
      <w:bookmarkStart w:id="44" w:name="_Toc184310329"/>
      <w:bookmarkEnd w:id="44"/>
      <w:bookmarkStart w:id="45" w:name="_Toc184314450"/>
      <w:bookmarkEnd w:id="45"/>
      <w:bookmarkStart w:id="46" w:name="_Toc184308061"/>
      <w:bookmarkEnd w:id="46"/>
      <w:bookmarkStart w:id="47" w:name="_Toc184313271"/>
      <w:bookmarkEnd w:id="47"/>
      <w:bookmarkStart w:id="48" w:name="_Toc184310308"/>
      <w:bookmarkEnd w:id="48"/>
      <w:bookmarkStart w:id="49" w:name="_Toc184308096"/>
      <w:bookmarkEnd w:id="49"/>
      <w:bookmarkStart w:id="50" w:name="_Toc184312078"/>
      <w:bookmarkEnd w:id="50"/>
      <w:bookmarkStart w:id="51" w:name="_Toc184308077"/>
      <w:bookmarkEnd w:id="51"/>
      <w:bookmarkStart w:id="52" w:name="_Toc184308051"/>
      <w:bookmarkEnd w:id="52"/>
      <w:bookmarkStart w:id="53" w:name="_Toc184310318"/>
      <w:bookmarkEnd w:id="53"/>
      <w:bookmarkStart w:id="54" w:name="_Toc184310274"/>
      <w:bookmarkEnd w:id="54"/>
      <w:bookmarkStart w:id="55" w:name="_Toc184314481"/>
      <w:bookmarkEnd w:id="55"/>
      <w:bookmarkStart w:id="56" w:name="_Toc184314419"/>
      <w:bookmarkEnd w:id="56"/>
      <w:bookmarkStart w:id="57" w:name="_Toc184314459"/>
      <w:bookmarkEnd w:id="57"/>
      <w:bookmarkStart w:id="58" w:name="_Toc184313255"/>
      <w:bookmarkEnd w:id="58"/>
      <w:bookmarkStart w:id="59" w:name="_Toc184313257"/>
      <w:bookmarkEnd w:id="59"/>
      <w:bookmarkStart w:id="60" w:name="_Toc184312082"/>
      <w:bookmarkEnd w:id="60"/>
      <w:bookmarkStart w:id="61" w:name="_Toc184310292"/>
      <w:bookmarkEnd w:id="61"/>
      <w:bookmarkStart w:id="62" w:name="_Toc184314482"/>
      <w:bookmarkEnd w:id="62"/>
      <w:bookmarkStart w:id="63" w:name="_Toc184308060"/>
      <w:bookmarkEnd w:id="63"/>
      <w:bookmarkStart w:id="64" w:name="_Toc184313244"/>
      <w:bookmarkEnd w:id="64"/>
      <w:bookmarkStart w:id="65" w:name="_Toc184314469"/>
      <w:bookmarkEnd w:id="65"/>
      <w:bookmarkStart w:id="66" w:name="_Toc184308093"/>
      <w:bookmarkEnd w:id="66"/>
      <w:bookmarkStart w:id="67" w:name="_Toc184310333"/>
      <w:bookmarkEnd w:id="67"/>
      <w:bookmarkStart w:id="68" w:name="_Toc184308088"/>
      <w:bookmarkEnd w:id="68"/>
      <w:bookmarkStart w:id="69" w:name="_Toc184310293"/>
      <w:bookmarkEnd w:id="69"/>
      <w:bookmarkStart w:id="70" w:name="_Toc184310304"/>
      <w:bookmarkEnd w:id="70"/>
      <w:bookmarkStart w:id="71" w:name="_Toc184308097"/>
      <w:bookmarkEnd w:id="71"/>
      <w:bookmarkStart w:id="72" w:name="_Toc184313281"/>
      <w:bookmarkEnd w:id="72"/>
      <w:bookmarkStart w:id="73" w:name="_Toc184310314"/>
      <w:bookmarkEnd w:id="73"/>
      <w:bookmarkStart w:id="74" w:name="_Toc184314441"/>
      <w:bookmarkEnd w:id="74"/>
      <w:bookmarkStart w:id="75" w:name="_Toc184313239"/>
      <w:bookmarkEnd w:id="75"/>
      <w:bookmarkStart w:id="76" w:name="_Toc184314477"/>
      <w:bookmarkEnd w:id="76"/>
      <w:bookmarkStart w:id="77" w:name="_Toc184310325"/>
      <w:bookmarkEnd w:id="77"/>
      <w:bookmarkStart w:id="78" w:name="_Toc184313264"/>
      <w:bookmarkEnd w:id="78"/>
      <w:bookmarkStart w:id="79" w:name="_Toc184310320"/>
      <w:bookmarkEnd w:id="79"/>
      <w:bookmarkStart w:id="80" w:name="_Toc184312112"/>
      <w:bookmarkEnd w:id="80"/>
      <w:bookmarkStart w:id="81" w:name="_Toc184314422"/>
      <w:bookmarkEnd w:id="81"/>
      <w:bookmarkStart w:id="82" w:name="_Toc184310328"/>
      <w:bookmarkEnd w:id="82"/>
      <w:bookmarkStart w:id="83" w:name="_Toc184308080"/>
      <w:bookmarkEnd w:id="83"/>
      <w:bookmarkStart w:id="84" w:name="_Toc184308104"/>
      <w:bookmarkEnd w:id="84"/>
      <w:bookmarkStart w:id="85" w:name="_Toc184314412"/>
      <w:bookmarkEnd w:id="85"/>
      <w:bookmarkStart w:id="86" w:name="_Toc184312128"/>
      <w:bookmarkEnd w:id="86"/>
      <w:bookmarkStart w:id="87" w:name="_Toc184314418"/>
      <w:bookmarkEnd w:id="87"/>
      <w:bookmarkStart w:id="88" w:name="_Toc184308076"/>
      <w:bookmarkEnd w:id="88"/>
      <w:bookmarkStart w:id="89" w:name="_Toc184308038"/>
      <w:bookmarkEnd w:id="89"/>
      <w:bookmarkStart w:id="90" w:name="_Toc184308063"/>
      <w:bookmarkEnd w:id="90"/>
      <w:bookmarkStart w:id="91" w:name="_Toc184314467"/>
      <w:bookmarkEnd w:id="91"/>
      <w:bookmarkStart w:id="92" w:name="_Toc184312133"/>
      <w:bookmarkEnd w:id="92"/>
      <w:bookmarkStart w:id="93" w:name="_Toc184310310"/>
      <w:bookmarkEnd w:id="93"/>
      <w:bookmarkStart w:id="94" w:name="_Toc184310327"/>
      <w:bookmarkEnd w:id="94"/>
      <w:bookmarkStart w:id="95" w:name="_Toc184314442"/>
      <w:bookmarkEnd w:id="95"/>
      <w:bookmarkStart w:id="96" w:name="_Toc184308037"/>
      <w:bookmarkEnd w:id="96"/>
      <w:bookmarkStart w:id="97" w:name="_Toc184313250"/>
      <w:bookmarkEnd w:id="97"/>
      <w:bookmarkStart w:id="98" w:name="_Toc184313267"/>
      <w:bookmarkEnd w:id="98"/>
      <w:bookmarkStart w:id="99" w:name="_Toc184313268"/>
      <w:bookmarkEnd w:id="99"/>
      <w:bookmarkStart w:id="100" w:name="_Toc184308069"/>
      <w:bookmarkEnd w:id="100"/>
      <w:bookmarkStart w:id="101" w:name="_Toc184312101"/>
      <w:bookmarkEnd w:id="101"/>
      <w:bookmarkStart w:id="102" w:name="_Toc184312097"/>
      <w:bookmarkEnd w:id="102"/>
      <w:bookmarkStart w:id="103" w:name="_Toc184312085"/>
      <w:bookmarkEnd w:id="103"/>
      <w:bookmarkStart w:id="104" w:name="_Toc184314445"/>
      <w:bookmarkEnd w:id="104"/>
      <w:bookmarkStart w:id="105" w:name="_Toc184314473"/>
      <w:bookmarkEnd w:id="105"/>
      <w:bookmarkStart w:id="106" w:name="_Toc184313288"/>
      <w:bookmarkEnd w:id="106"/>
      <w:bookmarkStart w:id="107" w:name="_Toc184308090"/>
      <w:bookmarkEnd w:id="107"/>
      <w:bookmarkStart w:id="108" w:name="_Toc184312090"/>
      <w:bookmarkEnd w:id="108"/>
      <w:bookmarkStart w:id="109" w:name="_Toc184310301"/>
      <w:bookmarkEnd w:id="109"/>
      <w:bookmarkStart w:id="110" w:name="_Toc184308098"/>
      <w:bookmarkEnd w:id="110"/>
      <w:bookmarkStart w:id="111" w:name="_Toc184312116"/>
      <w:bookmarkEnd w:id="111"/>
      <w:bookmarkStart w:id="112" w:name="_Toc184313243"/>
      <w:bookmarkEnd w:id="112"/>
      <w:bookmarkStart w:id="113" w:name="_Toc184313253"/>
      <w:bookmarkEnd w:id="113"/>
      <w:bookmarkStart w:id="114" w:name="_Toc184314478"/>
      <w:bookmarkEnd w:id="114"/>
      <w:bookmarkStart w:id="115" w:name="_Toc184308108"/>
      <w:bookmarkEnd w:id="115"/>
      <w:bookmarkStart w:id="116" w:name="_Toc184314428"/>
      <w:bookmarkEnd w:id="116"/>
      <w:bookmarkStart w:id="117" w:name="_Toc184313240"/>
      <w:bookmarkEnd w:id="117"/>
      <w:bookmarkStart w:id="118" w:name="_Toc184314475"/>
      <w:bookmarkEnd w:id="118"/>
      <w:bookmarkStart w:id="119" w:name="_Toc184308103"/>
      <w:bookmarkEnd w:id="119"/>
      <w:bookmarkStart w:id="120" w:name="_Toc184313301"/>
      <w:bookmarkEnd w:id="120"/>
      <w:bookmarkStart w:id="121" w:name="_Toc184313260"/>
      <w:bookmarkEnd w:id="121"/>
      <w:bookmarkStart w:id="122" w:name="_Toc184312121"/>
      <w:bookmarkEnd w:id="122"/>
      <w:bookmarkStart w:id="123" w:name="_Toc184308041"/>
      <w:bookmarkEnd w:id="123"/>
      <w:bookmarkStart w:id="124" w:name="_Toc184314411"/>
      <w:bookmarkEnd w:id="124"/>
      <w:bookmarkStart w:id="125" w:name="_Toc184312129"/>
      <w:bookmarkEnd w:id="125"/>
      <w:bookmarkStart w:id="126" w:name="_Toc184308082"/>
      <w:bookmarkEnd w:id="126"/>
      <w:bookmarkStart w:id="127" w:name="_Toc184310331"/>
      <w:bookmarkEnd w:id="127"/>
      <w:bookmarkStart w:id="128" w:name="_Toc184312095"/>
      <w:bookmarkEnd w:id="128"/>
      <w:bookmarkStart w:id="129" w:name="_Toc184310303"/>
      <w:bookmarkEnd w:id="129"/>
      <w:bookmarkStart w:id="130" w:name="_Toc184310280"/>
      <w:bookmarkEnd w:id="130"/>
      <w:bookmarkStart w:id="131" w:name="_Toc184308071"/>
      <w:bookmarkEnd w:id="131"/>
      <w:bookmarkStart w:id="132" w:name="_Toc184310321"/>
      <w:bookmarkEnd w:id="132"/>
      <w:bookmarkStart w:id="133" w:name="_Toc184314446"/>
      <w:bookmarkEnd w:id="133"/>
      <w:bookmarkStart w:id="134" w:name="_Toc184314471"/>
      <w:bookmarkEnd w:id="134"/>
      <w:bookmarkStart w:id="135" w:name="_Toc184313294"/>
      <w:bookmarkEnd w:id="135"/>
      <w:bookmarkStart w:id="136" w:name="_Toc184312069"/>
      <w:bookmarkEnd w:id="136"/>
      <w:bookmarkStart w:id="137" w:name="_Toc184312137"/>
      <w:bookmarkEnd w:id="137"/>
      <w:bookmarkStart w:id="138" w:name="_Toc184310312"/>
      <w:bookmarkEnd w:id="138"/>
      <w:bookmarkStart w:id="139" w:name="_Toc184314410"/>
      <w:bookmarkEnd w:id="139"/>
      <w:bookmarkStart w:id="140" w:name="_Toc184308085"/>
      <w:bookmarkEnd w:id="140"/>
      <w:bookmarkStart w:id="141" w:name="_Toc184310339"/>
      <w:bookmarkEnd w:id="141"/>
      <w:bookmarkStart w:id="142" w:name="_Toc184310330"/>
      <w:bookmarkEnd w:id="142"/>
      <w:bookmarkStart w:id="143" w:name="_Toc184308045"/>
      <w:bookmarkEnd w:id="143"/>
      <w:bookmarkStart w:id="144" w:name="_Toc184314476"/>
      <w:bookmarkEnd w:id="144"/>
      <w:bookmarkStart w:id="145" w:name="_Toc184310277"/>
      <w:bookmarkEnd w:id="145"/>
      <w:bookmarkStart w:id="146" w:name="_Toc184308067"/>
      <w:bookmarkEnd w:id="146"/>
      <w:bookmarkStart w:id="147" w:name="_Toc184314436"/>
      <w:bookmarkEnd w:id="147"/>
      <w:bookmarkStart w:id="148" w:name="_Toc184314439"/>
      <w:bookmarkEnd w:id="148"/>
      <w:bookmarkStart w:id="149" w:name="_Toc184312122"/>
      <w:bookmarkEnd w:id="149"/>
      <w:bookmarkStart w:id="150" w:name="_Toc184310299"/>
      <w:bookmarkEnd w:id="150"/>
      <w:bookmarkStart w:id="151" w:name="_Toc184310317"/>
      <w:bookmarkEnd w:id="151"/>
      <w:bookmarkStart w:id="152" w:name="_Toc184312117"/>
      <w:bookmarkEnd w:id="152"/>
      <w:bookmarkStart w:id="153" w:name="_Toc184312114"/>
      <w:bookmarkEnd w:id="153"/>
      <w:bookmarkStart w:id="154" w:name="_Toc184313275"/>
      <w:bookmarkEnd w:id="154"/>
      <w:bookmarkStart w:id="155" w:name="_Toc184312131"/>
      <w:bookmarkEnd w:id="155"/>
      <w:bookmarkStart w:id="156" w:name="_Toc184310287"/>
      <w:bookmarkEnd w:id="156"/>
      <w:bookmarkStart w:id="157" w:name="_Toc184314456"/>
      <w:bookmarkEnd w:id="157"/>
      <w:bookmarkStart w:id="158" w:name="_Toc184312105"/>
      <w:bookmarkEnd w:id="158"/>
      <w:bookmarkStart w:id="159" w:name="_Toc184310326"/>
      <w:bookmarkEnd w:id="159"/>
      <w:bookmarkStart w:id="160" w:name="_Toc184314451"/>
      <w:bookmarkEnd w:id="160"/>
      <w:bookmarkStart w:id="161" w:name="_Toc184310323"/>
      <w:bookmarkEnd w:id="161"/>
      <w:bookmarkStart w:id="162" w:name="_Toc184313274"/>
      <w:bookmarkEnd w:id="162"/>
      <w:bookmarkStart w:id="163" w:name="_Toc184310341"/>
      <w:bookmarkEnd w:id="163"/>
      <w:bookmarkStart w:id="164" w:name="_Toc184308056"/>
      <w:bookmarkEnd w:id="164"/>
      <w:bookmarkStart w:id="165" w:name="_Toc184308047"/>
      <w:bookmarkEnd w:id="165"/>
      <w:bookmarkStart w:id="166" w:name="_Toc184314466"/>
      <w:bookmarkEnd w:id="166"/>
      <w:bookmarkStart w:id="167" w:name="_Toc184310298"/>
      <w:bookmarkEnd w:id="167"/>
      <w:bookmarkStart w:id="168" w:name="_Toc184310316"/>
      <w:bookmarkEnd w:id="168"/>
      <w:bookmarkStart w:id="169" w:name="_Toc184308078"/>
      <w:bookmarkEnd w:id="169"/>
      <w:bookmarkStart w:id="170" w:name="_Toc184310291"/>
      <w:bookmarkEnd w:id="170"/>
      <w:bookmarkStart w:id="171" w:name="_Toc184312084"/>
      <w:bookmarkEnd w:id="171"/>
      <w:bookmarkStart w:id="172" w:name="_Toc184308095"/>
      <w:bookmarkEnd w:id="172"/>
      <w:bookmarkStart w:id="173" w:name="_Toc184312096"/>
      <w:bookmarkEnd w:id="173"/>
      <w:bookmarkStart w:id="174" w:name="_Toc184308079"/>
      <w:bookmarkEnd w:id="174"/>
      <w:bookmarkStart w:id="175" w:name="_Toc184312139"/>
      <w:bookmarkEnd w:id="175"/>
      <w:bookmarkStart w:id="176" w:name="_Toc184313293"/>
      <w:bookmarkEnd w:id="176"/>
      <w:bookmarkStart w:id="177" w:name="_Toc184312077"/>
      <w:bookmarkEnd w:id="177"/>
      <w:bookmarkStart w:id="178" w:name="_Toc184310284"/>
      <w:bookmarkEnd w:id="178"/>
      <w:bookmarkStart w:id="179" w:name="_Toc184310273"/>
      <w:bookmarkEnd w:id="179"/>
      <w:bookmarkStart w:id="180" w:name="_Toc184313276"/>
      <w:bookmarkEnd w:id="180"/>
      <w:bookmarkStart w:id="181" w:name="_Toc184313292"/>
      <w:bookmarkEnd w:id="181"/>
      <w:bookmarkStart w:id="182" w:name="_Toc184310283"/>
      <w:bookmarkEnd w:id="182"/>
      <w:bookmarkStart w:id="183" w:name="_Toc184313261"/>
      <w:bookmarkEnd w:id="183"/>
      <w:bookmarkStart w:id="184" w:name="_Toc184313245"/>
      <w:bookmarkEnd w:id="184"/>
      <w:bookmarkStart w:id="185" w:name="_Toc184312110"/>
      <w:bookmarkEnd w:id="185"/>
      <w:bookmarkStart w:id="186" w:name="_Toc184310340"/>
      <w:bookmarkEnd w:id="186"/>
      <w:bookmarkStart w:id="187" w:name="_Toc184310297"/>
      <w:bookmarkEnd w:id="187"/>
      <w:bookmarkStart w:id="188" w:name="_Toc184308074"/>
      <w:bookmarkEnd w:id="188"/>
      <w:bookmarkStart w:id="189" w:name="_Toc184314440"/>
      <w:bookmarkEnd w:id="189"/>
      <w:bookmarkStart w:id="190" w:name="_Toc184314454"/>
      <w:bookmarkEnd w:id="190"/>
      <w:bookmarkStart w:id="191" w:name="_Toc184310272"/>
      <w:bookmarkEnd w:id="191"/>
      <w:bookmarkStart w:id="192" w:name="_Toc184313302"/>
      <w:bookmarkEnd w:id="192"/>
      <w:bookmarkStart w:id="193" w:name="_Toc184312124"/>
      <w:bookmarkEnd w:id="193"/>
      <w:bookmarkStart w:id="194" w:name="_Toc184314420"/>
      <w:bookmarkEnd w:id="194"/>
      <w:bookmarkStart w:id="195" w:name="_Toc184312107"/>
      <w:bookmarkEnd w:id="195"/>
      <w:bookmarkStart w:id="196" w:name="_Toc184312135"/>
      <w:bookmarkEnd w:id="196"/>
      <w:bookmarkStart w:id="197" w:name="_Toc184314413"/>
      <w:bookmarkEnd w:id="197"/>
      <w:bookmarkStart w:id="198" w:name="_Toc184313242"/>
      <w:bookmarkEnd w:id="198"/>
      <w:bookmarkStart w:id="199" w:name="_Toc184310332"/>
      <w:bookmarkEnd w:id="199"/>
      <w:bookmarkStart w:id="200" w:name="_Toc184313269"/>
      <w:bookmarkEnd w:id="200"/>
      <w:bookmarkStart w:id="201" w:name="_Toc184313270"/>
      <w:bookmarkEnd w:id="201"/>
      <w:bookmarkStart w:id="202" w:name="_Toc184312113"/>
      <w:bookmarkEnd w:id="202"/>
      <w:bookmarkStart w:id="203" w:name="_Toc184312108"/>
      <w:bookmarkEnd w:id="203"/>
      <w:bookmarkStart w:id="204" w:name="_Toc184312083"/>
      <w:bookmarkEnd w:id="204"/>
      <w:bookmarkStart w:id="205" w:name="_Toc184308083"/>
      <w:bookmarkEnd w:id="205"/>
      <w:bookmarkStart w:id="206" w:name="_Toc184308057"/>
      <w:bookmarkEnd w:id="206"/>
      <w:bookmarkStart w:id="207" w:name="_Toc184310296"/>
      <w:bookmarkEnd w:id="207"/>
      <w:bookmarkStart w:id="208" w:name="_Toc184310300"/>
      <w:bookmarkEnd w:id="208"/>
      <w:bookmarkStart w:id="209" w:name="_Toc184310281"/>
      <w:bookmarkEnd w:id="209"/>
      <w:bookmarkStart w:id="210" w:name="_Toc184314455"/>
      <w:bookmarkEnd w:id="210"/>
      <w:bookmarkStart w:id="211" w:name="_Toc184314474"/>
      <w:bookmarkEnd w:id="211"/>
      <w:bookmarkStart w:id="212" w:name="_Toc184308053"/>
      <w:bookmarkEnd w:id="212"/>
      <w:bookmarkStart w:id="213" w:name="_Toc184312123"/>
      <w:bookmarkEnd w:id="213"/>
      <w:bookmarkStart w:id="214" w:name="_Toc184314424"/>
      <w:bookmarkEnd w:id="214"/>
      <w:bookmarkStart w:id="215" w:name="_Toc184308044"/>
      <w:bookmarkEnd w:id="215"/>
      <w:bookmarkStart w:id="216" w:name="_Toc184308043"/>
      <w:bookmarkEnd w:id="216"/>
      <w:bookmarkStart w:id="217" w:name="_Toc184310307"/>
      <w:bookmarkEnd w:id="217"/>
      <w:bookmarkStart w:id="218" w:name="_Toc184314437"/>
      <w:bookmarkEnd w:id="218"/>
      <w:bookmarkStart w:id="219" w:name="_Toc184310334"/>
      <w:bookmarkEnd w:id="219"/>
      <w:bookmarkStart w:id="220" w:name="_Toc184313258"/>
      <w:bookmarkEnd w:id="220"/>
      <w:bookmarkStart w:id="221" w:name="_Toc184312138"/>
      <w:bookmarkEnd w:id="221"/>
      <w:bookmarkStart w:id="222" w:name="_Toc184312089"/>
      <w:bookmarkEnd w:id="222"/>
      <w:bookmarkStart w:id="223" w:name="_Toc184313300"/>
      <w:bookmarkEnd w:id="223"/>
      <w:bookmarkStart w:id="224" w:name="_Toc184314431"/>
      <w:bookmarkEnd w:id="224"/>
      <w:bookmarkStart w:id="225" w:name="_Toc184308054"/>
      <w:bookmarkEnd w:id="225"/>
      <w:bookmarkStart w:id="226" w:name="_Toc184308058"/>
      <w:bookmarkEnd w:id="226"/>
      <w:bookmarkStart w:id="227" w:name="_Toc184314479"/>
      <w:bookmarkEnd w:id="227"/>
      <w:bookmarkStart w:id="228" w:name="_Toc184313299"/>
      <w:bookmarkEnd w:id="228"/>
      <w:bookmarkStart w:id="229" w:name="_Toc184313263"/>
      <w:bookmarkEnd w:id="229"/>
      <w:bookmarkStart w:id="230" w:name="_Toc184312079"/>
      <w:bookmarkEnd w:id="230"/>
      <w:bookmarkStart w:id="231" w:name="_Toc184313307"/>
      <w:bookmarkEnd w:id="231"/>
      <w:bookmarkStart w:id="232" w:name="_Toc184313238"/>
      <w:bookmarkEnd w:id="232"/>
      <w:bookmarkStart w:id="233" w:name="_Toc184314472"/>
      <w:bookmarkEnd w:id="233"/>
      <w:bookmarkStart w:id="234" w:name="_Toc184314460"/>
      <w:bookmarkEnd w:id="234"/>
      <w:bookmarkStart w:id="235" w:name="_Toc184313310"/>
      <w:bookmarkEnd w:id="235"/>
      <w:bookmarkStart w:id="236" w:name="_Toc184312074"/>
      <w:bookmarkEnd w:id="236"/>
      <w:bookmarkStart w:id="237" w:name="_Toc184310288"/>
      <w:bookmarkEnd w:id="237"/>
      <w:bookmarkStart w:id="238" w:name="_Toc184314426"/>
      <w:bookmarkEnd w:id="238"/>
      <w:bookmarkStart w:id="239" w:name="_Toc184308091"/>
      <w:bookmarkEnd w:id="239"/>
      <w:bookmarkStart w:id="240" w:name="_Toc184310338"/>
      <w:bookmarkEnd w:id="240"/>
      <w:bookmarkStart w:id="241" w:name="_Toc184314464"/>
      <w:bookmarkEnd w:id="241"/>
      <w:bookmarkStart w:id="242" w:name="_Toc184312091"/>
      <w:bookmarkEnd w:id="242"/>
      <w:bookmarkStart w:id="243" w:name="_Toc184314449"/>
      <w:bookmarkEnd w:id="243"/>
      <w:bookmarkStart w:id="244" w:name="_Toc184313284"/>
      <w:bookmarkEnd w:id="244"/>
      <w:bookmarkStart w:id="245" w:name="_Toc184312088"/>
      <w:bookmarkEnd w:id="245"/>
      <w:bookmarkStart w:id="246" w:name="_Toc184308059"/>
      <w:bookmarkEnd w:id="246"/>
      <w:bookmarkStart w:id="247" w:name="_Toc184313309"/>
      <w:bookmarkEnd w:id="247"/>
      <w:bookmarkStart w:id="248" w:name="_Toc184308064"/>
      <w:bookmarkEnd w:id="248"/>
      <w:bookmarkStart w:id="249" w:name="_Toc184312081"/>
      <w:bookmarkEnd w:id="249"/>
      <w:bookmarkStart w:id="250" w:name="_Toc184314438"/>
      <w:bookmarkEnd w:id="250"/>
      <w:bookmarkStart w:id="251" w:name="_Toc184310275"/>
      <w:bookmarkEnd w:id="251"/>
      <w:bookmarkStart w:id="252" w:name="_Toc184310344"/>
      <w:bookmarkEnd w:id="252"/>
      <w:bookmarkStart w:id="253" w:name="_Toc184308042"/>
      <w:bookmarkEnd w:id="253"/>
      <w:bookmarkStart w:id="254" w:name="_Toc184308075"/>
      <w:bookmarkEnd w:id="254"/>
      <w:bookmarkStart w:id="255" w:name="_Toc184308040"/>
      <w:bookmarkEnd w:id="255"/>
      <w:bookmarkStart w:id="256" w:name="_Toc184314417"/>
      <w:bookmarkEnd w:id="256"/>
      <w:bookmarkStart w:id="257" w:name="_Toc184312130"/>
      <w:bookmarkEnd w:id="257"/>
      <w:bookmarkStart w:id="258" w:name="_Toc184314468"/>
      <w:bookmarkEnd w:id="258"/>
      <w:bookmarkStart w:id="259" w:name="_Toc184312067"/>
      <w:bookmarkEnd w:id="259"/>
      <w:bookmarkStart w:id="260" w:name="_Toc184314463"/>
      <w:bookmarkEnd w:id="260"/>
      <w:bookmarkStart w:id="261" w:name="_Toc184312093"/>
      <w:bookmarkEnd w:id="261"/>
      <w:bookmarkStart w:id="262" w:name="_Toc184310322"/>
      <w:bookmarkEnd w:id="262"/>
      <w:bookmarkStart w:id="263" w:name="_Toc184312076"/>
      <w:bookmarkEnd w:id="263"/>
      <w:bookmarkStart w:id="264" w:name="_Toc184313295"/>
      <w:bookmarkEnd w:id="264"/>
      <w:bookmarkStart w:id="265" w:name="_Toc184312100"/>
      <w:bookmarkEnd w:id="265"/>
      <w:bookmarkStart w:id="266" w:name="_Toc184308070"/>
      <w:bookmarkEnd w:id="266"/>
      <w:bookmarkStart w:id="267" w:name="_Toc184312104"/>
      <w:bookmarkEnd w:id="267"/>
      <w:bookmarkStart w:id="268" w:name="_Toc184313283"/>
      <w:bookmarkEnd w:id="268"/>
      <w:bookmarkStart w:id="269" w:name="_Toc184308050"/>
      <w:bookmarkEnd w:id="269"/>
      <w:bookmarkStart w:id="270" w:name="_Toc184312092"/>
      <w:bookmarkEnd w:id="270"/>
      <w:bookmarkStart w:id="271" w:name="_Toc184314427"/>
      <w:bookmarkEnd w:id="271"/>
      <w:bookmarkStart w:id="272" w:name="_Toc184313290"/>
      <w:bookmarkEnd w:id="272"/>
      <w:bookmarkStart w:id="273" w:name="_Toc184308101"/>
      <w:bookmarkEnd w:id="273"/>
      <w:bookmarkStart w:id="274" w:name="_Toc184310336"/>
      <w:bookmarkEnd w:id="274"/>
      <w:bookmarkStart w:id="275" w:name="_Toc184310282"/>
      <w:bookmarkEnd w:id="275"/>
      <w:bookmarkStart w:id="276" w:name="_Toc184313285"/>
      <w:bookmarkEnd w:id="276"/>
      <w:bookmarkStart w:id="277" w:name="_Toc184310309"/>
      <w:bookmarkEnd w:id="277"/>
      <w:bookmarkStart w:id="278" w:name="_Toc184313248"/>
      <w:bookmarkEnd w:id="278"/>
      <w:bookmarkStart w:id="279" w:name="_Toc184314480"/>
      <w:bookmarkEnd w:id="279"/>
      <w:bookmarkStart w:id="280" w:name="_Toc184314470"/>
      <w:bookmarkEnd w:id="280"/>
      <w:bookmarkStart w:id="281" w:name="_Toc184313272"/>
      <w:bookmarkEnd w:id="281"/>
      <w:bookmarkStart w:id="282" w:name="_Toc184314429"/>
      <w:bookmarkEnd w:id="282"/>
      <w:bookmarkStart w:id="283" w:name="_Toc184313252"/>
      <w:bookmarkEnd w:id="283"/>
      <w:bookmarkStart w:id="284" w:name="_Toc184310311"/>
      <w:bookmarkEnd w:id="284"/>
      <w:bookmarkStart w:id="285" w:name="_Toc184310279"/>
      <w:bookmarkEnd w:id="285"/>
      <w:bookmarkStart w:id="286" w:name="_Toc184312132"/>
      <w:bookmarkEnd w:id="286"/>
      <w:bookmarkStart w:id="287" w:name="_Toc184313259"/>
      <w:bookmarkEnd w:id="287"/>
      <w:bookmarkStart w:id="288" w:name="_Toc184312075"/>
      <w:bookmarkEnd w:id="288"/>
      <w:bookmarkStart w:id="289" w:name="_Toc184308087"/>
      <w:bookmarkEnd w:id="289"/>
      <w:bookmarkStart w:id="290" w:name="_Toc184310289"/>
      <w:bookmarkEnd w:id="290"/>
      <w:bookmarkStart w:id="291" w:name="_Toc184312118"/>
      <w:bookmarkEnd w:id="291"/>
      <w:bookmarkStart w:id="292" w:name="_Toc184308049"/>
      <w:bookmarkEnd w:id="292"/>
      <w:bookmarkStart w:id="293" w:name="_Toc184314416"/>
      <w:bookmarkEnd w:id="293"/>
      <w:bookmarkStart w:id="294" w:name="_Toc184313304"/>
      <w:bookmarkEnd w:id="294"/>
      <w:bookmarkStart w:id="295" w:name="_Toc184312136"/>
      <w:bookmarkEnd w:id="295"/>
      <w:bookmarkStart w:id="296" w:name="_Toc184313251"/>
      <w:bookmarkEnd w:id="296"/>
      <w:bookmarkStart w:id="297" w:name="_Toc184312086"/>
      <w:bookmarkEnd w:id="297"/>
      <w:bookmarkStart w:id="298" w:name="_Toc184312071"/>
      <w:bookmarkEnd w:id="298"/>
      <w:bookmarkStart w:id="299" w:name="_Toc184312115"/>
      <w:bookmarkEnd w:id="299"/>
      <w:bookmarkStart w:id="300" w:name="_Toc184313308"/>
      <w:bookmarkEnd w:id="300"/>
      <w:bookmarkStart w:id="301" w:name="_Toc184314433"/>
      <w:bookmarkEnd w:id="301"/>
      <w:bookmarkStart w:id="302" w:name="_Toc184308039"/>
      <w:bookmarkEnd w:id="302"/>
      <w:bookmarkStart w:id="303" w:name="_Toc184313280"/>
      <w:bookmarkEnd w:id="303"/>
      <w:bookmarkStart w:id="304" w:name="_Toc184314435"/>
      <w:bookmarkEnd w:id="304"/>
      <w:bookmarkStart w:id="305" w:name="_Toc184313297"/>
      <w:bookmarkEnd w:id="305"/>
      <w:bookmarkStart w:id="306" w:name="_Toc184308084"/>
      <w:bookmarkEnd w:id="306"/>
      <w:bookmarkStart w:id="307" w:name="_Toc184314425"/>
      <w:bookmarkEnd w:id="307"/>
      <w:bookmarkStart w:id="308" w:name="_Toc184314415"/>
      <w:bookmarkEnd w:id="308"/>
      <w:bookmarkStart w:id="309" w:name="_Toc184308066"/>
      <w:bookmarkEnd w:id="309"/>
      <w:bookmarkStart w:id="310" w:name="_Toc184312119"/>
      <w:bookmarkEnd w:id="310"/>
      <w:bookmarkStart w:id="311" w:name="_Toc184308105"/>
      <w:bookmarkEnd w:id="311"/>
      <w:bookmarkStart w:id="312" w:name="_Toc184310276"/>
      <w:bookmarkEnd w:id="312"/>
      <w:bookmarkStart w:id="313" w:name="_Toc184310294"/>
      <w:bookmarkEnd w:id="313"/>
      <w:bookmarkStart w:id="314" w:name="_Toc184312070"/>
      <w:bookmarkEnd w:id="314"/>
      <w:bookmarkStart w:id="315" w:name="_Toc184312068"/>
      <w:bookmarkEnd w:id="315"/>
      <w:bookmarkStart w:id="316" w:name="_Toc184312103"/>
      <w:bookmarkEnd w:id="316"/>
      <w:bookmarkStart w:id="317" w:name="_Toc184312072"/>
      <w:bookmarkEnd w:id="317"/>
      <w:bookmarkStart w:id="318" w:name="_Toc184312106"/>
      <w:bookmarkEnd w:id="318"/>
      <w:bookmarkStart w:id="319" w:name="_Toc184310285"/>
      <w:bookmarkEnd w:id="319"/>
      <w:bookmarkStart w:id="320" w:name="_Toc184313306"/>
      <w:bookmarkEnd w:id="320"/>
      <w:bookmarkStart w:id="321" w:name="_Toc184308068"/>
      <w:bookmarkEnd w:id="321"/>
      <w:bookmarkStart w:id="322" w:name="_Toc184308073"/>
      <w:bookmarkEnd w:id="322"/>
      <w:bookmarkStart w:id="323" w:name="_Toc184313298"/>
      <w:bookmarkEnd w:id="323"/>
      <w:bookmarkStart w:id="324" w:name="_Toc184310319"/>
      <w:bookmarkEnd w:id="324"/>
      <w:bookmarkStart w:id="325" w:name="_Toc184314432"/>
      <w:bookmarkEnd w:id="325"/>
      <w:bookmarkStart w:id="326" w:name="_Toc184313289"/>
      <w:bookmarkEnd w:id="326"/>
      <w:bookmarkStart w:id="327" w:name="_Toc184314465"/>
      <w:bookmarkEnd w:id="327"/>
      <w:bookmarkStart w:id="328" w:name="_Toc184312120"/>
      <w:bookmarkEnd w:id="328"/>
      <w:bookmarkStart w:id="329" w:name="_Toc184313291"/>
      <w:bookmarkEnd w:id="329"/>
      <w:bookmarkStart w:id="330" w:name="_Toc184313265"/>
      <w:bookmarkEnd w:id="330"/>
      <w:bookmarkStart w:id="331" w:name="_Toc184308072"/>
      <w:bookmarkEnd w:id="331"/>
      <w:bookmarkStart w:id="332" w:name="_Toc184308065"/>
      <w:bookmarkEnd w:id="332"/>
      <w:bookmarkStart w:id="333" w:name="_Toc184310324"/>
      <w:bookmarkEnd w:id="333"/>
      <w:bookmarkStart w:id="334" w:name="_Toc184308055"/>
      <w:bookmarkEnd w:id="334"/>
      <w:bookmarkStart w:id="335" w:name="_Toc184308046"/>
      <w:bookmarkEnd w:id="335"/>
      <w:bookmarkStart w:id="336" w:name="_Toc184308102"/>
      <w:bookmarkEnd w:id="336"/>
      <w:bookmarkStart w:id="337" w:name="_Toc184310286"/>
      <w:bookmarkEnd w:id="337"/>
      <w:bookmarkStart w:id="338" w:name="_Toc184314447"/>
      <w:bookmarkEnd w:id="338"/>
      <w:bookmarkStart w:id="339" w:name="_Toc184310342"/>
      <w:bookmarkEnd w:id="339"/>
      <w:bookmarkStart w:id="340" w:name="_Toc184310337"/>
      <w:bookmarkEnd w:id="340"/>
      <w:bookmarkStart w:id="341" w:name="_Toc184313305"/>
      <w:bookmarkEnd w:id="341"/>
      <w:bookmarkStart w:id="342" w:name="_Toc184314434"/>
      <w:bookmarkEnd w:id="342"/>
      <w:bookmarkStart w:id="343" w:name="_Toc184314414"/>
      <w:bookmarkEnd w:id="343"/>
      <w:bookmarkStart w:id="344" w:name="_Toc184313296"/>
      <w:bookmarkEnd w:id="344"/>
      <w:bookmarkStart w:id="345" w:name="_Toc184312094"/>
      <w:bookmarkEnd w:id="345"/>
      <w:bookmarkStart w:id="346" w:name="_Toc184313241"/>
      <w:bookmarkEnd w:id="346"/>
      <w:bookmarkStart w:id="347" w:name="_Toc184308081"/>
      <w:bookmarkEnd w:id="347"/>
      <w:bookmarkStart w:id="348" w:name="_Toc184314457"/>
      <w:bookmarkEnd w:id="348"/>
      <w:bookmarkStart w:id="349" w:name="_Toc184313287"/>
      <w:bookmarkEnd w:id="349"/>
      <w:bookmarkStart w:id="350" w:name="_Toc184312109"/>
      <w:bookmarkEnd w:id="350"/>
      <w:bookmarkStart w:id="351" w:name="_Toc184313249"/>
      <w:bookmarkEnd w:id="351"/>
      <w:bookmarkStart w:id="352" w:name="_Toc184308036"/>
      <w:bookmarkEnd w:id="352"/>
      <w:bookmarkStart w:id="353" w:name="_Toc184308086"/>
      <w:bookmarkEnd w:id="353"/>
      <w:bookmarkStart w:id="354" w:name="_Toc184313246"/>
      <w:bookmarkEnd w:id="354"/>
      <w:bookmarkStart w:id="355" w:name="_Toc184310290"/>
      <w:bookmarkEnd w:id="355"/>
      <w:bookmarkStart w:id="356" w:name="_Toc184310343"/>
      <w:bookmarkEnd w:id="356"/>
      <w:bookmarkStart w:id="357" w:name="_Toc184308107"/>
      <w:bookmarkEnd w:id="357"/>
      <w:bookmarkStart w:id="358" w:name="_Toc184312087"/>
      <w:bookmarkEnd w:id="358"/>
      <w:bookmarkStart w:id="359" w:name="_Toc184314462"/>
      <w:bookmarkEnd w:id="359"/>
      <w:bookmarkStart w:id="360" w:name="_Toc184314421"/>
      <w:bookmarkEnd w:id="360"/>
      <w:bookmarkStart w:id="361" w:name="_Toc184308094"/>
      <w:bookmarkEnd w:id="361"/>
      <w:bookmarkStart w:id="362" w:name="_Toc184313279"/>
      <w:bookmarkEnd w:id="362"/>
      <w:bookmarkStart w:id="363" w:name="_Toc184312098"/>
      <w:bookmarkEnd w:id="363"/>
      <w:bookmarkStart w:id="364" w:name="_Toc184312099"/>
      <w:bookmarkEnd w:id="364"/>
      <w:bookmarkStart w:id="365" w:name="_Toc184310305"/>
      <w:bookmarkEnd w:id="365"/>
      <w:bookmarkStart w:id="366" w:name="_Toc184313256"/>
      <w:bookmarkEnd w:id="366"/>
      <w:bookmarkStart w:id="367" w:name="_Toc184313273"/>
      <w:bookmarkEnd w:id="367"/>
      <w:bookmarkStart w:id="368" w:name="_Toc184308100"/>
      <w:bookmarkEnd w:id="368"/>
      <w:bookmarkStart w:id="369" w:name="_Toc184308048"/>
      <w:bookmarkEnd w:id="369"/>
      <w:bookmarkStart w:id="370" w:name="_Toc184308089"/>
      <w:bookmarkEnd w:id="370"/>
      <w:bookmarkStart w:id="371" w:name="_Toc184308092"/>
      <w:bookmarkEnd w:id="371"/>
      <w:bookmarkStart w:id="372" w:name="_Toc184314444"/>
      <w:bookmarkEnd w:id="372"/>
      <w:bookmarkStart w:id="373" w:name="_Toc184312102"/>
      <w:bookmarkEnd w:id="373"/>
      <w:bookmarkStart w:id="374" w:name="_Toc184314430"/>
      <w:bookmarkEnd w:id="374"/>
      <w:bookmarkStart w:id="375" w:name="_Toc184313262"/>
      <w:bookmarkEnd w:id="375"/>
      <w:bookmarkStart w:id="376" w:name="_Toc184313277"/>
      <w:bookmarkEnd w:id="376"/>
      <w:bookmarkStart w:id="377" w:name="_Toc184314448"/>
      <w:bookmarkEnd w:id="377"/>
      <w:bookmarkStart w:id="378" w:name="_Toc184308106"/>
      <w:bookmarkEnd w:id="378"/>
      <w:bookmarkStart w:id="379" w:name="_Toc184313254"/>
      <w:bookmarkEnd w:id="379"/>
      <w:bookmarkStart w:id="380" w:name="_Toc184313286"/>
      <w:bookmarkEnd w:id="380"/>
      <w:bookmarkStart w:id="381" w:name="_Toc184312080"/>
      <w:bookmarkEnd w:id="381"/>
      <w:bookmarkStart w:id="382" w:name="_Toc184314452"/>
      <w:bookmarkEnd w:id="382"/>
      <w:bookmarkStart w:id="383" w:name="_Toc184310306"/>
      <w:bookmarkEnd w:id="383"/>
      <w:bookmarkStart w:id="384" w:name="_Toc184312127"/>
      <w:bookmarkEnd w:id="384"/>
      <w:bookmarkStart w:id="385" w:name="_Toc184310315"/>
      <w:bookmarkEnd w:id="385"/>
      <w:bookmarkStart w:id="386" w:name="_Toc184308099"/>
      <w:bookmarkEnd w:id="386"/>
      <w:bookmarkStart w:id="387" w:name="_Toc184314443"/>
      <w:bookmarkEnd w:id="387"/>
      <w:bookmarkStart w:id="388" w:name="_Toc184313282"/>
      <w:bookmarkEnd w:id="388"/>
      <w:bookmarkStart w:id="389" w:name="_Toc184310278"/>
      <w:bookmarkEnd w:id="389"/>
      <w:bookmarkStart w:id="390" w:name="_Toc184312126"/>
      <w:bookmarkEnd w:id="390"/>
      <w:bookmarkStart w:id="391" w:name="_Toc184314461"/>
      <w:bookmarkEnd w:id="391"/>
      <w:bookmarkStart w:id="392" w:name="_Toc184313266"/>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spacing w:afterLines="50" w:line="360" w:lineRule="auto"/>
        <w:rPr>
          <w:b/>
          <w:sz w:val="24"/>
        </w:rPr>
      </w:pPr>
      <w:r>
        <w:rPr>
          <w:rFonts w:hint="eastAsia"/>
          <w:b/>
          <w:sz w:val="24"/>
        </w:rPr>
        <w:t>一、评标内容及标准</w:t>
      </w:r>
    </w:p>
    <w:p>
      <w:pPr>
        <w:spacing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afterLines="50" w:line="360" w:lineRule="auto"/>
        <w:ind w:firstLine="480" w:firstLineChars="200"/>
        <w:rPr>
          <w:rFonts w:asciiTheme="minorEastAsia" w:hAnsiTheme="minorEastAsia" w:eastAsiaTheme="minorEastAsia"/>
          <w:sz w:val="24"/>
          <w:lang w:val="zh-CN"/>
        </w:rPr>
      </w:pPr>
      <w:r>
        <w:rPr>
          <w:rFonts w:hint="eastAsia" w:ascii="宋体" w:hAnsi="宋体" w:cs="宋体"/>
          <w:kern w:val="0"/>
          <w:sz w:val="24"/>
          <w:lang w:val="zh-CN"/>
        </w:rPr>
        <w:t>本次评标采用综合评分法。合格投标人的评标得分为各项目汇总得分，中标候选资格按评标得分由高到低顺序排列，得分相同的，按投标报价由低到高顺序排列。综合得分排名第一的投标人为中标候选人，评分过程中采用四舍五入法，并保留小数2位。</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二、评标内容及标准</w:t>
      </w:r>
    </w:p>
    <w:p>
      <w:pPr>
        <w:widowControl/>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（一）价格分（10分）</w:t>
      </w:r>
    </w:p>
    <w:p>
      <w:pPr>
        <w:autoSpaceDE w:val="0"/>
        <w:autoSpaceDN w:val="0"/>
        <w:spacing w:line="360" w:lineRule="auto"/>
        <w:ind w:firstLine="437"/>
        <w:rPr>
          <w:rFonts w:asciiTheme="minorEastAsia" w:hAnsiTheme="minorEastAsia" w:eastAsiaTheme="minorEastAsia"/>
          <w:sz w:val="24"/>
          <w:lang w:val="zh-CN"/>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、价格分采用低价优先法计算，即满足招标文件要求且投标价格最低的投标报价为评标基准价，其他投标人的价格分按照下列公式计算：</w:t>
      </w:r>
    </w:p>
    <w:p>
      <w:pPr>
        <w:autoSpaceDE w:val="0"/>
        <w:autoSpaceDN w:val="0"/>
        <w:spacing w:line="360" w:lineRule="auto"/>
        <w:ind w:firstLine="437"/>
        <w:rPr>
          <w:rFonts w:asciiTheme="minorEastAsia" w:hAnsiTheme="minorEastAsia" w:eastAsiaTheme="minorEastAsia"/>
          <w:color w:val="0000FF"/>
          <w:sz w:val="24"/>
        </w:rPr>
      </w:pPr>
      <w:r>
        <w:rPr>
          <w:rFonts w:hint="eastAsia" w:asciiTheme="minorEastAsia" w:hAnsiTheme="minorEastAsia" w:eastAsiaTheme="minorEastAsia"/>
          <w:sz w:val="24"/>
          <w:lang w:val="zh-CN"/>
        </w:rPr>
        <w:t>价格分</w:t>
      </w:r>
      <w:r>
        <w:rPr>
          <w:rFonts w:asciiTheme="minorEastAsia" w:hAnsiTheme="minorEastAsia" w:eastAsiaTheme="minorEastAsia"/>
          <w:sz w:val="24"/>
          <w:lang w:val="zh-CN"/>
        </w:rPr>
        <w:t>=</w:t>
      </w:r>
      <w:r>
        <w:rPr>
          <w:rFonts w:hint="eastAsia" w:asciiTheme="minorEastAsia" w:hAnsiTheme="minorEastAsia" w:eastAsiaTheme="minorEastAsia"/>
          <w:sz w:val="24"/>
          <w:lang w:val="zh-CN"/>
        </w:rPr>
        <w:t>（评标基准价</w:t>
      </w:r>
      <w:r>
        <w:rPr>
          <w:rFonts w:asciiTheme="minorEastAsia" w:hAnsiTheme="minorEastAsia" w:eastAsiaTheme="minorEastAsia"/>
          <w:sz w:val="24"/>
          <w:lang w:val="zh-CN"/>
        </w:rPr>
        <w:t>/</w:t>
      </w:r>
      <w:r>
        <w:rPr>
          <w:rFonts w:hint="eastAsia" w:asciiTheme="minorEastAsia" w:hAnsiTheme="minorEastAsia" w:eastAsiaTheme="minorEastAsia"/>
          <w:sz w:val="24"/>
          <w:lang w:val="zh-CN"/>
        </w:rPr>
        <w:t>投标报价）×</w:t>
      </w:r>
      <w:r>
        <w:rPr>
          <w:rFonts w:hint="eastAsia" w:asciiTheme="minorEastAsia" w:hAnsiTheme="minorEastAsia" w:eastAsiaTheme="minorEastAsia"/>
          <w:sz w:val="24"/>
        </w:rPr>
        <w:t>1</w:t>
      </w:r>
      <w:r>
        <w:rPr>
          <w:rFonts w:hint="eastAsia" w:asciiTheme="minorEastAsia" w:hAnsiTheme="minorEastAsia" w:eastAsiaTheme="minorEastAsia"/>
          <w:sz w:val="24"/>
          <w:lang w:val="zh-CN"/>
        </w:rPr>
        <w:t>0</w:t>
      </w:r>
    </w:p>
    <w:p>
      <w:pPr>
        <w:autoSpaceDE w:val="0"/>
        <w:autoSpaceDN w:val="0"/>
        <w:spacing w:line="360" w:lineRule="auto"/>
        <w:ind w:left="359" w:leftChars="171" w:firstLine="76" w:firstLineChars="32"/>
        <w:rPr>
          <w:rFonts w:cs="宋体" w:asciiTheme="minorEastAsia" w:hAnsiTheme="minorEastAsia" w:eastAsiaTheme="minorEastAsia"/>
          <w:b/>
          <w:bCs/>
          <w:sz w:val="24"/>
        </w:rPr>
      </w:pPr>
      <w:r>
        <w:rPr>
          <w:rFonts w:hint="eastAsia" w:asciiTheme="minorEastAsia" w:hAnsiTheme="minorEastAsia" w:eastAsiaTheme="minorEastAsia"/>
          <w:sz w:val="24"/>
          <w:lang w:val="zh-CN"/>
        </w:rPr>
        <w:t>2、</w:t>
      </w:r>
      <w:r>
        <w:rPr>
          <w:rFonts w:hint="eastAsia" w:cs="宋体" w:asciiTheme="minorEastAsia" w:hAnsiTheme="minorEastAsia" w:eastAsiaTheme="minorEastAsia"/>
          <w:sz w:val="24"/>
        </w:rPr>
        <w:t>▲</w:t>
      </w:r>
      <w:r>
        <w:rPr>
          <w:rFonts w:hint="eastAsia" w:asciiTheme="minorEastAsia" w:hAnsiTheme="minorEastAsia" w:eastAsiaTheme="minorEastAsia"/>
          <w:sz w:val="24"/>
          <w:lang w:val="zh-CN"/>
        </w:rPr>
        <w:t>投标人的投标报价超过设定的上限价的作为无效标处理。</w:t>
      </w:r>
      <w:r>
        <w:rPr>
          <w:rFonts w:hint="eastAsia" w:cs="宋体" w:asciiTheme="minorEastAsia" w:hAnsiTheme="minorEastAsia" w:eastAsiaTheme="minorEastAsia"/>
          <w:b/>
          <w:bCs/>
          <w:sz w:val="24"/>
        </w:rPr>
        <w:t>本项目最高限价为：</w:t>
      </w:r>
      <w:r>
        <w:rPr>
          <w:rFonts w:hint="eastAsia" w:cs="宋体" w:asciiTheme="minorEastAsia" w:hAnsiTheme="minorEastAsia" w:eastAsiaTheme="minorEastAsia"/>
          <w:b/>
          <w:bCs/>
          <w:color w:val="FF0000"/>
          <w:sz w:val="24"/>
          <w:u w:val="single"/>
        </w:rPr>
        <w:t>382万元</w:t>
      </w:r>
    </w:p>
    <w:p>
      <w:pPr>
        <w:autoSpaceDE w:val="0"/>
        <w:autoSpaceDN w:val="0"/>
        <w:spacing w:line="360" w:lineRule="auto"/>
        <w:ind w:firstLine="437"/>
        <w:rPr>
          <w:rFonts w:asciiTheme="minorEastAsia" w:hAnsiTheme="minorEastAsia" w:eastAsiaTheme="minorEastAsia"/>
          <w:color w:val="0000FF"/>
          <w:sz w:val="24"/>
        </w:rPr>
      </w:pPr>
      <w:r>
        <w:rPr>
          <w:rFonts w:hint="eastAsia" w:cs="宋体" w:asciiTheme="minorEastAsia" w:hAnsiTheme="minorEastAsia" w:eastAsiaTheme="minorEastAsia"/>
          <w:sz w:val="24"/>
        </w:rPr>
        <w:t>3、报价是中标的一个重要因素，但最低报价不是中标的唯一依据。</w:t>
      </w:r>
    </w:p>
    <w:p>
      <w:pPr>
        <w:widowControl/>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（二）商务技术分（90分）</w:t>
      </w:r>
    </w:p>
    <w:p>
      <w:pPr>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注：商务技术分的计算</w:t>
      </w:r>
    </w:p>
    <w:p>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商务技术分按照评标委员会成员的独立评分结果汇总数,以算术平均分计算，计算公式为：</w:t>
      </w:r>
    </w:p>
    <w:p>
      <w:pPr>
        <w:spacing w:line="360" w:lineRule="auto"/>
        <w:jc w:val="center"/>
        <w:rPr>
          <w:rFonts w:asciiTheme="minorEastAsia" w:hAnsiTheme="minorEastAsia" w:eastAsiaTheme="minorEastAsia"/>
          <w:b/>
          <w:color w:val="000000" w:themeColor="text1"/>
          <w:sz w:val="24"/>
          <w:lang w:val="zh-CN"/>
        </w:rPr>
      </w:pPr>
      <w:r>
        <w:rPr>
          <w:rFonts w:hint="eastAsia" w:asciiTheme="minorEastAsia" w:hAnsiTheme="minorEastAsia" w:eastAsiaTheme="minorEastAsia"/>
          <w:sz w:val="24"/>
          <w:lang w:val="zh-CN"/>
        </w:rPr>
        <w:t>商务技术分=（评标委员会所有成员评分合计数）/（评标委员会组成人员数）</w:t>
      </w:r>
    </w:p>
    <w:p>
      <w:pPr>
        <w:spacing w:line="360" w:lineRule="auto"/>
        <w:ind w:firstLine="482" w:firstLineChars="200"/>
        <w:jc w:val="center"/>
        <w:rPr>
          <w:rFonts w:asciiTheme="minorEastAsia" w:hAnsiTheme="minorEastAsia" w:eastAsiaTheme="minorEastAsia"/>
          <w:b/>
          <w:color w:val="000000" w:themeColor="text1"/>
          <w:sz w:val="24"/>
          <w:lang w:val="zh-CN"/>
        </w:rPr>
      </w:pPr>
      <w:r>
        <w:rPr>
          <w:rFonts w:hint="eastAsia" w:asciiTheme="minorEastAsia" w:hAnsiTheme="minorEastAsia" w:eastAsiaTheme="minorEastAsia"/>
          <w:b/>
          <w:color w:val="000000" w:themeColor="text1"/>
          <w:sz w:val="24"/>
          <w:lang w:val="zh-CN"/>
        </w:rPr>
        <w:t>评标办法前附表</w:t>
      </w:r>
    </w:p>
    <w:tbl>
      <w:tblPr>
        <w:tblStyle w:val="23"/>
        <w:tblW w:w="4997" w:type="pct"/>
        <w:jc w:val="center"/>
        <w:tblLayout w:type="autofit"/>
        <w:tblCellMar>
          <w:top w:w="0" w:type="dxa"/>
          <w:left w:w="108" w:type="dxa"/>
          <w:bottom w:w="0" w:type="dxa"/>
          <w:right w:w="108" w:type="dxa"/>
        </w:tblCellMar>
      </w:tblPr>
      <w:tblGrid>
        <w:gridCol w:w="535"/>
        <w:gridCol w:w="1377"/>
        <w:gridCol w:w="5766"/>
        <w:gridCol w:w="812"/>
      </w:tblGrid>
      <w:tr>
        <w:tblPrEx>
          <w:tblCellMar>
            <w:top w:w="0" w:type="dxa"/>
            <w:left w:w="108" w:type="dxa"/>
            <w:bottom w:w="0" w:type="dxa"/>
            <w:right w:w="108" w:type="dxa"/>
          </w:tblCellMar>
        </w:tblPrEx>
        <w:trPr>
          <w:trHeight w:val="312"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序号</w:t>
            </w:r>
          </w:p>
        </w:tc>
        <w:tc>
          <w:tcPr>
            <w:tcW w:w="8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评分内容</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ind w:firstLine="420" w:firstLineChars="200"/>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评标标准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分值</w:t>
            </w:r>
          </w:p>
        </w:tc>
      </w:tr>
      <w:tr>
        <w:tblPrEx>
          <w:tblCellMar>
            <w:top w:w="0" w:type="dxa"/>
            <w:left w:w="108" w:type="dxa"/>
            <w:bottom w:w="0" w:type="dxa"/>
            <w:right w:w="108" w:type="dxa"/>
          </w:tblCellMar>
        </w:tblPrEx>
        <w:trPr>
          <w:trHeight w:val="48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1</w:t>
            </w:r>
          </w:p>
        </w:tc>
        <w:tc>
          <w:tcPr>
            <w:tcW w:w="8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产品指标参数</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设备选型得分（20分）：标“★”为关键参数指标，每项负偏离扣1分，其他指标参数，出现负偏离每一项扣0.5分，扣完为止。</w:t>
            </w:r>
          </w:p>
          <w:p>
            <w:pPr>
              <w:widowControl/>
              <w:spacing w:line="360" w:lineRule="auto"/>
              <w:textAlignment w:val="center"/>
              <w:rPr>
                <w:rFonts w:ascii="宋体" w:hAnsi="宋体" w:cs="宋体"/>
                <w:color w:val="000000" w:themeColor="text1"/>
                <w:kern w:val="0"/>
                <w:szCs w:val="21"/>
              </w:rPr>
            </w:pPr>
            <w:r>
              <w:rPr>
                <w:rFonts w:hint="eastAsia"/>
                <w:color w:val="000000" w:themeColor="text1"/>
                <w:szCs w:val="21"/>
              </w:rPr>
              <w:t>注：需提供检测报告或证明文件的按照要求提供，否则视为负偏离。</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eastAsiaTheme="minorEastAsia"/>
                <w:color w:val="000000" w:themeColor="text1"/>
                <w:szCs w:val="21"/>
              </w:rPr>
            </w:pPr>
            <w:r>
              <w:rPr>
                <w:rFonts w:hint="eastAsia" w:ascii="宋体" w:hAnsi="宋体" w:cs="宋体"/>
                <w:color w:val="000000" w:themeColor="text1"/>
                <w:kern w:val="0"/>
                <w:szCs w:val="21"/>
              </w:rPr>
              <w:t>20</w:t>
            </w:r>
          </w:p>
        </w:tc>
      </w:tr>
      <w:tr>
        <w:tblPrEx>
          <w:tblCellMar>
            <w:top w:w="0" w:type="dxa"/>
            <w:left w:w="108" w:type="dxa"/>
            <w:bottom w:w="0" w:type="dxa"/>
            <w:right w:w="108" w:type="dxa"/>
          </w:tblCellMar>
        </w:tblPrEx>
        <w:trPr>
          <w:trHeight w:val="48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szCs w:val="21"/>
                <w:lang w:eastAsia="zh-CN"/>
              </w:rPr>
            </w:pPr>
            <w:r>
              <w:rPr>
                <w:rFonts w:hint="eastAsia" w:ascii="宋体" w:hAnsi="宋体" w:cs="宋体"/>
                <w:color w:val="000000" w:themeColor="text1"/>
                <w:kern w:val="0"/>
                <w:szCs w:val="21"/>
                <w:lang w:val="en-US" w:eastAsia="zh-CN"/>
              </w:rPr>
              <w:t>2</w:t>
            </w:r>
          </w:p>
        </w:tc>
        <w:tc>
          <w:tcPr>
            <w:tcW w:w="8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类似业绩</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20</w:t>
            </w:r>
            <w:r>
              <w:rPr>
                <w:rFonts w:ascii="宋体" w:hAnsi="宋体" w:cs="宋体"/>
                <w:color w:val="000000" w:themeColor="text1"/>
                <w:kern w:val="0"/>
                <w:szCs w:val="21"/>
              </w:rPr>
              <w:t>20</w:t>
            </w:r>
            <w:r>
              <w:rPr>
                <w:rFonts w:hint="eastAsia" w:ascii="宋体" w:hAnsi="宋体" w:cs="宋体"/>
                <w:color w:val="000000" w:themeColor="text1"/>
                <w:kern w:val="0"/>
                <w:szCs w:val="21"/>
              </w:rPr>
              <w:t>年1月1日以来投标人成功完成过的类似业绩案例的，每个案例得</w:t>
            </w:r>
            <w:r>
              <w:rPr>
                <w:rFonts w:ascii="宋体" w:hAnsi="宋体" w:cs="宋体"/>
                <w:color w:val="000000" w:themeColor="text1"/>
                <w:kern w:val="0"/>
                <w:szCs w:val="21"/>
              </w:rPr>
              <w:t>0.5</w:t>
            </w:r>
            <w:r>
              <w:rPr>
                <w:rFonts w:hint="eastAsia" w:ascii="宋体" w:hAnsi="宋体" w:cs="宋体"/>
                <w:color w:val="000000" w:themeColor="text1"/>
                <w:kern w:val="0"/>
                <w:szCs w:val="21"/>
              </w:rPr>
              <w:t>分，最高得1分。</w:t>
            </w:r>
          </w:p>
          <w:p>
            <w:pPr>
              <w:widowControl/>
              <w:spacing w:line="360" w:lineRule="auto"/>
              <w:textAlignment w:val="center"/>
              <w:rPr>
                <w:rFonts w:ascii="宋体" w:hAnsi="宋体" w:cs="宋体"/>
                <w:color w:val="000000" w:themeColor="text1"/>
                <w:szCs w:val="21"/>
              </w:rPr>
            </w:pPr>
            <w:r>
              <w:rPr>
                <w:rFonts w:hint="eastAsia" w:ascii="宋体" w:hAnsi="宋体" w:cs="宋体"/>
                <w:color w:val="000000" w:themeColor="text1"/>
                <w:kern w:val="0"/>
                <w:szCs w:val="21"/>
              </w:rPr>
              <w:t>注：业绩证明材料应同时提供合同复印件、中标通知书、验收报告（加盖单位公章），否则不得分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ascii="宋体" w:hAnsi="宋体" w:cs="宋体"/>
                <w:color w:val="000000" w:themeColor="text1"/>
                <w:kern w:val="0"/>
                <w:szCs w:val="21"/>
              </w:rPr>
              <w:t>1</w:t>
            </w:r>
          </w:p>
        </w:tc>
      </w:tr>
      <w:tr>
        <w:tblPrEx>
          <w:tblCellMar>
            <w:top w:w="0" w:type="dxa"/>
            <w:left w:w="108" w:type="dxa"/>
            <w:bottom w:w="0" w:type="dxa"/>
            <w:right w:w="108" w:type="dxa"/>
          </w:tblCellMar>
        </w:tblPrEx>
        <w:trPr>
          <w:trHeight w:val="1819"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szCs w:val="21"/>
                <w:lang w:eastAsia="zh-CN"/>
              </w:rPr>
            </w:pPr>
            <w:r>
              <w:rPr>
                <w:rFonts w:hint="eastAsia" w:ascii="宋体" w:hAnsi="宋体" w:cs="宋体"/>
                <w:color w:val="000000" w:themeColor="text1"/>
                <w:kern w:val="0"/>
                <w:szCs w:val="21"/>
                <w:lang w:val="en-US" w:eastAsia="zh-CN"/>
              </w:rPr>
              <w:t>3</w:t>
            </w:r>
          </w:p>
        </w:tc>
        <w:tc>
          <w:tcPr>
            <w:tcW w:w="8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拟投入本项目的</w:t>
            </w:r>
          </w:p>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班组成员情况</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2"/>
              </w:numPr>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拟派本项目负责人同时具有高级及以上职称的，得1分（投标人须提供证书和在本单位近3个月社保证明，不提供不得分）</w:t>
            </w:r>
          </w:p>
          <w:p>
            <w:pPr>
              <w:widowControl/>
              <w:numPr>
                <w:ilvl w:val="0"/>
                <w:numId w:val="2"/>
              </w:numPr>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拟派本技术负责人具有高级及以上职称的，得1分（投标人须提供证书和在本单位近3个月社保证明，不提供不得分）</w:t>
            </w:r>
          </w:p>
          <w:p>
            <w:pPr>
              <w:widowControl/>
              <w:spacing w:line="360" w:lineRule="auto"/>
              <w:textAlignment w:val="center"/>
              <w:rPr>
                <w:rFonts w:ascii="宋体" w:hAnsi="宋体" w:cs="宋体"/>
                <w:color w:val="000000" w:themeColor="text1"/>
                <w:szCs w:val="21"/>
              </w:rPr>
            </w:pPr>
            <w:r>
              <w:rPr>
                <w:rFonts w:hint="eastAsia" w:ascii="宋体" w:hAnsi="宋体" w:cs="宋体"/>
                <w:color w:val="000000" w:themeColor="text1"/>
                <w:kern w:val="0"/>
                <w:szCs w:val="21"/>
              </w:rPr>
              <w:t>3、项目团队中（除项目负责人和技术负责人）同时具有网络工程师和电工作业证的每人得</w:t>
            </w:r>
            <w:r>
              <w:rPr>
                <w:rFonts w:ascii="宋体" w:hAnsi="宋体" w:cs="宋体"/>
                <w:color w:val="000000" w:themeColor="text1"/>
                <w:kern w:val="0"/>
                <w:szCs w:val="21"/>
              </w:rPr>
              <w:t>1</w:t>
            </w:r>
            <w:r>
              <w:rPr>
                <w:rFonts w:hint="eastAsia" w:ascii="宋体" w:hAnsi="宋体" w:cs="宋体"/>
                <w:color w:val="000000" w:themeColor="text1"/>
                <w:kern w:val="0"/>
                <w:szCs w:val="21"/>
              </w:rPr>
              <w:t>分，最高得2分（投标人须提供证书和在本单位近3个月社保证明，不提供不得分）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r>
      <w:tr>
        <w:tblPrEx>
          <w:tblCellMar>
            <w:top w:w="0" w:type="dxa"/>
            <w:left w:w="108" w:type="dxa"/>
            <w:bottom w:w="0" w:type="dxa"/>
            <w:right w:w="108" w:type="dxa"/>
          </w:tblCellMar>
        </w:tblPrEx>
        <w:trPr>
          <w:trHeight w:val="313" w:hRule="atLeast"/>
          <w:jc w:val="center"/>
        </w:trPr>
        <w:tc>
          <w:tcPr>
            <w:tcW w:w="315"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szCs w:val="21"/>
                <w:lang w:eastAsia="zh-CN"/>
              </w:rPr>
            </w:pPr>
            <w:r>
              <w:rPr>
                <w:rFonts w:hint="eastAsia" w:ascii="宋体" w:hAnsi="宋体" w:cs="宋体"/>
                <w:color w:val="000000" w:themeColor="text1"/>
                <w:kern w:val="0"/>
                <w:szCs w:val="21"/>
                <w:lang w:val="en-US" w:eastAsia="zh-CN"/>
              </w:rPr>
              <w:t>4</w:t>
            </w:r>
          </w:p>
        </w:tc>
        <w:tc>
          <w:tcPr>
            <w:tcW w:w="81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实施方案</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b/>
                <w:bCs/>
                <w:color w:val="000000" w:themeColor="text1"/>
                <w:kern w:val="0"/>
                <w:szCs w:val="21"/>
              </w:rPr>
              <w:t>工期保证措施</w:t>
            </w:r>
            <w:r>
              <w:rPr>
                <w:rFonts w:hint="eastAsia" w:ascii="宋体" w:hAnsi="宋体" w:cs="宋体"/>
                <w:color w:val="000000" w:themeColor="text1"/>
                <w:kern w:val="0"/>
                <w:szCs w:val="21"/>
              </w:rPr>
              <w:t>：根据投标人对供货时间、工程进度的控制、对进度影响因素考虑周全程度和响应程度等的措施进行评审。（0</w:t>
            </w:r>
            <w:r>
              <w:rPr>
                <w:rFonts w:ascii="宋体" w:hAnsi="宋体" w:cs="宋体"/>
                <w:color w:val="000000" w:themeColor="text1"/>
                <w:kern w:val="0"/>
                <w:szCs w:val="21"/>
              </w:rPr>
              <w:t>-</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kern w:val="0"/>
                <w:szCs w:val="21"/>
                <w:lang w:eastAsia="zh-CN"/>
              </w:rPr>
            </w:pPr>
            <w:r>
              <w:rPr>
                <w:rFonts w:hint="eastAsia" w:ascii="宋体" w:hAnsi="宋体" w:cs="宋体"/>
                <w:color w:val="000000" w:themeColor="text1"/>
                <w:kern w:val="0"/>
                <w:szCs w:val="21"/>
                <w:lang w:val="en-US" w:eastAsia="zh-CN"/>
              </w:rPr>
              <w:t>2</w:t>
            </w:r>
          </w:p>
        </w:tc>
      </w:tr>
      <w:tr>
        <w:tblPrEx>
          <w:tblCellMar>
            <w:top w:w="0" w:type="dxa"/>
            <w:left w:w="108" w:type="dxa"/>
            <w:bottom w:w="0" w:type="dxa"/>
            <w:right w:w="108" w:type="dxa"/>
          </w:tblCellMar>
        </w:tblPrEx>
        <w:trPr>
          <w:trHeight w:val="513" w:hRule="atLeast"/>
          <w:jc w:val="center"/>
        </w:trPr>
        <w:tc>
          <w:tcPr>
            <w:tcW w:w="31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81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质量保证措施</w:t>
            </w:r>
            <w:r>
              <w:rPr>
                <w:rFonts w:hint="eastAsia" w:ascii="宋体" w:hAnsi="宋体" w:cs="宋体"/>
                <w:color w:val="000000" w:themeColor="text1"/>
                <w:kern w:val="0"/>
                <w:szCs w:val="21"/>
              </w:rPr>
              <w:t>：根据投标人对供货的质量、供货的方案、可靠性及技术保障的措施叙述科学合理进行评审。（0</w:t>
            </w:r>
            <w:r>
              <w:rPr>
                <w:rFonts w:ascii="宋体" w:hAnsi="宋体" w:cs="宋体"/>
                <w:color w:val="000000" w:themeColor="text1"/>
                <w:kern w:val="0"/>
                <w:szCs w:val="21"/>
              </w:rPr>
              <w:t>-</w:t>
            </w:r>
            <w:r>
              <w:rPr>
                <w:rFonts w:hint="eastAsia" w:ascii="宋体" w:hAnsi="宋体" w:cs="宋体"/>
                <w:color w:val="000000" w:themeColor="text1"/>
                <w:kern w:val="0"/>
                <w:szCs w:val="21"/>
                <w:lang w:val="en-US" w:eastAsia="zh-CN"/>
              </w:rPr>
              <w:t>2</w:t>
            </w:r>
            <w:r>
              <w:rPr>
                <w:rFonts w:hint="eastAsia" w:ascii="宋体" w:hAnsi="宋体" w:cs="宋体"/>
                <w:color w:val="000000" w:themeColor="text1"/>
                <w:kern w:val="0"/>
                <w:szCs w:val="21"/>
              </w:rPr>
              <w:t>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kern w:val="0"/>
                <w:szCs w:val="21"/>
                <w:lang w:eastAsia="zh-CN"/>
              </w:rPr>
            </w:pPr>
            <w:r>
              <w:rPr>
                <w:rFonts w:hint="eastAsia" w:ascii="宋体" w:hAnsi="宋体" w:cs="宋体"/>
                <w:color w:val="000000" w:themeColor="text1"/>
                <w:kern w:val="0"/>
                <w:szCs w:val="21"/>
                <w:lang w:val="en-US" w:eastAsia="zh-CN"/>
              </w:rPr>
              <w:t>2</w:t>
            </w:r>
          </w:p>
        </w:tc>
      </w:tr>
      <w:tr>
        <w:tblPrEx>
          <w:tblCellMar>
            <w:top w:w="0" w:type="dxa"/>
            <w:left w:w="108" w:type="dxa"/>
            <w:bottom w:w="0" w:type="dxa"/>
            <w:right w:w="108" w:type="dxa"/>
          </w:tblCellMar>
        </w:tblPrEx>
        <w:trPr>
          <w:trHeight w:val="931" w:hRule="atLeast"/>
          <w:jc w:val="center"/>
        </w:trPr>
        <w:tc>
          <w:tcPr>
            <w:tcW w:w="315"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szCs w:val="21"/>
                <w:lang w:eastAsia="zh-CN"/>
              </w:rPr>
            </w:pPr>
            <w:r>
              <w:rPr>
                <w:rFonts w:hint="eastAsia" w:ascii="宋体" w:hAnsi="宋体" w:cs="宋体"/>
                <w:color w:val="000000" w:themeColor="text1"/>
                <w:kern w:val="0"/>
                <w:szCs w:val="21"/>
                <w:lang w:val="en-US" w:eastAsia="zh-CN"/>
              </w:rPr>
              <w:t>5</w:t>
            </w:r>
          </w:p>
        </w:tc>
        <w:tc>
          <w:tcPr>
            <w:tcW w:w="81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总体情况</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1、根据投标人对项目需求的理解，尤其是对杭州市生态环境局桐庐分局一期建设状况以及当前短板，提供的需求分析详细准确，业务流程清晰，并能客观、准确地分析业务关键点进行综合打分。（0</w:t>
            </w:r>
            <w:r>
              <w:rPr>
                <w:rFonts w:ascii="宋体" w:hAnsi="宋体" w:cs="宋体"/>
                <w:color w:val="000000" w:themeColor="text1"/>
                <w:kern w:val="0"/>
                <w:szCs w:val="21"/>
              </w:rPr>
              <w:t>-</w:t>
            </w:r>
            <w:r>
              <w:rPr>
                <w:rFonts w:hint="eastAsia" w:ascii="宋体" w:hAnsi="宋体" w:cs="宋体"/>
                <w:color w:val="000000" w:themeColor="text1"/>
                <w:kern w:val="0"/>
                <w:szCs w:val="21"/>
              </w:rPr>
              <w:t>3分）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szCs w:val="21"/>
              </w:rPr>
              <w:t>3</w:t>
            </w:r>
          </w:p>
        </w:tc>
      </w:tr>
      <w:tr>
        <w:tblPrEx>
          <w:tblCellMar>
            <w:top w:w="0" w:type="dxa"/>
            <w:left w:w="108" w:type="dxa"/>
            <w:bottom w:w="0" w:type="dxa"/>
            <w:right w:w="108" w:type="dxa"/>
          </w:tblCellMar>
        </w:tblPrEx>
        <w:trPr>
          <w:trHeight w:val="931"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9"/>
              <w:spacing w:line="360" w:lineRule="auto"/>
              <w:rPr>
                <w:rFonts w:cs="宋体" w:eastAsiaTheme="minorEastAsia"/>
                <w:color w:val="000000" w:themeColor="text1"/>
                <w:sz w:val="21"/>
                <w:szCs w:val="21"/>
              </w:rPr>
            </w:pPr>
            <w:r>
              <w:rPr>
                <w:rFonts w:hint="eastAsia" w:cs="宋体"/>
                <w:color w:val="000000" w:themeColor="text1"/>
                <w:sz w:val="21"/>
                <w:szCs w:val="21"/>
              </w:rPr>
              <w:t>2、本期项目是在一期软件的基础上进行升级迭代，需在升级时充分考虑到一期软件的兼容性和数据贯通，确保软件在版本上无缝对接。根据投标人提供的与一期软件系统兼容性志明材料进行综合打分。最兼容的得4-5分，有缺陷的1-1.9分，不兼容或未提供的不得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szCs w:val="21"/>
              </w:rPr>
              <w:t>5</w:t>
            </w:r>
          </w:p>
        </w:tc>
      </w:tr>
      <w:tr>
        <w:tblPrEx>
          <w:tblCellMar>
            <w:top w:w="0" w:type="dxa"/>
            <w:left w:w="108" w:type="dxa"/>
            <w:bottom w:w="0" w:type="dxa"/>
            <w:right w:w="108" w:type="dxa"/>
          </w:tblCellMar>
        </w:tblPrEx>
        <w:trPr>
          <w:trHeight w:val="931"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3、根据投标人对桐庐县生态环境整体网络的熟悉程度，提供桐庐县生态污染环境隐患主动预警干预的系统总体架构图和系统网络拓扑图的情况进行综合打分。（0</w:t>
            </w:r>
            <w:r>
              <w:rPr>
                <w:rFonts w:ascii="宋体" w:hAnsi="宋体" w:cs="宋体"/>
                <w:color w:val="000000" w:themeColor="text1"/>
                <w:kern w:val="0"/>
                <w:szCs w:val="21"/>
              </w:rPr>
              <w:t>-</w:t>
            </w:r>
            <w:r>
              <w:rPr>
                <w:rFonts w:hint="eastAsia" w:ascii="宋体" w:hAnsi="宋体" w:cs="宋体"/>
                <w:color w:val="000000" w:themeColor="text1"/>
                <w:kern w:val="0"/>
                <w:szCs w:val="21"/>
              </w:rPr>
              <w:t>2分）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r>
      <w:tr>
        <w:tblPrEx>
          <w:tblCellMar>
            <w:top w:w="0" w:type="dxa"/>
            <w:left w:w="108" w:type="dxa"/>
            <w:bottom w:w="0" w:type="dxa"/>
            <w:right w:w="108" w:type="dxa"/>
          </w:tblCellMar>
        </w:tblPrEx>
        <w:trPr>
          <w:trHeight w:val="1516"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spacing w:line="360" w:lineRule="auto"/>
              <w:ind w:left="0" w:firstLine="0"/>
              <w:rPr>
                <w:rFonts w:ascii="宋体" w:hAnsi="宋体" w:cs="宋体"/>
                <w:color w:val="000000" w:themeColor="text1"/>
                <w:kern w:val="0"/>
                <w:sz w:val="21"/>
                <w:szCs w:val="21"/>
              </w:rPr>
            </w:pPr>
            <w:r>
              <w:rPr>
                <w:rFonts w:hint="eastAsia" w:ascii="宋体" w:hAnsi="宋体" w:cs="宋体"/>
                <w:b w:val="0"/>
                <w:bCs w:val="0"/>
                <w:color w:val="000000" w:themeColor="text1"/>
                <w:kern w:val="0"/>
                <w:sz w:val="21"/>
                <w:szCs w:val="21"/>
              </w:rPr>
              <w:t>4、根据投标人对本项目建设方案的响应情况、功能设计是否完备、图文并茂情况进行打分，特别是结合业务实际，梳理</w:t>
            </w:r>
            <w:bookmarkStart w:id="393" w:name="_Toc35684637"/>
            <w:r>
              <w:rPr>
                <w:rFonts w:hint="eastAsia" w:ascii="宋体" w:hAnsi="宋体" w:cs="宋体"/>
                <w:b w:val="0"/>
                <w:bCs w:val="0"/>
                <w:color w:val="000000" w:themeColor="text1"/>
                <w:kern w:val="0"/>
                <w:sz w:val="21"/>
                <w:szCs w:val="21"/>
              </w:rPr>
              <w:t>生态环境污染隐患主动预警干预</w:t>
            </w:r>
            <w:r>
              <w:rPr>
                <w:rFonts w:ascii="宋体" w:hAnsi="宋体" w:cs="宋体"/>
                <w:b w:val="0"/>
                <w:bCs w:val="0"/>
                <w:color w:val="000000" w:themeColor="text1"/>
                <w:kern w:val="0"/>
                <w:sz w:val="21"/>
                <w:szCs w:val="21"/>
              </w:rPr>
              <w:t>功能拓展</w:t>
            </w:r>
            <w:bookmarkEnd w:id="393"/>
            <w:r>
              <w:rPr>
                <w:rFonts w:hint="eastAsia" w:ascii="宋体" w:hAnsi="宋体" w:cs="宋体"/>
                <w:b w:val="0"/>
                <w:bCs w:val="0"/>
                <w:color w:val="000000" w:themeColor="text1"/>
                <w:kern w:val="0"/>
                <w:sz w:val="21"/>
                <w:szCs w:val="21"/>
              </w:rPr>
              <w:t>模块、社会面大气协同预警干预场和数据对接，并阐述是否全面、清晰进行综合打分。（0-5分）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r>
      <w:tr>
        <w:tblPrEx>
          <w:tblCellMar>
            <w:top w:w="0" w:type="dxa"/>
            <w:left w:w="108" w:type="dxa"/>
            <w:bottom w:w="0" w:type="dxa"/>
            <w:right w:w="108" w:type="dxa"/>
          </w:tblCellMar>
        </w:tblPrEx>
        <w:trPr>
          <w:trHeight w:val="931"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spacing w:line="360" w:lineRule="auto"/>
              <w:ind w:left="0" w:firstLine="0"/>
              <w:rPr>
                <w:rFonts w:ascii="宋体" w:hAnsi="宋体" w:cs="宋体"/>
                <w:color w:val="000000" w:themeColor="text1"/>
                <w:kern w:val="0"/>
                <w:sz w:val="21"/>
                <w:szCs w:val="21"/>
              </w:rPr>
            </w:pPr>
            <w:r>
              <w:rPr>
                <w:rFonts w:hint="eastAsia" w:ascii="宋体" w:hAnsi="宋体" w:eastAsia="宋体" w:cs="宋体"/>
                <w:b w:val="0"/>
                <w:bCs w:val="0"/>
                <w:color w:val="000000" w:themeColor="text1"/>
                <w:kern w:val="0"/>
                <w:sz w:val="21"/>
                <w:szCs w:val="21"/>
                <w:lang w:val="en-US"/>
              </w:rPr>
              <w:t>5、根据投标人是否建立污染天气指标调度与发布，根据相应的预警机制和处置流程进行闭环管理，根据方案设计合理性、可行性、实际应用效果等进行综合打分。（0-4分）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r>
      <w:tr>
        <w:tblPrEx>
          <w:tblCellMar>
            <w:top w:w="0" w:type="dxa"/>
            <w:left w:w="108" w:type="dxa"/>
            <w:bottom w:w="0" w:type="dxa"/>
            <w:right w:w="108" w:type="dxa"/>
          </w:tblCellMar>
        </w:tblPrEx>
        <w:trPr>
          <w:trHeight w:val="579"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000000" w:themeColor="text1"/>
                <w:kern w:val="0"/>
                <w:szCs w:val="21"/>
              </w:rPr>
            </w:pPr>
            <w:r>
              <w:rPr>
                <w:rFonts w:hint="eastAsia" w:ascii="宋体" w:hAnsi="宋体" w:cs="宋体"/>
                <w:color w:val="000000" w:themeColor="text1"/>
                <w:kern w:val="0"/>
                <w:szCs w:val="21"/>
              </w:rPr>
              <w:t>6、根据投标人对桐庐县生态环境污染事件协同干预处置的实际情况，梳理本系统</w:t>
            </w:r>
            <w:r>
              <w:rPr>
                <w:rFonts w:ascii="宋体" w:hAnsi="宋体" w:cs="宋体"/>
                <w:color w:val="000000" w:themeColor="text1"/>
                <w:kern w:val="0"/>
                <w:szCs w:val="21"/>
              </w:rPr>
              <w:t>4</w:t>
            </w:r>
            <w:r>
              <w:rPr>
                <w:rFonts w:hint="eastAsia" w:ascii="宋体" w:hAnsi="宋体" w:cs="宋体"/>
                <w:color w:val="000000" w:themeColor="text1"/>
                <w:kern w:val="0"/>
                <w:szCs w:val="21"/>
              </w:rPr>
              <w:t>个预警场景的移动处置答复端升级的详细指标和处置页面图进行综合打分。（0</w:t>
            </w:r>
            <w:r>
              <w:rPr>
                <w:rFonts w:ascii="宋体" w:hAnsi="宋体" w:cs="宋体"/>
                <w:color w:val="000000" w:themeColor="text1"/>
                <w:kern w:val="0"/>
                <w:szCs w:val="21"/>
              </w:rPr>
              <w:t>-4</w:t>
            </w:r>
            <w:r>
              <w:rPr>
                <w:rFonts w:hint="eastAsia" w:ascii="宋体" w:hAnsi="宋体" w:cs="宋体"/>
                <w:color w:val="000000" w:themeColor="text1"/>
                <w:kern w:val="0"/>
                <w:szCs w:val="21"/>
              </w:rPr>
              <w:t>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r>
      <w:tr>
        <w:tblPrEx>
          <w:tblCellMar>
            <w:top w:w="0" w:type="dxa"/>
            <w:left w:w="108" w:type="dxa"/>
            <w:bottom w:w="0" w:type="dxa"/>
            <w:right w:w="108" w:type="dxa"/>
          </w:tblCellMar>
        </w:tblPrEx>
        <w:trPr>
          <w:trHeight w:val="931" w:hRule="atLeast"/>
          <w:jc w:val="center"/>
        </w:trPr>
        <w:tc>
          <w:tcPr>
            <w:tcW w:w="31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7、提供</w:t>
            </w:r>
            <w:r>
              <w:rPr>
                <w:rFonts w:ascii="宋体" w:hAnsi="宋体" w:cs="宋体"/>
                <w:color w:val="000000" w:themeColor="text1"/>
                <w:kern w:val="0"/>
                <w:szCs w:val="21"/>
              </w:rPr>
              <w:t>4</w:t>
            </w:r>
            <w:r>
              <w:rPr>
                <w:rFonts w:hint="eastAsia" w:ascii="宋体" w:hAnsi="宋体" w:cs="宋体"/>
                <w:color w:val="000000" w:themeColor="text1"/>
                <w:kern w:val="0"/>
                <w:szCs w:val="21"/>
              </w:rPr>
              <w:t>个企业厂区的点位建设的详细方案（自行选取厂区进行现场勘查、提供具体安装点位分布图，现场勘测照片、详细说明等）,根据提供的资料详细科学合理程度进行综合打分。（0</w:t>
            </w:r>
            <w:r>
              <w:rPr>
                <w:rFonts w:ascii="宋体" w:hAnsi="宋体" w:cs="宋体"/>
                <w:color w:val="000000" w:themeColor="text1"/>
                <w:kern w:val="0"/>
                <w:szCs w:val="21"/>
              </w:rPr>
              <w:t>-4</w:t>
            </w:r>
            <w:r>
              <w:rPr>
                <w:rFonts w:hint="eastAsia" w:ascii="宋体" w:hAnsi="宋体" w:cs="宋体"/>
                <w:color w:val="000000" w:themeColor="text1"/>
                <w:kern w:val="0"/>
                <w:szCs w:val="21"/>
              </w:rPr>
              <w:t>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r>
      <w:tr>
        <w:tblPrEx>
          <w:tblCellMar>
            <w:top w:w="0" w:type="dxa"/>
            <w:left w:w="108" w:type="dxa"/>
            <w:bottom w:w="0" w:type="dxa"/>
            <w:right w:w="108" w:type="dxa"/>
          </w:tblCellMar>
        </w:tblPrEx>
        <w:trPr>
          <w:trHeight w:val="876" w:hRule="atLeast"/>
          <w:jc w:val="center"/>
        </w:trPr>
        <w:tc>
          <w:tcPr>
            <w:tcW w:w="315"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themeColor="text1"/>
                <w:szCs w:val="21"/>
                <w:lang w:eastAsia="zh-CN"/>
              </w:rPr>
            </w:pPr>
            <w:r>
              <w:rPr>
                <w:rFonts w:hint="eastAsia" w:ascii="宋体" w:hAnsi="宋体" w:cs="宋体"/>
                <w:color w:val="000000" w:themeColor="text1"/>
                <w:kern w:val="0"/>
                <w:szCs w:val="21"/>
                <w:lang w:val="en-US" w:eastAsia="zh-CN"/>
              </w:rPr>
              <w:t>6</w:t>
            </w:r>
          </w:p>
        </w:tc>
        <w:tc>
          <w:tcPr>
            <w:tcW w:w="81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售后服务方案</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szCs w:val="21"/>
              </w:rPr>
            </w:pPr>
            <w:r>
              <w:rPr>
                <w:rFonts w:hint="eastAsia" w:ascii="宋体" w:hAnsi="宋体" w:cs="宋体"/>
                <w:color w:val="000000" w:themeColor="text1"/>
                <w:kern w:val="0"/>
                <w:szCs w:val="21"/>
              </w:rPr>
              <w:t>1、根据售后服务承诺的可行性、完整性和可操作性，售后服务方案（包括售后服务流程、应急服务能力、故障响应处理、售后服务方式、售后技术支持能力、售后服务网点等）情况进行综合打分。（0-</w:t>
            </w:r>
            <w:r>
              <w:rPr>
                <w:rFonts w:ascii="宋体" w:hAnsi="宋体" w:cs="宋体"/>
                <w:color w:val="000000" w:themeColor="text1"/>
                <w:kern w:val="0"/>
                <w:szCs w:val="21"/>
              </w:rPr>
              <w:t>4</w:t>
            </w:r>
            <w:r>
              <w:rPr>
                <w:rFonts w:hint="eastAsia" w:ascii="宋体" w:hAnsi="宋体" w:cs="宋体"/>
                <w:color w:val="000000" w:themeColor="text1"/>
                <w:kern w:val="0"/>
                <w:szCs w:val="21"/>
              </w:rPr>
              <w:t>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kern w:val="0"/>
                <w:szCs w:val="21"/>
              </w:rPr>
              <w:t>4</w:t>
            </w:r>
          </w:p>
        </w:tc>
      </w:tr>
      <w:tr>
        <w:tblPrEx>
          <w:tblCellMar>
            <w:top w:w="0" w:type="dxa"/>
            <w:left w:w="108" w:type="dxa"/>
            <w:bottom w:w="0" w:type="dxa"/>
            <w:right w:w="108" w:type="dxa"/>
          </w:tblCellMar>
        </w:tblPrEx>
        <w:trPr>
          <w:trHeight w:val="876"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、根据投标人的运维设备、售后运维车辆配置（须为运维专用车辆，能够随车带梯子、流量计等备件的工程车或面包车）：本项目要求投标人配备的自有运维专用车辆数量 1</w:t>
            </w:r>
            <w:r>
              <w:rPr>
                <w:rFonts w:ascii="宋体" w:hAnsi="宋体" w:cs="宋体"/>
                <w:color w:val="000000" w:themeColor="text1"/>
                <w:kern w:val="0"/>
                <w:szCs w:val="21"/>
              </w:rPr>
              <w:t>0</w:t>
            </w:r>
            <w:r>
              <w:rPr>
                <w:rFonts w:hint="eastAsia" w:ascii="宋体" w:hAnsi="宋体" w:cs="宋体"/>
                <w:color w:val="000000" w:themeColor="text1"/>
                <w:kern w:val="0"/>
                <w:szCs w:val="21"/>
              </w:rPr>
              <w:t>辆及以上得 3分，</w:t>
            </w:r>
            <w:r>
              <w:rPr>
                <w:rFonts w:ascii="宋体" w:hAnsi="宋体" w:cs="宋体"/>
                <w:color w:val="000000" w:themeColor="text1"/>
                <w:kern w:val="0"/>
                <w:szCs w:val="21"/>
              </w:rPr>
              <w:t>8</w:t>
            </w:r>
            <w:r>
              <w:rPr>
                <w:rFonts w:hint="eastAsia" w:ascii="宋体" w:hAnsi="宋体" w:cs="宋体"/>
                <w:color w:val="000000" w:themeColor="text1"/>
                <w:kern w:val="0"/>
                <w:szCs w:val="21"/>
              </w:rPr>
              <w:t>-</w:t>
            </w:r>
            <w:r>
              <w:rPr>
                <w:rFonts w:ascii="宋体" w:hAnsi="宋体" w:cs="宋体"/>
                <w:color w:val="000000" w:themeColor="text1"/>
                <w:kern w:val="0"/>
                <w:szCs w:val="21"/>
              </w:rPr>
              <w:t>9</w:t>
            </w:r>
            <w:r>
              <w:rPr>
                <w:rFonts w:hint="eastAsia" w:ascii="宋体" w:hAnsi="宋体" w:cs="宋体"/>
                <w:color w:val="000000" w:themeColor="text1"/>
                <w:kern w:val="0"/>
                <w:szCs w:val="21"/>
              </w:rPr>
              <w:t xml:space="preserve"> 辆得 2分，1-</w:t>
            </w:r>
            <w:r>
              <w:rPr>
                <w:rFonts w:ascii="宋体" w:hAnsi="宋体" w:cs="宋体"/>
                <w:color w:val="000000" w:themeColor="text1"/>
                <w:kern w:val="0"/>
                <w:szCs w:val="21"/>
              </w:rPr>
              <w:t>7</w:t>
            </w:r>
            <w:r>
              <w:rPr>
                <w:rFonts w:hint="eastAsia" w:ascii="宋体" w:hAnsi="宋体" w:cs="宋体"/>
                <w:color w:val="000000" w:themeColor="text1"/>
                <w:kern w:val="0"/>
                <w:szCs w:val="21"/>
              </w:rPr>
              <w:t>辆得1分，不提供不得分（须提供车辆照片及有效期内的行驶证复印件，行驶证上所有人名称需与投标人一致）。</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r>
      <w:tr>
        <w:tblPrEx>
          <w:tblCellMar>
            <w:top w:w="0" w:type="dxa"/>
            <w:left w:w="108" w:type="dxa"/>
            <w:bottom w:w="0" w:type="dxa"/>
            <w:right w:w="108" w:type="dxa"/>
          </w:tblCellMar>
        </w:tblPrEx>
        <w:trPr>
          <w:trHeight w:val="876" w:hRule="atLeast"/>
          <w:jc w:val="center"/>
        </w:trPr>
        <w:tc>
          <w:tcPr>
            <w:tcW w:w="31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81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3、售后服务人员配置，要求投标人配备维护人员，人员15人及以上得3分，7-14人得2分，1-6人得1分（提供服务人员在本单位近3个月社保证明，不提供不得分）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r>
      <w:tr>
        <w:tblPrEx>
          <w:tblCellMar>
            <w:top w:w="0" w:type="dxa"/>
            <w:left w:w="108" w:type="dxa"/>
            <w:bottom w:w="0" w:type="dxa"/>
            <w:right w:w="108" w:type="dxa"/>
          </w:tblCellMar>
        </w:tblPrEx>
        <w:trPr>
          <w:trHeight w:val="90" w:hRule="atLeast"/>
          <w:jc w:val="center"/>
        </w:trPr>
        <w:tc>
          <w:tcPr>
            <w:tcW w:w="315" w:type="pct"/>
            <w:vMerge w:val="restart"/>
            <w:tcBorders>
              <w:top w:val="single" w:color="000000" w:sz="4" w:space="0"/>
              <w:left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lang w:val="en-US" w:eastAsia="zh-CN"/>
              </w:rPr>
              <w:t>7</w:t>
            </w:r>
          </w:p>
        </w:tc>
        <w:tc>
          <w:tcPr>
            <w:tcW w:w="811" w:type="pct"/>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演示评审</w:t>
            </w:r>
          </w:p>
          <w:p>
            <w:pPr>
              <w:widowControl/>
              <w:spacing w:line="360" w:lineRule="auto"/>
              <w:jc w:val="center"/>
              <w:textAlignment w:val="center"/>
              <w:rPr>
                <w:color w:val="000000" w:themeColor="text1"/>
                <w:szCs w:val="21"/>
              </w:rPr>
            </w:pPr>
            <w:r>
              <w:rPr>
                <w:rFonts w:hint="eastAsia" w:ascii="宋体" w:hAnsi="宋体" w:cs="宋体"/>
                <w:color w:val="000000" w:themeColor="text1"/>
                <w:kern w:val="0"/>
                <w:szCs w:val="21"/>
              </w:rPr>
              <w:t>（要求采用桐庐县真实数据演示。无演示或使用纯文字、PPT、纯图片、DEMO、仅语音等方式演示的不得分）</w:t>
            </w: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3"/>
              </w:numPr>
              <w:spacing w:line="360" w:lineRule="auto"/>
              <w:jc w:val="left"/>
              <w:textAlignment w:val="center"/>
              <w:rPr>
                <w:rFonts w:ascii="宋体" w:hAnsi="宋体" w:cs="宋体"/>
                <w:color w:val="000000" w:themeColor="text1"/>
                <w:kern w:val="0"/>
                <w:szCs w:val="21"/>
              </w:rPr>
            </w:pPr>
            <w:r>
              <w:rPr>
                <w:rFonts w:hint="eastAsia" w:ascii="宋体" w:hAnsi="宋体" w:cs="宋体"/>
                <w:b/>
                <w:bCs/>
                <w:color w:val="000000" w:themeColor="text1"/>
                <w:kern w:val="0"/>
                <w:szCs w:val="21"/>
              </w:rPr>
              <w:t>驾驶舱展示：</w:t>
            </w:r>
            <w:r>
              <w:rPr>
                <w:rFonts w:hint="eastAsia" w:ascii="宋体" w:hAnsi="宋体" w:cs="宋体"/>
                <w:color w:val="000000" w:themeColor="text1"/>
                <w:kern w:val="0"/>
                <w:szCs w:val="21"/>
              </w:rPr>
              <w:t>一张图展示整体大气视窗概况，</w:t>
            </w:r>
            <w:r>
              <w:rPr>
                <w:rFonts w:hint="eastAsia" w:ascii="仿宋" w:hAnsi="仿宋"/>
                <w:color w:val="000000" w:themeColor="text1"/>
                <w:szCs w:val="21"/>
              </w:rPr>
              <w:t>以桐庐县行政地图为底图为背景，绘制桐庐县空气质量分布插值图，按图层方式自动加载各类空气站点实况，数据面板从大气地图、大气环境、大气分析、防治措施等维度呈现空气质量总体态势。</w:t>
            </w:r>
            <w:r>
              <w:rPr>
                <w:rFonts w:hint="eastAsia" w:ascii="宋体" w:hAnsi="宋体" w:cs="宋体"/>
                <w:color w:val="000000" w:themeColor="text1"/>
                <w:kern w:val="0"/>
                <w:szCs w:val="21"/>
              </w:rPr>
              <w:t>（0-4分）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szCs w:val="21"/>
              </w:rPr>
            </w:pPr>
            <w:r>
              <w:rPr>
                <w:rFonts w:hint="eastAsia" w:ascii="宋体" w:hAnsi="宋体" w:cs="宋体"/>
                <w:color w:val="000000" w:themeColor="text1"/>
                <w:szCs w:val="21"/>
              </w:rPr>
              <w:t>4</w:t>
            </w:r>
          </w:p>
        </w:tc>
      </w:tr>
      <w:tr>
        <w:tblPrEx>
          <w:tblCellMar>
            <w:top w:w="0" w:type="dxa"/>
            <w:left w:w="108" w:type="dxa"/>
            <w:bottom w:w="0" w:type="dxa"/>
            <w:right w:w="108" w:type="dxa"/>
          </w:tblCellMar>
        </w:tblPrEx>
        <w:trPr>
          <w:trHeight w:val="1021"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color w:val="000000" w:themeColor="text1"/>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cs="宋体"/>
                <w:b/>
                <w:bCs/>
                <w:color w:val="000000" w:themeColor="text1"/>
                <w:kern w:val="0"/>
                <w:szCs w:val="21"/>
              </w:rPr>
            </w:pPr>
            <w:r>
              <w:rPr>
                <w:rFonts w:hint="eastAsia" w:ascii="宋体" w:hAnsi="宋体" w:cs="宋体"/>
                <w:b/>
                <w:bCs/>
                <w:color w:val="000000" w:themeColor="text1"/>
                <w:kern w:val="0"/>
                <w:szCs w:val="21"/>
              </w:rPr>
              <w:t>2、污染隐患预警推演厂区标绘展示：</w:t>
            </w:r>
            <w:r>
              <w:rPr>
                <w:rFonts w:hint="eastAsia" w:ascii="宋体" w:hAnsi="宋体" w:cs="宋体"/>
                <w:color w:val="000000" w:themeColor="text1"/>
                <w:kern w:val="0"/>
                <w:szCs w:val="21"/>
              </w:rPr>
              <w:t>在模型库的支持下，</w:t>
            </w:r>
            <w:r>
              <w:rPr>
                <w:rFonts w:hint="eastAsia"/>
                <w:color w:val="000000" w:themeColor="text1"/>
                <w:szCs w:val="21"/>
              </w:rPr>
              <w:t>通过可视化标绘工具</w:t>
            </w:r>
            <w:r>
              <w:rPr>
                <w:rFonts w:hint="eastAsia" w:ascii="仿宋" w:hAnsi="仿宋"/>
                <w:color w:val="000000" w:themeColor="text1"/>
                <w:szCs w:val="21"/>
              </w:rPr>
              <w:t>，</w:t>
            </w:r>
            <w:r>
              <w:rPr>
                <w:color w:val="000000" w:themeColor="text1"/>
                <w:szCs w:val="21"/>
              </w:rPr>
              <w:t>根据</w:t>
            </w:r>
            <w:r>
              <w:rPr>
                <w:rFonts w:hint="eastAsia"/>
                <w:color w:val="000000" w:themeColor="text1"/>
                <w:szCs w:val="21"/>
              </w:rPr>
              <w:t>涉水</w:t>
            </w:r>
            <w:r>
              <w:rPr>
                <w:color w:val="000000" w:themeColor="text1"/>
                <w:szCs w:val="21"/>
              </w:rPr>
              <w:t>企业污水池分布和流向，标绘出</w:t>
            </w:r>
            <w:r>
              <w:rPr>
                <w:rFonts w:hint="eastAsia"/>
                <w:color w:val="000000" w:themeColor="text1"/>
                <w:szCs w:val="21"/>
              </w:rPr>
              <w:t>污水处理流向</w:t>
            </w:r>
            <w:r>
              <w:rPr>
                <w:color w:val="000000" w:themeColor="text1"/>
                <w:szCs w:val="21"/>
              </w:rPr>
              <w:t>图</w:t>
            </w:r>
            <w:r>
              <w:rPr>
                <w:rFonts w:hint="eastAsia" w:ascii="仿宋" w:hAnsi="仿宋"/>
                <w:color w:val="000000" w:themeColor="text1"/>
                <w:szCs w:val="21"/>
              </w:rPr>
              <w:t>，并对已安装的液位仪、流量计物联设备进行关联，对厂区内污水处理全流程进行标绘，标绘完成后直观呈现企业污水池容量、水流向和相关水池的水位变化。</w:t>
            </w:r>
            <w:r>
              <w:rPr>
                <w:rFonts w:hint="eastAsia" w:ascii="宋体" w:hAnsi="宋体" w:cs="宋体"/>
                <w:color w:val="000000" w:themeColor="text1"/>
                <w:kern w:val="0"/>
                <w:szCs w:val="21"/>
              </w:rPr>
              <w:t>（0-5分）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r>
      <w:tr>
        <w:tblPrEx>
          <w:tblCellMar>
            <w:top w:w="0" w:type="dxa"/>
            <w:left w:w="108" w:type="dxa"/>
            <w:bottom w:w="0" w:type="dxa"/>
            <w:right w:w="108" w:type="dxa"/>
          </w:tblCellMar>
        </w:tblPrEx>
        <w:trPr>
          <w:trHeight w:val="784"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ascii="宋体" w:hAnsi="宋体" w:cs="宋体"/>
                <w:b/>
                <w:bCs/>
                <w:color w:val="000000" w:themeColor="text1"/>
                <w:kern w:val="0"/>
                <w:szCs w:val="21"/>
              </w:rPr>
            </w:pPr>
            <w:r>
              <w:rPr>
                <w:rFonts w:hint="eastAsia" w:ascii="宋体" w:hAnsi="宋体" w:cs="宋体"/>
                <w:b/>
                <w:bCs/>
                <w:color w:val="000000" w:themeColor="text1"/>
                <w:kern w:val="0"/>
                <w:szCs w:val="21"/>
              </w:rPr>
              <w:t>3、污水非正常排放场景移动答复处置端升级展示</w:t>
            </w:r>
            <w:r>
              <w:rPr>
                <w:rFonts w:hint="eastAsia" w:ascii="宋体" w:hAnsi="宋体" w:cs="宋体"/>
                <w:color w:val="000000" w:themeColor="text1"/>
                <w:kern w:val="0"/>
                <w:szCs w:val="21"/>
              </w:rPr>
              <w:t>：为确保预警事件得到及时、有效的处置，结合桐庐县预警实际处置流程，通过浙政钉的即时通讯功能，针对污水非正常排放预警事件处置的详细指标信息进行填写反馈。（0-5分）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r>
      <w:tr>
        <w:tblPrEx>
          <w:tblCellMar>
            <w:top w:w="0" w:type="dxa"/>
            <w:left w:w="108" w:type="dxa"/>
            <w:bottom w:w="0" w:type="dxa"/>
            <w:right w:w="108" w:type="dxa"/>
          </w:tblCellMar>
        </w:tblPrEx>
        <w:trPr>
          <w:trHeight w:val="901" w:hRule="atLeast"/>
          <w:jc w:val="center"/>
        </w:trPr>
        <w:tc>
          <w:tcPr>
            <w:tcW w:w="315"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811" w:type="pct"/>
            <w:vMerge w:val="continue"/>
            <w:tcBorders>
              <w:left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4、</w:t>
            </w:r>
            <w:r>
              <w:rPr>
                <w:rFonts w:hint="eastAsia" w:ascii="仿宋" w:hAnsi="仿宋"/>
                <w:b/>
                <w:bCs/>
                <w:color w:val="000000" w:themeColor="text1"/>
                <w:szCs w:val="21"/>
              </w:rPr>
              <w:t>污防设施不正常运行场景</w:t>
            </w:r>
            <w:r>
              <w:rPr>
                <w:rFonts w:hint="eastAsia" w:ascii="宋体" w:hAnsi="宋体" w:cs="宋体"/>
                <w:b/>
                <w:bCs/>
                <w:color w:val="000000" w:themeColor="text1"/>
                <w:kern w:val="0"/>
                <w:szCs w:val="21"/>
              </w:rPr>
              <w:t>移动答复处置端升级展示：</w:t>
            </w:r>
            <w:r>
              <w:rPr>
                <w:rFonts w:hint="eastAsia" w:ascii="宋体" w:hAnsi="宋体" w:cs="宋体"/>
                <w:color w:val="000000" w:themeColor="text1"/>
                <w:kern w:val="0"/>
                <w:szCs w:val="21"/>
              </w:rPr>
              <w:t>为确保预警事件得到及时、有效的处置，结合桐庐县预警实际处置流程，通过浙政钉的即时通讯功能，针对污防设施不正常运行预警事件处置的详细指标信息进行填写反馈。（0-5分）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r>
      <w:tr>
        <w:tblPrEx>
          <w:tblCellMar>
            <w:top w:w="0" w:type="dxa"/>
            <w:left w:w="108" w:type="dxa"/>
            <w:bottom w:w="0" w:type="dxa"/>
            <w:right w:w="108" w:type="dxa"/>
          </w:tblCellMar>
        </w:tblPrEx>
        <w:trPr>
          <w:trHeight w:val="1229" w:hRule="atLeast"/>
          <w:jc w:val="center"/>
        </w:trPr>
        <w:tc>
          <w:tcPr>
            <w:tcW w:w="315"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811" w:type="pct"/>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b/>
                <w:bCs/>
                <w:color w:val="000000" w:themeColor="text1"/>
                <w:kern w:val="0"/>
                <w:szCs w:val="21"/>
              </w:rPr>
            </w:pPr>
          </w:p>
        </w:tc>
        <w:tc>
          <w:tcPr>
            <w:tcW w:w="3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5、隐患事件自动交办设置展示：</w:t>
            </w:r>
            <w:r>
              <w:rPr>
                <w:rFonts w:hint="eastAsia" w:ascii="仿宋" w:hAnsi="仿宋"/>
                <w:color w:val="000000" w:themeColor="text1"/>
                <w:szCs w:val="21"/>
              </w:rPr>
              <w:t>制定一套完善的隐患智能推送交办流程，基于桐庐县各乡镇街道，根据事件的不同类型，可设置自动交办的通知情况、交办类型、责任单位/人、人工模式时间和超期时间等指标，确保在无人值守的情况下预警事件可自动交办流转。</w:t>
            </w:r>
            <w:r>
              <w:rPr>
                <w:rFonts w:hint="eastAsia" w:ascii="宋体" w:hAnsi="宋体" w:cs="宋体"/>
                <w:color w:val="000000" w:themeColor="text1"/>
                <w:kern w:val="0"/>
                <w:szCs w:val="21"/>
              </w:rPr>
              <w:t>（0-5分）</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r>
    </w:tbl>
    <w:p>
      <w:pPr>
        <w:spacing w:line="360" w:lineRule="auto"/>
        <w:ind w:firstLine="482" w:firstLineChars="200"/>
        <w:rPr>
          <w:rFonts w:asciiTheme="minorEastAsia" w:hAnsiTheme="minorEastAsia" w:eastAsiaTheme="minorEastAsia"/>
          <w:b/>
          <w:color w:val="000000" w:themeColor="text1"/>
          <w:sz w:val="24"/>
          <w:lang w:val="zh-CN"/>
        </w:rPr>
      </w:pPr>
      <w:r>
        <w:rPr>
          <w:rFonts w:hint="eastAsia" w:ascii="宋体" w:hAnsi="宋体"/>
          <w:b/>
          <w:bCs/>
          <w:color w:val="000000" w:themeColor="text1"/>
          <w:sz w:val="24"/>
        </w:rPr>
        <w:t>注：提供视频演示的各投标人将需演示的部分自行演示并录制成视频制作在 U 盘中，录制视频时长10分钟以内，录制的视频建议为MP4格式（若视频为其他格式导致评审中不能正常播放的，责任自负），U盘装入密封袋，在投标截止时间前用密封袋包装好注明项目名称和投标人名称快递到招标代理机构处，未提供演示或使用其他方式（如</w:t>
      </w:r>
      <w:r>
        <w:rPr>
          <w:rFonts w:hint="eastAsia" w:ascii="宋体" w:hAnsi="宋体" w:cs="宋体"/>
          <w:b/>
          <w:bCs/>
          <w:color w:val="000000" w:themeColor="text1"/>
          <w:kern w:val="0"/>
          <w:sz w:val="24"/>
        </w:rPr>
        <w:t>纯文字、PPT、纯图片、DEMO、仅语音</w:t>
      </w:r>
      <w:r>
        <w:rPr>
          <w:rFonts w:hint="eastAsia" w:ascii="宋体" w:hAnsi="宋体"/>
          <w:b/>
          <w:bCs/>
          <w:color w:val="000000" w:themeColor="text1"/>
          <w:sz w:val="24"/>
        </w:rPr>
        <w:t>等）演示，此项不得分。评委观看演示视频按招标文件评分项进行评分。</w:t>
      </w:r>
    </w:p>
    <w:p>
      <w:pPr>
        <w:snapToGrid w:val="0"/>
        <w:spacing w:line="360" w:lineRule="auto"/>
        <w:rPr>
          <w:rFonts w:ascii="宋体" w:hAnsi="宋体" w:cs="宋体"/>
          <w:b/>
          <w:bCs/>
          <w:color w:val="000000" w:themeColor="text1"/>
          <w:sz w:val="24"/>
        </w:rPr>
      </w:pPr>
      <w:r>
        <w:rPr>
          <w:rFonts w:hint="eastAsia" w:ascii="宋体" w:hAnsi="宋体" w:cs="宋体"/>
          <w:b/>
          <w:bCs/>
          <w:color w:val="000000" w:themeColor="text1"/>
          <w:sz w:val="24"/>
        </w:rPr>
        <w:t>投标人编制投标文件（商务技术文件部分）时，建议按此目录（序号和内容）提供评标标准相应的商务技术资料。</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综合评分法，是指磋商响应文件满足竞争性磋商文件全部实质性要求，且按照评审因素的量化指标评审得分最高的供应商为中标候选人的评标方法。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三、磋商程序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评标委员会应当对符合资格的供应商的磋商响应文件进行符合性审查，以确定其是否满足竞争性磋商文件的实质性要求。不满足竞争性磋商文件的实质性要求的，投标无效。</w:t>
      </w:r>
    </w:p>
    <w:p>
      <w:pPr>
        <w:spacing w:line="360" w:lineRule="auto"/>
        <w:ind w:firstLine="472" w:firstLineChars="196"/>
        <w:rPr>
          <w:rFonts w:ascii="宋体" w:hAnsi="宋体" w:cs="宋体"/>
          <w:b/>
          <w:kern w:val="0"/>
          <w:sz w:val="24"/>
        </w:rPr>
      </w:pPr>
      <w:r>
        <w:rPr>
          <w:rFonts w:hint="eastAsia" w:ascii="宋体" w:hAnsi="宋体" w:cs="宋体"/>
          <w:b/>
          <w:kern w:val="0"/>
          <w:sz w:val="24"/>
        </w:rPr>
        <w:t>3.2 与各磋商响应方进行磋商。</w:t>
      </w:r>
    </w:p>
    <w:p>
      <w:pPr>
        <w:spacing w:line="360" w:lineRule="auto"/>
        <w:ind w:firstLine="470" w:firstLineChars="196"/>
        <w:rPr>
          <w:rFonts w:ascii="宋体" w:hAnsi="宋体" w:cs="宋体"/>
          <w:kern w:val="0"/>
          <w:sz w:val="24"/>
        </w:rPr>
      </w:pPr>
      <w:r>
        <w:rPr>
          <w:rFonts w:hint="eastAsia" w:ascii="宋体" w:hAnsi="宋体" w:cs="宋体"/>
          <w:kern w:val="0"/>
          <w:sz w:val="24"/>
        </w:rPr>
        <w:t>3.2.1磋商小组与符合要求的供应商进行磋商。磋商小组所有成员按照响应文件解密次序集中与单一供应商分别进行磋商，并给予所有参加磋商的供应商平等的磋商机会。磋商过程中，磋商小组可以根据磋商情况调整轮次。</w:t>
      </w:r>
    </w:p>
    <w:p>
      <w:pPr>
        <w:spacing w:line="360" w:lineRule="auto"/>
        <w:ind w:firstLine="470" w:firstLineChars="196"/>
        <w:rPr>
          <w:rFonts w:ascii="宋体" w:hAnsi="宋体" w:cs="宋体"/>
          <w:kern w:val="0"/>
          <w:sz w:val="24"/>
        </w:rPr>
      </w:pPr>
      <w:r>
        <w:rPr>
          <w:rFonts w:hint="eastAsia" w:ascii="宋体" w:hAnsi="宋体" w:cs="宋体"/>
          <w:kern w:val="0"/>
          <w:sz w:val="24"/>
        </w:rPr>
        <w:t>3.2.2经磋商确定采购文件的变动情况。对采购文件作出的实质性变动是采购文件的有效组成部分，磋商小组应当及时以书面形式同时通知所有参加磋商的供应商。</w:t>
      </w:r>
    </w:p>
    <w:p>
      <w:pPr>
        <w:spacing w:line="360" w:lineRule="auto"/>
        <w:ind w:firstLine="470" w:firstLineChars="196"/>
        <w:rPr>
          <w:rFonts w:ascii="宋体" w:hAnsi="宋体" w:cs="宋体"/>
          <w:kern w:val="0"/>
          <w:sz w:val="24"/>
        </w:rPr>
      </w:pPr>
      <w:r>
        <w:rPr>
          <w:rFonts w:hint="eastAsia" w:ascii="宋体" w:hAnsi="宋体" w:cs="宋体"/>
          <w:kern w:val="0"/>
          <w:sz w:val="24"/>
        </w:rPr>
        <w:t>3.2.3磋商小组应当按照采购文件中规定的评标方法和标准，对符合性审查合格的磋商响应文件进行商务和技术评估，综合比较与评价。磋商小组各成员应当独立对每个磋商响应方的商务和技术文件进行评价，并汇总商务技术得分情况。</w:t>
      </w:r>
    </w:p>
    <w:p>
      <w:pPr>
        <w:spacing w:line="360" w:lineRule="auto"/>
        <w:ind w:firstLine="470" w:firstLineChars="196"/>
      </w:pPr>
      <w:r>
        <w:rPr>
          <w:rFonts w:hint="eastAsia" w:ascii="宋体" w:hAnsi="宋体" w:cs="宋体"/>
          <w:kern w:val="0"/>
          <w:sz w:val="24"/>
        </w:rPr>
        <w:t>3.2.4各磋商响应方在本标项全部磋商结束后在规定时间内进行最后报价（</w:t>
      </w:r>
      <w:r>
        <w:rPr>
          <w:rFonts w:hint="eastAsia" w:ascii="宋体" w:hAnsi="宋体" w:cs="宋体"/>
          <w:kern w:val="0"/>
          <w:sz w:val="24"/>
          <w:highlight w:val="yellow"/>
        </w:rPr>
        <w:t>供应商需在30分钟内提交最终报价</w:t>
      </w:r>
      <w:r>
        <w:rPr>
          <w:rFonts w:hint="eastAsia" w:ascii="宋体" w:hAnsi="宋体" w:cs="宋体"/>
          <w:kern w:val="0"/>
          <w:sz w:val="24"/>
        </w:rPr>
        <w:t>）。</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评标委员会各成员应当独立对每个供应商的商务和技术文件进行评价，并汇总商务技术得分情况。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34"/>
        <w:spacing w:before="0"/>
        <w:ind w:firstLine="508" w:firstLineChars="212"/>
        <w:rPr>
          <w:rFonts w:ascii="宋体" w:hAnsi="宋体" w:cs="宋体"/>
          <w:kern w:val="0"/>
        </w:rPr>
      </w:pPr>
      <w:r>
        <w:rPr>
          <w:rFonts w:hint="eastAsia" w:ascii="宋体" w:hAnsi="宋体" w:cs="宋体"/>
          <w:kern w:val="0"/>
        </w:rPr>
        <w:t>3.4.1磋商响应文件报价出现前后不一致的，按照下列规定修正：</w:t>
      </w:r>
    </w:p>
    <w:p>
      <w:pPr>
        <w:pStyle w:val="34"/>
        <w:spacing w:before="0"/>
        <w:ind w:firstLine="480"/>
        <w:rPr>
          <w:rFonts w:ascii="宋体" w:hAnsi="宋体" w:cs="宋体"/>
          <w:kern w:val="0"/>
          <w:szCs w:val="24"/>
        </w:rPr>
      </w:pPr>
      <w:r>
        <w:rPr>
          <w:rFonts w:hint="eastAsia" w:ascii="宋体" w:hAnsi="宋体" w:cs="宋体"/>
          <w:kern w:val="0"/>
          <w:szCs w:val="24"/>
        </w:rPr>
        <w:t>3.4.1.1磋商响应文件中开标一览表(报价表)内容与磋商响应文件中相应内容不一致的，以开标一览表(报价表)为准;</w:t>
      </w:r>
    </w:p>
    <w:p>
      <w:pPr>
        <w:pStyle w:val="34"/>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34"/>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34"/>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34"/>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3.4.2磋商响应文件出现不是唯一的、有选择性投标报价的，投标无效。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3.4.3投标报价超过竞争性磋商文件中规定的预算金额或者最高限价的，投标无效。</w:t>
      </w:r>
    </w:p>
    <w:p>
      <w:pPr>
        <w:pStyle w:val="34"/>
        <w:spacing w:before="0"/>
        <w:ind w:firstLine="480"/>
        <w:rPr>
          <w:rFonts w:ascii="宋体" w:hAnsi="宋体" w:cs="宋体"/>
          <w:kern w:val="0"/>
          <w:szCs w:val="24"/>
        </w:rPr>
      </w:pPr>
      <w:r>
        <w:rPr>
          <w:rFonts w:hint="eastAsia" w:ascii="宋体" w:hAnsi="宋体" w:cs="宋体"/>
          <w:kern w:val="0"/>
          <w:szCs w:val="24"/>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pStyle w:val="34"/>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10%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磋商响应文件满足竞争性磋商文件全部实质性要求，且按照评审因素的量化指标评审得分最高的供应商为排名第一的中标候选人。</w:t>
      </w:r>
    </w:p>
    <w:p>
      <w:pPr>
        <w:spacing w:line="360" w:lineRule="auto"/>
        <w:rPr>
          <w:rFonts w:ascii="宋体" w:hAnsi="宋体" w:cs="宋体"/>
          <w:b/>
          <w:kern w:val="0"/>
          <w:sz w:val="24"/>
        </w:rPr>
      </w:pPr>
      <w:r>
        <w:rPr>
          <w:rFonts w:hint="eastAsia" w:ascii="宋体" w:hAnsi="宋体" w:cs="宋体"/>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34"/>
        <w:spacing w:before="0"/>
        <w:ind w:firstLine="472" w:firstLineChars="196"/>
        <w:rPr>
          <w:rFonts w:ascii="宋体" w:hAnsi="宋体" w:cs="宋体"/>
          <w:kern w:val="0"/>
          <w:szCs w:val="24"/>
        </w:rPr>
      </w:pPr>
      <w:r>
        <w:rPr>
          <w:rFonts w:hint="eastAsia" w:ascii="宋体" w:hAnsi="宋体" w:cs="宋体"/>
          <w:b/>
          <w:kern w:val="0"/>
          <w:szCs w:val="24"/>
        </w:rPr>
        <w:t>4.1供应商澄清、说明或者补正。</w:t>
      </w:r>
      <w:r>
        <w:rPr>
          <w:rFonts w:hint="eastAsia" w:ascii="宋体" w:hAnsi="宋体" w:cs="宋体"/>
          <w:kern w:val="0"/>
          <w:szCs w:val="24"/>
        </w:rPr>
        <w:t>对于磋商响应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磋商响应文件的范围或者改变磋商响应文件的实质性内容。</w:t>
      </w:r>
    </w:p>
    <w:p>
      <w:pPr>
        <w:pStyle w:val="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4.2.1供应商不具备竞争性磋商文件中规定的资格要求的（供应商未提供有效的资格文件的，视为供应商不具备竞争性磋商文件中规定的资格要求）；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4.2.2磋商响应文件未按照竞争性磋商文件要求签署、盖章的；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4.2.3采购人拟采购的产品属于政府强制采购的节能产品品目清单范围的，供应商未按竞争性磋商文件要求提供国家确定的认证机构出具的、处于有效期之内的节能产品认证证书的；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4.2.4磋商响应文件含有采购人不能接受的附加条件的；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4.2.5磋商响应文件中承诺的投标有效期少于竞争性磋商文件中载明的投标有效期的；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4.2.6磋商响应文件出现不是唯一的、有选择性投标报价的;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4.2.7投标报价超过竞争性磋商文件中规定的预算金额或者最高限价的;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4.2.10供应商提供虚假材料投标的；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4.2.12供应商仅提交备份磋商响应文件，没有在电子交易平台传输递交磋商响应文件的，投标无效；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磋商响应文件不满足竞争性磋商文件的其它实质性要求的；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snapToGrid w:val="0"/>
        <w:spacing w:line="360" w:lineRule="auto"/>
        <w:rPr>
          <w:rFonts w:cs="宋体"/>
        </w:rPr>
      </w:pPr>
      <w:r>
        <w:rPr>
          <w:rFonts w:hint="eastAsia" w:cs="宋体"/>
        </w:rPr>
        <w:t>5.1符合专业条件的供应商或者对竞争性磋商文件作实质响应的供应商不足3家的；</w:t>
      </w:r>
    </w:p>
    <w:p>
      <w:pPr>
        <w:pStyle w:val="6"/>
        <w:snapToGrid w:val="0"/>
        <w:spacing w:line="360" w:lineRule="auto"/>
        <w:rPr>
          <w:rFonts w:cs="宋体"/>
        </w:rPr>
      </w:pPr>
      <w:r>
        <w:rPr>
          <w:rFonts w:hint="eastAsia" w:cs="宋体"/>
        </w:rPr>
        <w:t>5.2出现影响采购公正的违法、违规行为的；</w:t>
      </w:r>
    </w:p>
    <w:p>
      <w:pPr>
        <w:pStyle w:val="6"/>
        <w:snapToGrid w:val="0"/>
        <w:spacing w:line="360" w:lineRule="auto"/>
        <w:rPr>
          <w:rFonts w:cs="宋体"/>
        </w:rPr>
      </w:pPr>
      <w:r>
        <w:rPr>
          <w:rFonts w:hint="eastAsia" w:cs="宋体"/>
        </w:rPr>
        <w:t>5.3供应商的报价均超过了采购预算，采购人不能支付的；</w:t>
      </w:r>
    </w:p>
    <w:p>
      <w:pPr>
        <w:pStyle w:val="6"/>
        <w:snapToGrid w:val="0"/>
        <w:spacing w:line="360" w:lineRule="auto"/>
        <w:rPr>
          <w:rFonts w:cs="宋体"/>
        </w:rPr>
      </w:pPr>
      <w:r>
        <w:rPr>
          <w:rFonts w:hint="eastAsia" w:cs="宋体"/>
        </w:rPr>
        <w:t>5.4因重大变故，采购任务取消的。</w:t>
      </w:r>
    </w:p>
    <w:p>
      <w:pPr>
        <w:pStyle w:val="6"/>
        <w:snapToGrid w:val="0"/>
        <w:spacing w:line="360" w:lineRule="auto"/>
        <w:rPr>
          <w:rFonts w:cs="宋体"/>
        </w:rPr>
      </w:pPr>
      <w:r>
        <w:rPr>
          <w:rFonts w:hint="eastAsia" w:cs="宋体"/>
        </w:rPr>
        <w:t>废标后，采购机构应当将废标理由通知所有供应商。</w:t>
      </w:r>
    </w:p>
    <w:p>
      <w:pPr>
        <w:pStyle w:val="6"/>
        <w:snapToGrid w:val="0"/>
        <w:spacing w:line="360" w:lineRule="auto"/>
        <w:ind w:firstLine="590" w:firstLineChars="245"/>
        <w:rPr>
          <w:rFonts w:cs="宋体"/>
        </w:rPr>
      </w:pPr>
      <w:r>
        <w:rPr>
          <w:rFonts w:hint="eastAsia" w:cs="宋体"/>
          <w:b/>
        </w:rPr>
        <w:t>6.修改竞争性磋商文件，重新组织采购活动。</w:t>
      </w:r>
      <w:r>
        <w:rPr>
          <w:rFonts w:hint="eastAsia" w:cs="宋体"/>
        </w:rPr>
        <w:t>评标委员会发现竞争性磋商文件存在歧义、重大缺陷导致评标工作无法进行，或者竞争性磋商文件内容违反国家有关强制性规定的，将停止评标工作，并与采购人、采购机构沟通并作书面记录。采购人、采购机构确认后，将修改竞争性磋商文件，重新组织采购活动。</w:t>
      </w:r>
    </w:p>
    <w:p>
      <w:pPr>
        <w:pStyle w:val="6"/>
        <w:snapToGrid w:val="0"/>
        <w:spacing w:line="360"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cs="宋体"/>
        </w:rPr>
      </w:pPr>
      <w:r>
        <w:rPr>
          <w:rFonts w:hint="eastAsia" w:cs="宋体"/>
        </w:rPr>
        <w:t>7.1未确定中标或者中标人的，终止本次政府采购活动，重新开展政府采购活动。</w:t>
      </w:r>
    </w:p>
    <w:p>
      <w:pPr>
        <w:pStyle w:val="6"/>
        <w:snapToGrid w:val="0"/>
        <w:spacing w:line="360"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cs="宋体"/>
        </w:rPr>
      </w:pPr>
      <w:r>
        <w:rPr>
          <w:rFonts w:hint="eastAsia" w:cs="宋体"/>
        </w:rPr>
        <w:t>7.4政府采购合同已经履行，给采购人、供应商造成损失的，由责任人承担赔偿责任。</w:t>
      </w:r>
    </w:p>
    <w:p>
      <w:pPr>
        <w:pStyle w:val="6"/>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pStyle w:val="6"/>
        <w:snapToGrid w:val="0"/>
        <w:spacing w:line="360" w:lineRule="auto"/>
        <w:ind w:firstLine="0" w:firstLineChars="0"/>
        <w:rPr>
          <w:rFonts w:cs="宋体"/>
        </w:rPr>
      </w:pPr>
    </w:p>
    <w:bookmarkEnd w:id="25"/>
    <w:p>
      <w:pPr>
        <w:spacing w:line="360" w:lineRule="auto"/>
        <w:ind w:left="720" w:leftChars="343" w:firstLine="1084" w:firstLineChars="300"/>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（仅供参考，具体以实际合同签订为准）</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p>
    <w:p>
      <w:pPr>
        <w:pStyle w:val="37"/>
        <w:ind w:left="0" w:leftChars="0" w:firstLine="0" w:firstLineChars="0"/>
        <w:rPr>
          <w:rFonts w:ascii="宋体" w:hAnsi="宋体" w:cs="宋体"/>
          <w:szCs w:val="24"/>
        </w:rPr>
      </w:pPr>
    </w:p>
    <w:p>
      <w:pPr>
        <w:pStyle w:val="37"/>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38"/>
        <w:spacing w:before="120" w:line="22" w:lineRule="atLeast"/>
        <w:rPr>
          <w:rFonts w:ascii="宋体" w:hAnsi="宋体" w:eastAsia="宋体" w:cs="宋体"/>
          <w:szCs w:val="24"/>
        </w:rPr>
      </w:pPr>
    </w:p>
    <w:p>
      <w:pPr>
        <w:pStyle w:val="3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（项目名称）   </w:t>
      </w:r>
      <w:r>
        <w:rPr>
          <w:rFonts w:hint="eastAsia" w:ascii="宋体" w:hAnsi="宋体" w:cs="宋体"/>
          <w:sz w:val="24"/>
        </w:rPr>
        <w:t>项目进行了采购。经评定，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rPr>
          <w:rFonts w:ascii="宋体" w:hAnsi="宋体" w:cs="宋体"/>
          <w:b/>
          <w:spacing w:val="-6"/>
          <w:sz w:val="24"/>
        </w:rPr>
      </w:pPr>
      <w:r>
        <w:rPr>
          <w:rFonts w:hint="eastAsia" w:ascii="宋体" w:hAnsi="宋体" w:cs="宋体"/>
          <w:b/>
          <w:spacing w:val="-6"/>
          <w:sz w:val="24"/>
        </w:rPr>
        <w:t>第一条：服务内容</w:t>
      </w:r>
    </w:p>
    <w:p>
      <w:pPr>
        <w:spacing w:line="360" w:lineRule="auto"/>
        <w:ind w:firstLine="456" w:firstLineChars="200"/>
        <w:rPr>
          <w:rFonts w:ascii="宋体" w:hAnsi="宋体" w:cs="宋体"/>
          <w:bCs/>
          <w:spacing w:val="-6"/>
          <w:sz w:val="24"/>
        </w:rPr>
      </w:pPr>
      <w:r>
        <w:rPr>
          <w:rFonts w:hint="eastAsia" w:ascii="宋体" w:hAnsi="宋体" w:cs="宋体"/>
          <w:bCs/>
          <w:spacing w:val="-6"/>
          <w:sz w:val="24"/>
        </w:rPr>
        <w:t>........</w:t>
      </w:r>
    </w:p>
    <w:p>
      <w:pPr>
        <w:spacing w:line="360" w:lineRule="auto"/>
        <w:rPr>
          <w:rFonts w:ascii="宋体" w:hAnsi="宋体" w:cs="宋体"/>
          <w:b/>
          <w:spacing w:val="-6"/>
          <w:sz w:val="24"/>
        </w:rPr>
      </w:pPr>
      <w:r>
        <w:rPr>
          <w:rFonts w:hint="eastAsia" w:ascii="宋体" w:hAnsi="宋体" w:cs="宋体"/>
          <w:b/>
          <w:spacing w:val="-6"/>
          <w:sz w:val="24"/>
        </w:rPr>
        <w:t>第二条：服务期限</w:t>
      </w:r>
    </w:p>
    <w:p>
      <w:pPr>
        <w:spacing w:line="360" w:lineRule="auto"/>
        <w:ind w:firstLine="456" w:firstLineChars="200"/>
        <w:rPr>
          <w:rFonts w:ascii="宋体" w:hAnsi="宋体" w:cs="宋体"/>
          <w:bCs/>
          <w:spacing w:val="-6"/>
          <w:sz w:val="24"/>
        </w:rPr>
      </w:pPr>
      <w:r>
        <w:rPr>
          <w:rFonts w:hint="eastAsia" w:ascii="宋体" w:hAnsi="宋体" w:cs="宋体"/>
          <w:bCs/>
          <w:spacing w:val="-6"/>
          <w:sz w:val="24"/>
        </w:rPr>
        <w:t xml:space="preserve">本合同有效期限自 </w:t>
      </w:r>
      <w:r>
        <w:rPr>
          <w:rFonts w:hint="eastAsia" w:ascii="宋体" w:hAnsi="宋体" w:cs="宋体"/>
          <w:bCs/>
          <w:spacing w:val="-6"/>
          <w:sz w:val="24"/>
        </w:rPr>
        <w:tab/>
      </w:r>
      <w:r>
        <w:rPr>
          <w:rFonts w:hint="eastAsia" w:ascii="宋体" w:hAnsi="宋体" w:cs="宋体"/>
          <w:bCs/>
          <w:spacing w:val="-6"/>
          <w:sz w:val="24"/>
        </w:rPr>
        <w:t>年  月   日至  年 月  日。</w:t>
      </w:r>
    </w:p>
    <w:p>
      <w:pPr>
        <w:spacing w:line="360" w:lineRule="auto"/>
        <w:rPr>
          <w:rFonts w:ascii="宋体" w:hAnsi="宋体" w:cs="宋体"/>
          <w:b/>
          <w:spacing w:val="-6"/>
          <w:sz w:val="24"/>
        </w:rPr>
      </w:pPr>
      <w:r>
        <w:rPr>
          <w:rFonts w:hint="eastAsia" w:ascii="宋体" w:hAnsi="宋体" w:cs="宋体"/>
          <w:b/>
          <w:spacing w:val="-6"/>
          <w:sz w:val="24"/>
        </w:rPr>
        <w:t>第三条：合同金额</w:t>
      </w:r>
    </w:p>
    <w:p>
      <w:pPr>
        <w:spacing w:line="360" w:lineRule="auto"/>
        <w:ind w:firstLine="480" w:firstLineChars="200"/>
        <w:rPr>
          <w:rFonts w:ascii="宋体" w:hAnsi="宋体" w:cs="宋体"/>
          <w:b/>
          <w:spacing w:val="-6"/>
          <w:sz w:val="24"/>
        </w:rPr>
      </w:pPr>
      <w:r>
        <w:rPr>
          <w:rFonts w:hint="eastAsia" w:ascii="宋体" w:hAnsi="宋体" w:cs="宋体"/>
          <w:sz w:val="24"/>
        </w:rPr>
        <w:t>本合同金额为（大写）：_____________元（￥_________元）人民币。</w:t>
      </w:r>
    </w:p>
    <w:p>
      <w:pPr>
        <w:spacing w:line="360" w:lineRule="auto"/>
        <w:rPr>
          <w:rFonts w:ascii="宋体" w:hAnsi="宋体" w:cs="宋体"/>
          <w:b/>
          <w:spacing w:val="-6"/>
          <w:sz w:val="24"/>
        </w:rPr>
      </w:pPr>
      <w:r>
        <w:rPr>
          <w:rFonts w:hint="eastAsia" w:ascii="宋体" w:hAnsi="宋体" w:cs="宋体"/>
          <w:b/>
          <w:spacing w:val="-6"/>
          <w:sz w:val="24"/>
        </w:rPr>
        <w:t>第四条：付款方式：</w:t>
      </w:r>
    </w:p>
    <w:p>
      <w:pPr>
        <w:spacing w:line="360" w:lineRule="auto"/>
        <w:ind w:firstLine="480" w:firstLineChars="200"/>
        <w:rPr>
          <w:rFonts w:ascii="宋体" w:hAnsi="宋体" w:cs="宋体"/>
          <w:sz w:val="24"/>
        </w:rPr>
      </w:pPr>
      <w:r>
        <w:rPr>
          <w:rFonts w:hint="eastAsia" w:ascii="宋体" w:hAnsi="宋体" w:cs="宋体"/>
          <w:sz w:val="24"/>
        </w:rPr>
        <w:t>付款方式：</w:t>
      </w:r>
    </w:p>
    <w:p>
      <w:pPr>
        <w:spacing w:line="360" w:lineRule="auto"/>
        <w:ind w:firstLine="240" w:firstLineChars="100"/>
        <w:rPr>
          <w:rFonts w:ascii="宋体" w:hAnsi="宋体" w:cs="宋体"/>
          <w:sz w:val="24"/>
        </w:rPr>
      </w:pPr>
      <w:r>
        <w:rPr>
          <w:rFonts w:hint="eastAsia" w:ascii="宋体" w:hAnsi="宋体" w:cs="宋体"/>
          <w:sz w:val="24"/>
        </w:rPr>
        <w:t>乙方开户行名称：_____________________</w:t>
      </w:r>
    </w:p>
    <w:p>
      <w:pPr>
        <w:spacing w:line="360" w:lineRule="auto"/>
        <w:ind w:firstLine="240" w:firstLineChars="100"/>
        <w:rPr>
          <w:rFonts w:ascii="宋体" w:hAnsi="宋体" w:cs="宋体"/>
          <w:sz w:val="24"/>
        </w:rPr>
      </w:pPr>
      <w:r>
        <w:rPr>
          <w:rFonts w:hint="eastAsia" w:ascii="宋体" w:hAnsi="宋体" w:cs="宋体"/>
          <w:sz w:val="24"/>
        </w:rPr>
        <w:t>开户行账号：_________________________</w:t>
      </w:r>
    </w:p>
    <w:p>
      <w:pPr>
        <w:spacing w:line="360" w:lineRule="auto"/>
        <w:rPr>
          <w:rFonts w:ascii="宋体" w:hAnsi="宋体" w:cs="宋体"/>
          <w:b/>
          <w:spacing w:val="-6"/>
          <w:sz w:val="24"/>
        </w:rPr>
      </w:pPr>
      <w:r>
        <w:rPr>
          <w:rFonts w:hint="eastAsia" w:ascii="宋体" w:hAnsi="宋体" w:cs="宋体"/>
          <w:b/>
          <w:spacing w:val="-6"/>
          <w:sz w:val="24"/>
        </w:rPr>
        <w:t>第五条：转包或分包</w:t>
      </w:r>
    </w:p>
    <w:p>
      <w:pPr>
        <w:spacing w:line="360" w:lineRule="auto"/>
        <w:ind w:firstLine="480" w:firstLineChars="200"/>
        <w:rPr>
          <w:rFonts w:ascii="宋体" w:hAnsi="宋体" w:cs="宋体"/>
          <w:sz w:val="24"/>
        </w:rPr>
      </w:pPr>
      <w:r>
        <w:rPr>
          <w:rFonts w:hint="eastAsia" w:ascii="宋体" w:hAnsi="宋体" w:cs="宋体"/>
          <w:sz w:val="24"/>
        </w:rPr>
        <w:t>1.本合同范围的服务，应由乙方直接供应，不得转让他人供应；</w:t>
      </w:r>
    </w:p>
    <w:p>
      <w:pPr>
        <w:spacing w:line="360" w:lineRule="auto"/>
        <w:ind w:firstLine="480" w:firstLineChars="200"/>
        <w:rPr>
          <w:rFonts w:ascii="宋体" w:hAnsi="宋体" w:cs="宋体"/>
          <w:sz w:val="24"/>
        </w:rPr>
      </w:pPr>
      <w:r>
        <w:rPr>
          <w:rFonts w:hint="eastAsia" w:ascii="宋体" w:hAnsi="宋体" w:cs="宋体"/>
          <w:sz w:val="24"/>
        </w:rPr>
        <w:t>2.除非得到甲方的书面同意，乙方不得将本合同范围的服务全部或部分分包给他人供应；</w:t>
      </w:r>
    </w:p>
    <w:p>
      <w:pPr>
        <w:spacing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spacing w:line="360" w:lineRule="auto"/>
        <w:rPr>
          <w:rFonts w:ascii="宋体" w:hAnsi="宋体" w:cs="宋体"/>
          <w:b/>
          <w:spacing w:val="-6"/>
          <w:sz w:val="24"/>
        </w:rPr>
      </w:pPr>
      <w:r>
        <w:rPr>
          <w:rFonts w:hint="eastAsia" w:ascii="宋体" w:hAnsi="宋体" w:cs="宋体"/>
          <w:b/>
          <w:spacing w:val="-6"/>
          <w:sz w:val="24"/>
        </w:rPr>
        <w:t>第六条：合同履行时间、履行方式及履行地点</w:t>
      </w:r>
    </w:p>
    <w:p>
      <w:pPr>
        <w:spacing w:line="360" w:lineRule="auto"/>
        <w:ind w:firstLine="480" w:firstLineChars="200"/>
        <w:rPr>
          <w:rFonts w:ascii="宋体" w:hAnsi="宋体" w:cs="宋体"/>
          <w:sz w:val="24"/>
        </w:rPr>
      </w:pPr>
      <w:r>
        <w:rPr>
          <w:rFonts w:hint="eastAsia" w:ascii="宋体" w:hAnsi="宋体" w:cs="宋体"/>
          <w:sz w:val="24"/>
        </w:rPr>
        <w:t>1.履行时间：</w:t>
      </w:r>
    </w:p>
    <w:p>
      <w:pPr>
        <w:spacing w:line="360" w:lineRule="auto"/>
        <w:ind w:firstLine="480" w:firstLineChars="200"/>
        <w:rPr>
          <w:rFonts w:ascii="宋体" w:hAnsi="宋体" w:cs="宋体"/>
          <w:sz w:val="24"/>
        </w:rPr>
      </w:pPr>
      <w:r>
        <w:rPr>
          <w:rFonts w:hint="eastAsia" w:ascii="宋体" w:hAnsi="宋体" w:cs="宋体"/>
          <w:sz w:val="24"/>
        </w:rPr>
        <w:t>2.履行方式：</w:t>
      </w:r>
    </w:p>
    <w:p>
      <w:pPr>
        <w:spacing w:line="360" w:lineRule="auto"/>
        <w:ind w:firstLine="480" w:firstLineChars="200"/>
        <w:rPr>
          <w:rFonts w:ascii="宋体" w:hAnsi="宋体" w:cs="宋体"/>
          <w:sz w:val="24"/>
        </w:rPr>
      </w:pPr>
      <w:r>
        <w:rPr>
          <w:rFonts w:hint="eastAsia" w:ascii="宋体" w:hAnsi="宋体" w:cs="宋体"/>
          <w:sz w:val="24"/>
        </w:rPr>
        <w:t>3.履行地点：</w:t>
      </w:r>
    </w:p>
    <w:p>
      <w:pPr>
        <w:spacing w:line="360" w:lineRule="auto"/>
        <w:rPr>
          <w:rFonts w:ascii="宋体" w:hAnsi="宋体" w:cs="宋体"/>
          <w:b/>
          <w:spacing w:val="-6"/>
          <w:sz w:val="24"/>
        </w:rPr>
      </w:pPr>
      <w:r>
        <w:rPr>
          <w:rFonts w:hint="eastAsia" w:ascii="宋体" w:hAnsi="宋体" w:cs="宋体"/>
          <w:b/>
          <w:spacing w:val="-6"/>
          <w:sz w:val="24"/>
        </w:rPr>
        <w:t>第七条：税费</w:t>
      </w:r>
    </w:p>
    <w:p>
      <w:pPr>
        <w:spacing w:line="360" w:lineRule="auto"/>
        <w:ind w:firstLine="480" w:firstLineChars="200"/>
        <w:rPr>
          <w:rFonts w:ascii="宋体" w:hAnsi="宋体" w:cs="宋体"/>
          <w:sz w:val="24"/>
        </w:rPr>
      </w:pPr>
      <w:r>
        <w:rPr>
          <w:rFonts w:hint="eastAsia" w:ascii="宋体" w:hAnsi="宋体" w:cs="宋体"/>
          <w:sz w:val="24"/>
        </w:rPr>
        <w:t>本合同执行中相关的一切税费均由乙方负担。</w:t>
      </w:r>
    </w:p>
    <w:p>
      <w:pPr>
        <w:spacing w:line="360" w:lineRule="auto"/>
        <w:rPr>
          <w:rFonts w:ascii="宋体" w:hAnsi="宋体" w:cs="宋体"/>
          <w:b/>
          <w:spacing w:val="-6"/>
          <w:sz w:val="24"/>
        </w:rPr>
      </w:pPr>
      <w:r>
        <w:rPr>
          <w:rFonts w:hint="eastAsia" w:ascii="宋体" w:hAnsi="宋体" w:cs="宋体"/>
          <w:b/>
          <w:spacing w:val="-6"/>
          <w:sz w:val="24"/>
        </w:rPr>
        <w:t>第八条：</w:t>
      </w:r>
      <w:r>
        <w:rPr>
          <w:rFonts w:hint="eastAsia" w:ascii="宋体" w:hAnsi="宋体" w:cs="宋体"/>
          <w:b/>
          <w:spacing w:val="-6"/>
          <w:sz w:val="24"/>
          <w:lang w:val="zh-CN"/>
        </w:rPr>
        <w:t>甲方的责任与义务</w:t>
      </w:r>
    </w:p>
    <w:p>
      <w:pPr>
        <w:spacing w:line="360" w:lineRule="auto"/>
        <w:ind w:firstLine="480" w:firstLineChars="200"/>
        <w:rPr>
          <w:rFonts w:ascii="宋体" w:hAnsi="宋体" w:cs="宋体"/>
          <w:sz w:val="24"/>
        </w:rPr>
      </w:pPr>
      <w:r>
        <w:rPr>
          <w:rFonts w:hint="eastAsia" w:ascii="宋体" w:hAnsi="宋体" w:cs="宋体"/>
          <w:sz w:val="24"/>
        </w:rPr>
        <w:t>甲方应当主要负责项目的所有外部关系的联系与协调，为乙方工作提供良好的外部条件。</w:t>
      </w:r>
    </w:p>
    <w:p>
      <w:pPr>
        <w:spacing w:line="360" w:lineRule="auto"/>
        <w:ind w:firstLine="480" w:firstLineChars="200"/>
        <w:rPr>
          <w:rFonts w:ascii="宋体" w:hAnsi="宋体" w:cs="宋体"/>
          <w:sz w:val="24"/>
        </w:rPr>
      </w:pPr>
      <w:r>
        <w:rPr>
          <w:rFonts w:hint="eastAsia" w:ascii="宋体" w:hAnsi="宋体" w:cs="宋体"/>
          <w:sz w:val="24"/>
        </w:rPr>
        <w:t>甲方应当按双方约定的内容和时间，向乙方提供与项目有关的资料。</w:t>
      </w:r>
    </w:p>
    <w:p>
      <w:pPr>
        <w:spacing w:line="360" w:lineRule="auto"/>
        <w:ind w:firstLine="480" w:firstLineChars="200"/>
        <w:rPr>
          <w:rFonts w:ascii="宋体" w:hAnsi="宋体" w:cs="宋体"/>
          <w:sz w:val="24"/>
        </w:rPr>
      </w:pPr>
      <w:r>
        <w:rPr>
          <w:rFonts w:hint="eastAsia" w:ascii="宋体" w:hAnsi="宋体" w:cs="宋体"/>
          <w:sz w:val="24"/>
        </w:rPr>
        <w:t>甲方应授权一名熟悉本项目情况、能迅速做出决定的项目代表，负责与乙方联系。更换代表，要提前通知乙方。</w:t>
      </w:r>
    </w:p>
    <w:p>
      <w:pPr>
        <w:spacing w:line="360" w:lineRule="auto"/>
        <w:ind w:firstLine="480" w:firstLineChars="200"/>
        <w:rPr>
          <w:rFonts w:ascii="宋体" w:hAnsi="宋体" w:cs="宋体"/>
          <w:sz w:val="24"/>
        </w:rPr>
      </w:pPr>
      <w:r>
        <w:rPr>
          <w:rFonts w:hint="eastAsia" w:ascii="宋体" w:hAnsi="宋体" w:cs="宋体"/>
          <w:sz w:val="24"/>
        </w:rPr>
        <w:t>甲方有与乙方订立补充合同的签订权。</w:t>
      </w:r>
    </w:p>
    <w:p>
      <w:pPr>
        <w:spacing w:line="360" w:lineRule="auto"/>
        <w:rPr>
          <w:rFonts w:ascii="宋体" w:hAnsi="宋体" w:cs="宋体"/>
          <w:b/>
          <w:spacing w:val="-6"/>
          <w:sz w:val="24"/>
        </w:rPr>
      </w:pPr>
      <w:r>
        <w:rPr>
          <w:rFonts w:hint="eastAsia" w:ascii="宋体" w:hAnsi="宋体" w:cs="宋体"/>
          <w:b/>
          <w:spacing w:val="-6"/>
          <w:sz w:val="24"/>
        </w:rPr>
        <w:t>第九条：</w:t>
      </w:r>
      <w:r>
        <w:rPr>
          <w:rFonts w:hint="eastAsia" w:ascii="宋体" w:hAnsi="宋体" w:cs="宋体"/>
          <w:b/>
          <w:spacing w:val="-6"/>
          <w:sz w:val="24"/>
          <w:lang w:val="zh-CN"/>
        </w:rPr>
        <w:t>乙方的责任与义务</w:t>
      </w:r>
    </w:p>
    <w:p>
      <w:pPr>
        <w:spacing w:line="360" w:lineRule="auto"/>
        <w:ind w:firstLine="480" w:firstLineChars="200"/>
        <w:rPr>
          <w:rFonts w:ascii="宋体" w:hAnsi="宋体" w:cs="宋体"/>
          <w:sz w:val="24"/>
        </w:rPr>
      </w:pPr>
      <w:r>
        <w:rPr>
          <w:rFonts w:hint="eastAsia" w:ascii="宋体" w:hAnsi="宋体" w:cs="宋体"/>
          <w:sz w:val="24"/>
        </w:rPr>
        <w:t>根据投标文件的承诺向甲方委派项目组人员。</w:t>
      </w:r>
    </w:p>
    <w:p>
      <w:pPr>
        <w:spacing w:line="360" w:lineRule="auto"/>
        <w:ind w:firstLine="480" w:firstLineChars="200"/>
        <w:rPr>
          <w:rFonts w:ascii="宋体" w:hAnsi="宋体" w:cs="宋体"/>
          <w:sz w:val="24"/>
        </w:rPr>
      </w:pPr>
      <w:r>
        <w:rPr>
          <w:rFonts w:hint="eastAsia" w:ascii="宋体" w:hAnsi="宋体" w:cs="宋体"/>
          <w:sz w:val="24"/>
        </w:rPr>
        <w:t>在履行本合同义务的期间，应运用合理的技能，认真、勤奋的工作。</w:t>
      </w:r>
    </w:p>
    <w:p>
      <w:pPr>
        <w:spacing w:line="360" w:lineRule="auto"/>
        <w:ind w:firstLine="480" w:firstLineChars="200"/>
        <w:rPr>
          <w:rFonts w:ascii="宋体" w:hAnsi="宋体" w:cs="宋体"/>
          <w:sz w:val="24"/>
        </w:rPr>
      </w:pPr>
      <w:r>
        <w:rPr>
          <w:rFonts w:hint="eastAsia" w:ascii="宋体" w:hAnsi="宋体" w:cs="宋体"/>
          <w:sz w:val="24"/>
        </w:rPr>
        <w:t>在本合同期内或合同终止后，未征得有关方同意，不得泄漏与本项目、本合同有关的技术、资料等，不得以任何形式侵害甲方的知识产权。</w:t>
      </w:r>
    </w:p>
    <w:p>
      <w:pPr>
        <w:spacing w:line="360" w:lineRule="auto"/>
        <w:ind w:firstLine="480" w:firstLineChars="200"/>
        <w:rPr>
          <w:rFonts w:ascii="宋体" w:hAnsi="宋体" w:cs="宋体"/>
          <w:sz w:val="24"/>
        </w:rPr>
      </w:pPr>
      <w:r>
        <w:rPr>
          <w:rFonts w:hint="eastAsia" w:ascii="宋体" w:hAnsi="宋体" w:cs="宋体"/>
          <w:sz w:val="24"/>
        </w:rPr>
        <w:t>负责处理好与相关项目的协调工作。</w:t>
      </w:r>
    </w:p>
    <w:p>
      <w:pPr>
        <w:spacing w:line="360" w:lineRule="auto"/>
        <w:rPr>
          <w:rFonts w:ascii="宋体" w:hAnsi="宋体" w:cs="宋体"/>
          <w:b/>
          <w:spacing w:val="-6"/>
          <w:sz w:val="24"/>
        </w:rPr>
      </w:pPr>
      <w:r>
        <w:rPr>
          <w:rFonts w:hint="eastAsia" w:ascii="宋体" w:hAnsi="宋体" w:cs="宋体"/>
          <w:b/>
          <w:spacing w:val="-6"/>
          <w:sz w:val="24"/>
        </w:rPr>
        <w:t>第十条：违约责任</w:t>
      </w:r>
    </w:p>
    <w:p>
      <w:pPr>
        <w:spacing w:line="360" w:lineRule="auto"/>
        <w:ind w:firstLine="480" w:firstLineChars="200"/>
        <w:rPr>
          <w:rFonts w:ascii="宋体" w:hAnsi="宋体" w:cs="宋体"/>
          <w:sz w:val="24"/>
        </w:rPr>
      </w:pPr>
      <w:r>
        <w:rPr>
          <w:rFonts w:hint="eastAsia" w:ascii="宋体" w:hAnsi="宋体" w:cs="宋体"/>
          <w:sz w:val="24"/>
        </w:rPr>
        <w:t>1．甲方无正当理由拒收接受服务的，甲方向乙方偿付合同款项百分之五作为违约金。</w:t>
      </w:r>
    </w:p>
    <w:p>
      <w:pPr>
        <w:spacing w:line="360" w:lineRule="auto"/>
        <w:ind w:firstLine="480" w:firstLineChars="200"/>
        <w:rPr>
          <w:rFonts w:ascii="宋体" w:hAnsi="宋体" w:cs="宋体"/>
          <w:sz w:val="24"/>
        </w:rPr>
      </w:pPr>
      <w:r>
        <w:rPr>
          <w:rFonts w:hint="eastAsia" w:ascii="宋体" w:hAnsi="宋体" w:cs="宋体"/>
          <w:sz w:val="24"/>
        </w:rPr>
        <w:t>2．甲方无故逾期验收和办理款项支付手续的,甲方应按逾期付款总额每日万分之</w:t>
      </w:r>
    </w:p>
    <w:p>
      <w:pPr>
        <w:spacing w:line="360" w:lineRule="auto"/>
        <w:ind w:firstLine="480" w:firstLineChars="200"/>
        <w:rPr>
          <w:rFonts w:ascii="宋体" w:hAnsi="宋体" w:cs="宋体"/>
          <w:sz w:val="24"/>
        </w:rPr>
      </w:pPr>
      <w:r>
        <w:rPr>
          <w:rFonts w:hint="eastAsia" w:ascii="宋体" w:hAnsi="宋体" w:cs="宋体"/>
          <w:sz w:val="24"/>
        </w:rPr>
        <w:t>五向乙方支付违约金。</w:t>
      </w:r>
    </w:p>
    <w:p>
      <w:pPr>
        <w:spacing w:line="360" w:lineRule="auto"/>
        <w:ind w:firstLine="480" w:firstLineChars="200"/>
        <w:rPr>
          <w:rFonts w:ascii="宋体" w:hAnsi="宋体" w:cs="宋体"/>
          <w:sz w:val="24"/>
        </w:rPr>
      </w:pPr>
      <w:r>
        <w:rPr>
          <w:rFonts w:hint="eastAsia" w:ascii="宋体" w:hAnsi="宋体" w:cs="宋体"/>
          <w:sz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rPr>
          <w:rFonts w:ascii="宋体" w:hAnsi="宋体" w:cs="宋体"/>
          <w:b/>
          <w:spacing w:val="-6"/>
          <w:sz w:val="24"/>
        </w:rPr>
      </w:pPr>
      <w:r>
        <w:rPr>
          <w:rFonts w:hint="eastAsia" w:ascii="宋体" w:hAnsi="宋体" w:cs="宋体"/>
          <w:b/>
          <w:spacing w:val="-6"/>
          <w:sz w:val="24"/>
        </w:rPr>
        <w:t>第十一条：不可抗力事件处理</w:t>
      </w:r>
    </w:p>
    <w:p>
      <w:pPr>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w:t>
      </w:r>
    </w:p>
    <w:p>
      <w:pPr>
        <w:spacing w:line="360" w:lineRule="auto"/>
        <w:ind w:firstLine="480" w:firstLineChars="200"/>
        <w:rPr>
          <w:rFonts w:ascii="宋体" w:hAnsi="宋体" w:cs="宋体"/>
          <w:sz w:val="24"/>
        </w:rPr>
      </w:pPr>
      <w:r>
        <w:rPr>
          <w:rFonts w:hint="eastAsia" w:ascii="宋体" w:hAnsi="宋体" w:cs="宋体"/>
          <w:sz w:val="24"/>
        </w:rPr>
        <w:t>期可延长，其延长期与不可抗力影响期相同。</w:t>
      </w:r>
    </w:p>
    <w:p>
      <w:pPr>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spacing w:line="360" w:lineRule="auto"/>
        <w:ind w:firstLine="480" w:firstLineChars="200"/>
        <w:rPr>
          <w:rFonts w:ascii="宋体" w:hAnsi="宋体" w:cs="宋体"/>
          <w:sz w:val="24"/>
        </w:rPr>
      </w:pPr>
      <w:r>
        <w:rPr>
          <w:rFonts w:hint="eastAsia" w:ascii="宋体" w:hAnsi="宋体" w:cs="宋体"/>
          <w:sz w:val="24"/>
        </w:rPr>
        <w:t>3．不可抗力事件延续120天以上，双方应通过友好协商，确定是否继续履行合</w:t>
      </w:r>
    </w:p>
    <w:p>
      <w:pPr>
        <w:spacing w:line="360" w:lineRule="auto"/>
        <w:ind w:firstLine="480" w:firstLineChars="200"/>
        <w:rPr>
          <w:rFonts w:ascii="宋体" w:hAnsi="宋体" w:cs="宋体"/>
          <w:sz w:val="24"/>
        </w:rPr>
      </w:pPr>
      <w:r>
        <w:rPr>
          <w:rFonts w:hint="eastAsia" w:ascii="宋体" w:hAnsi="宋体" w:cs="宋体"/>
          <w:sz w:val="24"/>
        </w:rPr>
        <w:t>同。</w:t>
      </w:r>
    </w:p>
    <w:p>
      <w:pPr>
        <w:spacing w:line="360" w:lineRule="auto"/>
        <w:rPr>
          <w:rFonts w:ascii="宋体" w:hAnsi="宋体" w:cs="宋体"/>
          <w:b/>
          <w:spacing w:val="-6"/>
          <w:sz w:val="24"/>
        </w:rPr>
      </w:pPr>
      <w:r>
        <w:rPr>
          <w:rFonts w:hint="eastAsia" w:ascii="宋体" w:hAnsi="宋体" w:cs="宋体"/>
          <w:b/>
          <w:spacing w:val="-6"/>
          <w:sz w:val="24"/>
        </w:rPr>
        <w:t>第十二条：诉讼</w:t>
      </w:r>
    </w:p>
    <w:p>
      <w:pPr>
        <w:spacing w:line="360" w:lineRule="auto"/>
        <w:ind w:firstLine="480" w:firstLineChars="200"/>
        <w:rPr>
          <w:rFonts w:ascii="宋体" w:hAnsi="宋体" w:cs="宋体"/>
          <w:sz w:val="24"/>
        </w:rPr>
      </w:pPr>
      <w:r>
        <w:rPr>
          <w:rFonts w:hint="eastAsia" w:ascii="宋体" w:hAnsi="宋体" w:cs="宋体"/>
          <w:sz w:val="24"/>
        </w:rPr>
        <w:t>双方在执行合同中所发生的一切争议，应通过协商解决。如协商不成，可向甲方所在地经济仲裁机构提请仲裁或向人民法院提起诉讼。</w:t>
      </w:r>
    </w:p>
    <w:p>
      <w:pPr>
        <w:spacing w:line="360" w:lineRule="auto"/>
        <w:rPr>
          <w:rFonts w:ascii="宋体" w:hAnsi="宋体" w:cs="宋体"/>
          <w:b/>
          <w:spacing w:val="-6"/>
          <w:sz w:val="24"/>
        </w:rPr>
      </w:pPr>
      <w:r>
        <w:rPr>
          <w:rFonts w:hint="eastAsia" w:ascii="宋体" w:hAnsi="宋体" w:cs="宋体"/>
          <w:b/>
          <w:spacing w:val="-6"/>
          <w:sz w:val="24"/>
        </w:rPr>
        <w:t>第十三条：合同生效及其它</w:t>
      </w:r>
    </w:p>
    <w:p>
      <w:pPr>
        <w:spacing w:line="360" w:lineRule="auto"/>
        <w:ind w:firstLine="480" w:firstLineChars="200"/>
        <w:rPr>
          <w:rFonts w:ascii="宋体" w:hAnsi="宋体" w:cs="宋体"/>
          <w:sz w:val="24"/>
        </w:rPr>
      </w:pPr>
      <w:r>
        <w:rPr>
          <w:rFonts w:hint="eastAsia" w:ascii="宋体" w:hAnsi="宋体" w:cs="宋体"/>
          <w:sz w:val="24"/>
        </w:rPr>
        <w:t>1. 合同经双方</w:t>
      </w:r>
      <w:r>
        <w:rPr>
          <w:rFonts w:hint="eastAsia" w:ascii="宋体" w:hAnsi="宋体" w:cs="宋体"/>
          <w:sz w:val="24"/>
        </w:rPr>
        <w:tab/>
      </w:r>
      <w:r>
        <w:rPr>
          <w:rFonts w:hint="eastAsia" w:ascii="宋体" w:hAnsi="宋体" w:cs="宋体"/>
          <w:sz w:val="24"/>
        </w:rPr>
        <w:t>法定代表人或授权代表签字并加盖单位公章后生效。</w:t>
      </w:r>
    </w:p>
    <w:p>
      <w:pPr>
        <w:spacing w:line="360" w:lineRule="auto"/>
        <w:ind w:firstLine="480" w:firstLineChars="200"/>
        <w:rPr>
          <w:rFonts w:ascii="宋体" w:hAnsi="宋体" w:cs="宋体"/>
          <w:sz w:val="24"/>
        </w:rPr>
      </w:pPr>
      <w:r>
        <w:rPr>
          <w:rFonts w:hint="eastAsia" w:ascii="宋体" w:hAnsi="宋体" w:cs="宋体"/>
          <w:sz w:val="24"/>
        </w:rPr>
        <w:t>2. 本合同未尽事宜，遵照《合同法》有关条文执行。</w:t>
      </w:r>
    </w:p>
    <w:p>
      <w:pPr>
        <w:spacing w:line="360" w:lineRule="auto"/>
        <w:ind w:firstLine="480" w:firstLineChars="200"/>
        <w:rPr>
          <w:rFonts w:ascii="宋体" w:hAnsi="宋体" w:cs="宋体"/>
          <w:sz w:val="24"/>
        </w:rPr>
      </w:pPr>
      <w:r>
        <w:rPr>
          <w:rFonts w:hint="eastAsia" w:ascii="宋体" w:hAnsi="宋体" w:cs="宋体"/>
          <w:sz w:val="24"/>
        </w:rPr>
        <w:t>3.本合同一式肆份，具有同等法律效力。甲方、乙方各执贰份。</w:t>
      </w:r>
    </w:p>
    <w:p>
      <w:pPr>
        <w:pStyle w:val="13"/>
        <w:snapToGrid w:val="0"/>
        <w:spacing w:before="120" w:after="120" w:line="360" w:lineRule="auto"/>
        <w:rPr>
          <w:rFonts w:hAnsi="宋体" w:cs="宋体"/>
          <w:sz w:val="24"/>
        </w:rPr>
      </w:pPr>
      <w:r>
        <w:rPr>
          <w:rFonts w:hint="eastAsia" w:hAnsi="宋体" w:cs="宋体"/>
          <w:sz w:val="24"/>
        </w:rPr>
        <w:t xml:space="preserve">  甲方：                                   乙方： </w:t>
      </w:r>
    </w:p>
    <w:p>
      <w:pPr>
        <w:pStyle w:val="13"/>
        <w:snapToGrid w:val="0"/>
        <w:spacing w:before="120" w:after="120" w:line="360" w:lineRule="auto"/>
        <w:rPr>
          <w:rFonts w:hAnsi="宋体" w:cs="宋体"/>
          <w:sz w:val="24"/>
        </w:rPr>
      </w:pPr>
      <w:r>
        <w:rPr>
          <w:rFonts w:hint="eastAsia" w:hAnsi="宋体" w:cs="宋体"/>
          <w:sz w:val="24"/>
        </w:rPr>
        <w:t xml:space="preserve">  地址：                                   地址： </w:t>
      </w:r>
    </w:p>
    <w:p>
      <w:pPr>
        <w:pStyle w:val="13"/>
        <w:snapToGrid w:val="0"/>
        <w:spacing w:before="120" w:after="120" w:line="360" w:lineRule="auto"/>
        <w:rPr>
          <w:rFonts w:hAnsi="宋体" w:cs="宋体"/>
          <w:sz w:val="24"/>
        </w:rPr>
      </w:pPr>
      <w:r>
        <w:rPr>
          <w:rFonts w:hint="eastAsia" w:hAnsi="宋体" w:cs="宋体"/>
          <w:sz w:val="24"/>
        </w:rPr>
        <w:t xml:space="preserve">  法定（授权）代表人：                     法定（授权）代表人：</w:t>
      </w:r>
    </w:p>
    <w:p>
      <w:pPr>
        <w:pStyle w:val="13"/>
        <w:snapToGrid w:val="0"/>
        <w:spacing w:before="120" w:after="120" w:line="360" w:lineRule="auto"/>
        <w:ind w:firstLine="240" w:firstLineChars="100"/>
        <w:rPr>
          <w:rFonts w:hAnsi="宋体" w:cs="宋体"/>
          <w:b/>
          <w:bCs/>
          <w:sz w:val="32"/>
          <w:szCs w:val="40"/>
        </w:rPr>
      </w:pPr>
      <w:r>
        <w:rPr>
          <w:rFonts w:hint="eastAsia" w:hAnsi="宋体" w:cs="宋体"/>
          <w:sz w:val="24"/>
        </w:rPr>
        <w:t>日期：    年  月   日                    日期：    年  月   日</w:t>
      </w:r>
    </w:p>
    <w:p>
      <w:pPr>
        <w:widowControl/>
        <w:overflowPunct w:val="0"/>
        <w:autoSpaceDE w:val="0"/>
        <w:autoSpaceDN w:val="0"/>
        <w:snapToGrid w:val="0"/>
        <w:spacing w:before="156" w:line="440" w:lineRule="exact"/>
        <w:ind w:left="-2" w:leftChars="-1"/>
        <w:jc w:val="left"/>
        <w:textAlignment w:val="baseline"/>
        <w:rPr>
          <w:rFonts w:ascii="宋体" w:hAnsi="宋体" w:cs="宋体"/>
          <w:sz w:val="24"/>
        </w:rPr>
      </w:pPr>
      <w:r>
        <w:rPr>
          <w:rFonts w:hint="eastAsia" w:ascii="宋体" w:hAnsi="宋体" w:cs="宋体"/>
          <w:kern w:val="0"/>
          <w:sz w:val="24"/>
        </w:rPr>
        <w:t xml:space="preserve">                                  　</w:t>
      </w: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outlineLvl w:val="0"/>
        <w:rPr>
          <w:rFonts w:ascii="宋体" w:hAnsi="宋体" w:cs="宋体"/>
          <w:b/>
          <w:sz w:val="36"/>
          <w:szCs w:val="20"/>
        </w:rPr>
      </w:pPr>
    </w:p>
    <w:p>
      <w:pPr>
        <w:spacing w:line="360" w:lineRule="auto"/>
        <w:jc w:val="center"/>
        <w:outlineLvl w:val="0"/>
        <w:rPr>
          <w:rFonts w:ascii="宋体" w:hAnsi="宋体" w:cs="宋体"/>
          <w:b/>
          <w:sz w:val="36"/>
          <w:szCs w:val="20"/>
        </w:rPr>
      </w:pPr>
    </w:p>
    <w:p>
      <w:pPr>
        <w:spacing w:line="360" w:lineRule="auto"/>
        <w:jc w:val="center"/>
        <w:outlineLvl w:val="0"/>
        <w:rPr>
          <w:rFonts w:ascii="宋体" w:hAnsi="宋体" w:cs="宋体"/>
          <w:b/>
          <w:sz w:val="36"/>
          <w:szCs w:val="20"/>
        </w:rPr>
      </w:pPr>
    </w:p>
    <w:p>
      <w:pPr>
        <w:pStyle w:val="29"/>
        <w:rPr>
          <w:rFonts w:ascii="宋体" w:hAnsi="宋体" w:cs="宋体"/>
          <w:b/>
          <w:sz w:val="36"/>
          <w:szCs w:val="20"/>
        </w:rPr>
      </w:pPr>
    </w:p>
    <w:p>
      <w:pPr>
        <w:pStyle w:val="29"/>
        <w:rPr>
          <w:rFonts w:ascii="宋体" w:hAnsi="宋体" w:cs="宋体"/>
          <w:b/>
          <w:sz w:val="36"/>
          <w:szCs w:val="20"/>
        </w:rPr>
      </w:pPr>
    </w:p>
    <w:p>
      <w:pPr>
        <w:pStyle w:val="29"/>
        <w:rPr>
          <w:rFonts w:ascii="宋体" w:hAnsi="宋体" w:cs="宋体"/>
          <w:b/>
          <w:sz w:val="36"/>
          <w:szCs w:val="20"/>
        </w:rPr>
      </w:pPr>
    </w:p>
    <w:p>
      <w:pPr>
        <w:spacing w:line="360" w:lineRule="auto"/>
        <w:jc w:val="center"/>
        <w:outlineLvl w:val="0"/>
        <w:rPr>
          <w:rFonts w:ascii="宋体" w:hAnsi="宋体" w:cs="宋体"/>
          <w:b/>
          <w:sz w:val="36"/>
          <w:szCs w:val="20"/>
        </w:rPr>
      </w:pP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（杭州市生态环境局桐庐分局）、（桐庐鸿泰工程咨询有限公司）：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桐庐县生态环境污染隐患主动预警干预提质扩面项目（第二次）</w:t>
      </w:r>
      <w:r>
        <w:rPr>
          <w:rFonts w:hint="eastAsia" w:ascii="宋体" w:hAnsi="宋体" w:cs="宋体"/>
          <w:sz w:val="24"/>
        </w:rPr>
        <w:t>）【招标编号：（</w:t>
      </w:r>
      <w:r>
        <w:rPr>
          <w:rFonts w:hint="eastAsia" w:ascii="宋体" w:hAnsi="宋体" w:cs="宋体"/>
          <w:sz w:val="24"/>
          <w:lang w:eastAsia="zh-CN"/>
        </w:rPr>
        <w:t>TLHT-CG-2024-004-1</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10"/>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sz w:val="24"/>
        </w:rPr>
      </w:pPr>
      <w:r>
        <w:rPr>
          <w:rFonts w:hint="eastAsia" w:ascii="宋体" w:hAnsi="宋体" w:cs="宋体"/>
          <w:b/>
          <w:sz w:val="24"/>
        </w:rPr>
        <w:t xml:space="preserve">    </w:t>
      </w:r>
    </w:p>
    <w:p>
      <w:pPr>
        <w:widowControl/>
        <w:spacing w:line="360" w:lineRule="auto"/>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ind w:right="420"/>
        <w:rPr>
          <w:rFonts w:ascii="宋体" w:hAnsi="宋体" w:cs="宋体"/>
          <w:b/>
          <w:kern w:val="0"/>
          <w:sz w:val="36"/>
          <w:szCs w:val="36"/>
        </w:rPr>
      </w:pP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（5）投标标的清单</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719" w:leftChars="228" w:hanging="240" w:hangingChars="100"/>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）安全承诺书</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lang w:val="zh-CN"/>
        </w:rPr>
        <w:t>（</w:t>
      </w:r>
      <w:r>
        <w:rPr>
          <w:rFonts w:hint="eastAsia" w:ascii="宋体" w:hAnsi="宋体" w:cs="宋体"/>
          <w:sz w:val="24"/>
        </w:rPr>
        <w:t>9</w:t>
      </w:r>
      <w:r>
        <w:rPr>
          <w:rFonts w:hint="eastAsia" w:ascii="宋体" w:hAnsi="宋体" w:cs="宋体"/>
          <w:sz w:val="24"/>
          <w:lang w:val="zh-CN"/>
        </w:rPr>
        <w:t>）演示文件</w:t>
      </w:r>
      <w:r>
        <w:rPr>
          <w:rFonts w:hint="eastAsia" w:ascii="宋体" w:hAnsi="宋体" w:cs="宋体"/>
        </w:rPr>
        <w:t>………………………………………………………………………………（页码）</w:t>
      </w:r>
    </w:p>
    <w:p>
      <w:pPr>
        <w:snapToGrid w:val="0"/>
        <w:spacing w:line="360" w:lineRule="auto"/>
        <w:ind w:firstLine="643" w:firstLineChars="200"/>
        <w:rPr>
          <w:rFonts w:ascii="宋体" w:hAnsi="宋体" w:cs="宋体"/>
          <w:b/>
          <w:kern w:val="0"/>
          <w:sz w:val="32"/>
          <w:szCs w:val="32"/>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（杭州市生态环境局桐庐分局）、（桐庐鸿泰工程咨询有限公司）：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桐庐县生态环境污染隐患主动预警干预提质扩面项目（第二次）</w:t>
      </w:r>
      <w:r>
        <w:rPr>
          <w:rFonts w:hint="eastAsia" w:ascii="宋体" w:hAnsi="宋体" w:cs="宋体"/>
          <w:sz w:val="24"/>
        </w:rPr>
        <w:t>）【招标编号：（</w:t>
      </w:r>
      <w:r>
        <w:rPr>
          <w:rFonts w:hint="eastAsia" w:ascii="宋体" w:hAnsi="宋体" w:cs="宋体"/>
          <w:sz w:val="24"/>
          <w:lang w:eastAsia="zh-CN"/>
        </w:rPr>
        <w:t>TLHT-CG-2024-004-1</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ind w:left="210" w:leftChars="100" w:firstLine="480" w:firstLineChars="200"/>
        <w:rPr>
          <w:rFonts w:ascii="宋体" w:hAnsi="宋体" w:cs="宋体"/>
          <w:sz w:val="24"/>
        </w:rPr>
      </w:pPr>
      <w:r>
        <w:rPr>
          <w:rFonts w:hint="eastAsia" w:ascii="宋体" w:hAnsi="宋体" w:cs="宋体"/>
          <w:sz w:val="24"/>
        </w:rPr>
        <w:t>2.1资格文件：</w:t>
      </w:r>
    </w:p>
    <w:p>
      <w:pPr>
        <w:snapToGrid w:val="0"/>
        <w:ind w:left="420" w:leftChars="200" w:firstLine="480" w:firstLineChars="200"/>
        <w:rPr>
          <w:rFonts w:ascii="宋体" w:hAnsi="宋体" w:cs="宋体"/>
          <w:sz w:val="24"/>
        </w:rPr>
      </w:pPr>
      <w:r>
        <w:rPr>
          <w:rFonts w:hint="eastAsia" w:ascii="宋体" w:hAnsi="宋体" w:cs="宋体"/>
          <w:sz w:val="24"/>
        </w:rPr>
        <w:t>2.1.1承诺函；</w:t>
      </w:r>
    </w:p>
    <w:p>
      <w:pPr>
        <w:snapToGrid w:val="0"/>
        <w:ind w:left="420" w:leftChars="200" w:firstLine="480" w:firstLineChars="200"/>
        <w:rPr>
          <w:rFonts w:ascii="宋体" w:hAnsi="宋体" w:cs="宋体"/>
          <w:sz w:val="24"/>
        </w:rPr>
      </w:pPr>
      <w:r>
        <w:rPr>
          <w:rFonts w:hint="eastAsia" w:ascii="宋体" w:hAnsi="宋体" w:cs="宋体"/>
          <w:sz w:val="24"/>
        </w:rPr>
        <w:t>2.1.2落实政府采购政策需满足的资格要求；（中小企业声明函）</w:t>
      </w:r>
    </w:p>
    <w:p>
      <w:pPr>
        <w:snapToGrid w:val="0"/>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ind w:left="420" w:leftChars="200" w:firstLine="480" w:firstLineChars="200"/>
        <w:rPr>
          <w:rFonts w:ascii="宋体" w:hAnsi="宋体" w:cs="宋体"/>
          <w:sz w:val="24"/>
        </w:rPr>
      </w:pPr>
      <w:r>
        <w:rPr>
          <w:rFonts w:hint="eastAsia" w:ascii="宋体" w:hAnsi="宋体" w:cs="宋体"/>
          <w:sz w:val="24"/>
        </w:rPr>
        <w:t>2.2.3符合性审查资料；</w:t>
      </w:r>
    </w:p>
    <w:p>
      <w:pPr>
        <w:snapToGrid w:val="0"/>
        <w:ind w:left="420" w:leftChars="200" w:firstLine="480" w:firstLineChars="200"/>
        <w:rPr>
          <w:rFonts w:ascii="宋体" w:hAnsi="宋体" w:cs="宋体"/>
          <w:sz w:val="24"/>
        </w:rPr>
      </w:pPr>
      <w:r>
        <w:rPr>
          <w:rFonts w:hint="eastAsia" w:ascii="宋体" w:hAnsi="宋体" w:cs="宋体"/>
          <w:sz w:val="24"/>
        </w:rPr>
        <w:t>2.2.4评标标准相应的商务技术资料；</w:t>
      </w:r>
    </w:p>
    <w:p>
      <w:pPr>
        <w:snapToGrid w:val="0"/>
        <w:ind w:left="420" w:leftChars="200" w:firstLine="480" w:firstLineChars="200"/>
        <w:rPr>
          <w:rFonts w:ascii="宋体" w:hAnsi="宋体" w:cs="宋体"/>
          <w:sz w:val="24"/>
        </w:rPr>
      </w:pPr>
      <w:r>
        <w:rPr>
          <w:rFonts w:hint="eastAsia" w:ascii="宋体" w:hAnsi="宋体" w:cs="宋体"/>
          <w:sz w:val="24"/>
        </w:rPr>
        <w:t>2.2.5投标标的清单；</w:t>
      </w:r>
    </w:p>
    <w:p>
      <w:pPr>
        <w:snapToGrid w:val="0"/>
        <w:ind w:left="420" w:leftChars="200" w:firstLine="480" w:firstLineChars="200"/>
        <w:rPr>
          <w:rFonts w:ascii="宋体" w:hAnsi="宋体" w:cs="宋体"/>
          <w:sz w:val="24"/>
        </w:rPr>
      </w:pPr>
      <w:r>
        <w:rPr>
          <w:rFonts w:hint="eastAsia" w:ascii="宋体" w:hAnsi="宋体" w:cs="宋体"/>
          <w:sz w:val="24"/>
        </w:rPr>
        <w:t>2.2.6商务技术偏离表；</w:t>
      </w:r>
    </w:p>
    <w:p>
      <w:pPr>
        <w:snapToGrid w:val="0"/>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ind w:left="420" w:leftChars="200" w:firstLine="480" w:firstLineChars="200"/>
        <w:rPr>
          <w:rFonts w:ascii="宋体" w:hAnsi="宋体" w:cs="宋体"/>
          <w:sz w:val="24"/>
        </w:rPr>
      </w:pPr>
      <w:r>
        <w:rPr>
          <w:rFonts w:hint="eastAsia" w:ascii="宋体" w:hAnsi="宋体" w:cs="宋体"/>
          <w:sz w:val="24"/>
        </w:rPr>
        <w:t>2.2.8安全承诺书（格式后附）</w:t>
      </w:r>
    </w:p>
    <w:p>
      <w:pPr>
        <w:snapToGrid w:val="0"/>
        <w:ind w:left="420" w:leftChars="200" w:firstLine="480" w:firstLineChars="200"/>
        <w:rPr>
          <w:rFonts w:ascii="宋体" w:hAnsi="宋体" w:cs="宋体"/>
          <w:sz w:val="24"/>
        </w:rPr>
      </w:pPr>
      <w:r>
        <w:rPr>
          <w:rFonts w:hint="eastAsia" w:ascii="宋体" w:hAnsi="宋体" w:cs="宋体"/>
          <w:sz w:val="24"/>
        </w:rPr>
        <w:t>2.2.9演示文件（随U盘邮寄；若无演示则不提供）</w:t>
      </w:r>
    </w:p>
    <w:p>
      <w:pPr>
        <w:snapToGrid w:val="0"/>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ind w:left="420" w:leftChars="200" w:firstLine="480" w:firstLineChars="200"/>
        <w:rPr>
          <w:rFonts w:ascii="宋体" w:hAnsi="宋体" w:cs="宋体"/>
          <w:sz w:val="24"/>
        </w:rPr>
      </w:pPr>
      <w:r>
        <w:rPr>
          <w:rFonts w:hint="eastAsia" w:ascii="宋体" w:hAnsi="宋体" w:cs="宋体"/>
          <w:sz w:val="24"/>
        </w:rPr>
        <w:t>2.3.1开标一览表（报价表）；</w:t>
      </w:r>
    </w:p>
    <w:p>
      <w:pPr>
        <w:snapToGrid w:val="0"/>
        <w:ind w:left="420" w:leftChars="200" w:firstLine="480" w:firstLineChars="200"/>
        <w:rPr>
          <w:rFonts w:ascii="宋体" w:hAnsi="宋体" w:cs="宋体"/>
          <w:sz w:val="24"/>
        </w:rPr>
      </w:pPr>
      <w:r>
        <w:rPr>
          <w:rFonts w:hint="eastAsia" w:ascii="宋体" w:hAnsi="宋体" w:cs="宋体"/>
          <w:sz w:val="24"/>
        </w:rPr>
        <w:t>2.3.2中小企业声明函；</w:t>
      </w:r>
    </w:p>
    <w:p>
      <w:pPr>
        <w:snapToGrid w:val="0"/>
        <w:ind w:left="420" w:leftChars="200" w:firstLine="480" w:firstLineChars="200"/>
        <w:rPr>
          <w:rFonts w:ascii="宋体" w:hAnsi="宋体" w:cs="宋体"/>
          <w:sz w:val="24"/>
        </w:rPr>
      </w:pPr>
      <w:r>
        <w:rPr>
          <w:rFonts w:hint="eastAsia" w:ascii="宋体" w:hAnsi="宋体" w:cs="宋体"/>
          <w:sz w:val="24"/>
        </w:rPr>
        <w:t>2.3.3报价明细表（格式后附）。</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rPr>
          <w:rFonts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w:t>
      </w:r>
    </w:p>
    <w:p>
      <w:pPr>
        <w:snapToGrid w:val="0"/>
        <w:spacing w:line="360" w:lineRule="auto"/>
        <w:rPr>
          <w:rFonts w:ascii="宋体" w:hAnsi="宋体" w:cs="宋体"/>
          <w:kern w:val="0"/>
          <w:sz w:val="24"/>
        </w:rPr>
      </w:pPr>
      <w:r>
        <w:rPr>
          <w:rFonts w:hint="eastAsia" w:ascii="宋体" w:hAnsi="宋体" w:cs="宋体"/>
          <w:sz w:val="24"/>
        </w:rPr>
        <w:t>（杭州市生态环境局桐庐分局）、（桐庐鸿泰工程咨询有限公司）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w:t>
      </w:r>
      <w:r>
        <w:rPr>
          <w:rFonts w:hint="eastAsia" w:ascii="宋体" w:hAnsi="宋体" w:cs="宋体"/>
          <w:sz w:val="24"/>
          <w:lang w:eastAsia="zh-CN"/>
        </w:rPr>
        <w:t>桐庐县生态环境污染隐患主动预警干预提质扩面项目（第二次）</w:t>
      </w:r>
      <w:r>
        <w:rPr>
          <w:rFonts w:hint="eastAsia" w:ascii="宋体" w:hAnsi="宋体" w:cs="宋体"/>
          <w:sz w:val="24"/>
        </w:rPr>
        <w:t>）【招标编号：（</w:t>
      </w:r>
      <w:r>
        <w:rPr>
          <w:rFonts w:hint="eastAsia" w:ascii="宋体" w:hAnsi="宋体" w:cs="宋体"/>
          <w:sz w:val="24"/>
          <w:lang w:eastAsia="zh-CN"/>
        </w:rPr>
        <w:t>TLHT-CG-2024-004-1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签发日期：  年  月   日</w:t>
      </w:r>
    </w:p>
    <w:p>
      <w:pPr>
        <w:pStyle w:val="39"/>
        <w:spacing w:line="360" w:lineRule="auto"/>
        <w:rPr>
          <w:rFonts w:hAnsi="宋体" w:cs="宋体"/>
          <w:bCs/>
          <w:sz w:val="24"/>
        </w:rPr>
      </w:pPr>
      <w:r>
        <w:rPr>
          <w:rFonts w:hint="eastAsia" w:hAnsi="宋体" w:cs="宋体"/>
          <w:bCs/>
          <w:sz w:val="24"/>
        </w:rPr>
        <w:t>身份证件扫描件：（法定代表人）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207" w:type="dxa"/>
          </w:tcPr>
          <w:p>
            <w:pPr>
              <w:pStyle w:val="39"/>
              <w:adjustRightInd w:val="0"/>
              <w:spacing w:line="360" w:lineRule="auto"/>
              <w:rPr>
                <w:rFonts w:hAnsi="宋体" w:cs="宋体"/>
                <w:bCs/>
                <w:sz w:val="24"/>
              </w:rPr>
            </w:pPr>
            <w:r>
              <w:rPr>
                <w:rFonts w:hint="eastAsia" w:hAnsi="宋体" w:cs="宋体"/>
                <w:bCs/>
                <w:sz w:val="24"/>
              </w:rPr>
              <w:t>正面：                                 反面：</w:t>
            </w:r>
          </w:p>
          <w:p>
            <w:pPr>
              <w:pStyle w:val="39"/>
              <w:adjustRightInd w:val="0"/>
              <w:spacing w:line="360" w:lineRule="auto"/>
              <w:rPr>
                <w:rFonts w:hAnsi="宋体" w:cs="宋体"/>
                <w:bCs/>
                <w:sz w:val="24"/>
              </w:rPr>
            </w:pPr>
          </w:p>
        </w:tc>
      </w:tr>
    </w:tbl>
    <w:p>
      <w:pPr>
        <w:pStyle w:val="39"/>
        <w:spacing w:line="360" w:lineRule="auto"/>
        <w:rPr>
          <w:rFonts w:hAnsi="宋体" w:cs="宋体"/>
          <w:bCs/>
          <w:sz w:val="24"/>
        </w:rPr>
      </w:pPr>
      <w:r>
        <w:rPr>
          <w:rFonts w:hint="eastAsia" w:hAnsi="宋体" w:cs="宋体"/>
          <w:bCs/>
          <w:sz w:val="24"/>
        </w:rPr>
        <w:t>身份证件扫描件：（受委托人）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207" w:type="dxa"/>
          </w:tcPr>
          <w:p>
            <w:pPr>
              <w:pStyle w:val="39"/>
              <w:adjustRightInd w:val="0"/>
              <w:spacing w:line="360" w:lineRule="auto"/>
              <w:rPr>
                <w:rFonts w:hAnsi="宋体" w:cs="宋体"/>
                <w:bCs/>
                <w:sz w:val="24"/>
              </w:rPr>
            </w:pPr>
            <w:r>
              <w:rPr>
                <w:rFonts w:hint="eastAsia" w:hAnsi="宋体" w:cs="宋体"/>
                <w:bCs/>
                <w:sz w:val="24"/>
              </w:rPr>
              <w:t>正面：                                 反面：</w:t>
            </w:r>
          </w:p>
          <w:p>
            <w:pPr>
              <w:pStyle w:val="39"/>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2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磋商响应文件中的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磋商响应文件按照竞争性磋商文件要求签署、盖章。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需要使用电子签名或者签字盖章的磋商响应文件的组成部分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见磋商响应文件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采购人拟采购的产品属于政府强制采购的节能产品品目清单范围的，供应商按竞争性磋商文件要求提供国家确定的认证机构出具的、处于有效期之内的节能产品认证证书。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tcPr>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见磋商响应文件</w:t>
            </w:r>
          </w:p>
          <w:p>
            <w:pPr>
              <w:pStyle w:val="3"/>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磋商响应文件中承诺的投标有效期不少于竞争性磋商文件中载明的投标有效期。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见磋商响应文件第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磋商响应文件满足竞争性磋商文件的其它实质性要求。</w:t>
            </w:r>
          </w:p>
        </w:tc>
        <w:tc>
          <w:tcPr>
            <w:tcW w:w="2551" w:type="dxa"/>
            <w:vAlign w:val="center"/>
          </w:tcPr>
          <w:p>
            <w:pPr>
              <w:rPr>
                <w:rFonts w:ascii="宋体" w:hAnsi="宋体" w:cs="宋体"/>
                <w:sz w:val="24"/>
              </w:rPr>
            </w:pPr>
            <w:r>
              <w:rPr>
                <w:rFonts w:hint="eastAsia" w:ascii="宋体" w:hAnsi="宋体" w:cs="宋体"/>
                <w:kern w:val="0"/>
                <w:sz w:val="24"/>
              </w:rPr>
              <w:t>竞争性磋商文件其它实质性要求相应的材料（“▲” 系指实质性要求条款，竞争性磋商文件无其它实质性要求的，无需提供）</w:t>
            </w:r>
          </w:p>
        </w:tc>
        <w:tc>
          <w:tcPr>
            <w:tcW w:w="1418" w:type="dxa"/>
          </w:tcPr>
          <w:p>
            <w:pPr>
              <w:rPr>
                <w:rFonts w:ascii="宋体" w:hAnsi="宋体" w:cs="宋体"/>
              </w:rPr>
            </w:pPr>
            <w:r>
              <w:rPr>
                <w:rFonts w:hint="eastAsia" w:ascii="宋体" w:hAnsi="宋体" w:cs="宋体"/>
                <w:sz w:val="24"/>
              </w:rPr>
              <w:t>见磋商响应文件第</w:t>
            </w:r>
            <w:r>
              <w:rPr>
                <w:rFonts w:hint="eastAsia" w:ascii="宋体" w:hAnsi="宋体" w:cs="宋体"/>
                <w:sz w:val="24"/>
                <w:u w:val="single"/>
              </w:rPr>
              <w:t xml:space="preserve">  </w:t>
            </w:r>
            <w:r>
              <w:rPr>
                <w:rFonts w:hint="eastAsia" w:ascii="宋体" w:hAnsi="宋体" w:cs="宋体"/>
                <w:sz w:val="24"/>
              </w:rPr>
              <w:t>页</w:t>
            </w:r>
          </w:p>
        </w:tc>
      </w:tr>
    </w:tbl>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（按竞争性磋商文件第四部分评标办法前附表中“磋商响应文件中评标标准相应的商务技术资料目录”提供资料）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五、投标标的清单</w:t>
      </w:r>
    </w:p>
    <w:tbl>
      <w:tblPr>
        <w:tblStyle w:val="2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558"/>
        <w:gridCol w:w="1650"/>
        <w:gridCol w:w="1941"/>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b/>
                <w:sz w:val="24"/>
              </w:rPr>
              <w:t>名称</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服务范围</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竞争性磋商文件章节及具体内容</w:t>
            </w:r>
          </w:p>
        </w:tc>
        <w:tc>
          <w:tcPr>
            <w:tcW w:w="3546" w:type="dxa"/>
          </w:tcPr>
          <w:p>
            <w:pPr>
              <w:jc w:val="center"/>
              <w:rPr>
                <w:rFonts w:ascii="宋体" w:hAnsi="宋体" w:cs="宋体"/>
                <w:b/>
                <w:bCs/>
                <w:sz w:val="24"/>
              </w:rPr>
            </w:pPr>
            <w:r>
              <w:rPr>
                <w:rFonts w:hint="eastAsia" w:ascii="宋体" w:hAnsi="宋体" w:cs="宋体"/>
                <w:b/>
                <w:bCs/>
                <w:sz w:val="24"/>
              </w:rPr>
              <w:t>磋商响应文件章节及具体内容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供应商保证：除商务技术偏离表列出的偏离外，供应商响应竞争性磋商文件的全部要求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（杭州市生态环境局桐庐分局）、（桐庐鸿泰工程咨询有限公司）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numPr>
          <w:ilvl w:val="0"/>
          <w:numId w:val="4"/>
        </w:numPr>
        <w:spacing w:line="360" w:lineRule="auto"/>
        <w:jc w:val="center"/>
        <w:rPr>
          <w:rFonts w:ascii="宋体" w:hAnsi="宋体" w:cs="宋体"/>
          <w:b/>
          <w:kern w:val="0"/>
          <w:sz w:val="32"/>
          <w:szCs w:val="32"/>
          <w:lang w:val="zh-CN"/>
        </w:rPr>
      </w:pPr>
      <w:r>
        <w:rPr>
          <w:rFonts w:hint="eastAsia" w:ascii="宋体" w:hAnsi="宋体" w:cs="宋体"/>
          <w:b/>
          <w:kern w:val="0"/>
          <w:sz w:val="32"/>
          <w:szCs w:val="32"/>
          <w:lang w:val="zh-CN"/>
        </w:rPr>
        <w:t>安全承诺书</w:t>
      </w:r>
    </w:p>
    <w:p>
      <w:pPr>
        <w:autoSpaceDE w:val="0"/>
        <w:autoSpaceDN w:val="0"/>
        <w:spacing w:line="360" w:lineRule="auto"/>
        <w:jc w:val="left"/>
        <w:rPr>
          <w:rFonts w:ascii="宋体" w:hAnsi="宋体" w:cs="宋体"/>
          <w:kern w:val="0"/>
          <w:sz w:val="24"/>
          <w:lang w:val="zh-CN"/>
        </w:rPr>
      </w:pPr>
      <w:r>
        <w:rPr>
          <w:rFonts w:hint="eastAsia" w:ascii="宋体" w:hAnsi="宋体" w:cs="宋体"/>
          <w:sz w:val="24"/>
        </w:rPr>
        <w:t>（杭州市生态环境局桐庐分局）、（桐庐鸿泰工程咨询有限公司）：</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我方对所投产品和服务全权负责。我方在本项目所有设备运输、安装、施工与维护、日常巡检等与本项目有关的工作以及本项目正常使用与运行时发生我方或第三方（包括该项目开展需要安装相关设施的企业）的人身伤害或财产损失等均由我方全部负责，采购人无需承担任何责任。</w:t>
      </w:r>
    </w:p>
    <w:p>
      <w:pPr>
        <w:spacing w:line="360" w:lineRule="auto"/>
        <w:outlineLvl w:val="0"/>
        <w:rPr>
          <w:rFonts w:ascii="宋体" w:hAnsi="宋体" w:cs="宋体"/>
          <w:kern w:val="0"/>
          <w:sz w:val="24"/>
        </w:rPr>
      </w:pPr>
      <w:r>
        <w:rPr>
          <w:rFonts w:hint="eastAsia" w:ascii="宋体" w:hAnsi="宋体" w:cs="宋体"/>
          <w:kern w:val="0"/>
          <w:sz w:val="24"/>
        </w:rPr>
        <w:t xml:space="preserve">    特此承诺</w:t>
      </w: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numPr>
          <w:ilvl w:val="0"/>
          <w:numId w:val="4"/>
        </w:numPr>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t>演示文件</w:t>
      </w:r>
    </w:p>
    <w:p>
      <w:pPr>
        <w:spacing w:line="360" w:lineRule="auto"/>
        <w:ind w:firstLine="480" w:firstLineChars="200"/>
        <w:outlineLvl w:val="0"/>
        <w:rPr>
          <w:rFonts w:ascii="宋体" w:hAnsi="宋体" w:cs="宋体"/>
          <w:kern w:val="0"/>
          <w:sz w:val="24"/>
          <w:lang w:val="zh-CN"/>
        </w:rPr>
      </w:pPr>
    </w:p>
    <w:p>
      <w:pPr>
        <w:spacing w:line="360" w:lineRule="auto"/>
        <w:ind w:firstLine="480" w:firstLineChars="200"/>
        <w:outlineLvl w:val="0"/>
        <w:rPr>
          <w:rFonts w:ascii="宋体" w:hAnsi="宋体" w:cs="宋体"/>
          <w:kern w:val="0"/>
          <w:sz w:val="24"/>
          <w:lang w:val="zh-CN"/>
        </w:rPr>
      </w:pPr>
      <w:r>
        <w:rPr>
          <w:rFonts w:hint="eastAsia" w:ascii="宋体" w:hAnsi="宋体" w:cs="宋体"/>
          <w:kern w:val="0"/>
          <w:sz w:val="24"/>
          <w:lang w:val="zh-CN"/>
        </w:rPr>
        <w:t>本项目演示文件相关说明如下：</w:t>
      </w:r>
    </w:p>
    <w:p>
      <w:pPr>
        <w:numPr>
          <w:ilvl w:val="0"/>
          <w:numId w:val="5"/>
        </w:numPr>
        <w:spacing w:line="360" w:lineRule="auto"/>
        <w:outlineLvl w:val="0"/>
        <w:rPr>
          <w:rFonts w:ascii="宋体" w:hAnsi="宋体" w:cs="宋体"/>
          <w:kern w:val="0"/>
          <w:sz w:val="24"/>
        </w:rPr>
      </w:pPr>
      <w:r>
        <w:rPr>
          <w:rFonts w:hint="eastAsia" w:ascii="宋体" w:hAnsi="宋体" w:cs="宋体"/>
          <w:kern w:val="0"/>
          <w:sz w:val="24"/>
        </w:rPr>
        <w:t>演示文件需拷贝至U盘，U盘密封包装后，以邮寄方式距开标日期前至少一个工作日邮寄至代理机构处。邮寄时写明公司名称。（如因快递原因未能在时限内邮寄至代理机构处，后果由投标单位自行承担）</w:t>
      </w:r>
    </w:p>
    <w:p>
      <w:pPr>
        <w:spacing w:line="360" w:lineRule="auto"/>
        <w:outlineLvl w:val="0"/>
        <w:rPr>
          <w:rFonts w:ascii="宋体" w:hAnsi="宋体" w:cs="宋体"/>
          <w:kern w:val="0"/>
          <w:sz w:val="24"/>
        </w:rPr>
      </w:pPr>
      <w:r>
        <w:rPr>
          <w:rFonts w:hint="eastAsia" w:ascii="宋体" w:hAnsi="宋体" w:cs="宋体"/>
          <w:kern w:val="0"/>
          <w:sz w:val="24"/>
        </w:rPr>
        <w:t>邮寄地址：浙江省杭州市桐庐县迎春南路88号桦桐大厦20楼桐庐鸿泰工程咨询有限公司孙鸣收</w:t>
      </w:r>
    </w:p>
    <w:p>
      <w:pPr>
        <w:spacing w:line="360" w:lineRule="auto"/>
        <w:outlineLvl w:val="0"/>
        <w:rPr>
          <w:rFonts w:ascii="宋体" w:hAnsi="宋体" w:cs="宋体"/>
          <w:kern w:val="0"/>
          <w:sz w:val="24"/>
        </w:rPr>
      </w:pPr>
      <w:r>
        <w:rPr>
          <w:rFonts w:hint="eastAsia" w:ascii="宋体" w:hAnsi="宋体" w:cs="宋体"/>
          <w:kern w:val="0"/>
          <w:sz w:val="24"/>
        </w:rPr>
        <w:t xml:space="preserve">联系电话1516829397 </w:t>
      </w:r>
    </w:p>
    <w:p>
      <w:pPr>
        <w:numPr>
          <w:ilvl w:val="0"/>
          <w:numId w:val="5"/>
        </w:numPr>
        <w:spacing w:line="360" w:lineRule="auto"/>
        <w:outlineLvl w:val="0"/>
        <w:rPr>
          <w:rFonts w:ascii="宋体" w:hAnsi="宋体"/>
          <w:color w:val="000000" w:themeColor="text1"/>
          <w:sz w:val="24"/>
        </w:rPr>
      </w:pPr>
      <w:r>
        <w:rPr>
          <w:rFonts w:hint="eastAsia" w:ascii="宋体" w:hAnsi="宋体" w:cs="宋体"/>
          <w:kern w:val="0"/>
          <w:sz w:val="24"/>
        </w:rPr>
        <w:t>演示文件</w:t>
      </w:r>
      <w:r>
        <w:rPr>
          <w:rFonts w:hint="eastAsia" w:ascii="宋体" w:hAnsi="宋体"/>
          <w:color w:val="000000" w:themeColor="text1"/>
          <w:sz w:val="24"/>
        </w:rPr>
        <w:t>录制视频时长10分钟以内，录制的视频建议为MP4格式。（如因文件格式原因造成文件无法播放的，后果由供应商自行承担）</w:t>
      </w:r>
    </w:p>
    <w:p>
      <w:pPr>
        <w:numPr>
          <w:ilvl w:val="0"/>
          <w:numId w:val="5"/>
        </w:numPr>
        <w:spacing w:line="360" w:lineRule="auto"/>
        <w:outlineLvl w:val="0"/>
        <w:rPr>
          <w:rFonts w:ascii="宋体" w:hAnsi="宋体"/>
          <w:color w:val="000000" w:themeColor="text1"/>
          <w:sz w:val="24"/>
        </w:rPr>
      </w:pPr>
      <w:r>
        <w:rPr>
          <w:rFonts w:hint="eastAsia" w:ascii="宋体" w:hAnsi="宋体"/>
          <w:color w:val="000000" w:themeColor="text1"/>
          <w:sz w:val="24"/>
        </w:rPr>
        <w:t>演示文件内容要求采用桐庐县真实数据演示，无演示或使用纯文字、PPT、纯图片、DEMO、仅语音等方式演示的不得分。</w:t>
      </w:r>
    </w:p>
    <w:p>
      <w:pPr>
        <w:spacing w:line="360" w:lineRule="auto"/>
        <w:outlineLvl w:val="0"/>
        <w:rPr>
          <w:rFonts w:ascii="宋体" w:hAnsi="宋体" w:cs="宋体"/>
          <w:kern w:val="0"/>
          <w:sz w:val="24"/>
        </w:rPr>
      </w:pPr>
      <w:r>
        <w:rPr>
          <w:rFonts w:hint="eastAsia" w:ascii="宋体" w:hAnsi="宋体" w:cs="宋体"/>
          <w:kern w:val="0"/>
          <w:sz w:val="24"/>
        </w:rPr>
        <w:t>4、若供应商无演示，本项可不必提供，不作为商务技术文件的组成部分。</w:t>
      </w: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kern w:val="0"/>
          <w:sz w:val="24"/>
          <w:lang w:val="zh-CN"/>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rPr>
          <w:rFonts w:ascii="宋体" w:hAnsi="宋体" w:cs="宋体"/>
          <w:sz w:val="24"/>
        </w:rPr>
      </w:pPr>
      <w:r>
        <w:rPr>
          <w:rFonts w:hint="eastAsia" w:ascii="宋体" w:hAnsi="宋体" w:cs="宋体"/>
          <w:sz w:val="24"/>
        </w:rPr>
        <w:t>（3）报价明细表……………………………………………………………………（页码）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4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4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（杭州市生态环境局桐庐分局）、（桐庐鸿泰工程咨询有限公司）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按你方竞争性磋商文件要求，我们，本磋商响应文件签字方，谨此向你方发出要约如下：如你方接受本投标，我方承诺按照如下开标一览表（报价表）的价格完成</w:t>
      </w:r>
      <w:r>
        <w:rPr>
          <w:rFonts w:hint="eastAsia" w:ascii="宋体" w:hAnsi="宋体" w:cs="宋体"/>
          <w:sz w:val="24"/>
        </w:rPr>
        <w:t>（</w:t>
      </w:r>
      <w:r>
        <w:rPr>
          <w:rFonts w:hint="eastAsia" w:ascii="宋体" w:hAnsi="宋体" w:cs="宋体"/>
          <w:sz w:val="24"/>
          <w:lang w:eastAsia="zh-CN"/>
        </w:rPr>
        <w:t>桐庐县生态环境污染隐患主动预警干预提质扩面项目（第二次）</w:t>
      </w:r>
      <w:r>
        <w:rPr>
          <w:rFonts w:hint="eastAsia" w:ascii="宋体" w:hAnsi="宋体" w:cs="宋体"/>
          <w:sz w:val="24"/>
        </w:rPr>
        <w:t>）【招标编号：（</w:t>
      </w:r>
      <w:r>
        <w:rPr>
          <w:rFonts w:hint="eastAsia" w:ascii="宋体" w:hAnsi="宋体" w:cs="宋体"/>
          <w:sz w:val="24"/>
          <w:lang w:eastAsia="zh-CN"/>
        </w:rPr>
        <w:t>TLHT-CG-2024-004-1</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2"/>
        <w:gridCol w:w="3633"/>
        <w:gridCol w:w="3633"/>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2" w:type="dxa"/>
            <w:vAlign w:val="center"/>
          </w:tcPr>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项目名称</w:t>
            </w:r>
          </w:p>
        </w:tc>
        <w:tc>
          <w:tcPr>
            <w:tcW w:w="3633" w:type="dxa"/>
            <w:vAlign w:val="center"/>
          </w:tcPr>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服务期</w:t>
            </w:r>
          </w:p>
        </w:tc>
        <w:tc>
          <w:tcPr>
            <w:tcW w:w="3633" w:type="dxa"/>
            <w:vAlign w:val="center"/>
          </w:tcPr>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报价</w:t>
            </w:r>
          </w:p>
        </w:tc>
        <w:tc>
          <w:tcPr>
            <w:tcW w:w="3633" w:type="dxa"/>
            <w:vAlign w:val="center"/>
          </w:tcPr>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2" w:type="dxa"/>
            <w:vAlign w:val="center"/>
          </w:tcPr>
          <w:p>
            <w:pPr>
              <w:snapToGrid w:val="0"/>
              <w:spacing w:line="360" w:lineRule="auto"/>
              <w:jc w:val="center"/>
              <w:rPr>
                <w:rFonts w:hint="eastAsia" w:ascii="宋体" w:hAnsi="宋体" w:eastAsia="宋体" w:cs="宋体"/>
                <w:b/>
                <w:kern w:val="0"/>
                <w:sz w:val="24"/>
                <w:lang w:val="zh-CN" w:eastAsia="zh-CN"/>
              </w:rPr>
            </w:pPr>
            <w:r>
              <w:rPr>
                <w:rFonts w:hint="eastAsia" w:ascii="宋体" w:hAnsi="宋体" w:cs="宋体"/>
                <w:sz w:val="24"/>
                <w:lang w:eastAsia="zh-CN"/>
              </w:rPr>
              <w:t>桐庐县生态环境污染隐患主动预警干预提质扩面项目（第二次）</w:t>
            </w:r>
          </w:p>
        </w:tc>
        <w:tc>
          <w:tcPr>
            <w:tcW w:w="3633" w:type="dxa"/>
            <w:vAlign w:val="center"/>
          </w:tcPr>
          <w:p>
            <w:pPr>
              <w:snapToGrid w:val="0"/>
              <w:spacing w:line="360" w:lineRule="auto"/>
              <w:jc w:val="center"/>
              <w:rPr>
                <w:rFonts w:ascii="宋体" w:hAnsi="宋体" w:cs="宋体"/>
                <w:b/>
                <w:kern w:val="0"/>
                <w:sz w:val="24"/>
              </w:rPr>
            </w:pPr>
            <w:r>
              <w:rPr>
                <w:rFonts w:hint="eastAsia" w:ascii="宋体" w:hAnsi="宋体" w:cs="宋体"/>
                <w:b/>
                <w:kern w:val="0"/>
                <w:sz w:val="24"/>
              </w:rPr>
              <w:t>8个月</w:t>
            </w:r>
          </w:p>
        </w:tc>
        <w:tc>
          <w:tcPr>
            <w:tcW w:w="3633" w:type="dxa"/>
            <w:vAlign w:val="center"/>
          </w:tcPr>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大写：</w:t>
            </w:r>
          </w:p>
          <w:p>
            <w:pPr>
              <w:snapToGrid w:val="0"/>
              <w:spacing w:line="360" w:lineRule="auto"/>
              <w:jc w:val="center"/>
              <w:rPr>
                <w:rFonts w:ascii="宋体" w:hAnsi="宋体" w:cs="宋体"/>
                <w:b/>
                <w:kern w:val="0"/>
                <w:sz w:val="24"/>
                <w:lang w:val="zh-CN"/>
              </w:rPr>
            </w:pPr>
            <w:r>
              <w:rPr>
                <w:rFonts w:hint="eastAsia" w:ascii="宋体" w:hAnsi="宋体" w:cs="宋体"/>
                <w:b/>
                <w:kern w:val="0"/>
                <w:sz w:val="24"/>
                <w:lang w:val="zh-CN"/>
              </w:rPr>
              <w:t>小写：</w:t>
            </w:r>
          </w:p>
        </w:tc>
        <w:tc>
          <w:tcPr>
            <w:tcW w:w="3633" w:type="dxa"/>
            <w:vAlign w:val="center"/>
          </w:tcPr>
          <w:p>
            <w:pPr>
              <w:snapToGrid w:val="0"/>
              <w:spacing w:line="360" w:lineRule="auto"/>
              <w:jc w:val="center"/>
              <w:rPr>
                <w:rFonts w:ascii="宋体" w:hAnsi="宋体" w:cs="宋体"/>
                <w:b/>
                <w:kern w:val="0"/>
                <w:sz w:val="24"/>
                <w:lang w:val="zh-CN"/>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numPr>
          <w:ilvl w:val="0"/>
          <w:numId w:val="6"/>
        </w:num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此表应按项目的明细情况列项填报,在填写时，如上表不适合本项目的实际情况，可在确保投标明细内容完整的情况下，根据上表格式自行划表填写。</w:t>
      </w:r>
    </w:p>
    <w:p>
      <w:pPr>
        <w:autoSpaceDE w:val="0"/>
        <w:autoSpaceDN w:val="0"/>
        <w:spacing w:line="360" w:lineRule="auto"/>
        <w:ind w:left="2" w:leftChars="1" w:right="1120" w:firstLine="4560" w:firstLineChars="1900"/>
        <w:jc w:val="righ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jc w:val="right"/>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ind w:left="418" w:leftChars="199"/>
        <w:rPr>
          <w:rFonts w:ascii="宋体" w:hAnsi="宋体" w:cs="宋体"/>
          <w:kern w:val="0"/>
          <w:sz w:val="24"/>
          <w:lang w:val="zh-CN"/>
        </w:rPr>
      </w:pP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磋商响应文件含有采购人不能接受的附加条件的，投标无效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hAnsi="宋体" w:cs="宋体"/>
          <w:sz w:val="32"/>
          <w:szCs w:val="32"/>
        </w:rPr>
      </w:pPr>
      <w:r>
        <w:rPr>
          <w:rFonts w:hint="eastAsia" w:ascii="宋体" w:hAnsi="宋体" w:cs="宋体"/>
          <w:kern w:val="0"/>
          <w:sz w:val="24"/>
          <w:szCs w:val="22"/>
          <w:lang w:val="zh-CN"/>
        </w:rPr>
        <w:t>5、</w:t>
      </w:r>
      <w:r>
        <w:rPr>
          <w:rFonts w:hint="eastAsia" w:ascii="宋体" w:hAnsi="宋体" w:cs="宋体"/>
          <w:kern w:val="0"/>
          <w:sz w:val="24"/>
          <w:lang w:val="zh-CN"/>
        </w:rPr>
        <w:t>符合竞争性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p>
    <w:p>
      <w:pPr>
        <w:pStyle w:val="4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二、报价明细表</w:t>
      </w:r>
    </w:p>
    <w:p>
      <w:pPr>
        <w:snapToGrid w:val="0"/>
        <w:spacing w:line="360" w:lineRule="auto"/>
        <w:rPr>
          <w:rFonts w:cs="宋体" w:asciiTheme="minorEastAsia" w:hAnsiTheme="minorEastAsia" w:eastAsiaTheme="minorEastAsia"/>
          <w:kern w:val="0"/>
          <w:sz w:val="24"/>
        </w:rPr>
      </w:pPr>
      <w:r>
        <w:rPr>
          <w:rFonts w:hint="eastAsia" w:ascii="宋体" w:hAnsi="宋体" w:cs="宋体"/>
          <w:sz w:val="24"/>
        </w:rPr>
        <w:t>（杭州市生态环境局桐庐分局）、（桐庐鸿泰工程咨询有限公司）</w:t>
      </w:r>
      <w:r>
        <w:rPr>
          <w:rFonts w:hint="eastAsia" w:cs="宋体" w:asciiTheme="minorEastAsia" w:hAnsiTheme="minorEastAsia" w:eastAsiaTheme="minorEastAsia"/>
          <w:kern w:val="0"/>
          <w:sz w:val="24"/>
          <w:lang w:val="zh-CN"/>
        </w:rPr>
        <w:t>：</w:t>
      </w:r>
    </w:p>
    <w:p>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按你方招标文件要求，我们，本投标文件签字方，谨此向你方发出要约如下：如你方接受本投标，我方承诺按照如下开标明细表（报价表）的价格完成</w:t>
      </w:r>
      <w:r>
        <w:rPr>
          <w:rFonts w:hint="eastAsia" w:ascii="宋体" w:hAnsi="宋体" w:cs="宋体"/>
          <w:sz w:val="24"/>
        </w:rPr>
        <w:t>（</w:t>
      </w:r>
      <w:r>
        <w:rPr>
          <w:rFonts w:hint="eastAsia" w:ascii="宋体" w:hAnsi="宋体" w:cs="宋体"/>
          <w:sz w:val="24"/>
          <w:lang w:eastAsia="zh-CN"/>
        </w:rPr>
        <w:t>桐庐县生态环境污染隐患主动预警干预提质扩面项目（第二次）</w:t>
      </w:r>
      <w:r>
        <w:rPr>
          <w:rFonts w:hint="eastAsia" w:ascii="宋体" w:hAnsi="宋体" w:cs="宋体"/>
          <w:sz w:val="24"/>
        </w:rPr>
        <w:t>）【招标编号：（</w:t>
      </w:r>
      <w:r>
        <w:rPr>
          <w:rFonts w:hint="eastAsia" w:ascii="宋体" w:hAnsi="宋体" w:cs="宋体"/>
          <w:sz w:val="24"/>
          <w:lang w:eastAsia="zh-CN"/>
        </w:rPr>
        <w:t>TLHT-CG-2024-004-1</w:t>
      </w:r>
      <w:r>
        <w:rPr>
          <w:rFonts w:hint="eastAsia" w:ascii="宋体" w:hAnsi="宋体" w:cs="宋体"/>
          <w:sz w:val="24"/>
        </w:rPr>
        <w:t>）】</w:t>
      </w:r>
      <w:r>
        <w:rPr>
          <w:rFonts w:hint="eastAsia" w:cs="宋体" w:asciiTheme="minorEastAsia" w:hAnsiTheme="minorEastAsia" w:eastAsiaTheme="minorEastAsia"/>
          <w:sz w:val="24"/>
        </w:rPr>
        <w:t>的实施</w:t>
      </w: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b/>
          <w:kern w:val="0"/>
          <w:sz w:val="24"/>
          <w:lang w:val="zh-CN"/>
        </w:rPr>
        <w:t>开标明细表（报价表）(单位均为人民币元)</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2319"/>
        <w:gridCol w:w="2410"/>
        <w:gridCol w:w="973"/>
        <w:gridCol w:w="3454"/>
        <w:gridCol w:w="1204"/>
        <w:gridCol w:w="678"/>
        <w:gridCol w:w="67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40" w:type="dxa"/>
            <w:gridSpan w:val="9"/>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12"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序号</w:t>
            </w:r>
          </w:p>
        </w:tc>
        <w:tc>
          <w:tcPr>
            <w:tcW w:w="5702" w:type="dxa"/>
            <w:gridSpan w:val="3"/>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一级模块</w:t>
            </w:r>
          </w:p>
        </w:tc>
        <w:tc>
          <w:tcPr>
            <w:tcW w:w="5336" w:type="dxa"/>
            <w:gridSpan w:val="3"/>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二级模块</w:t>
            </w:r>
          </w:p>
        </w:tc>
        <w:tc>
          <w:tcPr>
            <w:tcW w:w="2190"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012"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w:t>
            </w:r>
          </w:p>
        </w:tc>
        <w:tc>
          <w:tcPr>
            <w:tcW w:w="5702" w:type="dxa"/>
            <w:gridSpan w:val="3"/>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5336" w:type="dxa"/>
            <w:gridSpan w:val="3"/>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2190"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40" w:type="dxa"/>
            <w:gridSpan w:val="9"/>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服务购买部分（三年）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2"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序号</w:t>
            </w:r>
          </w:p>
        </w:tc>
        <w:tc>
          <w:tcPr>
            <w:tcW w:w="2319"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设备名称</w:t>
            </w:r>
          </w:p>
        </w:tc>
        <w:tc>
          <w:tcPr>
            <w:tcW w:w="2410"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设备型号</w:t>
            </w:r>
          </w:p>
        </w:tc>
        <w:tc>
          <w:tcPr>
            <w:tcW w:w="4427"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设备参数</w:t>
            </w:r>
          </w:p>
        </w:tc>
        <w:tc>
          <w:tcPr>
            <w:tcW w:w="1204"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数量</w:t>
            </w:r>
          </w:p>
        </w:tc>
        <w:tc>
          <w:tcPr>
            <w:tcW w:w="1353"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单价</w:t>
            </w:r>
          </w:p>
        </w:tc>
        <w:tc>
          <w:tcPr>
            <w:tcW w:w="1515"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单项总价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2"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w:t>
            </w:r>
          </w:p>
        </w:tc>
        <w:tc>
          <w:tcPr>
            <w:tcW w:w="2319"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2410"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4427"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1204"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1353" w:type="dxa"/>
            <w:gridSpan w:val="2"/>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c>
          <w:tcPr>
            <w:tcW w:w="1515" w:type="dxa"/>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72" w:type="dxa"/>
            <w:gridSpan w:val="6"/>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r>
              <w:rPr>
                <w:rFonts w:hint="eastAsia" w:ascii="宋体" w:hAnsi="宋体" w:eastAsia="宋体" w:cs="宋体"/>
                <w:kern w:val="2"/>
                <w:sz w:val="21"/>
                <w:szCs w:val="21"/>
              </w:rPr>
              <w:t>合计</w:t>
            </w:r>
          </w:p>
        </w:tc>
        <w:tc>
          <w:tcPr>
            <w:tcW w:w="2868" w:type="dxa"/>
            <w:gridSpan w:val="3"/>
          </w:tcPr>
          <w:p>
            <w:pPr>
              <w:pStyle w:val="41"/>
              <w:keepNext w:val="0"/>
              <w:pageBreakBefore w:val="0"/>
              <w:tabs>
                <w:tab w:val="clear" w:pos="720"/>
              </w:tabs>
              <w:snapToGrid w:val="0"/>
              <w:spacing w:before="120" w:after="120"/>
              <w:outlineLvl w:val="9"/>
              <w:rPr>
                <w:rFonts w:ascii="宋体" w:hAnsi="宋体" w:eastAsia="宋体" w:cs="宋体"/>
                <w:kern w:val="2"/>
                <w:sz w:val="21"/>
                <w:szCs w:val="21"/>
              </w:rPr>
            </w:pPr>
          </w:p>
        </w:tc>
      </w:tr>
    </w:tbl>
    <w:p>
      <w:pPr>
        <w:pStyle w:val="41"/>
        <w:keepNext w:val="0"/>
        <w:pageBreakBefore w:val="0"/>
        <w:tabs>
          <w:tab w:val="clear" w:pos="720"/>
        </w:tabs>
        <w:snapToGrid w:val="0"/>
        <w:spacing w:before="120" w:after="120"/>
        <w:ind w:firstLine="643"/>
        <w:jc w:val="both"/>
        <w:outlineLvl w:val="9"/>
        <w:rPr>
          <w:rFonts w:ascii="宋体" w:hAnsi="宋体" w:eastAsia="宋体" w:cs="宋体"/>
          <w:kern w:val="2"/>
          <w:sz w:val="21"/>
          <w:szCs w:val="21"/>
        </w:rPr>
      </w:pPr>
      <w:r>
        <w:rPr>
          <w:rFonts w:hint="eastAsia" w:ascii="宋体" w:hAnsi="宋体" w:eastAsia="宋体" w:cs="宋体"/>
          <w:kern w:val="2"/>
          <w:sz w:val="21"/>
          <w:szCs w:val="21"/>
        </w:rPr>
        <w:t>注：若上表不能够清楚表达供应商商品信息，可在保留现有内容的情况下，按照自身情况对表格进行编制。</w:t>
      </w:r>
    </w:p>
    <w:p>
      <w:pPr>
        <w:autoSpaceDE w:val="0"/>
        <w:autoSpaceDN w:val="0"/>
        <w:spacing w:line="360" w:lineRule="auto"/>
        <w:ind w:left="2" w:leftChars="1" w:right="1120" w:firstLine="4560" w:firstLineChars="1900"/>
        <w:jc w:val="righ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jc w:val="right"/>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pStyle w:val="4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41"/>
        <w:keepNext w:val="0"/>
        <w:pageBreakBefore w:val="0"/>
        <w:tabs>
          <w:tab w:val="clear" w:pos="720"/>
        </w:tabs>
        <w:snapToGrid w:val="0"/>
        <w:spacing w:before="120" w:after="120"/>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6）。]</w:t>
      </w:r>
    </w:p>
    <w:p>
      <w:pPr>
        <w:pStyle w:val="41"/>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2"/>
        <w:keepNext w:val="0"/>
        <w:keepLines w:val="0"/>
        <w:pageBreakBefore/>
        <w:widowControl/>
        <w:spacing w:before="100" w:beforeAutospacing="1" w:after="100" w:afterAutospacing="1" w:line="360" w:lineRule="auto"/>
        <w:ind w:left="0" w:firstLine="0"/>
        <w:jc w:val="center"/>
        <w:rPr>
          <w:rFonts w:ascii="宋体" w:hAnsi="宋体" w:cs="宋体"/>
        </w:rPr>
      </w:pPr>
      <w:bookmarkStart w:id="396" w:name="_Toc465665161"/>
      <w:r>
        <w:rPr>
          <w:rFonts w:hint="eastAsia" w:ascii="宋体" w:hAnsi="宋体" w:cs="宋体"/>
        </w:rPr>
        <w:t>附件</w:t>
      </w:r>
      <w:bookmarkEnd w:id="396"/>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7" w:name="OLE_LINK14"/>
      <w:bookmarkStart w:id="398" w:name="OLE_LINK13"/>
      <w:r>
        <w:rPr>
          <w:rFonts w:hint="eastAsia" w:ascii="宋体" w:hAnsi="宋体" w:cs="宋体"/>
          <w:b/>
          <w:spacing w:val="6"/>
          <w:sz w:val="32"/>
          <w:szCs w:val="32"/>
        </w:rPr>
        <w:t>残疾人福利性单位声明函</w:t>
      </w:r>
    </w:p>
    <w:bookmarkEnd w:id="397"/>
    <w:bookmarkEnd w:id="39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供应商名称（电子签名）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b/>
          <w:spacing w:val="6"/>
          <w:sz w:val="32"/>
          <w:szCs w:val="32"/>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(供应商全称)是中华人民共和国依法登记注册的合法企业，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6192;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5168;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w:t>
      </w:r>
      <w:r>
        <w:rPr>
          <w:rFonts w:hint="eastAsia" w:ascii="宋体" w:hAnsi="宋体" w:cs="宋体"/>
          <w:kern w:val="0"/>
          <w:sz w:val="24"/>
          <w:highlight w:val="yellow"/>
          <w:lang w:val="zh-CN"/>
        </w:rPr>
        <w:t>中小企业合同份额</w:t>
      </w:r>
      <w:r>
        <w:rPr>
          <w:rFonts w:hint="eastAsia" w:ascii="宋体" w:hAnsi="宋体" w:cs="宋体"/>
          <w:kern w:val="0"/>
          <w:sz w:val="24"/>
          <w:lang w:val="zh-CN"/>
        </w:rPr>
        <w:t>。</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9"/>
      <w:r>
        <w:rPr>
          <w:rFonts w:hint="eastAsia" w:ascii="宋体" w:hAnsi="宋体" w:cs="宋体"/>
          <w:kern w:val="0"/>
          <w:sz w:val="24"/>
          <w:u w:val="single"/>
        </w:rPr>
        <w:t>）</w:t>
      </w:r>
      <w:r>
        <w:rPr>
          <w:rFonts w:hint="eastAsia" w:ascii="宋体" w:hAnsi="宋体" w:cs="宋体"/>
          <w:kern w:val="0"/>
          <w:sz w:val="24"/>
        </w:rPr>
        <w:t>提供的</w:t>
      </w:r>
      <w:r>
        <w:rPr>
          <w:rFonts w:hint="eastAsia" w:ascii="宋体" w:hAnsi="宋体" w:cs="宋体"/>
          <w:kern w:val="0"/>
          <w:sz w:val="24"/>
          <w:highlight w:val="yellow"/>
        </w:rPr>
        <w:t>服务由小微企业承接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0"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宋体" w:hAnsi="宋体" w:cs="宋体"/>
          <w:b/>
          <w:kern w:val="0"/>
          <w:sz w:val="24"/>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40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附件6：</w:t>
      </w:r>
      <w:r>
        <w:rPr>
          <w:rFonts w:hint="eastAsia" w:ascii="宋体" w:hAnsi="宋体" w:cs="宋体"/>
          <w:b/>
          <w:sz w:val="32"/>
          <w:szCs w:val="32"/>
        </w:rPr>
        <w:t>中小企业声明函</w:t>
      </w:r>
    </w:p>
    <w:p>
      <w:pPr>
        <w:spacing w:line="360" w:lineRule="auto"/>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杭州市生态环境局桐庐分局</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eastAsia="zh-CN"/>
        </w:rPr>
        <w:t>桐庐县生态环境污染隐患主动预警干预提质扩面项目（第二次）</w:t>
      </w:r>
      <w:r>
        <w:rPr>
          <w:rFonts w:hint="eastAsia" w:ascii="宋体" w:hAnsi="宋体" w:cs="宋体"/>
          <w:sz w:val="24"/>
          <w:u w:val="single"/>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color w:val="FF0000"/>
          <w:sz w:val="24"/>
        </w:rPr>
      </w:pPr>
      <w:r>
        <w:rPr>
          <w:rFonts w:hint="eastAsia" w:ascii="宋体" w:hAnsi="宋体" w:cs="宋体"/>
          <w:color w:val="FF0000"/>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
      <w:pPr>
        <w:pStyle w:val="3"/>
      </w:pPr>
    </w:p>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pPr>
    </w:p>
    <w:p>
      <w:pPr>
        <w:pStyle w:val="29"/>
        <w:sectPr>
          <w:pgSz w:w="11906" w:h="16838"/>
          <w:pgMar w:top="1440" w:right="1800" w:bottom="1440" w:left="1800" w:header="851" w:footer="992" w:gutter="0"/>
          <w:cols w:space="425" w:num="1"/>
          <w:docGrid w:type="lines" w:linePitch="312" w:charSpace="0"/>
        </w:sectPr>
      </w:pPr>
    </w:p>
    <w:tbl>
      <w:tblPr>
        <w:tblStyle w:val="23"/>
        <w:tblpPr w:leftFromText="180" w:rightFromText="180" w:vertAnchor="text" w:horzAnchor="page" w:tblpX="608" w:tblpY="459"/>
        <w:tblOverlap w:val="never"/>
        <w:tblW w:w="15369" w:type="dxa"/>
        <w:tblInd w:w="0" w:type="dxa"/>
        <w:tblLayout w:type="fixed"/>
        <w:tblCellMar>
          <w:top w:w="0" w:type="dxa"/>
          <w:left w:w="108" w:type="dxa"/>
          <w:bottom w:w="0" w:type="dxa"/>
          <w:right w:w="108" w:type="dxa"/>
        </w:tblCellMar>
      </w:tblPr>
      <w:tblGrid>
        <w:gridCol w:w="2315"/>
        <w:gridCol w:w="1437"/>
        <w:gridCol w:w="1936"/>
        <w:gridCol w:w="1660"/>
        <w:gridCol w:w="1240"/>
        <w:gridCol w:w="1419"/>
        <w:gridCol w:w="1581"/>
        <w:gridCol w:w="1285"/>
        <w:gridCol w:w="1275"/>
        <w:gridCol w:w="1221"/>
      </w:tblGrid>
      <w:tr>
        <w:tblPrEx>
          <w:tblCellMar>
            <w:top w:w="0" w:type="dxa"/>
            <w:left w:w="108" w:type="dxa"/>
            <w:bottom w:w="0" w:type="dxa"/>
            <w:right w:w="108" w:type="dxa"/>
          </w:tblCellMar>
        </w:tblPrEx>
        <w:trPr>
          <w:trHeight w:val="90" w:hRule="atLeast"/>
        </w:trPr>
        <w:tc>
          <w:tcPr>
            <w:tcW w:w="15369" w:type="dxa"/>
            <w:gridSpan w:val="10"/>
            <w:tcBorders>
              <w:top w:val="nil"/>
              <w:left w:val="nil"/>
              <w:bottom w:val="nil"/>
              <w:right w:val="nil"/>
            </w:tcBorders>
            <w:noWrap/>
            <w:vAlign w:val="bottom"/>
          </w:tcPr>
          <w:p>
            <w:pPr>
              <w:widowControl/>
              <w:jc w:val="center"/>
              <w:rPr>
                <w:rFonts w:ascii="宋体" w:hAnsi="宋体" w:cs="宋体"/>
                <w:b/>
                <w:bCs/>
                <w:kern w:val="0"/>
                <w:sz w:val="18"/>
                <w:szCs w:val="18"/>
              </w:rPr>
            </w:pPr>
            <w:r>
              <w:rPr>
                <w:rFonts w:hint="eastAsia" w:ascii="宋体" w:hAnsi="宋体"/>
                <w:b/>
                <w:spacing w:val="6"/>
                <w:sz w:val="32"/>
                <w:szCs w:val="32"/>
              </w:rPr>
              <w:t>中小微行业划型标准规定（根据工信部联企业〔2011〕300号制定）</w:t>
            </w:r>
          </w:p>
        </w:tc>
      </w:tr>
      <w:tr>
        <w:tblPrEx>
          <w:tblCellMar>
            <w:top w:w="0" w:type="dxa"/>
            <w:left w:w="108" w:type="dxa"/>
            <w:bottom w:w="0" w:type="dxa"/>
            <w:right w:w="108" w:type="dxa"/>
          </w:tblCellMar>
        </w:tblPrEx>
        <w:trPr>
          <w:trHeight w:val="294" w:hRule="atLeast"/>
        </w:trPr>
        <w:tc>
          <w:tcPr>
            <w:tcW w:w="2315" w:type="dxa"/>
            <w:vMerge w:val="restart"/>
            <w:tcBorders>
              <w:top w:val="single" w:color="auto" w:sz="8" w:space="0"/>
              <w:left w:val="single" w:color="auto" w:sz="8" w:space="0"/>
              <w:bottom w:val="single" w:color="000000" w:sz="4" w:space="0"/>
              <w:right w:val="single" w:color="auto" w:sz="8" w:space="0"/>
            </w:tcBorders>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行业</w:t>
            </w:r>
          </w:p>
        </w:tc>
        <w:tc>
          <w:tcPr>
            <w:tcW w:w="5033"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中型企业</w:t>
            </w:r>
          </w:p>
        </w:tc>
        <w:tc>
          <w:tcPr>
            <w:tcW w:w="4240"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小型企业</w:t>
            </w:r>
          </w:p>
        </w:tc>
        <w:tc>
          <w:tcPr>
            <w:tcW w:w="3781"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微型企业</w:t>
            </w:r>
          </w:p>
        </w:tc>
      </w:tr>
      <w:tr>
        <w:tblPrEx>
          <w:tblCellMar>
            <w:top w:w="0" w:type="dxa"/>
            <w:left w:w="108" w:type="dxa"/>
            <w:bottom w:w="0" w:type="dxa"/>
            <w:right w:w="108" w:type="dxa"/>
          </w:tblCellMar>
        </w:tblPrEx>
        <w:trPr>
          <w:trHeight w:val="663" w:hRule="atLeast"/>
        </w:trPr>
        <w:tc>
          <w:tcPr>
            <w:tcW w:w="2315" w:type="dxa"/>
            <w:vMerge w:val="continue"/>
            <w:tcBorders>
              <w:top w:val="single" w:color="auto" w:sz="8" w:space="0"/>
              <w:left w:val="single" w:color="auto" w:sz="8" w:space="0"/>
              <w:bottom w:val="single" w:color="000000" w:sz="4" w:space="0"/>
              <w:right w:val="single" w:color="auto" w:sz="8" w:space="0"/>
            </w:tcBorders>
            <w:noWrap/>
            <w:vAlign w:val="center"/>
          </w:tcPr>
          <w:p>
            <w:pPr>
              <w:widowControl/>
              <w:jc w:val="left"/>
              <w:rPr>
                <w:rFonts w:ascii="宋体" w:hAnsi="宋体" w:cs="宋体"/>
                <w:b/>
                <w:bCs/>
                <w:kern w:val="0"/>
                <w:sz w:val="18"/>
                <w:szCs w:val="18"/>
              </w:rPr>
            </w:pPr>
          </w:p>
        </w:tc>
        <w:tc>
          <w:tcPr>
            <w:tcW w:w="143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93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60"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4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419"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581"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8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27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营业收入Y（万元）</w:t>
            </w:r>
          </w:p>
        </w:tc>
        <w:tc>
          <w:tcPr>
            <w:tcW w:w="1221" w:type="dxa"/>
            <w:tcBorders>
              <w:top w:val="nil"/>
              <w:left w:val="nil"/>
              <w:bottom w:val="single" w:color="auto" w:sz="4" w:space="0"/>
              <w:right w:val="single" w:color="auto" w:sz="8" w:space="0"/>
            </w:tcBorders>
            <w:noWrap/>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资产总额Z（万元）</w:t>
            </w:r>
          </w:p>
        </w:tc>
      </w:tr>
      <w:tr>
        <w:tblPrEx>
          <w:tblCellMar>
            <w:top w:w="0" w:type="dxa"/>
            <w:left w:w="108" w:type="dxa"/>
            <w:bottom w:w="0" w:type="dxa"/>
            <w:right w:w="108" w:type="dxa"/>
          </w:tblCellMar>
        </w:tblPrEx>
        <w:trPr>
          <w:trHeight w:val="147"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1、农林牧渔业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500≤Y＜20000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50≤Y＜500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Y＜50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1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2、工业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2000≤Y＜40000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300≤Y＜2000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Y＜300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3、建筑业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6000≤Y＜80000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5000≤Z＜80000</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300≤Y＜6000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300≤Z＜5000</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Y＜300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4、批发业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20≤X＜200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5000≤Y＜40000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5≤X＜20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X＜5</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5、零售业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50≤X＜300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500≤Y＜20000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10≤X＜50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100≤Y＜500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6、交通运输业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3000≤Y＜30000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200≤Y＜3000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V＜200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7、仓储业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100≤X＜200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1000≤Y＜30000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8、邮政业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2000≤Y＜30000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9、住宿业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10、餐饮业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V＜100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11、信息传输业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100≤X＜2000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1000≤Y＜100000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12、软件和信息技术服务业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1000≤Y＜10000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50≤Y＜1000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Y＜50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13、房地产开发经营</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1000≤Y＜200000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5000≤Z＜10000</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2000≤Z＜5000</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Z＜2000</w:t>
            </w:r>
          </w:p>
        </w:tc>
      </w:tr>
      <w:tr>
        <w:tblPrEx>
          <w:tblCellMar>
            <w:top w:w="0" w:type="dxa"/>
            <w:left w:w="108" w:type="dxa"/>
            <w:bottom w:w="0" w:type="dxa"/>
            <w:right w:w="108" w:type="dxa"/>
          </w:tblCellMar>
        </w:tblPrEx>
        <w:trPr>
          <w:trHeight w:val="213"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14、物业管理</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500≤Y＜1000</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Y＜500</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315"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15、租赁和商务服务业</w:t>
            </w:r>
          </w:p>
        </w:tc>
        <w:tc>
          <w:tcPr>
            <w:tcW w:w="143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936"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60"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8000≤Z＜120000</w:t>
            </w:r>
          </w:p>
        </w:tc>
        <w:tc>
          <w:tcPr>
            <w:tcW w:w="12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100≤Z＜8000</w:t>
            </w:r>
          </w:p>
        </w:tc>
        <w:tc>
          <w:tcPr>
            <w:tcW w:w="128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single" w:color="auto" w:sz="4"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Z＜100</w:t>
            </w:r>
          </w:p>
        </w:tc>
      </w:tr>
      <w:tr>
        <w:tblPrEx>
          <w:tblCellMar>
            <w:top w:w="0" w:type="dxa"/>
            <w:left w:w="108" w:type="dxa"/>
            <w:bottom w:w="0" w:type="dxa"/>
            <w:right w:w="108" w:type="dxa"/>
          </w:tblCellMar>
        </w:tblPrEx>
        <w:trPr>
          <w:trHeight w:val="360" w:hRule="atLeast"/>
        </w:trPr>
        <w:tc>
          <w:tcPr>
            <w:tcW w:w="2315" w:type="dxa"/>
            <w:tcBorders>
              <w:top w:val="nil"/>
              <w:left w:val="single" w:color="auto" w:sz="8" w:space="0"/>
              <w:bottom w:val="single" w:color="auto" w:sz="8"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16、其他未列明行业</w:t>
            </w:r>
          </w:p>
        </w:tc>
        <w:tc>
          <w:tcPr>
            <w:tcW w:w="1437"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936"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60" w:type="dxa"/>
            <w:tcBorders>
              <w:top w:val="nil"/>
              <w:left w:val="nil"/>
              <w:bottom w:val="single" w:color="auto" w:sz="8"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8"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8"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single" w:color="auto" w:sz="8" w:space="0"/>
              <w:right w:val="single" w:color="auto" w:sz="8"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5369" w:type="dxa"/>
            <w:gridSpan w:val="10"/>
            <w:tcBorders>
              <w:top w:val="nil"/>
              <w:left w:val="nil"/>
              <w:bottom w:val="nil"/>
              <w:right w:val="nil"/>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说明　1、企业类型的划分以统计部门的统计数据为依据。</w:t>
            </w:r>
          </w:p>
          <w:p>
            <w:pPr>
              <w:widowControl/>
              <w:ind w:firstLine="540" w:firstLineChars="300"/>
              <w:jc w:val="left"/>
              <w:rPr>
                <w:rFonts w:ascii="宋体" w:hAnsi="宋体" w:cs="宋体"/>
                <w:kern w:val="0"/>
                <w:sz w:val="18"/>
                <w:szCs w:val="18"/>
              </w:rPr>
            </w:pPr>
            <w:r>
              <w:rPr>
                <w:rFonts w:hint="eastAsia" w:ascii="宋体" w:hAnsi="宋体" w:cs="宋体"/>
                <w:kern w:val="0"/>
                <w:sz w:val="18"/>
                <w:szCs w:val="18"/>
              </w:rPr>
              <w:t>2、个体工商户和本规定以外的行业，参照本规定进行划型。</w:t>
            </w:r>
          </w:p>
          <w:p>
            <w:pPr>
              <w:widowControl/>
              <w:ind w:firstLine="540" w:firstLineChars="300"/>
              <w:jc w:val="left"/>
              <w:rPr>
                <w:rFonts w:ascii="宋体" w:hAnsi="宋体" w:cs="宋体"/>
                <w:kern w:val="0"/>
                <w:sz w:val="18"/>
                <w:szCs w:val="18"/>
              </w:rPr>
            </w:pPr>
            <w:r>
              <w:rPr>
                <w:rFonts w:hint="eastAsia" w:ascii="宋体" w:hAnsi="宋体" w:cs="宋体"/>
                <w:kern w:val="0"/>
                <w:sz w:val="18"/>
                <w:szCs w:val="18"/>
              </w:rPr>
              <w:t>3、本规定的中型企业标准上限即为大型企业标准的下限。</w:t>
            </w:r>
          </w:p>
        </w:tc>
      </w:tr>
    </w:tbl>
    <w:p>
      <w:pPr>
        <w:pStyle w:val="29"/>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4535"/>
        <w:tab w:val="right" w:pos="9070"/>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5E618C"/>
    <w:multiLevelType w:val="singleLevel"/>
    <w:tmpl w:val="DE5E618C"/>
    <w:lvl w:ilvl="0" w:tentative="0">
      <w:start w:val="1"/>
      <w:numFmt w:val="decimal"/>
      <w:suff w:val="nothing"/>
      <w:lvlText w:val="%1、"/>
      <w:lvlJc w:val="left"/>
    </w:lvl>
  </w:abstractNum>
  <w:abstractNum w:abstractNumId="1">
    <w:nsid w:val="EA9E1CAB"/>
    <w:multiLevelType w:val="singleLevel"/>
    <w:tmpl w:val="EA9E1CAB"/>
    <w:lvl w:ilvl="0" w:tentative="0">
      <w:start w:val="1"/>
      <w:numFmt w:val="decimal"/>
      <w:suff w:val="space"/>
      <w:lvlText w:val="%1."/>
      <w:lvlJc w:val="left"/>
      <w:pPr>
        <w:ind w:left="340" w:firstLine="0"/>
      </w:pPr>
    </w:lvl>
  </w:abstractNum>
  <w:abstractNum w:abstractNumId="2">
    <w:nsid w:val="ED614CC5"/>
    <w:multiLevelType w:val="singleLevel"/>
    <w:tmpl w:val="ED614CC5"/>
    <w:lvl w:ilvl="0" w:tentative="0">
      <w:start w:val="8"/>
      <w:numFmt w:val="chineseCounting"/>
      <w:suff w:val="nothing"/>
      <w:lvlText w:val="%1、"/>
      <w:lvlJc w:val="left"/>
      <w:rPr>
        <w:rFonts w:hint="eastAsia"/>
      </w:rPr>
    </w:lvl>
  </w:abstractNum>
  <w:abstractNum w:abstractNumId="3">
    <w:nsid w:val="432360AC"/>
    <w:multiLevelType w:val="singleLevel"/>
    <w:tmpl w:val="432360AC"/>
    <w:lvl w:ilvl="0" w:tentative="0">
      <w:start w:val="1"/>
      <w:numFmt w:val="decimal"/>
      <w:suff w:val="nothing"/>
      <w:lvlText w:val="%1、"/>
      <w:lvlJc w:val="left"/>
    </w:lvl>
  </w:abstractNum>
  <w:abstractNum w:abstractNumId="4">
    <w:nsid w:val="5FFD6E46"/>
    <w:multiLevelType w:val="singleLevel"/>
    <w:tmpl w:val="5FFD6E46"/>
    <w:lvl w:ilvl="0" w:tentative="0">
      <w:start w:val="1"/>
      <w:numFmt w:val="decimal"/>
      <w:suff w:val="nothing"/>
      <w:lvlText w:val="%1、"/>
      <w:lvlJc w:val="left"/>
    </w:lvl>
  </w:abstractNum>
  <w:abstractNum w:abstractNumId="5">
    <w:nsid w:val="7FFED549"/>
    <w:multiLevelType w:val="singleLevel"/>
    <w:tmpl w:val="7FFED549"/>
    <w:lvl w:ilvl="0" w:tentative="0">
      <w:start w:val="1"/>
      <w:numFmt w:val="decimal"/>
      <w:suff w:val="nothing"/>
      <w:lvlText w:val="%1、"/>
      <w:lvlJc w:val="left"/>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JhMWY2YzExNDZkM2U4OGIyZTAwMzhiYmRjMDY3NjYifQ=="/>
  </w:docVars>
  <w:rsids>
    <w:rsidRoot w:val="30C42BC2"/>
    <w:rsid w:val="0005103B"/>
    <w:rsid w:val="000733EC"/>
    <w:rsid w:val="000814D6"/>
    <w:rsid w:val="000B1B2F"/>
    <w:rsid w:val="000C2417"/>
    <w:rsid w:val="001B7B47"/>
    <w:rsid w:val="00233075"/>
    <w:rsid w:val="002C13A6"/>
    <w:rsid w:val="002D100C"/>
    <w:rsid w:val="00357E91"/>
    <w:rsid w:val="00391B22"/>
    <w:rsid w:val="003E2EBB"/>
    <w:rsid w:val="00551D4A"/>
    <w:rsid w:val="00554137"/>
    <w:rsid w:val="005B1F3D"/>
    <w:rsid w:val="00666E7F"/>
    <w:rsid w:val="0069035E"/>
    <w:rsid w:val="007234DF"/>
    <w:rsid w:val="00725C3B"/>
    <w:rsid w:val="00755CC0"/>
    <w:rsid w:val="007B30CF"/>
    <w:rsid w:val="007F2EA7"/>
    <w:rsid w:val="00802F4A"/>
    <w:rsid w:val="0093161D"/>
    <w:rsid w:val="00931E24"/>
    <w:rsid w:val="009A2349"/>
    <w:rsid w:val="00A37F66"/>
    <w:rsid w:val="00A445E5"/>
    <w:rsid w:val="00A5468A"/>
    <w:rsid w:val="00A72661"/>
    <w:rsid w:val="00A928F4"/>
    <w:rsid w:val="00AB0FF8"/>
    <w:rsid w:val="00AB3794"/>
    <w:rsid w:val="00B35B30"/>
    <w:rsid w:val="00C83B49"/>
    <w:rsid w:val="00C86444"/>
    <w:rsid w:val="00E72EB5"/>
    <w:rsid w:val="00EA23D6"/>
    <w:rsid w:val="00EC532E"/>
    <w:rsid w:val="00ED6706"/>
    <w:rsid w:val="00F0519D"/>
    <w:rsid w:val="00F20E1C"/>
    <w:rsid w:val="00F474E2"/>
    <w:rsid w:val="01326F3B"/>
    <w:rsid w:val="01883051"/>
    <w:rsid w:val="01CE3E0B"/>
    <w:rsid w:val="01FF390F"/>
    <w:rsid w:val="0236335D"/>
    <w:rsid w:val="02E27644"/>
    <w:rsid w:val="03320C73"/>
    <w:rsid w:val="035E2F5E"/>
    <w:rsid w:val="0374413D"/>
    <w:rsid w:val="05171657"/>
    <w:rsid w:val="05295FD2"/>
    <w:rsid w:val="053E6E94"/>
    <w:rsid w:val="05CD4417"/>
    <w:rsid w:val="06A82192"/>
    <w:rsid w:val="070245A6"/>
    <w:rsid w:val="088D733B"/>
    <w:rsid w:val="08D226FF"/>
    <w:rsid w:val="08DA0EE6"/>
    <w:rsid w:val="09574568"/>
    <w:rsid w:val="0A565385"/>
    <w:rsid w:val="0B0D5C5C"/>
    <w:rsid w:val="0B4E3D73"/>
    <w:rsid w:val="0CB21420"/>
    <w:rsid w:val="0D190250"/>
    <w:rsid w:val="0DC973B1"/>
    <w:rsid w:val="0E3A0F99"/>
    <w:rsid w:val="0EC36548"/>
    <w:rsid w:val="101C3B95"/>
    <w:rsid w:val="107751B2"/>
    <w:rsid w:val="10C430FC"/>
    <w:rsid w:val="112924ED"/>
    <w:rsid w:val="112E1DCF"/>
    <w:rsid w:val="116F4196"/>
    <w:rsid w:val="11741E63"/>
    <w:rsid w:val="12274A70"/>
    <w:rsid w:val="126161D4"/>
    <w:rsid w:val="12B368BB"/>
    <w:rsid w:val="13701EBE"/>
    <w:rsid w:val="140137CB"/>
    <w:rsid w:val="14A51F13"/>
    <w:rsid w:val="15962639"/>
    <w:rsid w:val="15A36984"/>
    <w:rsid w:val="15AD0504"/>
    <w:rsid w:val="168A2D76"/>
    <w:rsid w:val="17224B33"/>
    <w:rsid w:val="173B6FF4"/>
    <w:rsid w:val="17A369ED"/>
    <w:rsid w:val="186E5E38"/>
    <w:rsid w:val="18C96881"/>
    <w:rsid w:val="19830BC5"/>
    <w:rsid w:val="1A873050"/>
    <w:rsid w:val="1AA41354"/>
    <w:rsid w:val="1AA83ACA"/>
    <w:rsid w:val="1AE808EC"/>
    <w:rsid w:val="1AE914B2"/>
    <w:rsid w:val="1AEC2F60"/>
    <w:rsid w:val="1B083691"/>
    <w:rsid w:val="1B457A8B"/>
    <w:rsid w:val="1B6F4B3D"/>
    <w:rsid w:val="1B83678C"/>
    <w:rsid w:val="1BB479C4"/>
    <w:rsid w:val="1BBE0EB7"/>
    <w:rsid w:val="1C1F0695"/>
    <w:rsid w:val="1C33473D"/>
    <w:rsid w:val="1C7E2917"/>
    <w:rsid w:val="1D7F0399"/>
    <w:rsid w:val="1E313FB3"/>
    <w:rsid w:val="1E4337F7"/>
    <w:rsid w:val="1FE01B46"/>
    <w:rsid w:val="1FF30DF9"/>
    <w:rsid w:val="20B10327"/>
    <w:rsid w:val="20C13360"/>
    <w:rsid w:val="22386FDF"/>
    <w:rsid w:val="223B434C"/>
    <w:rsid w:val="22E54D62"/>
    <w:rsid w:val="244558F0"/>
    <w:rsid w:val="247E5C56"/>
    <w:rsid w:val="24B9393C"/>
    <w:rsid w:val="262A4E03"/>
    <w:rsid w:val="264D28A0"/>
    <w:rsid w:val="27135897"/>
    <w:rsid w:val="27192832"/>
    <w:rsid w:val="281F026C"/>
    <w:rsid w:val="297225D5"/>
    <w:rsid w:val="29C03CE9"/>
    <w:rsid w:val="2A585CB7"/>
    <w:rsid w:val="2A756198"/>
    <w:rsid w:val="2A874074"/>
    <w:rsid w:val="2B0549A6"/>
    <w:rsid w:val="2B8806DD"/>
    <w:rsid w:val="2C73642E"/>
    <w:rsid w:val="2D7E27AF"/>
    <w:rsid w:val="2DC32FA6"/>
    <w:rsid w:val="2DE24B6F"/>
    <w:rsid w:val="2E660AA3"/>
    <w:rsid w:val="2E6F2713"/>
    <w:rsid w:val="2EBF6305"/>
    <w:rsid w:val="2EC517F7"/>
    <w:rsid w:val="2EC6337D"/>
    <w:rsid w:val="2ED70C36"/>
    <w:rsid w:val="2EEE759C"/>
    <w:rsid w:val="2F1D70ED"/>
    <w:rsid w:val="2F28389F"/>
    <w:rsid w:val="309B465E"/>
    <w:rsid w:val="30C42BC2"/>
    <w:rsid w:val="3163199F"/>
    <w:rsid w:val="316F4012"/>
    <w:rsid w:val="32107ED0"/>
    <w:rsid w:val="32874F44"/>
    <w:rsid w:val="32E34D98"/>
    <w:rsid w:val="34A00109"/>
    <w:rsid w:val="34C06B64"/>
    <w:rsid w:val="354E4AE3"/>
    <w:rsid w:val="35AF0E81"/>
    <w:rsid w:val="35E508A6"/>
    <w:rsid w:val="35FB5962"/>
    <w:rsid w:val="364F15D3"/>
    <w:rsid w:val="36D3575F"/>
    <w:rsid w:val="36EB1413"/>
    <w:rsid w:val="377B6326"/>
    <w:rsid w:val="391E49EA"/>
    <w:rsid w:val="393C288A"/>
    <w:rsid w:val="39BE51FE"/>
    <w:rsid w:val="39CF361B"/>
    <w:rsid w:val="39DA5575"/>
    <w:rsid w:val="3A164370"/>
    <w:rsid w:val="3AAE7C41"/>
    <w:rsid w:val="3ADD1FEC"/>
    <w:rsid w:val="3B300FBD"/>
    <w:rsid w:val="3B576FD4"/>
    <w:rsid w:val="3C2B3679"/>
    <w:rsid w:val="3D202664"/>
    <w:rsid w:val="3D5F67FF"/>
    <w:rsid w:val="3E874230"/>
    <w:rsid w:val="3ED753F3"/>
    <w:rsid w:val="3F0B1B5B"/>
    <w:rsid w:val="405C0E8C"/>
    <w:rsid w:val="4061546E"/>
    <w:rsid w:val="40F12160"/>
    <w:rsid w:val="40F40121"/>
    <w:rsid w:val="411E2B4A"/>
    <w:rsid w:val="41237074"/>
    <w:rsid w:val="41344930"/>
    <w:rsid w:val="4182569C"/>
    <w:rsid w:val="41E62872"/>
    <w:rsid w:val="423C1D47"/>
    <w:rsid w:val="42DC2386"/>
    <w:rsid w:val="43C0456C"/>
    <w:rsid w:val="448D2DE8"/>
    <w:rsid w:val="4568612B"/>
    <w:rsid w:val="46274A64"/>
    <w:rsid w:val="46466175"/>
    <w:rsid w:val="48211494"/>
    <w:rsid w:val="48223734"/>
    <w:rsid w:val="487242BD"/>
    <w:rsid w:val="495C20AE"/>
    <w:rsid w:val="499E328F"/>
    <w:rsid w:val="49A33231"/>
    <w:rsid w:val="49F679AB"/>
    <w:rsid w:val="4A04706C"/>
    <w:rsid w:val="4B16092B"/>
    <w:rsid w:val="4D205169"/>
    <w:rsid w:val="4D5179FF"/>
    <w:rsid w:val="4DA469EB"/>
    <w:rsid w:val="4E10241F"/>
    <w:rsid w:val="4E2A56E1"/>
    <w:rsid w:val="4E9D2720"/>
    <w:rsid w:val="50AF5D81"/>
    <w:rsid w:val="50B31830"/>
    <w:rsid w:val="511859E7"/>
    <w:rsid w:val="517516FE"/>
    <w:rsid w:val="51E24880"/>
    <w:rsid w:val="52AC0CD5"/>
    <w:rsid w:val="52FE0F35"/>
    <w:rsid w:val="549166D2"/>
    <w:rsid w:val="54AD5D08"/>
    <w:rsid w:val="54FB62D2"/>
    <w:rsid w:val="55020B76"/>
    <w:rsid w:val="552C6050"/>
    <w:rsid w:val="559E368B"/>
    <w:rsid w:val="55C53E49"/>
    <w:rsid w:val="56995ED8"/>
    <w:rsid w:val="56A91C2E"/>
    <w:rsid w:val="57A350B4"/>
    <w:rsid w:val="58062172"/>
    <w:rsid w:val="59844EA6"/>
    <w:rsid w:val="59C57D7C"/>
    <w:rsid w:val="59E22BA6"/>
    <w:rsid w:val="5AD5099F"/>
    <w:rsid w:val="5AF96CFD"/>
    <w:rsid w:val="5BC8038A"/>
    <w:rsid w:val="5D8C3A99"/>
    <w:rsid w:val="5E0A7359"/>
    <w:rsid w:val="5E2D2E8B"/>
    <w:rsid w:val="5ED22748"/>
    <w:rsid w:val="5EE82810"/>
    <w:rsid w:val="5F9B145D"/>
    <w:rsid w:val="60033C5A"/>
    <w:rsid w:val="60B8593C"/>
    <w:rsid w:val="612401DE"/>
    <w:rsid w:val="61EB125E"/>
    <w:rsid w:val="63017EF8"/>
    <w:rsid w:val="63B956FE"/>
    <w:rsid w:val="64271EC6"/>
    <w:rsid w:val="651D696B"/>
    <w:rsid w:val="65241348"/>
    <w:rsid w:val="65A7555E"/>
    <w:rsid w:val="661E50E3"/>
    <w:rsid w:val="670720B5"/>
    <w:rsid w:val="674D37A6"/>
    <w:rsid w:val="67C02BF7"/>
    <w:rsid w:val="68172761"/>
    <w:rsid w:val="6827199E"/>
    <w:rsid w:val="68633281"/>
    <w:rsid w:val="68840CD2"/>
    <w:rsid w:val="68891DE6"/>
    <w:rsid w:val="68CC3BA9"/>
    <w:rsid w:val="69386686"/>
    <w:rsid w:val="693B7D5A"/>
    <w:rsid w:val="6B064398"/>
    <w:rsid w:val="6B211820"/>
    <w:rsid w:val="6B715183"/>
    <w:rsid w:val="6B996625"/>
    <w:rsid w:val="6BC06917"/>
    <w:rsid w:val="6D4A2C62"/>
    <w:rsid w:val="6DC3327E"/>
    <w:rsid w:val="6DC704D0"/>
    <w:rsid w:val="6DE73CDD"/>
    <w:rsid w:val="6DFF1C9E"/>
    <w:rsid w:val="6F352F9A"/>
    <w:rsid w:val="6FCF1C1E"/>
    <w:rsid w:val="704C22A1"/>
    <w:rsid w:val="71015D2D"/>
    <w:rsid w:val="71327C95"/>
    <w:rsid w:val="72404A74"/>
    <w:rsid w:val="72747DC5"/>
    <w:rsid w:val="73254D8B"/>
    <w:rsid w:val="734031BE"/>
    <w:rsid w:val="739E068B"/>
    <w:rsid w:val="73D9089C"/>
    <w:rsid w:val="745148D6"/>
    <w:rsid w:val="749A1F5A"/>
    <w:rsid w:val="749B0E49"/>
    <w:rsid w:val="74DE12C2"/>
    <w:rsid w:val="74F5489D"/>
    <w:rsid w:val="75795939"/>
    <w:rsid w:val="76BD2912"/>
    <w:rsid w:val="78E71CAD"/>
    <w:rsid w:val="79144106"/>
    <w:rsid w:val="7A4058D2"/>
    <w:rsid w:val="7B965B62"/>
    <w:rsid w:val="7BDA4A1F"/>
    <w:rsid w:val="7C02295A"/>
    <w:rsid w:val="7C8C58E9"/>
    <w:rsid w:val="7CC90BBB"/>
    <w:rsid w:val="7D14562B"/>
    <w:rsid w:val="7D6C607C"/>
    <w:rsid w:val="7D937D0D"/>
    <w:rsid w:val="7E830516"/>
    <w:rsid w:val="7F67693B"/>
    <w:rsid w:val="7FDB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autoRedefine/>
    <w:qFormat/>
    <w:uiPriority w:val="0"/>
    <w:pPr>
      <w:keepNext/>
      <w:keepLines/>
      <w:tabs>
        <w:tab w:val="left" w:pos="1008"/>
      </w:tabs>
      <w:spacing w:before="280" w:after="290" w:line="376" w:lineRule="auto"/>
      <w:ind w:left="1008" w:hanging="1008"/>
      <w:outlineLvl w:val="4"/>
    </w:pPr>
    <w:rPr>
      <w:b/>
      <w:bCs/>
      <w:sz w:val="28"/>
      <w:szCs w:val="28"/>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1"/>
    <w:autoRedefine/>
    <w:qFormat/>
    <w:uiPriority w:val="0"/>
    <w:pPr>
      <w:spacing w:line="480" w:lineRule="exact"/>
      <w:ind w:firstLine="480" w:firstLineChars="200"/>
    </w:pPr>
    <w:rPr>
      <w:rFonts w:ascii="宋体" w:hAnsi="宋体"/>
      <w:sz w:val="24"/>
    </w:rPr>
  </w:style>
  <w:style w:type="paragraph" w:styleId="9">
    <w:name w:val="annotation text"/>
    <w:basedOn w:val="1"/>
    <w:autoRedefine/>
    <w:qFormat/>
    <w:uiPriority w:val="0"/>
    <w:pPr>
      <w:jc w:val="left"/>
    </w:pPr>
  </w:style>
  <w:style w:type="paragraph" w:styleId="10">
    <w:name w:val="Body Text"/>
    <w:basedOn w:val="1"/>
    <w:next w:val="11"/>
    <w:autoRedefine/>
    <w:qFormat/>
    <w:uiPriority w:val="0"/>
    <w:pPr>
      <w:autoSpaceDE w:val="0"/>
      <w:autoSpaceDN w:val="0"/>
      <w:spacing w:line="360" w:lineRule="auto"/>
    </w:pPr>
    <w:rPr>
      <w:rFonts w:ascii="宋体" w:hAnsi="Arial" w:cs="Arial"/>
      <w:snapToGrid w:val="0"/>
      <w:sz w:val="24"/>
      <w:szCs w:val="21"/>
      <w:lang w:val="zh-CN"/>
    </w:rPr>
  </w:style>
  <w:style w:type="paragraph" w:styleId="11">
    <w:name w:val="Body Text First Indent"/>
    <w:basedOn w:val="10"/>
    <w:next w:val="12"/>
    <w:autoRedefine/>
    <w:qFormat/>
    <w:uiPriority w:val="0"/>
    <w:pPr>
      <w:ind w:firstLine="420"/>
    </w:pPr>
    <w:rPr>
      <w:rFonts w:hAnsi="Calibri" w:cs="Times New Roman"/>
      <w:snapToGrid/>
      <w:szCs w:val="20"/>
    </w:rPr>
  </w:style>
  <w:style w:type="paragraph" w:styleId="12">
    <w:name w:val="toc 6"/>
    <w:basedOn w:val="1"/>
    <w:next w:val="1"/>
    <w:autoRedefine/>
    <w:qFormat/>
    <w:uiPriority w:val="0"/>
    <w:pPr>
      <w:ind w:left="2100" w:leftChars="1000"/>
    </w:pPr>
  </w:style>
  <w:style w:type="paragraph" w:styleId="13">
    <w:name w:val="Plain Text"/>
    <w:basedOn w:val="1"/>
    <w:next w:val="14"/>
    <w:autoRedefine/>
    <w:qFormat/>
    <w:uiPriority w:val="0"/>
    <w:rPr>
      <w:rFonts w:ascii="宋体" w:hAnsi="Courier New" w:cs="Arial"/>
      <w:snapToGrid w:val="0"/>
      <w:szCs w:val="21"/>
    </w:rPr>
  </w:style>
  <w:style w:type="paragraph" w:styleId="14">
    <w:name w:val="toc 2"/>
    <w:basedOn w:val="1"/>
    <w:next w:val="1"/>
    <w:autoRedefine/>
    <w:qFormat/>
    <w:uiPriority w:val="0"/>
    <w:pPr>
      <w:ind w:left="420" w:leftChars="200"/>
    </w:pPr>
  </w:style>
  <w:style w:type="paragraph" w:styleId="15">
    <w:name w:val="Balloon Text"/>
    <w:basedOn w:val="1"/>
    <w:link w:val="44"/>
    <w:autoRedefine/>
    <w:qFormat/>
    <w:uiPriority w:val="0"/>
    <w:rPr>
      <w:sz w:val="18"/>
      <w:szCs w:val="18"/>
    </w:rPr>
  </w:style>
  <w:style w:type="paragraph" w:styleId="16">
    <w:name w:val="footer"/>
    <w:basedOn w:val="1"/>
    <w:autoRedefine/>
    <w:qFormat/>
    <w:uiPriority w:val="99"/>
    <w:pPr>
      <w:tabs>
        <w:tab w:val="center" w:pos="4153"/>
        <w:tab w:val="right" w:pos="8306"/>
      </w:tabs>
      <w:snapToGrid w:val="0"/>
      <w:jc w:val="left"/>
    </w:pPr>
    <w:rPr>
      <w:sz w:val="18"/>
      <w:szCs w:val="18"/>
    </w:rPr>
  </w:style>
  <w:style w:type="paragraph" w:styleId="17">
    <w:name w:val="envelope return"/>
    <w:basedOn w:val="1"/>
    <w:autoRedefine/>
    <w:qFormat/>
    <w:uiPriority w:val="0"/>
    <w:pPr>
      <w:snapToGrid w:val="0"/>
    </w:pPr>
    <w:rPr>
      <w:rFonts w:ascii="Arial" w:hAnsi="Arial"/>
    </w:rPr>
  </w:style>
  <w:style w:type="paragraph" w:styleId="1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20">
    <w:name w:val="Title"/>
    <w:basedOn w:val="1"/>
    <w:autoRedefine/>
    <w:qFormat/>
    <w:uiPriority w:val="10"/>
    <w:pPr>
      <w:widowControl/>
      <w:overflowPunct w:val="0"/>
      <w:autoSpaceDE w:val="0"/>
      <w:autoSpaceDN w:val="0"/>
      <w:jc w:val="center"/>
      <w:textAlignment w:val="baseline"/>
    </w:pPr>
    <w:rPr>
      <w:b/>
      <w:kern w:val="0"/>
      <w:sz w:val="24"/>
      <w:szCs w:val="20"/>
      <w:lang w:val="en-GB"/>
    </w:rPr>
  </w:style>
  <w:style w:type="paragraph" w:styleId="21">
    <w:name w:val="Body Text First Indent 2"/>
    <w:basedOn w:val="6"/>
    <w:next w:val="22"/>
    <w:autoRedefine/>
    <w:qFormat/>
    <w:uiPriority w:val="0"/>
    <w:pPr>
      <w:adjustRightInd/>
      <w:spacing w:after="120" w:line="240" w:lineRule="auto"/>
      <w:ind w:left="420" w:leftChars="200" w:firstLine="210"/>
    </w:pPr>
    <w:rPr>
      <w:sz w:val="21"/>
    </w:rPr>
  </w:style>
  <w:style w:type="paragraph" w:customStyle="1" w:styleId="22">
    <w:name w:val="xl53"/>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autoRedefine/>
    <w:qFormat/>
    <w:uiPriority w:val="0"/>
    <w:rPr>
      <w:rFonts w:ascii="Arial" w:hAnsi="Arial" w:eastAsia="黑体" w:cs="Arial"/>
      <w:snapToGrid w:val="0"/>
      <w:kern w:val="0"/>
      <w:szCs w:val="21"/>
    </w:rPr>
  </w:style>
  <w:style w:type="character" w:styleId="27">
    <w:name w:val="Hyperlink"/>
    <w:autoRedefine/>
    <w:qFormat/>
    <w:uiPriority w:val="99"/>
    <w:rPr>
      <w:rFonts w:ascii="Arial" w:hAnsi="Arial" w:eastAsia="黑体" w:cs="Arial"/>
      <w:snapToGrid w:val="0"/>
      <w:color w:val="000000"/>
      <w:kern w:val="0"/>
      <w:sz w:val="18"/>
      <w:szCs w:val="18"/>
      <w:u w:val="none"/>
    </w:rPr>
  </w:style>
  <w:style w:type="character" w:styleId="28">
    <w:name w:val="annotation reference"/>
    <w:basedOn w:val="25"/>
    <w:autoRedefine/>
    <w:qFormat/>
    <w:uiPriority w:val="0"/>
    <w:rPr>
      <w:sz w:val="21"/>
      <w:szCs w:val="21"/>
    </w:rPr>
  </w:style>
  <w:style w:type="paragraph" w:customStyle="1" w:styleId="29">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0">
    <w:name w:val="正文文本首行缩进 21"/>
    <w:basedOn w:val="6"/>
    <w:autoRedefine/>
    <w:qFormat/>
    <w:uiPriority w:val="0"/>
    <w:pPr>
      <w:spacing w:line="200" w:lineRule="atLeast"/>
      <w:ind w:firstLine="420"/>
    </w:pPr>
    <w:rPr>
      <w:rFonts w:hAnsi="Courier New"/>
      <w:spacing w:val="-4"/>
      <w:sz w:val="18"/>
    </w:rPr>
  </w:style>
  <w:style w:type="character" w:customStyle="1" w:styleId="31">
    <w:name w:val="bulletintext1"/>
    <w:autoRedefine/>
    <w:qFormat/>
    <w:uiPriority w:val="0"/>
    <w:rPr>
      <w:color w:val="000000"/>
      <w:sz w:val="18"/>
    </w:rPr>
  </w:style>
  <w:style w:type="paragraph" w:customStyle="1" w:styleId="32">
    <w:name w:val="Body Text First Indent 21"/>
    <w:basedOn w:val="33"/>
    <w:autoRedefine/>
    <w:qFormat/>
    <w:uiPriority w:val="0"/>
    <w:pPr>
      <w:ind w:firstLine="420" w:firstLineChars="200"/>
    </w:pPr>
  </w:style>
  <w:style w:type="paragraph" w:customStyle="1" w:styleId="33">
    <w:name w:val="Body Text Indent1"/>
    <w:basedOn w:val="1"/>
    <w:autoRedefine/>
    <w:qFormat/>
    <w:uiPriority w:val="0"/>
    <w:pPr>
      <w:spacing w:after="120"/>
      <w:ind w:left="420" w:leftChars="200"/>
    </w:pPr>
  </w:style>
  <w:style w:type="paragraph" w:customStyle="1" w:styleId="34">
    <w:name w:val="正文2"/>
    <w:basedOn w:val="1"/>
    <w:autoRedefine/>
    <w:qFormat/>
    <w:uiPriority w:val="0"/>
    <w:pPr>
      <w:spacing w:before="156" w:line="360" w:lineRule="auto"/>
      <w:ind w:firstLine="510" w:firstLineChars="200"/>
    </w:pPr>
    <w:rPr>
      <w:sz w:val="24"/>
      <w:szCs w:val="20"/>
    </w:rPr>
  </w:style>
  <w:style w:type="paragraph" w:customStyle="1" w:styleId="3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6">
    <w:name w:val="Table Paragraph"/>
    <w:basedOn w:val="1"/>
    <w:autoRedefine/>
    <w:qFormat/>
    <w:uiPriority w:val="0"/>
    <w:pPr>
      <w:adjustRightInd/>
      <w:jc w:val="left"/>
    </w:pPr>
    <w:rPr>
      <w:rFonts w:ascii="Calibri" w:hAnsi="Calibri"/>
      <w:kern w:val="0"/>
      <w:sz w:val="22"/>
      <w:szCs w:val="22"/>
      <w:lang w:eastAsia="en-US"/>
    </w:rPr>
  </w:style>
  <w:style w:type="paragraph" w:customStyle="1" w:styleId="37">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39">
    <w:name w:val="纯文本_0_0"/>
    <w:basedOn w:val="40"/>
    <w:autoRedefine/>
    <w:qFormat/>
    <w:uiPriority w:val="0"/>
    <w:rPr>
      <w:rFonts w:ascii="宋体" w:hAnsi="Courier New"/>
      <w:szCs w:val="21"/>
    </w:rPr>
  </w:style>
  <w:style w:type="paragraph" w:customStyle="1" w:styleId="4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2">
    <w:name w:val="样式 正文文本"/>
    <w:basedOn w:val="1"/>
    <w:autoRedefine/>
    <w:qFormat/>
    <w:uiPriority w:val="0"/>
    <w:pPr>
      <w:snapToGrid w:val="0"/>
      <w:spacing w:line="400" w:lineRule="exact"/>
      <w:ind w:firstLine="200" w:firstLineChars="200"/>
    </w:pPr>
    <w:rPr>
      <w:rFonts w:ascii="Arial" w:hAnsi="Arial"/>
      <w:snapToGrid w:val="0"/>
      <w:color w:val="000000"/>
      <w:kern w:val="0"/>
      <w:szCs w:val="20"/>
    </w:rPr>
  </w:style>
  <w:style w:type="paragraph" w:styleId="43">
    <w:name w:val="List Paragraph"/>
    <w:basedOn w:val="1"/>
    <w:autoRedefine/>
    <w:qFormat/>
    <w:uiPriority w:val="34"/>
    <w:pPr>
      <w:spacing w:line="360" w:lineRule="auto"/>
      <w:ind w:firstLine="420" w:firstLineChars="200"/>
    </w:pPr>
    <w:rPr>
      <w:rFonts w:ascii="Calibri" w:hAnsi="Calibri"/>
      <w:sz w:val="24"/>
    </w:rPr>
  </w:style>
  <w:style w:type="character" w:customStyle="1" w:styleId="44">
    <w:name w:val="批注框文本 Char"/>
    <w:basedOn w:val="25"/>
    <w:link w:val="15"/>
    <w:autoRedefine/>
    <w:qFormat/>
    <w:uiPriority w:val="0"/>
    <w:rPr>
      <w:rFonts w:ascii="Times New Roman" w:hAnsi="Times New Roman" w:eastAsia="宋体" w:cs="Times New Roman"/>
      <w:kern w:val="2"/>
      <w:sz w:val="18"/>
      <w:szCs w:val="18"/>
    </w:rPr>
  </w:style>
  <w:style w:type="paragraph" w:customStyle="1" w:styleId="45">
    <w:name w:val="标准正文"/>
    <w:basedOn w:val="1"/>
    <w:autoRedefine/>
    <w:qFormat/>
    <w:uiPriority w:val="0"/>
    <w:pPr>
      <w:tabs>
        <w:tab w:val="left" w:pos="780"/>
      </w:tabs>
      <w:adjustRightInd/>
      <w:spacing w:line="360" w:lineRule="auto"/>
      <w:ind w:left="200" w:leftChars="200"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2052"/>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7163</Words>
  <Characters>40832</Characters>
  <Lines>340</Lines>
  <Paragraphs>95</Paragraphs>
  <TotalTime>96</TotalTime>
  <ScaleCrop>false</ScaleCrop>
  <LinksUpToDate>false</LinksUpToDate>
  <CharactersWithSpaces>47900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2023-08-24T05:31:00Z</dcterms:created>
  <dc:creator>Administrator</dc:creator>
  <cp:lastModifiedBy>子小口鸟先森</cp:lastModifiedBy>
  <cp:lastPrinted>2024-03-21T14:37:00Z</cp:lastPrinted>
  <dcterms:modified xsi:type="dcterms:W3CDTF">2024-04-07T08:05:53Z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83AD6F70164C43578DA58B9675D74C2C_13</vt:lpwstr>
  </property>
</Properties>
</file>