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spacing w:line="360" w:lineRule="auto"/>
        <w:jc w:val="center"/>
        <w:rPr>
          <w:rFonts w:hint="eastAsia" w:cs="Courier New" w:asciiTheme="minorEastAsia" w:hAnsiTheme="minorEastAsia" w:eastAsiaTheme="minorEastAsia"/>
          <w:b/>
          <w:color w:val="FF0000"/>
          <w:sz w:val="48"/>
          <w:szCs w:val="48"/>
          <w:highlight w:val="yellow"/>
          <w:lang w:eastAsia="zh-CN"/>
        </w:rPr>
      </w:pPr>
      <w:r>
        <w:rPr>
          <w:rFonts w:hint="eastAsia" w:cs="Courier New" w:asciiTheme="minorEastAsia" w:hAnsiTheme="minorEastAsia" w:eastAsiaTheme="minorEastAsia"/>
          <w:b/>
          <w:sz w:val="48"/>
          <w:szCs w:val="48"/>
          <w:lang w:eastAsia="zh-CN"/>
        </w:rPr>
        <w:t>桐庐富春江影视基地项目（一期）地块土壤污染状况调查项目</w:t>
      </w:r>
    </w:p>
    <w:p>
      <w:pPr>
        <w:pStyle w:val="19"/>
        <w:spacing w:line="960" w:lineRule="auto"/>
        <w:jc w:val="center"/>
        <w:rPr>
          <w:rFonts w:cs="Courier New" w:asciiTheme="minorEastAsia" w:hAnsiTheme="minorEastAsia" w:eastAsiaTheme="minorEastAsia"/>
          <w:b/>
          <w:sz w:val="36"/>
          <w:szCs w:val="36"/>
        </w:rPr>
      </w:pPr>
      <w:r>
        <w:rPr>
          <w:rFonts w:hint="eastAsia" w:cs="Courier New" w:asciiTheme="minorEastAsia" w:hAnsiTheme="minorEastAsia" w:eastAsiaTheme="minorEastAsia"/>
          <w:b/>
          <w:sz w:val="36"/>
          <w:szCs w:val="36"/>
        </w:rPr>
        <w:t>招标文件</w:t>
      </w:r>
    </w:p>
    <w:p>
      <w:pPr>
        <w:jc w:val="center"/>
        <w:rPr>
          <w:rFonts w:cs="Courier New" w:asciiTheme="minorEastAsia" w:hAnsiTheme="minorEastAsia" w:eastAsiaTheme="minorEastAsia"/>
          <w:color w:val="000000"/>
          <w:sz w:val="30"/>
          <w:szCs w:val="30"/>
        </w:rPr>
      </w:pPr>
      <w:r>
        <w:rPr>
          <w:rFonts w:hint="eastAsia" w:asciiTheme="minorEastAsia" w:hAnsiTheme="minorEastAsia" w:eastAsiaTheme="minorEastAsia"/>
          <w:sz w:val="30"/>
          <w:szCs w:val="30"/>
        </w:rPr>
        <w:t>（编号</w:t>
      </w:r>
      <w:r>
        <w:rPr>
          <w:rFonts w:hint="eastAsia" w:asciiTheme="minorEastAsia" w:hAnsiTheme="minorEastAsia" w:eastAsiaTheme="minorEastAsia"/>
          <w:color w:val="000000"/>
          <w:sz w:val="30"/>
          <w:szCs w:val="30"/>
        </w:rPr>
        <w:t>：</w:t>
      </w:r>
      <w:r>
        <w:rPr>
          <w:rFonts w:hint="eastAsia" w:asciiTheme="minorEastAsia" w:hAnsiTheme="minorEastAsia" w:eastAsiaTheme="minorEastAsia"/>
          <w:sz w:val="30"/>
          <w:szCs w:val="30"/>
          <w:lang w:eastAsia="zh-CN"/>
        </w:rPr>
        <w:t>JN20240001</w:t>
      </w:r>
      <w:r>
        <w:rPr>
          <w:rFonts w:hint="eastAsia" w:asciiTheme="minorEastAsia" w:hAnsiTheme="minorEastAsia" w:eastAsiaTheme="minorEastAsia"/>
          <w:sz w:val="30"/>
          <w:szCs w:val="30"/>
        </w:rPr>
        <w:t>）</w:t>
      </w:r>
    </w:p>
    <w:p>
      <w:pPr>
        <w:tabs>
          <w:tab w:val="left" w:pos="1980"/>
          <w:tab w:val="left" w:pos="3240"/>
          <w:tab w:val="left" w:pos="3420"/>
          <w:tab w:val="left" w:pos="3600"/>
          <w:tab w:val="left" w:pos="3780"/>
        </w:tabs>
        <w:ind w:left="-180" w:leftChars="-86" w:firstLine="3"/>
        <w:rPr>
          <w:rFonts w:asciiTheme="minorEastAsia" w:hAnsiTheme="minorEastAsia" w:eastAsiaTheme="minorEastAsia"/>
          <w:b/>
          <w:sz w:val="48"/>
          <w:szCs w:val="48"/>
        </w:rPr>
      </w:pPr>
    </w:p>
    <w:p>
      <w:pPr>
        <w:tabs>
          <w:tab w:val="left" w:pos="1980"/>
          <w:tab w:val="left" w:pos="3240"/>
          <w:tab w:val="left" w:pos="3420"/>
          <w:tab w:val="left" w:pos="3600"/>
          <w:tab w:val="left" w:pos="3780"/>
        </w:tabs>
        <w:ind w:left="-180" w:leftChars="-86" w:firstLine="640" w:firstLineChars="200"/>
        <w:rPr>
          <w:rFonts w:cs="Courier New" w:asciiTheme="minorEastAsia" w:hAnsiTheme="minorEastAsia" w:eastAsiaTheme="minorEastAsia"/>
          <w:sz w:val="32"/>
          <w:szCs w:val="32"/>
          <w:u w:val="single"/>
        </w:rPr>
      </w:pPr>
      <w:r>
        <w:rPr>
          <w:rFonts w:hint="eastAsia" w:asciiTheme="minorEastAsia" w:hAnsiTheme="minorEastAsia" w:eastAsiaTheme="minorEastAsia"/>
          <w:sz w:val="32"/>
        </w:rPr>
        <w:t>采购单位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桐庐江南镇新农村镇村建设有限公司</w:t>
      </w:r>
      <w:r>
        <w:rPr>
          <w:rFonts w:hint="eastAsia" w:asciiTheme="minorEastAsia" w:hAnsiTheme="minorEastAsia" w:eastAsiaTheme="minorEastAsia"/>
          <w:sz w:val="32"/>
          <w:u w:val="single"/>
        </w:rPr>
        <w:t xml:space="preserve">    </w:t>
      </w:r>
    </w:p>
    <w:p>
      <w:pPr>
        <w:tabs>
          <w:tab w:val="left" w:pos="1980"/>
          <w:tab w:val="left" w:pos="3240"/>
          <w:tab w:val="left" w:pos="3420"/>
          <w:tab w:val="left" w:pos="3600"/>
          <w:tab w:val="left" w:pos="3780"/>
        </w:tabs>
        <w:rPr>
          <w:rFonts w:asciiTheme="minorEastAsia" w:hAnsiTheme="minorEastAsia" w:eastAsiaTheme="minorEastAsia"/>
          <w:sz w:val="32"/>
        </w:rPr>
      </w:pPr>
    </w:p>
    <w:p>
      <w:pPr>
        <w:tabs>
          <w:tab w:val="left" w:pos="1980"/>
          <w:tab w:val="left" w:pos="3240"/>
          <w:tab w:val="left" w:pos="3420"/>
          <w:tab w:val="left" w:pos="3600"/>
          <w:tab w:val="left" w:pos="3780"/>
        </w:tabs>
        <w:spacing w:line="360" w:lineRule="auto"/>
        <w:rPr>
          <w:rFonts w:asciiTheme="minorEastAsia" w:hAnsiTheme="minorEastAsia" w:eastAsiaTheme="minorEastAsia"/>
          <w:sz w:val="32"/>
          <w:u w:val="single"/>
        </w:rPr>
      </w:pPr>
      <w:r>
        <w:rPr>
          <w:rFonts w:hint="eastAsia" w:asciiTheme="minorEastAsia" w:hAnsiTheme="minorEastAsia" w:eastAsiaTheme="minorEastAsia"/>
          <w:sz w:val="32"/>
        </w:rPr>
        <w:t xml:space="preserve">   法定代表人或其委托代理人</w:t>
      </w:r>
      <w:r>
        <w:rPr>
          <w:rFonts w:asciiTheme="minorEastAsia" w:hAnsiTheme="minorEastAsia" w:eastAsiaTheme="minorEastAsia"/>
          <w:sz w:val="32"/>
        </w:rPr>
        <w:t>:</w:t>
      </w:r>
      <w:r>
        <w:rPr>
          <w:rFonts w:hint="eastAsia" w:asciiTheme="minorEastAsia" w:hAnsiTheme="minorEastAsia" w:eastAsiaTheme="minorEastAsia"/>
          <w:sz w:val="32"/>
          <w:u w:val="single"/>
        </w:rPr>
        <w:t xml:space="preserve">        方纪林             </w:t>
      </w:r>
    </w:p>
    <w:p>
      <w:pPr>
        <w:tabs>
          <w:tab w:val="left" w:pos="1980"/>
          <w:tab w:val="left" w:pos="3240"/>
          <w:tab w:val="left" w:pos="3420"/>
          <w:tab w:val="left" w:pos="3600"/>
          <w:tab w:val="left" w:pos="3780"/>
        </w:tabs>
        <w:spacing w:line="360" w:lineRule="auto"/>
        <w:rPr>
          <w:rFonts w:asciiTheme="minorEastAsia" w:hAnsiTheme="minorEastAsia" w:eastAsiaTheme="minorEastAsia"/>
          <w:sz w:val="36"/>
          <w:szCs w:val="36"/>
        </w:rPr>
      </w:pPr>
    </w:p>
    <w:p>
      <w:pPr>
        <w:tabs>
          <w:tab w:val="left" w:pos="1620"/>
          <w:tab w:val="left" w:pos="1800"/>
          <w:tab w:val="left" w:pos="1980"/>
        </w:tabs>
        <w:rPr>
          <w:rFonts w:asciiTheme="minorEastAsia" w:hAnsiTheme="minorEastAsia" w:eastAsiaTheme="minorEastAsia"/>
          <w:sz w:val="32"/>
          <w:u w:val="single"/>
        </w:rPr>
      </w:pPr>
      <w:r>
        <w:rPr>
          <w:rFonts w:hint="eastAsia" w:asciiTheme="minorEastAsia" w:hAnsiTheme="minorEastAsia" w:eastAsiaTheme="minorEastAsia"/>
          <w:sz w:val="33"/>
          <w:szCs w:val="33"/>
        </w:rPr>
        <w:t xml:space="preserve">   采购机构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桐庐鸿泰工程咨询有限公司</w:t>
      </w:r>
      <w:r>
        <w:rPr>
          <w:rFonts w:hint="eastAsia" w:asciiTheme="minorEastAsia" w:hAnsiTheme="minorEastAsia" w:eastAsiaTheme="minorEastAsia"/>
          <w:sz w:val="32"/>
          <w:u w:val="single"/>
        </w:rPr>
        <w:t xml:space="preserve">          </w:t>
      </w:r>
    </w:p>
    <w:p>
      <w:pPr>
        <w:tabs>
          <w:tab w:val="left" w:pos="1620"/>
          <w:tab w:val="left" w:pos="1800"/>
          <w:tab w:val="left" w:pos="1980"/>
        </w:tabs>
        <w:rPr>
          <w:rFonts w:asciiTheme="minorEastAsia" w:hAnsiTheme="minorEastAsia" w:eastAsiaTheme="minorEastAsia"/>
          <w:sz w:val="33"/>
          <w:szCs w:val="33"/>
          <w:u w:val="single"/>
        </w:rPr>
      </w:pPr>
    </w:p>
    <w:p>
      <w:pPr>
        <w:tabs>
          <w:tab w:val="left" w:pos="1620"/>
          <w:tab w:val="left" w:pos="1800"/>
          <w:tab w:val="left" w:pos="1980"/>
        </w:tabs>
        <w:ind w:firstLine="480" w:firstLineChars="150"/>
        <w:rPr>
          <w:rFonts w:asciiTheme="minorEastAsia" w:hAnsiTheme="minorEastAsia" w:eastAsiaTheme="minorEastAsia"/>
          <w:sz w:val="33"/>
          <w:szCs w:val="33"/>
          <w:u w:val="single"/>
        </w:rPr>
      </w:pPr>
      <w:r>
        <w:rPr>
          <w:rFonts w:hint="eastAsia" w:asciiTheme="minorEastAsia" w:hAnsiTheme="minorEastAsia" w:eastAsiaTheme="minorEastAsia"/>
          <w:sz w:val="32"/>
        </w:rPr>
        <w:t>法定代表人或其委托代理人</w:t>
      </w:r>
      <w:r>
        <w:rPr>
          <w:rFonts w:asciiTheme="minorEastAsia" w:hAnsiTheme="minorEastAsia" w:eastAsiaTheme="minorEastAsia"/>
          <w:sz w:val="32"/>
        </w:rPr>
        <w:t>:</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孙鸣</w:t>
      </w:r>
      <w:r>
        <w:rPr>
          <w:rFonts w:hint="eastAsia" w:asciiTheme="minorEastAsia" w:hAnsiTheme="minorEastAsia" w:eastAsiaTheme="minorEastAsia"/>
          <w:sz w:val="32"/>
          <w:u w:val="single"/>
        </w:rPr>
        <w:t xml:space="preserve">              </w:t>
      </w:r>
    </w:p>
    <w:p>
      <w:pPr>
        <w:tabs>
          <w:tab w:val="left" w:pos="1620"/>
          <w:tab w:val="left" w:pos="1800"/>
          <w:tab w:val="left" w:pos="1980"/>
        </w:tabs>
        <w:rPr>
          <w:rFonts w:asciiTheme="minorEastAsia" w:hAnsiTheme="minorEastAsia" w:eastAsiaTheme="minorEastAsia"/>
          <w:spacing w:val="20"/>
          <w:sz w:val="33"/>
          <w:szCs w:val="33"/>
        </w:rPr>
      </w:pPr>
    </w:p>
    <w:p>
      <w:pPr>
        <w:tabs>
          <w:tab w:val="left" w:pos="1620"/>
          <w:tab w:val="left" w:pos="1800"/>
          <w:tab w:val="left" w:pos="1980"/>
        </w:tabs>
        <w:ind w:firstLine="480" w:firstLineChars="150"/>
        <w:rPr>
          <w:rFonts w:hint="default" w:asciiTheme="minorEastAsia" w:hAnsiTheme="minorEastAsia" w:eastAsiaTheme="minorEastAsia"/>
          <w:spacing w:val="20"/>
          <w:sz w:val="33"/>
          <w:szCs w:val="33"/>
          <w:lang w:val="en-US" w:eastAsia="zh-CN"/>
        </w:rPr>
      </w:pPr>
      <w:r>
        <w:rPr>
          <w:rFonts w:hint="eastAsia" w:asciiTheme="minorEastAsia" w:hAnsiTheme="minorEastAsia" w:eastAsiaTheme="minorEastAsia"/>
          <w:sz w:val="32"/>
        </w:rPr>
        <w:t>主管单位</w:t>
      </w:r>
      <w:r>
        <w:rPr>
          <w:rFonts w:asciiTheme="minorEastAsia" w:hAnsiTheme="minorEastAsia" w:eastAsiaTheme="minorEastAsia"/>
          <w:sz w:val="32"/>
        </w:rPr>
        <w:t>:</w:t>
      </w:r>
      <w:r>
        <w:rPr>
          <w:rFonts w:hint="eastAsia" w:asciiTheme="minorEastAsia" w:hAnsiTheme="minorEastAsia" w:eastAsiaTheme="minorEastAsia"/>
          <w:sz w:val="33"/>
          <w:szCs w:val="33"/>
          <w:u w:val="single"/>
          <w:lang w:val="en-US" w:eastAsia="zh-CN"/>
        </w:rPr>
        <w:t xml:space="preserve">             </w:t>
      </w:r>
      <w:r>
        <w:rPr>
          <w:rFonts w:asciiTheme="minorEastAsia" w:hAnsiTheme="minorEastAsia" w:eastAsiaTheme="minorEastAsia"/>
          <w:sz w:val="32"/>
          <w:u w:val="single"/>
        </w:rPr>
        <w:t>桐庐县江南镇人民政府</w:t>
      </w:r>
      <w:r>
        <w:rPr>
          <w:rFonts w:hint="eastAsia" w:asciiTheme="minorEastAsia" w:hAnsiTheme="minorEastAsia" w:eastAsiaTheme="minorEastAsia"/>
          <w:sz w:val="33"/>
          <w:szCs w:val="33"/>
          <w:u w:val="single"/>
          <w:lang w:val="en-US" w:eastAsia="zh-CN"/>
        </w:rPr>
        <w:t xml:space="preserve">         </w:t>
      </w:r>
    </w:p>
    <w:p>
      <w:pPr>
        <w:tabs>
          <w:tab w:val="left" w:pos="1620"/>
          <w:tab w:val="left" w:pos="1800"/>
          <w:tab w:val="left" w:pos="1980"/>
        </w:tabs>
        <w:rPr>
          <w:rFonts w:asciiTheme="minorEastAsia" w:hAnsiTheme="minorEastAsia" w:eastAsiaTheme="minorEastAsia"/>
          <w:spacing w:val="20"/>
          <w:sz w:val="33"/>
          <w:szCs w:val="33"/>
        </w:rPr>
      </w:pPr>
    </w:p>
    <w:p>
      <w:pPr>
        <w:pStyle w:val="21"/>
        <w:ind w:left="98" w:leftChars="47"/>
        <w:jc w:val="center"/>
        <w:rPr>
          <w:rFonts w:hint="eastAsia" w:asciiTheme="minorEastAsia" w:hAnsiTheme="minorEastAsia" w:eastAsiaTheme="minorEastAsia"/>
          <w:sz w:val="33"/>
          <w:szCs w:val="33"/>
        </w:rPr>
      </w:pPr>
    </w:p>
    <w:p>
      <w:pPr>
        <w:pStyle w:val="21"/>
        <w:ind w:left="98" w:leftChars="47"/>
        <w:jc w:val="center"/>
        <w:rPr>
          <w:rFonts w:asciiTheme="minorEastAsia" w:hAnsiTheme="minorEastAsia" w:eastAsiaTheme="minorEastAsia"/>
          <w:sz w:val="33"/>
          <w:szCs w:val="33"/>
          <w:shd w:val="clear" w:color="FFFFFF" w:fill="D9D9D9"/>
        </w:rPr>
        <w:sectPr>
          <w:footerReference r:id="rId9" w:type="first"/>
          <w:headerReference r:id="rId5" w:type="default"/>
          <w:footerReference r:id="rId7" w:type="default"/>
          <w:headerReference r:id="rId6" w:type="even"/>
          <w:footerReference r:id="rId8" w:type="even"/>
          <w:pgSz w:w="11906" w:h="16838"/>
          <w:pgMar w:top="1417" w:right="1418" w:bottom="1417" w:left="1418" w:header="851" w:footer="992" w:gutter="0"/>
          <w:pgNumType w:fmt="decimal" w:start="1"/>
          <w:cols w:space="720" w:num="1"/>
          <w:titlePg/>
          <w:docGrid w:type="linesAndChars" w:linePitch="312" w:charSpace="0"/>
        </w:sectPr>
      </w:pPr>
      <w:r>
        <w:rPr>
          <w:rFonts w:hint="eastAsia" w:asciiTheme="minorEastAsia" w:hAnsiTheme="minorEastAsia" w:eastAsiaTheme="minorEastAsia"/>
          <w:sz w:val="33"/>
          <w:szCs w:val="33"/>
        </w:rPr>
        <w:t>202</w:t>
      </w:r>
      <w:r>
        <w:rPr>
          <w:rFonts w:hint="eastAsia" w:asciiTheme="minorEastAsia" w:hAnsiTheme="minorEastAsia" w:eastAsiaTheme="minorEastAsia"/>
          <w:sz w:val="33"/>
          <w:szCs w:val="33"/>
          <w:lang w:val="en-US" w:eastAsia="zh-CN"/>
        </w:rPr>
        <w:t>4</w:t>
      </w:r>
      <w:r>
        <w:rPr>
          <w:rFonts w:hint="eastAsia" w:asciiTheme="minorEastAsia" w:hAnsiTheme="minorEastAsia" w:eastAsiaTheme="minorEastAsia"/>
          <w:sz w:val="33"/>
          <w:szCs w:val="33"/>
        </w:rPr>
        <w:t>年0</w:t>
      </w:r>
      <w:r>
        <w:rPr>
          <w:rFonts w:hint="eastAsia" w:asciiTheme="minorEastAsia" w:hAnsiTheme="minorEastAsia" w:eastAsiaTheme="minorEastAsia"/>
          <w:sz w:val="33"/>
          <w:szCs w:val="33"/>
          <w:lang w:val="en-US" w:eastAsia="zh-CN"/>
        </w:rPr>
        <w:t>2</w:t>
      </w:r>
      <w:r>
        <w:rPr>
          <w:rFonts w:hint="eastAsia" w:asciiTheme="minorEastAsia" w:hAnsiTheme="minorEastAsia" w:eastAsiaTheme="minorEastAsia"/>
          <w:sz w:val="33"/>
          <w:szCs w:val="33"/>
        </w:rPr>
        <w:t>月</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 录</w:t>
      </w:r>
    </w:p>
    <w:p>
      <w:pPr>
        <w:rPr>
          <w:rFonts w:asciiTheme="minorEastAsia" w:hAnsiTheme="minorEastAsia" w:eastAsiaTheme="minorEastAsia"/>
        </w:rPr>
      </w:pPr>
    </w:p>
    <w:p>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招标公告</w:t>
      </w:r>
    </w:p>
    <w:p>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招标需求</w:t>
      </w:r>
    </w:p>
    <w:p>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投标人须知</w:t>
      </w:r>
    </w:p>
    <w:p>
      <w:pPr>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前附表</w:t>
      </w:r>
    </w:p>
    <w:p>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总 则</w:t>
      </w:r>
    </w:p>
    <w:p>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招标文件</w:t>
      </w:r>
    </w:p>
    <w:p>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投标文件的编制</w:t>
      </w:r>
    </w:p>
    <w:p>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开标 </w:t>
      </w:r>
    </w:p>
    <w:p>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评标</w:t>
      </w:r>
    </w:p>
    <w:p>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定标</w:t>
      </w:r>
    </w:p>
    <w:p>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合同授予</w:t>
      </w:r>
    </w:p>
    <w:p>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评标办法及评分标准</w:t>
      </w:r>
    </w:p>
    <w:p>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采购合同</w:t>
      </w:r>
    </w:p>
    <w:p>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投标文件格式</w:t>
      </w:r>
    </w:p>
    <w:p>
      <w:pPr>
        <w:spacing w:line="360" w:lineRule="auto"/>
        <w:ind w:firstLine="643" w:firstLineChars="200"/>
        <w:jc w:val="center"/>
        <w:rPr>
          <w:rFonts w:cs="Arial" w:asciiTheme="minorEastAsia" w:hAnsiTheme="minorEastAsia" w:eastAsiaTheme="minorEastAsia"/>
          <w:b/>
          <w:bCs/>
          <w:sz w:val="24"/>
        </w:rPr>
      </w:pPr>
      <w:r>
        <w:rPr>
          <w:rFonts w:asciiTheme="minorEastAsia" w:hAnsiTheme="minorEastAsia" w:eastAsiaTheme="minorEastAsia"/>
          <w:b/>
          <w:sz w:val="32"/>
        </w:rPr>
        <w:br w:type="page"/>
      </w:r>
      <w:r>
        <w:rPr>
          <w:rFonts w:hint="eastAsia" w:asciiTheme="minorEastAsia" w:hAnsiTheme="minorEastAsia" w:eastAsiaTheme="minorEastAsia"/>
          <w:b/>
          <w:sz w:val="32"/>
          <w:szCs w:val="32"/>
        </w:rPr>
        <w:t>第一章   招标公告</w:t>
      </w:r>
    </w:p>
    <w:p>
      <w:pPr>
        <w:spacing w:line="360" w:lineRule="auto"/>
        <w:ind w:firstLine="540" w:firstLineChars="225"/>
        <w:rPr>
          <w:rFonts w:asciiTheme="minorEastAsia" w:hAnsiTheme="minorEastAsia" w:eastAsiaTheme="minorEastAsia"/>
          <w:color w:val="000000"/>
          <w:sz w:val="24"/>
        </w:rPr>
      </w:pPr>
      <w:r>
        <w:rPr>
          <w:rFonts w:hint="eastAsia" w:asciiTheme="minorEastAsia" w:hAnsiTheme="minorEastAsia" w:eastAsiaTheme="minorEastAsia"/>
          <w:color w:val="000000"/>
          <w:sz w:val="24"/>
        </w:rPr>
        <w:t>经相关部门批准，现就</w:t>
      </w:r>
      <w:r>
        <w:rPr>
          <w:rFonts w:hint="eastAsia" w:asciiTheme="minorEastAsia" w:hAnsiTheme="minorEastAsia" w:eastAsiaTheme="minorEastAsia"/>
          <w:b/>
          <w:color w:val="000000"/>
          <w:sz w:val="24"/>
          <w:u w:val="single"/>
          <w:lang w:eastAsia="zh-CN"/>
        </w:rPr>
        <w:t>桐庐富春江影视基地项目（一期）地块土壤污染状况调查项目</w:t>
      </w:r>
      <w:r>
        <w:rPr>
          <w:rFonts w:hint="eastAsia" w:asciiTheme="minorEastAsia" w:hAnsiTheme="minorEastAsia" w:eastAsiaTheme="minorEastAsia"/>
          <w:color w:val="000000"/>
          <w:sz w:val="24"/>
        </w:rPr>
        <w:t>进行公开采购，欢迎符合资格条件的供应商前来投标：</w:t>
      </w:r>
    </w:p>
    <w:p>
      <w:pPr>
        <w:numPr>
          <w:ilvl w:val="0"/>
          <w:numId w:val="6"/>
        </w:numPr>
        <w:spacing w:line="360" w:lineRule="auto"/>
        <w:rPr>
          <w:rFonts w:asciiTheme="minorEastAsia" w:hAnsiTheme="minorEastAsia" w:eastAsiaTheme="minorEastAsia"/>
          <w:sz w:val="24"/>
        </w:rPr>
      </w:pPr>
      <w:r>
        <w:rPr>
          <w:rFonts w:hint="eastAsia" w:cs="Arial" w:asciiTheme="minorEastAsia" w:hAnsiTheme="minorEastAsia" w:eastAsiaTheme="minorEastAsia"/>
          <w:b/>
          <w:bCs/>
          <w:sz w:val="24"/>
        </w:rPr>
        <w:t>项目编号：</w:t>
      </w:r>
      <w:r>
        <w:rPr>
          <w:rFonts w:hint="eastAsia" w:asciiTheme="minorEastAsia" w:hAnsiTheme="minorEastAsia" w:eastAsiaTheme="minorEastAsia"/>
          <w:sz w:val="24"/>
          <w:lang w:eastAsia="zh-CN"/>
        </w:rPr>
        <w:t>JN20240001</w:t>
      </w:r>
    </w:p>
    <w:p>
      <w:pPr>
        <w:pStyle w:val="61"/>
        <w:numPr>
          <w:ilvl w:val="0"/>
          <w:numId w:val="6"/>
        </w:numPr>
        <w:spacing w:line="360" w:lineRule="auto"/>
        <w:ind w:firstLineChars="0"/>
        <w:rPr>
          <w:rFonts w:asciiTheme="minorEastAsia" w:hAnsiTheme="minorEastAsia" w:eastAsiaTheme="minorEastAsia"/>
          <w:sz w:val="24"/>
        </w:rPr>
      </w:pPr>
      <w:r>
        <w:rPr>
          <w:rFonts w:hint="eastAsia" w:cs="Arial" w:asciiTheme="minorEastAsia" w:hAnsiTheme="minorEastAsia" w:eastAsiaTheme="minorEastAsia"/>
          <w:b/>
          <w:sz w:val="24"/>
        </w:rPr>
        <w:t>采购组织类型：</w:t>
      </w:r>
      <w:r>
        <w:rPr>
          <w:rFonts w:hint="eastAsia" w:asciiTheme="minorEastAsia" w:hAnsiTheme="minorEastAsia" w:eastAsiaTheme="minorEastAsia"/>
          <w:sz w:val="24"/>
        </w:rPr>
        <w:t>国企采购</w:t>
      </w:r>
    </w:p>
    <w:p>
      <w:pPr>
        <w:numPr>
          <w:ilvl w:val="0"/>
          <w:numId w:val="6"/>
        </w:numPr>
        <w:spacing w:line="360" w:lineRule="auto"/>
        <w:rPr>
          <w:rFonts w:asciiTheme="minorEastAsia" w:hAnsiTheme="minorEastAsia" w:eastAsiaTheme="minorEastAsia"/>
          <w:sz w:val="24"/>
        </w:rPr>
      </w:pPr>
      <w:r>
        <w:rPr>
          <w:rFonts w:hint="eastAsia" w:cs="Arial" w:asciiTheme="minorEastAsia" w:hAnsiTheme="minorEastAsia" w:eastAsiaTheme="minorEastAsia"/>
          <w:b/>
          <w:sz w:val="24"/>
        </w:rPr>
        <w:t>采购方式：</w:t>
      </w:r>
      <w:r>
        <w:rPr>
          <w:rFonts w:hint="eastAsia" w:cs="Arial" w:asciiTheme="minorEastAsia" w:hAnsiTheme="minorEastAsia" w:eastAsiaTheme="minorEastAsia"/>
          <w:sz w:val="24"/>
        </w:rPr>
        <w:t>公开招标</w:t>
      </w:r>
    </w:p>
    <w:p>
      <w:pPr>
        <w:spacing w:line="360" w:lineRule="auto"/>
        <w:ind w:firstLine="482" w:firstLineChars="200"/>
        <w:rPr>
          <w:rFonts w:cs="Arial" w:asciiTheme="minorEastAsia" w:hAnsiTheme="minorEastAsia" w:eastAsiaTheme="minorEastAsia"/>
          <w:sz w:val="24"/>
        </w:rPr>
      </w:pPr>
      <w:r>
        <w:rPr>
          <w:rFonts w:hint="eastAsia" w:asciiTheme="minorEastAsia" w:hAnsiTheme="minorEastAsia" w:eastAsiaTheme="minorEastAsia"/>
          <w:b/>
          <w:kern w:val="0"/>
          <w:sz w:val="24"/>
        </w:rPr>
        <w:t>四、采购内容及数量：具体详见招标需求</w:t>
      </w:r>
    </w:p>
    <w:tbl>
      <w:tblPr>
        <w:tblStyle w:val="33"/>
        <w:tblW w:w="84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4253"/>
        <w:gridCol w:w="1275"/>
        <w:gridCol w:w="19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969" w:type="dxa"/>
            <w:tcBorders>
              <w:top w:val="single" w:color="auto" w:sz="4" w:space="0"/>
              <w:left w:val="single" w:color="auto" w:sz="4" w:space="0"/>
              <w:right w:val="single" w:color="auto" w:sz="4" w:space="0"/>
            </w:tcBorders>
            <w:vAlign w:val="center"/>
          </w:tcPr>
          <w:p>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序号</w:t>
            </w:r>
          </w:p>
        </w:tc>
        <w:tc>
          <w:tcPr>
            <w:tcW w:w="4253" w:type="dxa"/>
            <w:tcBorders>
              <w:top w:val="single" w:color="auto" w:sz="4" w:space="0"/>
              <w:left w:val="single" w:color="auto" w:sz="4" w:space="0"/>
              <w:right w:val="single" w:color="auto" w:sz="4" w:space="0"/>
            </w:tcBorders>
            <w:vAlign w:val="center"/>
          </w:tcPr>
          <w:p>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采购内容</w:t>
            </w:r>
          </w:p>
        </w:tc>
        <w:tc>
          <w:tcPr>
            <w:tcW w:w="1275" w:type="dxa"/>
            <w:tcBorders>
              <w:top w:val="single" w:color="auto" w:sz="4" w:space="0"/>
              <w:left w:val="single" w:color="auto" w:sz="4" w:space="0"/>
              <w:right w:val="single" w:color="auto" w:sz="4" w:space="0"/>
            </w:tcBorders>
            <w:vAlign w:val="center"/>
          </w:tcPr>
          <w:p>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数量</w:t>
            </w:r>
          </w:p>
        </w:tc>
        <w:tc>
          <w:tcPr>
            <w:tcW w:w="1914" w:type="dxa"/>
            <w:tcBorders>
              <w:top w:val="single" w:color="auto" w:sz="4" w:space="0"/>
              <w:left w:val="single" w:color="auto" w:sz="4" w:space="0"/>
              <w:right w:val="single" w:color="auto" w:sz="4" w:space="0"/>
            </w:tcBorders>
            <w:vAlign w:val="center"/>
          </w:tcPr>
          <w:p>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exact"/>
          <w:jc w:val="center"/>
        </w:trPr>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仿宋" w:asciiTheme="minorEastAsia" w:hAnsiTheme="minorEastAsia" w:eastAsiaTheme="minorEastAsia"/>
                <w:bCs/>
                <w:kern w:val="0"/>
                <w:sz w:val="24"/>
              </w:rPr>
            </w:pPr>
            <w:r>
              <w:rPr>
                <w:rFonts w:hint="eastAsia" w:cs="仿宋" w:asciiTheme="minorEastAsia" w:hAnsiTheme="minorEastAsia" w:eastAsiaTheme="minorEastAsia"/>
                <w:bCs/>
                <w:kern w:val="0"/>
                <w:sz w:val="24"/>
              </w:rPr>
              <w:t>1</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cs="仿宋" w:asciiTheme="minorEastAsia" w:hAnsiTheme="minorEastAsia" w:eastAsiaTheme="minorEastAsia"/>
                <w:bCs/>
                <w:kern w:val="0"/>
                <w:sz w:val="24"/>
                <w:lang w:eastAsia="zh-CN"/>
              </w:rPr>
            </w:pPr>
            <w:r>
              <w:rPr>
                <w:rFonts w:hint="eastAsia" w:cs="仿宋" w:asciiTheme="minorEastAsia" w:hAnsiTheme="minorEastAsia" w:eastAsiaTheme="minorEastAsia"/>
                <w:bCs/>
                <w:kern w:val="0"/>
                <w:sz w:val="24"/>
                <w:lang w:eastAsia="zh-CN"/>
              </w:rPr>
              <w:t>桐庐富春江影视基地项目（一期）地块土壤污染状况调查</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仿宋" w:asciiTheme="minorEastAsia" w:hAnsiTheme="minorEastAsia" w:eastAsiaTheme="minorEastAsia"/>
                <w:bCs/>
                <w:kern w:val="0"/>
                <w:sz w:val="24"/>
              </w:rPr>
            </w:pPr>
            <w:r>
              <w:rPr>
                <w:rFonts w:hint="eastAsia" w:cs="仿宋" w:asciiTheme="minorEastAsia" w:hAnsiTheme="minorEastAsia" w:eastAsiaTheme="minorEastAsia"/>
                <w:bCs/>
                <w:kern w:val="0"/>
                <w:sz w:val="24"/>
              </w:rPr>
              <w:t>1项</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cs="仿宋" w:asciiTheme="minorEastAsia" w:hAnsiTheme="minorEastAsia" w:eastAsiaTheme="minorEastAsia"/>
                <w:bCs/>
                <w:kern w:val="0"/>
                <w:sz w:val="24"/>
                <w:lang w:eastAsia="zh-CN"/>
              </w:rPr>
            </w:pPr>
            <w:r>
              <w:rPr>
                <w:rFonts w:hint="eastAsia" w:cs="宋体" w:asciiTheme="minorEastAsia" w:hAnsiTheme="minorEastAsia" w:eastAsiaTheme="minorEastAsia"/>
                <w:sz w:val="24"/>
                <w:szCs w:val="20"/>
                <w:lang w:eastAsia="zh-CN"/>
              </w:rPr>
              <w:t>28万元</w:t>
            </w:r>
          </w:p>
        </w:tc>
      </w:tr>
    </w:tbl>
    <w:p>
      <w:pPr>
        <w:spacing w:beforeLines="50" w:line="360" w:lineRule="auto"/>
        <w:ind w:firstLine="472" w:firstLineChars="196"/>
        <w:rPr>
          <w:rFonts w:cs="Arial" w:asciiTheme="minorEastAsia" w:hAnsiTheme="minorEastAsia" w:eastAsiaTheme="minorEastAsia"/>
          <w:b/>
          <w:bCs/>
          <w:sz w:val="24"/>
        </w:rPr>
      </w:pPr>
      <w:r>
        <w:rPr>
          <w:rFonts w:hint="eastAsia" w:cs="Arial" w:asciiTheme="minorEastAsia" w:hAnsiTheme="minorEastAsia" w:eastAsiaTheme="minorEastAsia"/>
          <w:b/>
          <w:sz w:val="24"/>
        </w:rPr>
        <w:t>五</w:t>
      </w:r>
      <w:r>
        <w:rPr>
          <w:rFonts w:hint="eastAsia" w:cs="Arial" w:asciiTheme="minorEastAsia" w:hAnsiTheme="minorEastAsia" w:eastAsiaTheme="minorEastAsia"/>
          <w:sz w:val="24"/>
        </w:rPr>
        <w:t>、</w:t>
      </w:r>
      <w:r>
        <w:rPr>
          <w:rFonts w:hint="eastAsia" w:cs="Arial" w:asciiTheme="minorEastAsia" w:hAnsiTheme="minorEastAsia" w:eastAsiaTheme="minorEastAsia"/>
          <w:b/>
          <w:bCs/>
          <w:sz w:val="24"/>
        </w:rPr>
        <w:t>合格投标人的资格要求</w:t>
      </w:r>
    </w:p>
    <w:p>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（一）具有独立承担民事责任的能力；</w:t>
      </w:r>
    </w:p>
    <w:p>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（二）具有良好的商业信誉和健全的</w:t>
      </w:r>
      <w:r>
        <w:fldChar w:fldCharType="begin"/>
      </w:r>
      <w:r>
        <w:instrText xml:space="preserve"> HYPERLINK "https://www.baidu.com/s?wd=%E8%B4%A2%E5%8A%A1%E4%BC%9A%E8%AE%A1%E5%88%B6%E5%BA%A6&amp;tn=SE_PcZhidaonwhc_ngpagmjz&amp;rsv_dl=gh_pc_zhidao" \t "_blank" </w:instrText>
      </w:r>
      <w:r>
        <w:fldChar w:fldCharType="separate"/>
      </w:r>
      <w:r>
        <w:rPr>
          <w:rFonts w:cs="宋体" w:asciiTheme="minorEastAsia" w:hAnsiTheme="minorEastAsia" w:eastAsiaTheme="minorEastAsia"/>
          <w:sz w:val="24"/>
        </w:rPr>
        <w:t>财务会计制度</w:t>
      </w:r>
      <w:r>
        <w:rPr>
          <w:rFonts w:cs="宋体" w:asciiTheme="minorEastAsia" w:hAnsiTheme="minorEastAsia" w:eastAsiaTheme="minorEastAsia"/>
          <w:sz w:val="24"/>
        </w:rPr>
        <w:fldChar w:fldCharType="end"/>
      </w:r>
      <w:r>
        <w:rPr>
          <w:rFonts w:cs="宋体" w:asciiTheme="minorEastAsia" w:hAnsiTheme="minorEastAsia" w:eastAsiaTheme="minorEastAsia"/>
          <w:sz w:val="24"/>
        </w:rPr>
        <w:t>；</w:t>
      </w:r>
    </w:p>
    <w:p>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（三）具有履行合同所必需的设备和专业技术能力；</w:t>
      </w:r>
    </w:p>
    <w:p>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（四）有依法缴纳税收和</w:t>
      </w:r>
      <w:r>
        <w:fldChar w:fldCharType="begin"/>
      </w:r>
      <w:r>
        <w:instrText xml:space="preserve"> HYPERLINK "https://www.baidu.com/s?wd=%E7%A4%BE%E4%BC%9A%E4%BF%9D%E9%9A%9C%E8%B5%84%E9%87%91&amp;tn=SE_PcZhidaonwhc_ngpagmjz&amp;rsv_dl=gh_pc_zhidao" \t "_blank" </w:instrText>
      </w:r>
      <w:r>
        <w:fldChar w:fldCharType="separate"/>
      </w:r>
      <w:r>
        <w:rPr>
          <w:rFonts w:cs="宋体" w:asciiTheme="minorEastAsia" w:hAnsiTheme="minorEastAsia" w:eastAsiaTheme="minorEastAsia"/>
          <w:sz w:val="24"/>
        </w:rPr>
        <w:t>社会保障资金</w:t>
      </w:r>
      <w:r>
        <w:rPr>
          <w:rFonts w:cs="宋体" w:asciiTheme="minorEastAsia" w:hAnsiTheme="minorEastAsia" w:eastAsiaTheme="minorEastAsia"/>
          <w:sz w:val="24"/>
        </w:rPr>
        <w:fldChar w:fldCharType="end"/>
      </w:r>
      <w:r>
        <w:rPr>
          <w:rFonts w:cs="宋体" w:asciiTheme="minorEastAsia" w:hAnsiTheme="minorEastAsia" w:eastAsiaTheme="minorEastAsia"/>
          <w:sz w:val="24"/>
        </w:rPr>
        <w:t>的良好记录；</w:t>
      </w:r>
    </w:p>
    <w:p>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（五）参加采购活动前三年内，在经营活动中没有重大违法记录；</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六）参加本项目投标供应商需具备良好的商业信誉，且未被“信用中国”（www.creditchina.gov.cn）、中国政府采购网（www.ccgp.gov.cn）列入失信被执行人、重大税收违法案件当事人名单、采购严重违法失信行为记录名单，否则将被拒绝（以开标当日采购人或采购代理机构核实的查询结果为准）。</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（七）</w:t>
      </w:r>
      <w:r>
        <w:rPr>
          <w:rFonts w:cs="宋体" w:asciiTheme="minorEastAsia" w:hAnsiTheme="minorEastAsia" w:eastAsiaTheme="minorEastAsia"/>
          <w:sz w:val="24"/>
        </w:rPr>
        <w:t>本项目拒绝联合体投标，禁止转包。</w:t>
      </w:r>
    </w:p>
    <w:p>
      <w:pPr>
        <w:spacing w:line="408" w:lineRule="auto"/>
        <w:ind w:firstLine="482" w:firstLineChars="200"/>
        <w:rPr>
          <w:rFonts w:cs="Arial" w:asciiTheme="minorEastAsia" w:hAnsiTheme="minorEastAsia" w:eastAsiaTheme="minorEastAsia"/>
          <w:sz w:val="24"/>
          <w:lang w:eastAsia="zh-TW"/>
        </w:rPr>
      </w:pPr>
      <w:r>
        <w:rPr>
          <w:rFonts w:hint="eastAsia" w:cs="Arial" w:asciiTheme="minorEastAsia" w:hAnsiTheme="minorEastAsia" w:eastAsiaTheme="minorEastAsia"/>
          <w:b/>
          <w:bCs/>
          <w:sz w:val="24"/>
        </w:rPr>
        <w:t>六</w:t>
      </w:r>
      <w:r>
        <w:rPr>
          <w:rFonts w:hint="eastAsia" w:cs="Arial" w:asciiTheme="minorEastAsia" w:hAnsiTheme="minorEastAsia" w:eastAsiaTheme="minorEastAsia"/>
          <w:b/>
          <w:bCs/>
          <w:sz w:val="24"/>
          <w:lang w:eastAsia="zh-TW"/>
        </w:rPr>
        <w:t>、采购文件的获取</w:t>
      </w:r>
      <w:r>
        <w:rPr>
          <w:rFonts w:hint="eastAsia" w:cs="Arial" w:asciiTheme="minorEastAsia" w:hAnsiTheme="minorEastAsia" w:eastAsiaTheme="minorEastAsia"/>
          <w:sz w:val="24"/>
          <w:lang w:eastAsia="zh-TW"/>
        </w:rPr>
        <w:t>：</w:t>
      </w:r>
    </w:p>
    <w:p>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1、本项目招标文件实行“政府采购云平台”在线获取，不提供招标文件纸质版。供应商获取招标文件前应先完成“政府采购云平台”的账号注册；</w:t>
      </w:r>
    </w:p>
    <w:p>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2、地点：浙江政府采购网（http://zfcg.czt.zj.gov.cn）；</w:t>
      </w:r>
    </w:p>
    <w:p>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4、供应商获取招标文件时须提交的文件资料：无；</w:t>
      </w:r>
    </w:p>
    <w:p>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注：请供应商按上述要求获取招标文件，如未在“政采云”系统内完成相关流程，引起的投标无效责任自负。</w:t>
      </w:r>
    </w:p>
    <w:p>
      <w:pPr>
        <w:spacing w:line="360" w:lineRule="auto"/>
        <w:ind w:firstLine="482" w:firstLineChars="200"/>
        <w:rPr>
          <w:rFonts w:hint="eastAsia" w:asciiTheme="minorEastAsia" w:hAnsiTheme="minorEastAsia" w:eastAsiaTheme="minorEastAsia"/>
          <w:b/>
          <w:bCs/>
          <w:color w:val="FF0000"/>
          <w:sz w:val="24"/>
          <w:lang w:eastAsia="zh-CN"/>
        </w:rPr>
      </w:pPr>
      <w:r>
        <w:rPr>
          <w:rFonts w:hint="eastAsia" w:cs="Arial" w:asciiTheme="minorEastAsia" w:hAnsiTheme="minorEastAsia" w:eastAsiaTheme="minorEastAsia"/>
          <w:b/>
          <w:bCs/>
          <w:color w:val="000000"/>
          <w:sz w:val="24"/>
        </w:rPr>
        <w:t>七、投标截止时间和地点：</w:t>
      </w:r>
      <w:r>
        <w:rPr>
          <w:rFonts w:hint="eastAsia" w:asciiTheme="minorEastAsia" w:hAnsiTheme="minorEastAsia" w:eastAsiaTheme="minorEastAsia"/>
          <w:b/>
          <w:bCs/>
          <w:color w:val="FF0000"/>
          <w:sz w:val="24"/>
          <w:lang w:eastAsia="zh-CN"/>
        </w:rPr>
        <w:t>2024年02月27日09时30分</w:t>
      </w:r>
    </w:p>
    <w:p>
      <w:pPr>
        <w:snapToGrid w:val="0"/>
        <w:spacing w:line="360" w:lineRule="auto"/>
        <w:ind w:firstLine="482" w:firstLineChars="200"/>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rPr>
        <w:t>八、开标时间及地点：</w:t>
      </w:r>
    </w:p>
    <w:p>
      <w:pPr>
        <w:snapToGrid w:val="0"/>
        <w:spacing w:line="360" w:lineRule="auto"/>
        <w:ind w:firstLine="540" w:firstLineChars="225"/>
        <w:rPr>
          <w:rFonts w:cs="Arial" w:asciiTheme="minorEastAsia" w:hAnsiTheme="minorEastAsia" w:eastAsiaTheme="minorEastAsia"/>
          <w:sz w:val="24"/>
        </w:rPr>
      </w:pPr>
      <w:r>
        <w:rPr>
          <w:rFonts w:hint="eastAsia" w:asciiTheme="minorEastAsia" w:hAnsiTheme="minorEastAsia" w:eastAsiaTheme="minorEastAsia"/>
          <w:sz w:val="24"/>
        </w:rPr>
        <w:t>本次招标将</w:t>
      </w:r>
      <w:r>
        <w:rPr>
          <w:rFonts w:hint="eastAsia" w:asciiTheme="minorEastAsia" w:hAnsiTheme="minorEastAsia" w:eastAsiaTheme="minorEastAsia"/>
          <w:b/>
          <w:bCs/>
          <w:color w:val="FF0000"/>
          <w:sz w:val="24"/>
          <w:lang w:eastAsia="zh-CN"/>
        </w:rPr>
        <w:t>2024年02月27日09时30分</w:t>
      </w:r>
      <w:r>
        <w:rPr>
          <w:rFonts w:hint="eastAsia" w:asciiTheme="minorEastAsia" w:hAnsiTheme="minorEastAsia" w:eastAsiaTheme="minorEastAsia"/>
          <w:sz w:val="24"/>
        </w:rPr>
        <w:t>在</w:t>
      </w:r>
      <w:r>
        <w:rPr>
          <w:rFonts w:hint="eastAsia" w:cs="Arial" w:asciiTheme="minorEastAsia" w:hAnsiTheme="minorEastAsia" w:eastAsiaTheme="minorEastAsia"/>
          <w:sz w:val="24"/>
        </w:rPr>
        <w:t>政采云在线开标。</w:t>
      </w:r>
    </w:p>
    <w:p>
      <w:pPr>
        <w:snapToGrid w:val="0"/>
        <w:spacing w:line="360" w:lineRule="auto"/>
        <w:ind w:firstLine="542" w:firstLineChars="225"/>
        <w:rPr>
          <w:rFonts w:cs="Arial" w:asciiTheme="minorEastAsia" w:hAnsiTheme="minorEastAsia" w:eastAsiaTheme="minorEastAsia"/>
          <w:b/>
          <w:bCs/>
          <w:sz w:val="24"/>
        </w:rPr>
      </w:pPr>
      <w:r>
        <w:rPr>
          <w:rFonts w:hint="eastAsia" w:cs="Arial" w:asciiTheme="minorEastAsia" w:hAnsiTheme="minorEastAsia" w:eastAsiaTheme="minorEastAsia"/>
          <w:b/>
          <w:bCs/>
          <w:sz w:val="24"/>
        </w:rPr>
        <w:t>九、投标保证金：</w:t>
      </w:r>
      <w:r>
        <w:rPr>
          <w:rFonts w:hint="eastAsia" w:asciiTheme="minorEastAsia" w:hAnsiTheme="minorEastAsia" w:eastAsiaTheme="minorEastAsia"/>
          <w:sz w:val="24"/>
        </w:rPr>
        <w:t>无</w:t>
      </w:r>
    </w:p>
    <w:p>
      <w:pPr>
        <w:snapToGrid w:val="0"/>
        <w:spacing w:line="360" w:lineRule="auto"/>
        <w:ind w:firstLine="482" w:firstLineChars="200"/>
        <w:rPr>
          <w:rFonts w:cs="Arial" w:asciiTheme="minorEastAsia" w:hAnsiTheme="minorEastAsia" w:eastAsiaTheme="minorEastAsia"/>
          <w:b/>
          <w:bCs/>
          <w:sz w:val="24"/>
        </w:rPr>
      </w:pPr>
      <w:r>
        <w:rPr>
          <w:rFonts w:hint="eastAsia" w:cs="Arial" w:asciiTheme="minorEastAsia" w:hAnsiTheme="minorEastAsia" w:eastAsiaTheme="minorEastAsia"/>
          <w:b/>
          <w:bCs/>
          <w:sz w:val="24"/>
        </w:rPr>
        <w:t>十、在线投标响应（电子投标）说明</w:t>
      </w:r>
    </w:p>
    <w:p>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Theme="minorEastAsia" w:hAnsiTheme="minorEastAsia" w:eastAsiaTheme="minorEastAsia"/>
          <w:b/>
          <w:bCs/>
          <w:sz w:val="24"/>
        </w:rPr>
        <w:t>CA驱动和申领流程</w:t>
      </w:r>
      <w:r>
        <w:rPr>
          <w:rFonts w:hint="eastAsia" w:asciiTheme="minorEastAsia" w:hAnsiTheme="minorEastAsia" w:eastAsiaTheme="minorEastAsia"/>
          <w:b/>
          <w:bCs/>
          <w:sz w:val="24"/>
        </w:rPr>
        <w:fldChar w:fldCharType="end"/>
      </w:r>
      <w:r>
        <w:rPr>
          <w:rFonts w:hint="eastAsia" w:asciiTheme="minorEastAsia" w:hAnsiTheme="minorEastAsia" w:eastAsiaTheme="minorEastAsia"/>
          <w:b/>
          <w:bCs/>
          <w:sz w:val="24"/>
        </w:rPr>
        <w:t>”进行查阅；</w:t>
      </w:r>
    </w:p>
    <w:p>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3、投标供应商应当在投标截止时间前，将生成的“电子加密投标文件”上传递交至“政府采购云平台”。投标截止时间以后上传递交的投标文件将被“政府采购云平台”拒收。</w:t>
      </w:r>
    </w:p>
    <w:p>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4、投标供应商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360" w:lineRule="auto"/>
        <w:ind w:firstLine="482" w:firstLineChars="200"/>
        <w:outlineLvl w:val="1"/>
        <w:rPr>
          <w:rFonts w:cs="Arial" w:asciiTheme="minorEastAsia" w:hAnsiTheme="minorEastAsia" w:eastAsiaTheme="minorEastAsia"/>
          <w:b/>
          <w:bCs/>
          <w:sz w:val="24"/>
        </w:rPr>
      </w:pPr>
      <w:r>
        <w:rPr>
          <w:rFonts w:hint="eastAsia" w:cs="Arial" w:asciiTheme="minorEastAsia" w:hAnsiTheme="minorEastAsia" w:eastAsiaTheme="minorEastAsia"/>
          <w:b/>
          <w:bCs/>
          <w:sz w:val="24"/>
        </w:rPr>
        <w:t>十一、其他事项：</w:t>
      </w:r>
    </w:p>
    <w:p>
      <w:pPr>
        <w:pStyle w:val="168"/>
        <w:rPr>
          <w:rFonts w:asciiTheme="minorEastAsia" w:hAnsiTheme="minorEastAsia" w:eastAsiaTheme="minorEastAsia"/>
        </w:rPr>
      </w:pPr>
      <w:r>
        <w:rPr>
          <w:rFonts w:hint="eastAsia" w:asciiTheme="minorEastAsia" w:hAnsiTheme="minorEastAsia" w:eastAsiaTheme="minorEastAsia"/>
        </w:rPr>
        <w:t>投标人如不派代表或不准时参加开标大会的,不得对采购相关人员、开标过程和开标结果提出异议。</w:t>
      </w:r>
    </w:p>
    <w:p>
      <w:pPr>
        <w:spacing w:line="360" w:lineRule="auto"/>
        <w:ind w:firstLine="472" w:firstLineChars="196"/>
        <w:outlineLvl w:val="1"/>
        <w:rPr>
          <w:rFonts w:cs="Arial" w:asciiTheme="minorEastAsia" w:hAnsiTheme="minorEastAsia" w:eastAsiaTheme="minorEastAsia"/>
          <w:b/>
          <w:bCs/>
          <w:sz w:val="24"/>
        </w:rPr>
      </w:pPr>
      <w:r>
        <w:rPr>
          <w:rFonts w:cs="Arial" w:asciiTheme="minorEastAsia" w:hAnsiTheme="minorEastAsia" w:eastAsiaTheme="minorEastAsia"/>
          <w:b/>
          <w:bCs/>
          <w:sz w:val="24"/>
        </w:rPr>
        <w:t>十</w:t>
      </w:r>
      <w:r>
        <w:rPr>
          <w:rFonts w:hint="eastAsia" w:cs="Arial" w:asciiTheme="minorEastAsia" w:hAnsiTheme="minorEastAsia" w:eastAsiaTheme="minorEastAsia"/>
          <w:b/>
          <w:bCs/>
          <w:sz w:val="24"/>
        </w:rPr>
        <w:t>二</w:t>
      </w:r>
      <w:r>
        <w:rPr>
          <w:rFonts w:cs="Arial" w:asciiTheme="minorEastAsia" w:hAnsiTheme="minorEastAsia" w:eastAsiaTheme="minorEastAsia"/>
          <w:b/>
          <w:bCs/>
          <w:sz w:val="24"/>
        </w:rPr>
        <w:t>、业务咨询：</w:t>
      </w:r>
    </w:p>
    <w:p>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1、采购机构名称：</w:t>
      </w:r>
      <w:r>
        <w:rPr>
          <w:rFonts w:hint="eastAsia" w:asciiTheme="minorEastAsia" w:hAnsiTheme="minorEastAsia" w:eastAsiaTheme="minorEastAsia"/>
          <w:sz w:val="24"/>
          <w:lang w:eastAsia="zh-CN"/>
        </w:rPr>
        <w:t>桐庐鸿泰工程咨询有限公司</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地址：浙江省桐庐县城南街道迎春南路88号华桐大厦20楼</w:t>
      </w:r>
    </w:p>
    <w:p>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联系人：</w:t>
      </w:r>
      <w:r>
        <w:rPr>
          <w:rFonts w:hint="eastAsia" w:asciiTheme="minorEastAsia" w:hAnsiTheme="minorEastAsia" w:eastAsiaTheme="minorEastAsia"/>
          <w:sz w:val="24"/>
          <w:lang w:eastAsia="zh-CN"/>
        </w:rPr>
        <w:t>孙鸣</w:t>
      </w:r>
    </w:p>
    <w:p>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联系电话：</w:t>
      </w:r>
      <w:r>
        <w:rPr>
          <w:rFonts w:hint="eastAsia" w:asciiTheme="minorEastAsia" w:hAnsiTheme="minorEastAsia" w:eastAsiaTheme="minorEastAsia"/>
          <w:sz w:val="24"/>
          <w:lang w:eastAsia="zh-CN"/>
        </w:rPr>
        <w:t>15168292397</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2、书面质疑受理地点：桐庐县城南街道迎春南路88号华桐大厦20楼</w:t>
      </w:r>
    </w:p>
    <w:p>
      <w:pPr>
        <w:snapToGrid w:val="0"/>
        <w:spacing w:line="360" w:lineRule="auto"/>
        <w:ind w:firstLine="660" w:firstLineChars="275"/>
        <w:rPr>
          <w:rFonts w:hint="eastAsia" w:asciiTheme="minorEastAsia" w:hAnsiTheme="minorEastAsia" w:eastAsiaTheme="minorEastAsia"/>
          <w:sz w:val="24"/>
          <w:lang w:eastAsia="zh-CN"/>
        </w:rPr>
      </w:pPr>
      <w:r>
        <w:rPr>
          <w:rFonts w:hint="eastAsia" w:asciiTheme="minorEastAsia" w:hAnsiTheme="minorEastAsia" w:eastAsiaTheme="minorEastAsia"/>
          <w:sz w:val="24"/>
        </w:rPr>
        <w:t>联系人：</w:t>
      </w:r>
      <w:r>
        <w:rPr>
          <w:rFonts w:hint="eastAsia" w:asciiTheme="minorEastAsia" w:hAnsiTheme="minorEastAsia" w:eastAsiaTheme="minorEastAsia"/>
          <w:sz w:val="24"/>
          <w:lang w:eastAsia="zh-CN"/>
        </w:rPr>
        <w:t>孙鸣</w:t>
      </w:r>
    </w:p>
    <w:p>
      <w:pPr>
        <w:snapToGrid w:val="0"/>
        <w:spacing w:line="360" w:lineRule="auto"/>
        <w:ind w:firstLine="660" w:firstLineChars="275"/>
        <w:rPr>
          <w:rFonts w:asciiTheme="minorEastAsia" w:hAnsiTheme="minorEastAsia" w:eastAsiaTheme="minorEastAsia"/>
          <w:sz w:val="24"/>
        </w:rPr>
      </w:pPr>
      <w:r>
        <w:rPr>
          <w:rFonts w:hint="eastAsia" w:asciiTheme="minorEastAsia" w:hAnsiTheme="minorEastAsia" w:eastAsiaTheme="minorEastAsia"/>
          <w:sz w:val="24"/>
        </w:rPr>
        <w:t>联系电话：</w:t>
      </w:r>
      <w:r>
        <w:rPr>
          <w:rFonts w:hint="eastAsia" w:asciiTheme="minorEastAsia" w:hAnsiTheme="minorEastAsia" w:eastAsiaTheme="minorEastAsia"/>
          <w:sz w:val="24"/>
          <w:lang w:eastAsia="zh-CN"/>
        </w:rPr>
        <w:t>15168292397</w:t>
      </w:r>
      <w:r>
        <w:rPr>
          <w:rFonts w:hint="eastAsia" w:asciiTheme="minorEastAsia" w:hAnsiTheme="minorEastAsia" w:eastAsiaTheme="minorEastAsia"/>
          <w:sz w:val="24"/>
        </w:rPr>
        <w:t xml:space="preserve">  </w:t>
      </w:r>
    </w:p>
    <w:p>
      <w:pPr>
        <w:snapToGrid w:val="0"/>
        <w:spacing w:line="360" w:lineRule="auto"/>
        <w:ind w:firstLine="660" w:firstLineChars="275"/>
        <w:rPr>
          <w:rFonts w:hint="eastAsia" w:asciiTheme="minorEastAsia" w:hAnsiTheme="minorEastAsia" w:eastAsiaTheme="minorEastAsia"/>
          <w:sz w:val="24"/>
          <w:lang w:eastAsia="zh-CN"/>
        </w:rPr>
      </w:pPr>
      <w:r>
        <w:rPr>
          <w:rFonts w:hint="eastAsia" w:asciiTheme="minorEastAsia" w:hAnsiTheme="minorEastAsia" w:eastAsiaTheme="minorEastAsia"/>
          <w:sz w:val="24"/>
        </w:rPr>
        <w:t>座机/传真：</w:t>
      </w:r>
      <w:r>
        <w:rPr>
          <w:rFonts w:hint="eastAsia" w:asciiTheme="minorEastAsia" w:hAnsiTheme="minorEastAsia" w:eastAsiaTheme="minorEastAsia"/>
          <w:sz w:val="24"/>
          <w:lang w:eastAsia="zh-CN"/>
        </w:rPr>
        <w:t>0571-64622020</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3、采购单位：</w:t>
      </w:r>
      <w:r>
        <w:rPr>
          <w:rFonts w:hint="eastAsia" w:asciiTheme="minorEastAsia" w:hAnsiTheme="minorEastAsia" w:eastAsiaTheme="minorEastAsia"/>
          <w:sz w:val="24"/>
          <w:lang w:eastAsia="zh-CN"/>
        </w:rPr>
        <w:t>桐庐江南镇新农村镇村建设有限公司</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联系人：方纪林</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联系</w:t>
      </w:r>
      <w:r>
        <w:rPr>
          <w:rFonts w:asciiTheme="minorEastAsia" w:hAnsiTheme="minorEastAsia" w:eastAsiaTheme="minorEastAsia"/>
          <w:sz w:val="24"/>
        </w:rPr>
        <w:t>电话</w:t>
      </w:r>
      <w:r>
        <w:rPr>
          <w:rFonts w:hint="eastAsia" w:asciiTheme="minorEastAsia" w:hAnsiTheme="minorEastAsia" w:eastAsiaTheme="minorEastAsia"/>
          <w:sz w:val="24"/>
        </w:rPr>
        <w:t>：15088618119</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4、监管部门：桐庐县江南镇人民政府</w:t>
      </w:r>
    </w:p>
    <w:p>
      <w:pPr>
        <w:spacing w:line="360" w:lineRule="auto"/>
        <w:ind w:firstLine="700" w:firstLineChars="292"/>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联系人：</w:t>
      </w:r>
      <w:r>
        <w:rPr>
          <w:rFonts w:hint="eastAsia" w:asciiTheme="minorEastAsia" w:hAnsiTheme="minorEastAsia" w:eastAsiaTheme="minorEastAsia"/>
          <w:sz w:val="24"/>
          <w:lang w:val="en-US" w:eastAsia="zh-CN"/>
        </w:rPr>
        <w:t>方溢成</w:t>
      </w:r>
    </w:p>
    <w:p>
      <w:pPr>
        <w:spacing w:line="360" w:lineRule="auto"/>
        <w:ind w:firstLine="700" w:firstLineChars="292"/>
        <w:rPr>
          <w:rFonts w:hint="default" w:asciiTheme="minorEastAsia" w:hAnsiTheme="minorEastAsia" w:eastAsiaTheme="minorEastAsia"/>
          <w:sz w:val="24"/>
          <w:lang w:val="en-US" w:eastAsia="zh-CN"/>
        </w:rPr>
        <w:sectPr>
          <w:footerReference r:id="rId10" w:type="default"/>
          <w:pgSz w:w="11910" w:h="16840"/>
          <w:pgMar w:top="1134" w:right="1344" w:bottom="1134" w:left="1304" w:header="0" w:footer="993" w:gutter="0"/>
          <w:pgNumType w:fmt="decimal"/>
          <w:cols w:space="0" w:num="1"/>
        </w:sectPr>
      </w:pPr>
      <w:r>
        <w:rPr>
          <w:rFonts w:hint="eastAsia" w:asciiTheme="minorEastAsia" w:hAnsiTheme="minorEastAsia" w:eastAsiaTheme="minorEastAsia"/>
          <w:sz w:val="24"/>
        </w:rPr>
        <w:t>监督投诉电话：</w:t>
      </w:r>
      <w:bookmarkStart w:id="0" w:name="_Hlk521930958"/>
      <w:r>
        <w:rPr>
          <w:rFonts w:hint="eastAsia" w:asciiTheme="minorEastAsia" w:hAnsiTheme="minorEastAsia" w:eastAsiaTheme="minorEastAsia"/>
          <w:sz w:val="24"/>
          <w:lang w:val="en-US" w:eastAsia="zh-CN"/>
        </w:rPr>
        <w:t>18668091723</w:t>
      </w:r>
    </w:p>
    <w:p>
      <w:pPr>
        <w:numPr>
          <w:ilvl w:val="0"/>
          <w:numId w:val="7"/>
        </w:numPr>
        <w:snapToGrid w:val="0"/>
        <w:spacing w:line="360" w:lineRule="auto"/>
        <w:ind w:firstLine="42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招标需求</w:t>
      </w:r>
    </w:p>
    <w:bookmarkEnd w:id="0"/>
    <w:p>
      <w:pPr>
        <w:pStyle w:val="140"/>
        <w:spacing w:line="360" w:lineRule="auto"/>
        <w:ind w:firstLine="482"/>
        <w:rPr>
          <w:rFonts w:hint="eastAsia" w:ascii="宋体" w:hAnsi="宋体" w:eastAsia="宋体"/>
          <w:b/>
          <w:bCs/>
          <w:sz w:val="24"/>
          <w:lang w:eastAsia="zh-CN"/>
        </w:rPr>
      </w:pPr>
      <w:r>
        <w:rPr>
          <w:rFonts w:hint="eastAsia" w:ascii="宋体" w:hAnsi="宋体" w:eastAsia="宋体"/>
          <w:b/>
          <w:bCs/>
          <w:sz w:val="24"/>
        </w:rPr>
        <w:t>一、项目</w:t>
      </w:r>
      <w:r>
        <w:rPr>
          <w:rFonts w:hint="eastAsia" w:ascii="宋体" w:hAnsi="宋体" w:eastAsia="宋体"/>
          <w:b/>
          <w:bCs/>
          <w:sz w:val="24"/>
          <w:lang w:val="en-US" w:eastAsia="zh-CN"/>
        </w:rPr>
        <w:t>概述</w:t>
      </w:r>
    </w:p>
    <w:p>
      <w:pPr>
        <w:spacing w:beforeLines="0" w:afterLines="0" w:line="360" w:lineRule="auto"/>
        <w:ind w:firstLine="480" w:firstLineChars="200"/>
        <w:outlineLvl w:val="9"/>
        <w:rPr>
          <w:rFonts w:hint="eastAsia" w:ascii="宋体" w:hAnsi="宋体" w:eastAsia="宋体" w:cs="宋体"/>
          <w:bCs/>
          <w:color w:val="auto"/>
          <w:kern w:val="1"/>
          <w:sz w:val="24"/>
          <w:highlight w:val="none"/>
        </w:rPr>
      </w:pPr>
      <w:r>
        <w:rPr>
          <w:rFonts w:hint="eastAsia" w:ascii="宋体" w:hAnsi="宋体" w:eastAsia="宋体" w:cs="宋体"/>
          <w:bCs/>
          <w:color w:val="auto"/>
          <w:kern w:val="1"/>
          <w:sz w:val="24"/>
          <w:highlight w:val="none"/>
        </w:rPr>
        <w:t>近年来，社会经济水平不断发展，区域内耕地及拆迁后的工业用地逐步纳入开发进程，为保障人民群众的身体健康，避免因功能置换带来新的环境问题，根据《中华人民共和国土壤污染防治法》、《建设用地土壤污染状况调查技术导则》、《建设用地土壤污染风险管控和修复监测技术导则》等相关政策要求，通过本次招标拟对</w:t>
      </w:r>
      <w:r>
        <w:rPr>
          <w:rFonts w:hint="eastAsia" w:ascii="宋体" w:hAnsi="宋体" w:eastAsia="宋体" w:cs="宋体"/>
          <w:bCs/>
          <w:color w:val="auto"/>
          <w:kern w:val="1"/>
          <w:sz w:val="24"/>
          <w:highlight w:val="none"/>
          <w:lang w:eastAsia="zh-CN"/>
        </w:rPr>
        <w:t>桐庐市江南镇影视学院地块</w:t>
      </w:r>
      <w:r>
        <w:rPr>
          <w:rFonts w:hint="eastAsia" w:ascii="宋体" w:hAnsi="宋体" w:eastAsia="宋体" w:cs="宋体"/>
          <w:bCs/>
          <w:color w:val="auto"/>
          <w:kern w:val="1"/>
          <w:sz w:val="24"/>
          <w:highlight w:val="none"/>
        </w:rPr>
        <w:t>土壤污染状况进行初步调查。</w:t>
      </w:r>
    </w:p>
    <w:p>
      <w:pPr>
        <w:pStyle w:val="32"/>
        <w:tabs>
          <w:tab w:val="left" w:pos="0"/>
          <w:tab w:val="left" w:pos="993"/>
          <w:tab w:val="left" w:pos="1134"/>
        </w:tabs>
        <w:spacing w:beforeLines="0" w:afterLines="0" w:line="360" w:lineRule="auto"/>
        <w:ind w:left="0" w:leftChars="0" w:firstLine="480"/>
        <w:rPr>
          <w:rFonts w:hint="eastAsia" w:ascii="宋体" w:hAnsi="宋体" w:eastAsia="宋体" w:cs="宋体"/>
          <w:bCs/>
          <w:color w:val="auto"/>
          <w:kern w:val="1"/>
          <w:sz w:val="24"/>
          <w:highlight w:val="none"/>
        </w:rPr>
      </w:pPr>
      <w:r>
        <w:rPr>
          <w:rFonts w:hint="eastAsia" w:ascii="宋体" w:hAnsi="宋体" w:eastAsia="宋体" w:cs="宋体"/>
          <w:bCs/>
          <w:color w:val="auto"/>
          <w:kern w:val="1"/>
          <w:sz w:val="24"/>
          <w:highlight w:val="none"/>
        </w:rPr>
        <w:t>地块基本信息：占地总面积</w:t>
      </w:r>
      <w:r>
        <w:rPr>
          <w:rFonts w:hint="eastAsia" w:hAnsi="宋体" w:cs="宋体"/>
          <w:bCs/>
          <w:color w:val="auto"/>
          <w:kern w:val="1"/>
          <w:sz w:val="24"/>
          <w:highlight w:val="none"/>
          <w:lang w:eastAsia="zh-CN"/>
        </w:rPr>
        <w:t>174亩</w:t>
      </w:r>
      <w:r>
        <w:rPr>
          <w:rFonts w:hint="eastAsia" w:ascii="宋体" w:hAnsi="宋体" w:eastAsia="宋体" w:cs="宋体"/>
          <w:bCs/>
          <w:color w:val="auto"/>
          <w:kern w:val="1"/>
          <w:sz w:val="24"/>
          <w:highlight w:val="none"/>
        </w:rPr>
        <w:t>，</w:t>
      </w:r>
      <w:r>
        <w:rPr>
          <w:rFonts w:hint="eastAsia" w:hAnsi="宋体" w:cs="宋体"/>
          <w:bCs/>
          <w:color w:val="auto"/>
          <w:kern w:val="1"/>
          <w:sz w:val="24"/>
          <w:highlight w:val="none"/>
          <w:lang w:val="en-US" w:eastAsia="zh-CN"/>
        </w:rPr>
        <w:t>杭州市桐庐县</w:t>
      </w:r>
      <w:r>
        <w:rPr>
          <w:rFonts w:hint="eastAsia" w:hAnsi="宋体" w:cs="宋体"/>
          <w:bCs/>
          <w:color w:val="auto"/>
          <w:kern w:val="1"/>
          <w:sz w:val="24"/>
          <w:highlight w:val="none"/>
          <w:lang w:eastAsia="zh-CN"/>
        </w:rPr>
        <w:t>江南镇影视学院地块</w:t>
      </w:r>
      <w:r>
        <w:rPr>
          <w:rFonts w:hint="eastAsia" w:ascii="宋体" w:hAnsi="宋体" w:eastAsia="宋体" w:cs="宋体"/>
          <w:bCs/>
          <w:color w:val="auto"/>
          <w:kern w:val="1"/>
          <w:sz w:val="24"/>
          <w:highlight w:val="none"/>
        </w:rPr>
        <w:t>位于</w:t>
      </w:r>
      <w:r>
        <w:rPr>
          <w:rFonts w:hint="eastAsia" w:hAnsi="宋体" w:cs="宋体"/>
          <w:bCs/>
          <w:color w:val="auto"/>
          <w:kern w:val="1"/>
          <w:sz w:val="24"/>
          <w:highlight w:val="none"/>
          <w:lang w:eastAsia="zh-CN"/>
        </w:rPr>
        <w:t>桐庐</w:t>
      </w:r>
      <w:r>
        <w:rPr>
          <w:rFonts w:hint="eastAsia" w:hAnsi="宋体" w:cs="宋体"/>
          <w:bCs/>
          <w:color w:val="auto"/>
          <w:kern w:val="1"/>
          <w:sz w:val="24"/>
          <w:highlight w:val="none"/>
          <w:lang w:val="en-US" w:eastAsia="zh-CN"/>
        </w:rPr>
        <w:t>县</w:t>
      </w:r>
      <w:r>
        <w:rPr>
          <w:rFonts w:hint="eastAsia" w:hAnsi="宋体" w:cs="宋体"/>
          <w:bCs/>
          <w:color w:val="auto"/>
          <w:kern w:val="1"/>
          <w:sz w:val="24"/>
          <w:highlight w:val="none"/>
          <w:lang w:eastAsia="zh-CN"/>
        </w:rPr>
        <w:t>江南镇棠舒线以北、320国道以西</w:t>
      </w:r>
      <w:r>
        <w:rPr>
          <w:rFonts w:hint="eastAsia" w:ascii="宋体" w:hAnsi="宋体" w:eastAsia="宋体" w:cs="宋体"/>
          <w:bCs/>
          <w:color w:val="auto"/>
          <w:kern w:val="1"/>
          <w:sz w:val="24"/>
          <w:highlight w:val="none"/>
        </w:rPr>
        <w:t>，地块范围具体以采购人提供的红线范围图为准（调查实际范围以采购人实际需求为准，地块名称、范围、用地面积及相关指标以最终规划文本为准）。</w:t>
      </w:r>
    </w:p>
    <w:p>
      <w:pPr>
        <w:pStyle w:val="140"/>
        <w:spacing w:line="360" w:lineRule="auto"/>
        <w:ind w:firstLine="482"/>
        <w:rPr>
          <w:rFonts w:hint="default" w:ascii="宋体" w:hAnsi="宋体" w:eastAsia="宋体"/>
          <w:b/>
          <w:bCs/>
          <w:sz w:val="24"/>
          <w:lang w:val="en-US" w:eastAsia="zh-CN"/>
        </w:rPr>
      </w:pPr>
      <w:r>
        <w:rPr>
          <w:rFonts w:hint="eastAsia" w:ascii="宋体" w:hAnsi="宋体" w:eastAsia="宋体"/>
          <w:b/>
          <w:bCs/>
          <w:sz w:val="24"/>
        </w:rPr>
        <w:t>二、</w:t>
      </w:r>
      <w:r>
        <w:rPr>
          <w:rFonts w:hint="eastAsia" w:ascii="宋体" w:hAnsi="宋体" w:eastAsia="宋体"/>
          <w:b/>
          <w:bCs/>
          <w:sz w:val="24"/>
          <w:lang w:val="en-US" w:eastAsia="zh-CN"/>
        </w:rPr>
        <w:t>土壤初步调查工作任务</w:t>
      </w:r>
    </w:p>
    <w:p>
      <w:pPr>
        <w:pStyle w:val="3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Lines="0" w:after="0" w:afterLines="0" w:line="360" w:lineRule="auto"/>
        <w:ind w:left="0" w:leftChars="0" w:firstLine="482"/>
        <w:textAlignment w:val="auto"/>
        <w:rPr>
          <w:rFonts w:hint="eastAsia" w:ascii="宋体" w:hAnsi="宋体" w:eastAsia="宋体" w:cs="宋体"/>
          <w:bCs/>
          <w:color w:val="auto"/>
          <w:kern w:val="1"/>
          <w:sz w:val="24"/>
          <w:highlight w:val="none"/>
        </w:rPr>
      </w:pPr>
      <w:r>
        <w:rPr>
          <w:rFonts w:hint="eastAsia" w:ascii="宋体" w:hAnsi="宋体" w:eastAsia="宋体" w:cs="宋体"/>
          <w:bCs/>
          <w:color w:val="auto"/>
          <w:kern w:val="1"/>
          <w:sz w:val="24"/>
          <w:highlight w:val="none"/>
          <w:lang w:val="en-US" w:eastAsia="zh-CN"/>
        </w:rPr>
        <w:t>土壤污染初步调查工作包括污染情况核实、污染来源初步排查</w:t>
      </w:r>
      <w:r>
        <w:rPr>
          <w:rFonts w:hint="eastAsia" w:ascii="宋体" w:hAnsi="宋体" w:eastAsia="宋体" w:cs="宋体"/>
          <w:bCs/>
          <w:color w:val="auto"/>
          <w:kern w:val="1"/>
          <w:sz w:val="24"/>
          <w:highlight w:val="none"/>
        </w:rPr>
        <w:t>、初步采样分析工作计划</w:t>
      </w:r>
      <w:r>
        <w:rPr>
          <w:rFonts w:hint="eastAsia" w:ascii="宋体" w:hAnsi="宋体" w:eastAsia="宋体" w:cs="宋体"/>
          <w:bCs/>
          <w:color w:val="auto"/>
          <w:kern w:val="1"/>
          <w:sz w:val="24"/>
          <w:highlight w:val="none"/>
          <w:lang w:eastAsia="zh-CN"/>
        </w:rPr>
        <w:t>、</w:t>
      </w:r>
      <w:r>
        <w:rPr>
          <w:rFonts w:hint="eastAsia" w:ascii="宋体" w:hAnsi="宋体" w:eastAsia="宋体" w:cs="宋体"/>
          <w:bCs/>
          <w:color w:val="auto"/>
          <w:kern w:val="1"/>
          <w:sz w:val="24"/>
          <w:highlight w:val="none"/>
        </w:rPr>
        <w:t>初步采样布点方案制定、现场采样、样品检测、数据分析与评估、调查报告编制</w:t>
      </w:r>
      <w:r>
        <w:rPr>
          <w:rFonts w:hint="eastAsia" w:ascii="宋体" w:hAnsi="宋体" w:eastAsia="宋体" w:cs="宋体"/>
          <w:bCs/>
          <w:color w:val="auto"/>
          <w:kern w:val="1"/>
          <w:sz w:val="24"/>
          <w:highlight w:val="none"/>
          <w:lang w:eastAsia="zh-CN"/>
        </w:rPr>
        <w:t>、专家评审等，同时配合采购人做好场地环境调查其它相关服务工作。</w:t>
      </w:r>
    </w:p>
    <w:p>
      <w:pPr>
        <w:pStyle w:val="3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Lines="0" w:after="0" w:afterLines="0" w:line="360" w:lineRule="auto"/>
        <w:ind w:left="0" w:leftChars="0" w:firstLine="482"/>
        <w:textAlignment w:val="auto"/>
        <w:rPr>
          <w:rFonts w:hint="eastAsia" w:ascii="宋体" w:hAnsi="宋体" w:eastAsia="宋体" w:cs="宋体"/>
          <w:bCs/>
          <w:color w:val="auto"/>
          <w:kern w:val="1"/>
          <w:sz w:val="24"/>
          <w:highlight w:val="none"/>
          <w:lang w:val="en-US" w:eastAsia="zh-CN"/>
        </w:rPr>
      </w:pPr>
      <w:r>
        <w:rPr>
          <w:rFonts w:hint="eastAsia" w:ascii="宋体" w:hAnsi="宋体" w:eastAsia="宋体" w:cs="宋体"/>
          <w:bCs/>
          <w:color w:val="auto"/>
          <w:kern w:val="1"/>
          <w:sz w:val="24"/>
          <w:highlight w:val="none"/>
          <w:lang w:val="en-US" w:eastAsia="zh-CN"/>
        </w:rPr>
        <w:t>（1）污染情况核实</w:t>
      </w:r>
    </w:p>
    <w:p>
      <w:pPr>
        <w:pStyle w:val="3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Lines="0" w:after="0" w:afterLines="0" w:line="360" w:lineRule="auto"/>
        <w:ind w:left="0" w:leftChars="0" w:firstLine="482"/>
        <w:textAlignment w:val="auto"/>
        <w:rPr>
          <w:rFonts w:hint="eastAsia" w:ascii="宋体" w:hAnsi="宋体" w:eastAsia="宋体" w:cs="宋体"/>
          <w:bCs/>
          <w:color w:val="auto"/>
          <w:kern w:val="1"/>
          <w:sz w:val="24"/>
          <w:highlight w:val="none"/>
          <w:lang w:val="en-US" w:eastAsia="zh-CN"/>
        </w:rPr>
      </w:pPr>
      <w:r>
        <w:rPr>
          <w:rFonts w:hint="eastAsia" w:ascii="宋体" w:hAnsi="宋体" w:eastAsia="宋体" w:cs="宋体"/>
          <w:bCs/>
          <w:color w:val="auto"/>
          <w:kern w:val="1"/>
          <w:sz w:val="24"/>
          <w:highlight w:val="none"/>
          <w:lang w:val="en-US" w:eastAsia="zh-CN"/>
        </w:rPr>
        <w:t>通过收集整理前期调查数据、报告，了解区域气候气象、地形地貌和水文地质条件等，掌握地块土壤受污染情况，判断土壤受污染的程度和类型，分析土壤污染物的空间分布，初步了解污染区域可能的污染来源信息。</w:t>
      </w:r>
    </w:p>
    <w:p>
      <w:pPr>
        <w:pStyle w:val="3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Lines="0" w:after="0" w:afterLines="0" w:line="360" w:lineRule="auto"/>
        <w:ind w:left="0" w:leftChars="0" w:firstLine="482"/>
        <w:textAlignment w:val="auto"/>
        <w:rPr>
          <w:rFonts w:hint="eastAsia" w:ascii="宋体" w:hAnsi="宋体" w:eastAsia="宋体" w:cs="宋体"/>
          <w:bCs/>
          <w:color w:val="auto"/>
          <w:kern w:val="1"/>
          <w:sz w:val="24"/>
          <w:highlight w:val="none"/>
          <w:lang w:val="en-US" w:eastAsia="zh-CN"/>
        </w:rPr>
      </w:pPr>
      <w:r>
        <w:rPr>
          <w:rFonts w:hint="eastAsia" w:ascii="宋体" w:hAnsi="宋体" w:eastAsia="宋体" w:cs="宋体"/>
          <w:bCs/>
          <w:color w:val="auto"/>
          <w:kern w:val="1"/>
          <w:sz w:val="24"/>
          <w:highlight w:val="none"/>
          <w:lang w:val="en-US" w:eastAsia="zh-CN"/>
        </w:rPr>
        <w:t>（2）污染来源初步排查</w:t>
      </w:r>
    </w:p>
    <w:p>
      <w:pPr>
        <w:pStyle w:val="3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Lines="0" w:after="0" w:afterLines="0" w:line="360" w:lineRule="auto"/>
        <w:ind w:left="0" w:leftChars="0" w:firstLine="482"/>
        <w:textAlignment w:val="auto"/>
        <w:rPr>
          <w:rFonts w:hint="eastAsia" w:ascii="宋体" w:hAnsi="宋体" w:eastAsia="宋体" w:cs="宋体"/>
          <w:bCs/>
          <w:color w:val="auto"/>
          <w:kern w:val="1"/>
          <w:sz w:val="24"/>
          <w:highlight w:val="none"/>
          <w:lang w:val="en-US" w:eastAsia="zh-CN"/>
        </w:rPr>
      </w:pPr>
      <w:r>
        <w:rPr>
          <w:rFonts w:hint="eastAsia" w:ascii="宋体" w:hAnsi="宋体" w:eastAsia="宋体" w:cs="宋体"/>
          <w:bCs/>
          <w:color w:val="auto"/>
          <w:kern w:val="1"/>
          <w:sz w:val="24"/>
          <w:highlight w:val="none"/>
          <w:lang w:val="en-US" w:eastAsia="zh-CN"/>
        </w:rPr>
        <w:t>通过空间影像识别、人员访谈、现场踏勘、档案调查等方式对场地周边的重点行业企业、原辅材料、固体废物堆存等潜在污染源进行排查，分析确定污染源和疑似污染源，给出初步调查的判断结论。</w:t>
      </w:r>
    </w:p>
    <w:p>
      <w:pPr>
        <w:pStyle w:val="3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Lines="0" w:after="0" w:afterLines="0" w:line="360" w:lineRule="auto"/>
        <w:ind w:left="0" w:leftChars="0" w:firstLine="482"/>
        <w:textAlignment w:val="auto"/>
        <w:rPr>
          <w:rFonts w:hint="eastAsia" w:ascii="宋体" w:hAnsi="宋体" w:eastAsia="宋体" w:cs="宋体"/>
          <w:bCs/>
          <w:color w:val="auto"/>
          <w:kern w:val="1"/>
          <w:sz w:val="24"/>
          <w:highlight w:val="none"/>
          <w:lang w:val="en-US" w:eastAsia="zh-CN"/>
        </w:rPr>
      </w:pPr>
      <w:r>
        <w:rPr>
          <w:rFonts w:hint="eastAsia" w:ascii="宋体" w:hAnsi="宋体" w:eastAsia="宋体" w:cs="宋体"/>
          <w:bCs/>
          <w:color w:val="auto"/>
          <w:kern w:val="1"/>
          <w:sz w:val="24"/>
          <w:highlight w:val="none"/>
          <w:lang w:val="en-US" w:eastAsia="zh-CN"/>
        </w:rPr>
        <w:t xml:space="preserve">（3）污染来源初步采样分析工作计划 </w:t>
      </w:r>
    </w:p>
    <w:p>
      <w:pPr>
        <w:pStyle w:val="3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Lines="0" w:after="0" w:afterLines="0" w:line="360" w:lineRule="auto"/>
        <w:ind w:left="0" w:leftChars="0" w:firstLine="482"/>
        <w:textAlignment w:val="auto"/>
        <w:rPr>
          <w:rFonts w:hint="eastAsia" w:ascii="宋体" w:hAnsi="宋体" w:eastAsia="宋体" w:cs="宋体"/>
          <w:bCs/>
          <w:color w:val="auto"/>
          <w:kern w:val="1"/>
          <w:sz w:val="24"/>
          <w:highlight w:val="none"/>
          <w:lang w:val="en-US" w:eastAsia="zh-CN"/>
        </w:rPr>
      </w:pPr>
      <w:r>
        <w:rPr>
          <w:rFonts w:hint="eastAsia" w:ascii="宋体" w:hAnsi="宋体" w:eastAsia="宋体" w:cs="宋体"/>
          <w:bCs/>
          <w:color w:val="auto"/>
          <w:kern w:val="1"/>
          <w:sz w:val="24"/>
          <w:highlight w:val="none"/>
          <w:lang w:val="en-US" w:eastAsia="zh-CN"/>
        </w:rPr>
        <w:t>在初步调查的基础上，制定初步采样分析工作计划，内容包括核查已有信息、判断污染物的可能分布、制定采样方案、制定健康和安全防护计划、制定样品分析方案和确定质量保证和质量控制程序等任务。</w:t>
      </w:r>
    </w:p>
    <w:p>
      <w:pPr>
        <w:pStyle w:val="3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Lines="0" w:after="0" w:afterLines="0" w:line="360" w:lineRule="auto"/>
        <w:ind w:left="0" w:leftChars="0" w:firstLine="482"/>
        <w:textAlignment w:val="auto"/>
        <w:rPr>
          <w:rFonts w:hint="eastAsia" w:ascii="宋体" w:hAnsi="宋体" w:eastAsia="宋体" w:cs="宋体"/>
          <w:bCs/>
          <w:color w:val="auto"/>
          <w:kern w:val="1"/>
          <w:sz w:val="24"/>
          <w:highlight w:val="none"/>
          <w:lang w:val="en-US" w:eastAsia="zh-CN"/>
        </w:rPr>
      </w:pPr>
      <w:r>
        <w:rPr>
          <w:rFonts w:hint="eastAsia" w:ascii="宋体" w:hAnsi="宋体" w:eastAsia="宋体" w:cs="宋体"/>
          <w:bCs/>
          <w:color w:val="auto"/>
          <w:kern w:val="1"/>
          <w:sz w:val="24"/>
          <w:highlight w:val="none"/>
          <w:lang w:val="en-US" w:eastAsia="zh-CN"/>
        </w:rPr>
        <w:t>（4）污染来源监测分析</w:t>
      </w:r>
    </w:p>
    <w:p>
      <w:pPr>
        <w:pStyle w:val="3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Lines="0" w:after="0" w:afterLines="0" w:line="360" w:lineRule="auto"/>
        <w:ind w:left="0" w:leftChars="0" w:firstLine="482"/>
        <w:textAlignment w:val="auto"/>
        <w:rPr>
          <w:rFonts w:hint="eastAsia" w:ascii="宋体" w:hAnsi="宋体" w:eastAsia="宋体" w:cs="宋体"/>
          <w:bCs/>
          <w:color w:val="auto"/>
          <w:kern w:val="1"/>
          <w:sz w:val="24"/>
          <w:highlight w:val="none"/>
          <w:lang w:val="en-US" w:eastAsia="zh-CN"/>
        </w:rPr>
      </w:pPr>
      <w:r>
        <w:rPr>
          <w:rFonts w:hint="eastAsia" w:ascii="宋体" w:hAnsi="宋体" w:eastAsia="宋体" w:cs="宋体"/>
          <w:bCs/>
          <w:color w:val="auto"/>
          <w:kern w:val="1"/>
          <w:sz w:val="24"/>
          <w:highlight w:val="none"/>
          <w:lang w:val="en-US" w:eastAsia="zh-CN"/>
        </w:rPr>
        <w:t>针对确定和疑似的污染源开展进一步的污染来源监测，包括土壤、地下水等。根据土壤和地下水检测结果进行统计分析，确定地块关注污染物种类、浓度水平和空间分布。</w:t>
      </w:r>
    </w:p>
    <w:p>
      <w:pPr>
        <w:pStyle w:val="3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beforeLines="0" w:after="0" w:afterLines="0" w:line="360" w:lineRule="auto"/>
        <w:ind w:left="0" w:leftChars="0" w:firstLine="482"/>
        <w:textAlignment w:val="auto"/>
        <w:rPr>
          <w:rFonts w:hint="eastAsia" w:ascii="宋体" w:hAnsi="宋体" w:eastAsia="宋体" w:cs="宋体"/>
          <w:bCs/>
          <w:color w:val="auto"/>
          <w:kern w:val="1"/>
          <w:sz w:val="24"/>
          <w:highlight w:val="none"/>
          <w:lang w:val="en-US" w:eastAsia="zh-CN"/>
        </w:rPr>
      </w:pPr>
      <w:r>
        <w:rPr>
          <w:rFonts w:hint="eastAsia" w:ascii="宋体" w:hAnsi="宋体" w:eastAsia="宋体" w:cs="宋体"/>
          <w:bCs/>
          <w:color w:val="auto"/>
          <w:kern w:val="1"/>
          <w:sz w:val="24"/>
          <w:highlight w:val="none"/>
          <w:lang w:val="en-US" w:eastAsia="zh-CN"/>
        </w:rPr>
        <w:t>（5）报告编制</w:t>
      </w:r>
    </w:p>
    <w:p>
      <w:pPr>
        <w:pStyle w:val="140"/>
        <w:spacing w:line="360" w:lineRule="auto"/>
        <w:ind w:firstLine="482"/>
        <w:rPr>
          <w:rFonts w:hint="eastAsia" w:ascii="宋体" w:hAnsi="宋体" w:eastAsia="宋体" w:cs="宋体"/>
          <w:bCs/>
          <w:kern w:val="1"/>
          <w:sz w:val="28"/>
          <w:szCs w:val="28"/>
          <w:highlight w:val="none"/>
          <w:lang w:val="en-US" w:eastAsia="zh-CN"/>
        </w:rPr>
      </w:pPr>
      <w:r>
        <w:rPr>
          <w:rFonts w:hint="eastAsia" w:ascii="宋体" w:hAnsi="宋体" w:eastAsia="宋体" w:cs="宋体"/>
          <w:bCs/>
          <w:color w:val="auto"/>
          <w:kern w:val="1"/>
          <w:sz w:val="24"/>
          <w:highlight w:val="none"/>
          <w:lang w:val="en-US" w:eastAsia="zh-CN"/>
        </w:rPr>
        <w:t>根据《建设用地土壤污染状况调查技术导则》要求编制完成土壤初步调查报告，最终报送至生态环境局等相关主管部门组织评审</w:t>
      </w:r>
      <w:r>
        <w:rPr>
          <w:rFonts w:hint="eastAsia" w:ascii="宋体" w:hAnsi="宋体" w:eastAsia="宋体" w:cs="宋体"/>
          <w:bCs/>
          <w:kern w:val="1"/>
          <w:sz w:val="28"/>
          <w:szCs w:val="28"/>
          <w:highlight w:val="none"/>
          <w:lang w:val="en-US" w:eastAsia="zh-CN"/>
        </w:rPr>
        <w:t>。</w:t>
      </w:r>
    </w:p>
    <w:p>
      <w:pPr>
        <w:pStyle w:val="140"/>
        <w:spacing w:line="360" w:lineRule="auto"/>
        <w:ind w:firstLine="482"/>
        <w:rPr>
          <w:rFonts w:hint="default" w:ascii="宋体" w:hAnsi="宋体" w:eastAsia="宋体"/>
          <w:b/>
          <w:bCs/>
          <w:sz w:val="24"/>
          <w:lang w:val="en-US" w:eastAsia="zh-CN"/>
        </w:rPr>
      </w:pPr>
      <w:r>
        <w:rPr>
          <w:rFonts w:hint="eastAsia" w:ascii="宋体" w:hAnsi="宋体" w:eastAsia="宋体"/>
          <w:b/>
          <w:bCs/>
          <w:sz w:val="24"/>
        </w:rPr>
        <w:t>三、</w:t>
      </w:r>
      <w:r>
        <w:rPr>
          <w:rFonts w:hint="eastAsia" w:ascii="宋体" w:hAnsi="宋体" w:eastAsia="宋体"/>
          <w:b/>
          <w:bCs/>
          <w:sz w:val="24"/>
          <w:lang w:val="en-US" w:eastAsia="zh-CN"/>
        </w:rPr>
        <w:t>工作要求</w:t>
      </w:r>
    </w:p>
    <w:p>
      <w:pPr>
        <w:numPr>
          <w:ilvl w:val="0"/>
          <w:numId w:val="0"/>
        </w:numPr>
        <w:spacing w:beforeLines="0" w:afterLines="0" w:line="360" w:lineRule="auto"/>
        <w:ind w:left="-60" w:leftChars="0" w:firstLine="480" w:firstLineChars="0"/>
        <w:outlineLvl w:val="9"/>
        <w:rPr>
          <w:rFonts w:hint="eastAsia" w:ascii="宋体" w:hAnsi="宋体" w:eastAsia="宋体" w:cs="宋体"/>
          <w:bCs/>
          <w:kern w:val="1"/>
          <w:sz w:val="24"/>
          <w:highlight w:val="none"/>
        </w:rPr>
      </w:pPr>
      <w:r>
        <w:rPr>
          <w:rFonts w:hint="eastAsia" w:ascii="宋体" w:hAnsi="宋体" w:eastAsia="宋体" w:cs="宋体"/>
          <w:bCs/>
          <w:kern w:val="1"/>
          <w:sz w:val="24"/>
          <w:szCs w:val="24"/>
          <w:highlight w:val="none"/>
          <w:lang w:val="en-US" w:eastAsia="zh-CN" w:bidi="ar-SA"/>
        </w:rPr>
        <w:t>1、</w:t>
      </w:r>
      <w:r>
        <w:rPr>
          <w:rFonts w:hint="eastAsia" w:ascii="宋体" w:hAnsi="宋体" w:eastAsia="宋体" w:cs="宋体"/>
          <w:bCs/>
          <w:kern w:val="1"/>
          <w:sz w:val="24"/>
          <w:highlight w:val="none"/>
        </w:rPr>
        <w:t>搜集资料及现场勘查后，按照《建设用地土壤污染状况调查技术导则》、《建设用地土壤污染风险管控和修复监测技术导则》</w:t>
      </w:r>
      <w:r>
        <w:rPr>
          <w:rFonts w:hint="eastAsia" w:ascii="宋体" w:hAnsi="宋体" w:eastAsia="宋体" w:cs="宋体"/>
          <w:bCs/>
          <w:kern w:val="1"/>
          <w:sz w:val="24"/>
          <w:highlight w:val="none"/>
          <w:lang w:eastAsia="zh-CN"/>
        </w:rPr>
        <w:t>《浙江省建设用地土壤污染风险管控和修复监督管理办法》</w:t>
      </w:r>
      <w:r>
        <w:rPr>
          <w:rFonts w:hint="eastAsia" w:ascii="宋体" w:hAnsi="宋体" w:eastAsia="宋体" w:cs="宋体"/>
          <w:bCs/>
          <w:kern w:val="1"/>
          <w:sz w:val="24"/>
          <w:highlight w:val="none"/>
        </w:rPr>
        <w:t>等标准制定的方案进行土壤及地下水布点、样品采集、样品制备、样品保存、样品分析、质量控制等；</w:t>
      </w:r>
    </w:p>
    <w:p>
      <w:pPr>
        <w:numPr>
          <w:ilvl w:val="0"/>
          <w:numId w:val="0"/>
        </w:numPr>
        <w:spacing w:beforeLines="0" w:afterLines="0" w:line="360" w:lineRule="auto"/>
        <w:ind w:left="-60" w:leftChars="0" w:firstLine="480" w:firstLineChars="0"/>
        <w:outlineLvl w:val="9"/>
        <w:rPr>
          <w:rFonts w:hint="eastAsia" w:ascii="宋体" w:hAnsi="宋体" w:eastAsia="宋体" w:cs="宋体"/>
          <w:bCs/>
          <w:kern w:val="1"/>
          <w:sz w:val="24"/>
          <w:highlight w:val="none"/>
        </w:rPr>
      </w:pPr>
      <w:r>
        <w:rPr>
          <w:rFonts w:hint="eastAsia" w:ascii="宋体" w:hAnsi="宋体" w:eastAsia="宋体" w:cs="宋体"/>
          <w:bCs/>
          <w:kern w:val="1"/>
          <w:sz w:val="24"/>
          <w:szCs w:val="24"/>
          <w:highlight w:val="none"/>
          <w:lang w:val="en-US" w:eastAsia="zh-CN" w:bidi="ar-SA"/>
        </w:rPr>
        <w:t>2、</w:t>
      </w:r>
      <w:r>
        <w:rPr>
          <w:rFonts w:hint="eastAsia" w:ascii="宋体" w:hAnsi="宋体" w:eastAsia="宋体" w:cs="宋体"/>
          <w:bCs/>
          <w:kern w:val="1"/>
          <w:sz w:val="24"/>
          <w:highlight w:val="none"/>
        </w:rPr>
        <w:t>土壤采样点数量</w:t>
      </w:r>
      <w:r>
        <w:rPr>
          <w:rFonts w:hint="eastAsia" w:ascii="宋体" w:hAnsi="宋体" w:eastAsia="宋体" w:cs="宋体"/>
          <w:bCs/>
          <w:kern w:val="1"/>
          <w:sz w:val="24"/>
          <w:highlight w:val="none"/>
          <w:lang w:eastAsia="zh-CN"/>
        </w:rPr>
        <w:t>：</w:t>
      </w:r>
      <w:r>
        <w:rPr>
          <w:rFonts w:hint="eastAsia" w:ascii="宋体" w:hAnsi="宋体" w:eastAsia="宋体" w:cs="宋体"/>
          <w:bCs/>
          <w:kern w:val="1"/>
          <w:sz w:val="24"/>
          <w:highlight w:val="none"/>
        </w:rPr>
        <w:t>布点区域面积≤5000㎡，土壤采样点位数不少于3个；布点区域面积＞5000㎡，土壤采样点位数不少于6个。有以下情形的，可根据实际情况加密布点，如污染历史复杂或信息缺失严重的，水文地质条件复杂的等。</w:t>
      </w:r>
    </w:p>
    <w:p>
      <w:pPr>
        <w:numPr>
          <w:ilvl w:val="0"/>
          <w:numId w:val="0"/>
        </w:numPr>
        <w:spacing w:beforeLines="0" w:afterLines="0" w:line="360" w:lineRule="auto"/>
        <w:ind w:left="-60" w:leftChars="0" w:firstLine="480" w:firstLineChars="0"/>
        <w:outlineLvl w:val="9"/>
        <w:rPr>
          <w:rFonts w:hint="eastAsia" w:ascii="宋体" w:hAnsi="宋体" w:eastAsia="宋体" w:cs="宋体"/>
          <w:bCs/>
          <w:kern w:val="1"/>
          <w:sz w:val="24"/>
          <w:highlight w:val="none"/>
          <w:lang w:val="en-US" w:eastAsia="zh-CN"/>
        </w:rPr>
      </w:pPr>
      <w:r>
        <w:rPr>
          <w:rFonts w:hint="eastAsia" w:ascii="宋体" w:hAnsi="宋体" w:eastAsia="宋体" w:cs="宋体"/>
          <w:bCs/>
          <w:kern w:val="1"/>
          <w:sz w:val="24"/>
          <w:szCs w:val="24"/>
          <w:highlight w:val="none"/>
          <w:lang w:val="en-US" w:eastAsia="zh-CN" w:bidi="ar-SA"/>
        </w:rPr>
        <w:t>3、</w:t>
      </w:r>
      <w:r>
        <w:rPr>
          <w:rFonts w:hint="eastAsia" w:ascii="宋体" w:hAnsi="宋体" w:eastAsia="宋体" w:cs="宋体"/>
          <w:bCs/>
          <w:kern w:val="1"/>
          <w:sz w:val="24"/>
          <w:highlight w:val="none"/>
        </w:rPr>
        <w:t>地下水采样点数量</w:t>
      </w:r>
      <w:r>
        <w:rPr>
          <w:rFonts w:hint="eastAsia" w:ascii="宋体" w:hAnsi="宋体" w:eastAsia="宋体" w:cs="宋体"/>
          <w:bCs/>
          <w:kern w:val="1"/>
          <w:sz w:val="24"/>
          <w:highlight w:val="none"/>
          <w:lang w:eastAsia="zh-CN"/>
        </w:rPr>
        <w:t>：</w:t>
      </w:r>
      <w:r>
        <w:rPr>
          <w:rFonts w:hint="eastAsia" w:ascii="宋体" w:hAnsi="宋体" w:eastAsia="宋体" w:cs="宋体"/>
          <w:bCs/>
          <w:kern w:val="1"/>
          <w:sz w:val="24"/>
          <w:highlight w:val="none"/>
        </w:rPr>
        <w:t>每个布点区域原则上至少设置1个地下水采样点，可根据布点区域大小、污染分布等实际情况进行适当调整。地块内设置三个以上地下水采样点</w:t>
      </w:r>
      <w:r>
        <w:rPr>
          <w:rFonts w:hint="eastAsia" w:ascii="宋体" w:hAnsi="宋体" w:eastAsia="宋体" w:cs="宋体"/>
          <w:bCs/>
          <w:kern w:val="1"/>
          <w:sz w:val="24"/>
          <w:highlight w:val="none"/>
          <w:lang w:eastAsia="zh-CN"/>
        </w:rPr>
        <w:t>的，应避免在同一直线上。</w:t>
      </w:r>
    </w:p>
    <w:p>
      <w:pPr>
        <w:numPr>
          <w:ilvl w:val="0"/>
          <w:numId w:val="0"/>
        </w:numPr>
        <w:spacing w:beforeLines="0" w:afterLines="0" w:line="360" w:lineRule="auto"/>
        <w:ind w:left="-60" w:leftChars="0" w:firstLine="480" w:firstLineChars="0"/>
        <w:outlineLvl w:val="9"/>
        <w:rPr>
          <w:rFonts w:hint="eastAsia" w:ascii="宋体" w:hAnsi="宋体" w:eastAsia="宋体" w:cs="宋体"/>
          <w:bCs/>
          <w:kern w:val="1"/>
          <w:sz w:val="24"/>
          <w:highlight w:val="none"/>
        </w:rPr>
      </w:pPr>
      <w:r>
        <w:rPr>
          <w:rFonts w:hint="eastAsia" w:ascii="宋体" w:hAnsi="宋体" w:eastAsia="宋体" w:cs="宋体"/>
          <w:bCs/>
          <w:kern w:val="1"/>
          <w:sz w:val="24"/>
          <w:highlight w:val="none"/>
          <w:lang w:val="en-US" w:eastAsia="zh-CN"/>
        </w:rPr>
        <w:t>4、</w:t>
      </w:r>
      <w:r>
        <w:rPr>
          <w:rFonts w:hint="eastAsia" w:ascii="宋体" w:hAnsi="宋体" w:eastAsia="宋体" w:cs="宋体"/>
          <w:bCs/>
          <w:kern w:val="1"/>
          <w:sz w:val="24"/>
          <w:highlight w:val="none"/>
          <w:lang w:eastAsia="zh-CN"/>
        </w:rPr>
        <w:t>所有调查的施工、取样深度、布点监测必须</w:t>
      </w:r>
      <w:r>
        <w:rPr>
          <w:rFonts w:hint="eastAsia" w:ascii="宋体" w:hAnsi="宋体" w:eastAsia="宋体" w:cs="宋体"/>
          <w:bCs/>
          <w:kern w:val="1"/>
          <w:sz w:val="24"/>
          <w:highlight w:val="none"/>
        </w:rPr>
        <w:t>按照环保部最新评价标准，浙江省等相关规范和要求执行。主要技术标准要符合现行国家规范、标准等。</w:t>
      </w:r>
    </w:p>
    <w:p>
      <w:pPr>
        <w:pStyle w:val="140"/>
        <w:spacing w:line="360" w:lineRule="auto"/>
        <w:ind w:firstLine="482"/>
        <w:rPr>
          <w:rFonts w:hint="default" w:ascii="宋体" w:hAnsi="宋体" w:eastAsia="宋体"/>
          <w:b/>
          <w:bCs/>
          <w:sz w:val="24"/>
          <w:lang w:val="en-US" w:eastAsia="zh-CN"/>
        </w:rPr>
      </w:pPr>
      <w:r>
        <w:rPr>
          <w:rFonts w:hint="eastAsia" w:ascii="宋体" w:hAnsi="宋体" w:eastAsia="宋体"/>
          <w:b/>
          <w:bCs/>
          <w:sz w:val="24"/>
          <w:lang w:val="en-US" w:eastAsia="zh-CN"/>
        </w:rPr>
        <w:t>四、成果质量要求</w:t>
      </w:r>
    </w:p>
    <w:p>
      <w:pPr>
        <w:spacing w:beforeLines="0" w:afterLines="0" w:line="360" w:lineRule="auto"/>
        <w:ind w:firstLine="480" w:firstLineChars="200"/>
        <w:outlineLvl w:val="9"/>
        <w:rPr>
          <w:rFonts w:hint="eastAsia" w:ascii="宋体" w:hAnsi="宋体" w:eastAsia="宋体" w:cs="宋体"/>
          <w:bCs/>
          <w:color w:val="auto"/>
          <w:kern w:val="1"/>
          <w:sz w:val="24"/>
          <w:highlight w:val="none"/>
        </w:rPr>
      </w:pPr>
      <w:r>
        <w:rPr>
          <w:rFonts w:hint="eastAsia" w:ascii="宋体" w:hAnsi="宋体" w:eastAsia="宋体" w:cs="宋体"/>
          <w:bCs/>
          <w:color w:val="auto"/>
          <w:kern w:val="1"/>
          <w:sz w:val="24"/>
          <w:highlight w:val="none"/>
        </w:rPr>
        <w:t>1、调查评估工作完成后，应以电子和书面方式提交相关工作成果，包括报告书、图件附件材料等，</w:t>
      </w:r>
      <w:r>
        <w:rPr>
          <w:rFonts w:hint="eastAsia" w:ascii="宋体" w:hAnsi="宋体" w:eastAsia="宋体" w:cs="宋体"/>
          <w:color w:val="auto"/>
          <w:sz w:val="24"/>
          <w:highlight w:val="none"/>
        </w:rPr>
        <w:t>并按照</w:t>
      </w:r>
      <w:r>
        <w:rPr>
          <w:rFonts w:hint="eastAsia" w:ascii="宋体" w:hAnsi="宋体" w:eastAsia="宋体" w:cs="宋体"/>
          <w:color w:val="auto"/>
          <w:sz w:val="24"/>
          <w:highlight w:val="none"/>
          <w:lang w:val="en-US" w:eastAsia="zh-CN"/>
        </w:rPr>
        <w:t>杭州</w:t>
      </w:r>
      <w:r>
        <w:rPr>
          <w:rFonts w:hint="eastAsia" w:ascii="宋体" w:hAnsi="宋体" w:eastAsia="宋体" w:cs="宋体"/>
          <w:color w:val="auto"/>
          <w:sz w:val="24"/>
          <w:highlight w:val="none"/>
        </w:rPr>
        <w:t>市相关要求协助完成评审。</w:t>
      </w:r>
      <w:r>
        <w:rPr>
          <w:rFonts w:hint="eastAsia" w:ascii="宋体" w:hAnsi="宋体" w:eastAsia="宋体" w:cs="宋体"/>
          <w:bCs/>
          <w:color w:val="auto"/>
          <w:kern w:val="1"/>
          <w:sz w:val="24"/>
          <w:highlight w:val="none"/>
        </w:rPr>
        <w:t xml:space="preserve"> </w:t>
      </w:r>
    </w:p>
    <w:p>
      <w:pPr>
        <w:spacing w:beforeLines="0" w:afterLines="0" w:line="360" w:lineRule="auto"/>
        <w:ind w:firstLine="480" w:firstLineChars="200"/>
        <w:outlineLvl w:val="9"/>
        <w:rPr>
          <w:rFonts w:hint="eastAsia" w:ascii="宋体" w:hAnsi="宋体" w:eastAsia="宋体" w:cs="宋体"/>
          <w:bCs/>
          <w:color w:val="auto"/>
          <w:kern w:val="1"/>
          <w:sz w:val="24"/>
          <w:highlight w:val="none"/>
          <w:lang w:eastAsia="zh-CN"/>
        </w:rPr>
      </w:pPr>
      <w:r>
        <w:rPr>
          <w:rFonts w:hint="eastAsia" w:ascii="宋体" w:hAnsi="宋体" w:eastAsia="宋体" w:cs="宋体"/>
          <w:bCs/>
          <w:color w:val="auto"/>
          <w:kern w:val="1"/>
          <w:sz w:val="24"/>
          <w:highlight w:val="none"/>
        </w:rPr>
        <w:t>2、如检测成果未能一次性通过专家评审，则中标供应商须承担后续评审所产生的一切费用，采购人不再另行支付。</w:t>
      </w:r>
    </w:p>
    <w:p>
      <w:pPr>
        <w:spacing w:beforeLines="0" w:afterLines="0" w:line="360" w:lineRule="auto"/>
        <w:ind w:firstLine="480" w:firstLineChars="200"/>
        <w:outlineLvl w:val="9"/>
        <w:rPr>
          <w:rFonts w:hint="eastAsia" w:ascii="宋体" w:hAnsi="宋体" w:eastAsia="宋体" w:cs="宋体"/>
          <w:bCs/>
          <w:color w:val="auto"/>
          <w:kern w:val="1"/>
          <w:sz w:val="24"/>
          <w:highlight w:val="none"/>
        </w:rPr>
      </w:pPr>
      <w:r>
        <w:rPr>
          <w:rFonts w:hint="eastAsia" w:ascii="宋体" w:hAnsi="宋体" w:eastAsia="宋体" w:cs="宋体"/>
          <w:bCs/>
          <w:color w:val="auto"/>
          <w:kern w:val="1"/>
          <w:sz w:val="24"/>
          <w:highlight w:val="none"/>
          <w:lang w:val="en-US" w:eastAsia="zh-CN"/>
        </w:rPr>
        <w:t>3、</w:t>
      </w:r>
      <w:r>
        <w:rPr>
          <w:rFonts w:hint="eastAsia" w:ascii="宋体" w:hAnsi="宋体" w:eastAsia="宋体" w:cs="宋体"/>
          <w:bCs/>
          <w:kern w:val="1"/>
          <w:sz w:val="24"/>
          <w:highlight w:val="none"/>
        </w:rPr>
        <w:t>完成该地块所有土壤污染调查报告的编制并取得市环保主管部门出具的相应地块调查结果文件</w:t>
      </w:r>
      <w:r>
        <w:rPr>
          <w:rFonts w:hint="eastAsia" w:ascii="宋体" w:hAnsi="宋体" w:eastAsia="宋体" w:cs="宋体"/>
          <w:bCs/>
          <w:kern w:val="1"/>
          <w:sz w:val="24"/>
          <w:highlight w:val="none"/>
          <w:lang w:eastAsia="zh-CN"/>
        </w:rPr>
        <w:t>。</w:t>
      </w:r>
      <w:r>
        <w:rPr>
          <w:rFonts w:hint="eastAsia" w:ascii="宋体" w:hAnsi="宋体" w:eastAsia="宋体" w:cs="宋体"/>
          <w:bCs/>
          <w:color w:val="auto"/>
          <w:kern w:val="1"/>
          <w:sz w:val="24"/>
          <w:highlight w:val="none"/>
        </w:rPr>
        <w:t xml:space="preserve"> </w:t>
      </w:r>
    </w:p>
    <w:p>
      <w:pPr>
        <w:pStyle w:val="140"/>
        <w:spacing w:line="360" w:lineRule="auto"/>
        <w:ind w:firstLine="482"/>
        <w:rPr>
          <w:rFonts w:ascii="宋体" w:hAnsi="宋体" w:eastAsia="宋体"/>
          <w:b/>
          <w:bCs/>
          <w:sz w:val="24"/>
        </w:rPr>
      </w:pPr>
      <w:r>
        <w:rPr>
          <w:rFonts w:hint="eastAsia" w:ascii="宋体" w:hAnsi="宋体" w:eastAsia="宋体"/>
          <w:b/>
          <w:bCs/>
          <w:sz w:val="24"/>
          <w:lang w:val="en-US" w:eastAsia="zh-CN"/>
        </w:rPr>
        <w:t>五、</w:t>
      </w:r>
      <w:r>
        <w:rPr>
          <w:rFonts w:hint="eastAsia" w:ascii="宋体" w:hAnsi="宋体" w:eastAsia="宋体"/>
          <w:b/>
          <w:bCs/>
          <w:sz w:val="24"/>
        </w:rPr>
        <w:t>完成时间</w:t>
      </w:r>
    </w:p>
    <w:p>
      <w:pPr>
        <w:pStyle w:val="140"/>
        <w:spacing w:line="360" w:lineRule="auto"/>
        <w:ind w:firstLine="480"/>
        <w:rPr>
          <w:rFonts w:ascii="宋体" w:hAnsi="宋体" w:eastAsia="宋体"/>
          <w:b/>
          <w:bCs/>
          <w:sz w:val="24"/>
        </w:rPr>
      </w:pPr>
      <w:r>
        <w:rPr>
          <w:rFonts w:hint="eastAsia" w:ascii="宋体" w:hAnsi="宋体" w:eastAsia="宋体" w:cs="宋体"/>
          <w:bCs/>
          <w:kern w:val="1"/>
          <w:sz w:val="24"/>
          <w:highlight w:val="none"/>
        </w:rPr>
        <w:t>合同签订后，符合进场条件60日内完成该地块所有土壤污染调查报告的编制并取得市环保主管部门出具的相应地块调查结果文件</w:t>
      </w:r>
      <w:r>
        <w:rPr>
          <w:rFonts w:hint="eastAsia" w:ascii="宋体" w:hAnsi="宋体" w:eastAsia="宋体" w:cs="宋体"/>
          <w:bCs/>
          <w:kern w:val="1"/>
          <w:sz w:val="24"/>
          <w:highlight w:val="none"/>
          <w:lang w:eastAsia="zh-CN"/>
        </w:rPr>
        <w:t>。</w:t>
      </w:r>
    </w:p>
    <w:p>
      <w:pPr>
        <w:pStyle w:val="140"/>
        <w:spacing w:line="360" w:lineRule="auto"/>
        <w:ind w:firstLine="482"/>
        <w:rPr>
          <w:rFonts w:hint="default" w:ascii="宋体" w:hAnsi="宋体" w:eastAsia="宋体"/>
          <w:b/>
          <w:bCs/>
          <w:sz w:val="24"/>
          <w:lang w:val="en-US" w:eastAsia="zh-CN"/>
        </w:rPr>
      </w:pPr>
      <w:r>
        <w:rPr>
          <w:rFonts w:hint="eastAsia" w:ascii="宋体" w:hAnsi="宋体" w:eastAsia="宋体"/>
          <w:b/>
          <w:bCs/>
          <w:sz w:val="24"/>
          <w:lang w:val="en-US" w:eastAsia="zh-CN"/>
        </w:rPr>
        <w:t>六</w:t>
      </w:r>
      <w:r>
        <w:rPr>
          <w:rFonts w:hint="eastAsia" w:ascii="宋体" w:hAnsi="宋体" w:eastAsia="宋体"/>
          <w:b/>
          <w:bCs/>
          <w:sz w:val="24"/>
        </w:rPr>
        <w:t>、</w:t>
      </w:r>
      <w:r>
        <w:rPr>
          <w:rFonts w:hint="eastAsia" w:ascii="宋体" w:hAnsi="宋体" w:eastAsia="宋体"/>
          <w:b/>
          <w:bCs/>
          <w:sz w:val="24"/>
          <w:lang w:val="en-US" w:eastAsia="zh-CN"/>
        </w:rPr>
        <w:t>商务要求</w:t>
      </w:r>
    </w:p>
    <w:p>
      <w:pPr>
        <w:spacing w:beforeLines="0" w:afterLines="0"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1.报价要求</w:t>
      </w:r>
    </w:p>
    <w:p>
      <w:pPr>
        <w:pStyle w:val="19"/>
        <w:spacing w:beforeLines="0" w:afterLines="0" w:line="360" w:lineRule="auto"/>
        <w:ind w:firstLine="48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1.1投标人应按招标项目的相关要求，根据项目特点和企业条件确定投标报价。</w:t>
      </w:r>
    </w:p>
    <w:p>
      <w:pPr>
        <w:spacing w:beforeLines="0" w:afterLines="0" w:line="360" w:lineRule="auto"/>
        <w:ind w:firstLine="480"/>
        <w:rPr>
          <w:rFonts w:hint="eastAsia" w:ascii="宋体" w:hAnsi="宋体" w:eastAsia="宋体" w:cs="宋体"/>
          <w:color w:val="000000"/>
          <w:spacing w:val="-10"/>
          <w:sz w:val="24"/>
          <w:highlight w:val="none"/>
        </w:rPr>
      </w:pPr>
      <w:r>
        <w:rPr>
          <w:rFonts w:hint="eastAsia" w:ascii="宋体" w:hAnsi="宋体" w:eastAsia="宋体" w:cs="宋体"/>
          <w:color w:val="000000"/>
          <w:spacing w:val="-10"/>
          <w:sz w:val="24"/>
          <w:highlight w:val="none"/>
        </w:rPr>
        <w:t>1.2按国家规定由投标人缴纳的各种税收已包含在投标总价内，由投标人向税务机关缴纳。</w:t>
      </w:r>
    </w:p>
    <w:p>
      <w:pPr>
        <w:pStyle w:val="19"/>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1.3中标后，</w:t>
      </w:r>
      <w:r>
        <w:rPr>
          <w:rFonts w:hint="eastAsia" w:ascii="宋体" w:hAnsi="宋体" w:eastAsia="宋体" w:cs="宋体"/>
          <w:b/>
          <w:color w:val="000000"/>
          <w:sz w:val="24"/>
          <w:szCs w:val="24"/>
          <w:highlight w:val="none"/>
        </w:rPr>
        <w:t>中标人所填写的单价在合同实施期间不因市场变化因素而变动</w:t>
      </w:r>
      <w:r>
        <w:rPr>
          <w:rFonts w:hint="eastAsia" w:ascii="宋体" w:hAnsi="宋体" w:eastAsia="宋体" w:cs="宋体"/>
          <w:color w:val="000000"/>
          <w:sz w:val="24"/>
          <w:szCs w:val="24"/>
          <w:highlight w:val="none"/>
        </w:rPr>
        <w:t>，投标人在计算报价时应考虑一定的风险系数。</w:t>
      </w:r>
    </w:p>
    <w:p>
      <w:pPr>
        <w:pStyle w:val="19"/>
        <w:spacing w:beforeLines="0" w:afterLines="0" w:line="360" w:lineRule="auto"/>
        <w:ind w:left="48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2.付款方式</w:t>
      </w:r>
    </w:p>
    <w:p>
      <w:pPr>
        <w:pStyle w:val="19"/>
        <w:spacing w:beforeLines="0" w:afterLines="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在合同生效以及具备实施条件后7个工作日内，采购人向中标人支付合同总价的</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0%作为预付款。</w:t>
      </w:r>
    </w:p>
    <w:p>
      <w:pPr>
        <w:pStyle w:val="19"/>
        <w:spacing w:beforeLines="0" w:afterLines="0"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全部地块的土壤污染调查工作并取得市环保主管部门的调查结果红头文件，移交所有成果后支付</w:t>
      </w:r>
      <w:r>
        <w:rPr>
          <w:rFonts w:hint="eastAsia" w:ascii="宋体" w:hAnsi="宋体" w:eastAsia="宋体" w:cs="宋体"/>
          <w:color w:val="000000"/>
          <w:sz w:val="24"/>
          <w:szCs w:val="24"/>
          <w:highlight w:val="none"/>
          <w:lang w:val="en-US" w:eastAsia="zh-CN"/>
        </w:rPr>
        <w:t>至</w:t>
      </w:r>
      <w:r>
        <w:rPr>
          <w:rFonts w:hint="eastAsia" w:ascii="宋体" w:hAnsi="宋体" w:eastAsia="宋体" w:cs="宋体"/>
          <w:color w:val="000000"/>
          <w:sz w:val="24"/>
          <w:szCs w:val="24"/>
          <w:highlight w:val="none"/>
          <w:lang w:eastAsia="zh-CN"/>
        </w:rPr>
        <w:t>合同款总额的</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lang w:eastAsia="zh-CN"/>
        </w:rPr>
        <w:t>0%；</w:t>
      </w:r>
    </w:p>
    <w:p>
      <w:pPr>
        <w:pStyle w:val="19"/>
        <w:spacing w:beforeLines="0" w:afterLines="0"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在签订合同时，中标方明确表示无需预付款或者主动要求降低预付款比例的，采购单位可不支付或减少预付款支付比例</w:t>
      </w:r>
      <w:r>
        <w:rPr>
          <w:rFonts w:hint="eastAsia" w:ascii="宋体" w:hAnsi="宋体" w:eastAsia="宋体" w:cs="宋体"/>
          <w:color w:val="000000"/>
          <w:sz w:val="24"/>
          <w:szCs w:val="24"/>
          <w:highlight w:val="none"/>
        </w:rPr>
        <w:t xml:space="preserve">。 </w:t>
      </w:r>
    </w:p>
    <w:p>
      <w:pPr>
        <w:pStyle w:val="140"/>
        <w:spacing w:line="360" w:lineRule="auto"/>
        <w:ind w:firstLine="482"/>
        <w:rPr>
          <w:rFonts w:ascii="宋体" w:hAnsi="宋体" w:eastAsia="宋体"/>
          <w:b/>
          <w:bCs/>
          <w:sz w:val="24"/>
        </w:rPr>
      </w:pPr>
      <w:r>
        <w:rPr>
          <w:rFonts w:hint="eastAsia" w:ascii="宋体" w:hAnsi="宋体" w:eastAsia="宋体"/>
          <w:b/>
          <w:bCs/>
          <w:sz w:val="24"/>
          <w:lang w:val="en-US" w:eastAsia="zh-CN"/>
        </w:rPr>
        <w:t>七</w:t>
      </w:r>
      <w:r>
        <w:rPr>
          <w:rFonts w:hint="eastAsia" w:ascii="宋体" w:hAnsi="宋体" w:eastAsia="宋体"/>
          <w:b/>
          <w:bCs/>
          <w:sz w:val="24"/>
        </w:rPr>
        <w:t>、履约保证金</w:t>
      </w:r>
    </w:p>
    <w:p>
      <w:pPr>
        <w:spacing w:line="360" w:lineRule="auto"/>
        <w:ind w:firstLine="720" w:firstLineChars="300"/>
        <w:outlineLvl w:val="1"/>
        <w:rPr>
          <w:rFonts w:hint="eastAsia" w:eastAsia="宋体" w:cs="宋体" w:asciiTheme="minorEastAsia" w:hAnsiTheme="minorEastAsia"/>
          <w:color w:val="FF0000"/>
          <w:sz w:val="24"/>
          <w:lang w:eastAsia="zh-CN"/>
        </w:rPr>
        <w:sectPr>
          <w:pgSz w:w="11910" w:h="16840"/>
          <w:pgMar w:top="1134" w:right="1344" w:bottom="1134" w:left="1304" w:header="0" w:footer="993" w:gutter="0"/>
          <w:pgNumType w:fmt="decimal"/>
          <w:cols w:space="0" w:num="1"/>
        </w:sectPr>
      </w:pPr>
      <w:r>
        <w:rPr>
          <w:rFonts w:hint="eastAsia" w:eastAsia="宋体"/>
          <w:sz w:val="24"/>
        </w:rPr>
        <w:t>本项目不设置履约保证金</w:t>
      </w:r>
      <w:r>
        <w:rPr>
          <w:rFonts w:hint="eastAsia" w:eastAsia="宋体"/>
          <w:sz w:val="24"/>
          <w:lang w:eastAsia="zh-CN"/>
        </w:rPr>
        <w:t>。</w:t>
      </w:r>
    </w:p>
    <w:p>
      <w:pPr>
        <w:rPr>
          <w:rFonts w:cs="宋体" w:asciiTheme="minorEastAsia" w:hAnsiTheme="minorEastAsia" w:eastAsiaTheme="minorEastAsia"/>
          <w:color w:val="FF0000"/>
          <w:sz w:val="24"/>
        </w:rPr>
      </w:pPr>
    </w:p>
    <w:p>
      <w:pPr>
        <w:pStyle w:val="31"/>
        <w:numPr>
          <w:ilvl w:val="0"/>
          <w:numId w:val="8"/>
        </w:numPr>
        <w:adjustRightInd w:val="0"/>
        <w:snapToGrid w:val="0"/>
        <w:spacing w:after="0" w:line="360" w:lineRule="auto"/>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投标人须知</w:t>
      </w:r>
    </w:p>
    <w:p>
      <w:pPr>
        <w:pStyle w:val="31"/>
        <w:adjustRightInd w:val="0"/>
        <w:snapToGrid w:val="0"/>
        <w:spacing w:after="0" w:line="360" w:lineRule="auto"/>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前附表</w:t>
      </w:r>
    </w:p>
    <w:tbl>
      <w:tblPr>
        <w:tblStyle w:val="33"/>
        <w:tblW w:w="99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9068"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9068" w:type="dxa"/>
            <w:vAlign w:val="center"/>
          </w:tcPr>
          <w:p>
            <w:pPr>
              <w:rPr>
                <w:rFonts w:hint="eastAsia" w:asciiTheme="minorEastAsia" w:hAnsiTheme="minorEastAsia" w:eastAsiaTheme="minorEastAsia"/>
                <w:color w:val="000000"/>
                <w:sz w:val="24"/>
                <w:lang w:eastAsia="zh-CN"/>
              </w:rPr>
            </w:pPr>
            <w:r>
              <w:rPr>
                <w:rFonts w:hint="eastAsia" w:asciiTheme="minorEastAsia" w:hAnsiTheme="minorEastAsia" w:eastAsiaTheme="minorEastAsia"/>
                <w:sz w:val="24"/>
              </w:rPr>
              <w:t>项目名</w:t>
            </w:r>
            <w:r>
              <w:rPr>
                <w:rFonts w:hint="eastAsia" w:asciiTheme="minorEastAsia" w:hAnsiTheme="minorEastAsia" w:eastAsiaTheme="minorEastAsia"/>
                <w:color w:val="000000"/>
                <w:sz w:val="24"/>
              </w:rPr>
              <w:t>称：</w:t>
            </w:r>
            <w:r>
              <w:rPr>
                <w:rFonts w:hint="eastAsia" w:asciiTheme="minorEastAsia" w:hAnsiTheme="minorEastAsia" w:eastAsiaTheme="minorEastAsia"/>
                <w:b/>
                <w:bCs/>
                <w:sz w:val="24"/>
                <w:lang w:eastAsia="zh-CN"/>
              </w:rPr>
              <w:t>桐庐富春江影视基地项目（一期）地块土壤污染状况调查项目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9068" w:type="dxa"/>
            <w:vAlign w:val="center"/>
          </w:tcPr>
          <w:p>
            <w:pPr>
              <w:rPr>
                <w:rFonts w:asciiTheme="minorEastAsia" w:hAnsiTheme="minorEastAsia" w:eastAsiaTheme="minorEastAsia"/>
                <w:sz w:val="24"/>
              </w:rPr>
            </w:pPr>
            <w:r>
              <w:rPr>
                <w:rFonts w:hint="eastAsia" w:asciiTheme="minorEastAsia" w:hAnsiTheme="minorEastAsia" w:eastAsiaTheme="minorEastAsia"/>
                <w:color w:val="000000"/>
                <w:sz w:val="24"/>
              </w:rPr>
              <w:t>采购数量及单位：详见招标需求。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9068" w:type="dxa"/>
            <w:vAlign w:val="center"/>
          </w:tcPr>
          <w:p>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投标报价及费用：1.本项目投标应以人民币报价；2.</w:t>
            </w:r>
            <w:r>
              <w:rPr>
                <w:rFonts w:hint="eastAsia" w:asciiTheme="minorEastAsia" w:hAnsiTheme="minorEastAsia" w:eastAsiaTheme="minorEastAsia"/>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p>
        </w:tc>
        <w:tc>
          <w:tcPr>
            <w:tcW w:w="9068" w:type="dxa"/>
            <w:vAlign w:val="center"/>
          </w:tcPr>
          <w:p>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投标保证金：按照采购公告要求交纳。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sz w:val="24"/>
              </w:rPr>
              <w:t>5</w:t>
            </w:r>
          </w:p>
        </w:tc>
        <w:tc>
          <w:tcPr>
            <w:tcW w:w="9068" w:type="dxa"/>
            <w:vAlign w:val="center"/>
          </w:tcPr>
          <w:p>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答疑与澄清：投标人如认为招标文件表述不清晰、存在歧视性或者其他违法内容的，应当于</w:t>
            </w:r>
            <w:bookmarkStart w:id="51" w:name="_GoBack"/>
            <w:r>
              <w:rPr>
                <w:rFonts w:hint="eastAsia" w:asciiTheme="minorEastAsia" w:hAnsiTheme="minorEastAsia" w:eastAsiaTheme="minorEastAsia"/>
                <w:b/>
                <w:color w:val="FF0000"/>
                <w:sz w:val="24"/>
                <w:lang w:eastAsia="zh-CN"/>
              </w:rPr>
              <w:t>开标日期前</w:t>
            </w:r>
            <w:r>
              <w:rPr>
                <w:rFonts w:hint="eastAsia" w:asciiTheme="minorEastAsia" w:hAnsiTheme="minorEastAsia" w:eastAsiaTheme="minorEastAsia"/>
                <w:b/>
                <w:color w:val="FF0000"/>
                <w:sz w:val="24"/>
                <w:lang w:val="en-US" w:eastAsia="zh-CN"/>
              </w:rPr>
              <w:t>15日内</w:t>
            </w:r>
            <w:bookmarkEnd w:id="51"/>
            <w:r>
              <w:rPr>
                <w:rFonts w:hint="eastAsia" w:asciiTheme="minorEastAsia" w:hAnsiTheme="minorEastAsia" w:eastAsiaTheme="minorEastAsia"/>
                <w:sz w:val="24"/>
              </w:rPr>
              <w:t>，以书面形式要求采购机构或采购人作出书面解释、澄清或者向采购机构提出书面质疑，逾期不再受理；如有投标人提出质疑的，采购机构视情况将以答复；答疑内容是招标文件的组成部分，将在提交投标文件截止时间15日前，</w:t>
            </w:r>
            <w:r>
              <w:rPr>
                <w:rFonts w:hint="eastAsia" w:asciiTheme="minorEastAsia" w:hAnsiTheme="minorEastAsia" w:eastAsiaTheme="minorEastAsia"/>
                <w:sz w:val="24"/>
                <w:highlight w:val="yellow"/>
              </w:rPr>
              <w:t>在浙江政府采购网（https://zfcg.czt.zj.gov.cn/）上发布更正公告，在开标前，</w:t>
            </w:r>
            <w:r>
              <w:rPr>
                <w:rFonts w:hint="eastAsia" w:asciiTheme="minorEastAsia" w:hAnsiTheme="minorEastAsia" w:eastAsiaTheme="minorEastAsia"/>
                <w:sz w:val="24"/>
              </w:rPr>
              <w:t>请投标人自行到网上查看和下载，投标人因漏看带来的后果由投标人自行承担。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p>
        </w:tc>
        <w:tc>
          <w:tcPr>
            <w:tcW w:w="9068" w:type="dxa"/>
            <w:vAlign w:val="center"/>
          </w:tcPr>
          <w:p>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投标文件组成：</w:t>
            </w:r>
            <w:r>
              <w:rPr>
                <w:rFonts w:hint="eastAsia" w:asciiTheme="minorEastAsia" w:hAnsiTheme="minorEastAsia" w:eastAsiaTheme="minorEastAsia"/>
                <w:b/>
                <w:bCs/>
                <w:sz w:val="24"/>
              </w:rPr>
              <w:t>“资格文件”“商务技术文件”和“报价文件”</w:t>
            </w:r>
            <w:r>
              <w:rPr>
                <w:rFonts w:hint="eastAsia" w:asciiTheme="minorEastAsia" w:hAnsiTheme="minorEastAsia" w:eastAsiaTheme="minorEastAsia"/>
                <w:color w:val="000000"/>
                <w:sz w:val="24"/>
              </w:rPr>
              <w:t>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w:t>
            </w:r>
          </w:p>
        </w:tc>
        <w:tc>
          <w:tcPr>
            <w:tcW w:w="9068" w:type="dxa"/>
            <w:vAlign w:val="center"/>
          </w:tcPr>
          <w:p>
            <w:pPr>
              <w:autoSpaceDE w:val="0"/>
              <w:autoSpaceDN w:val="0"/>
              <w:snapToGrid w:val="0"/>
              <w:textAlignment w:val="bottom"/>
              <w:rPr>
                <w:rFonts w:asciiTheme="minorEastAsia" w:hAnsiTheme="minorEastAsia" w:eastAsiaTheme="minorEastAsia"/>
                <w:b/>
                <w:color w:val="FF0000"/>
                <w:sz w:val="24"/>
              </w:rPr>
            </w:pPr>
            <w:r>
              <w:rPr>
                <w:rFonts w:hint="eastAsia" w:asciiTheme="minorEastAsia" w:hAnsiTheme="minorEastAsia" w:eastAsiaTheme="minorEastAsia"/>
                <w:b/>
                <w:color w:val="FF0000"/>
                <w:sz w:val="24"/>
              </w:rPr>
              <w:t>投标文件的签章按照采购文件要求签章。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w:t>
            </w:r>
          </w:p>
        </w:tc>
        <w:tc>
          <w:tcPr>
            <w:tcW w:w="9068" w:type="dxa"/>
            <w:vAlign w:val="center"/>
          </w:tcPr>
          <w:p>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w:t>
            </w:r>
          </w:p>
        </w:tc>
        <w:tc>
          <w:tcPr>
            <w:tcW w:w="9068" w:type="dxa"/>
            <w:vAlign w:val="center"/>
          </w:tcPr>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投标文件的形式：电子投标文件（包括“电子加密投标文件”和“备份投标文件”，在投标文件编制完成后同时生成）；</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（1）“电子加密投标文件”是指通过“政采云电子交易客户端”完成投标文件编制后生成并加密的数据电文形式的投标文件。</w:t>
            </w:r>
          </w:p>
          <w:p>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w:t>
            </w:r>
          </w:p>
        </w:tc>
        <w:tc>
          <w:tcPr>
            <w:tcW w:w="9068" w:type="dxa"/>
            <w:vAlign w:val="center"/>
          </w:tcPr>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投标文件份数：（1）“电子加密投标文件”：在线上传递交、一份。（2）“备份投标文件”：密封包装后（邮寄形式）投标截止时间前递交、一份。</w:t>
            </w:r>
            <w:r>
              <w:rPr>
                <w:rFonts w:hint="eastAsia" w:ascii="宋体" w:hAnsi="宋体" w:cs="宋体"/>
                <w:b/>
                <w:sz w:val="24"/>
              </w:rPr>
              <w:t>（但采购人、采购机构不强制或变相强制投标人提交备份磋商响应文件</w:t>
            </w:r>
            <w:r>
              <w:rPr>
                <w:rFonts w:hint="eastAsia" w:ascii="宋体" w:hAnsi="宋体" w:cs="宋体"/>
                <w:sz w:val="24"/>
              </w:rPr>
              <w:t>）</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（邮寄地址：桐庐县迎春南路88号桦桐大厦20楼</w:t>
            </w:r>
            <w:r>
              <w:rPr>
                <w:rFonts w:hint="eastAsia" w:asciiTheme="minorEastAsia" w:hAnsiTheme="minorEastAsia" w:eastAsiaTheme="minorEastAsia"/>
                <w:color w:val="000000"/>
                <w:sz w:val="24"/>
                <w:lang w:eastAsia="zh-CN"/>
              </w:rPr>
              <w:t>孙鸣</w:t>
            </w:r>
            <w:r>
              <w:rPr>
                <w:rFonts w:hint="eastAsia" w:asciiTheme="minorEastAsia" w:hAnsiTheme="minorEastAsia" w:eastAsiaTheme="minorEastAsia"/>
                <w:color w:val="000000"/>
                <w:sz w:val="24"/>
              </w:rPr>
              <w:t>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w:t>
            </w:r>
          </w:p>
        </w:tc>
        <w:tc>
          <w:tcPr>
            <w:tcW w:w="9068" w:type="dxa"/>
            <w:vAlign w:val="center"/>
          </w:tcPr>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投标文件的上传和递交：</w:t>
            </w:r>
          </w:p>
          <w:p>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（1）“电子加密投标文件”的上传、递交：</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a.投标供应商应在投标截止时间前将“电子加密投标文件”成功上传递交至“政府采购云平台”，否则投标无效。</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b.“电子加密投标文件”成功上传递交后，供应商可自行打印投标文件接收回执。</w:t>
            </w:r>
          </w:p>
          <w:p>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（2）“备份投标文件”的密封包装、递交：</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a.投标供应商在“政府采购云平台”完成“电子加密投标文件”的上传递交后，还可以（邮寄形式）在投标截止时间前递交以介质（U盘）存储的 “备份投标文件”（一份）；</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b.“备份投标文件”应当密封包装，并在包装上标注投标项目名称、投标单位名称并加盖公章。没有密封包装或者逾期邮寄送达至投标地点的“备份投标文件”将不予接收；</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c.通过“政府采购云平台”成功上传递交的“电子加密投标文件”已按时解密的，“备份投标文件”自动失效。投标截止时间前，投标供应商仅递交了“备份投标文件”而</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w:t>
            </w:r>
          </w:p>
        </w:tc>
        <w:tc>
          <w:tcPr>
            <w:tcW w:w="9068" w:type="dxa"/>
            <w:vAlign w:val="center"/>
          </w:tcPr>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电子加密投标文件的解密和异常情况处理：</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（1）开标后，采购组织机构将向各投标供应商发出“电子加密投标文件”的解密通知，各投标供应商代表应当在接到解密通知后30分钟内自行完成“电子加密投标文件”的在线解密。</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9068" w:type="dxa"/>
            <w:vAlign w:val="center"/>
          </w:tcPr>
          <w:p>
            <w:pPr>
              <w:autoSpaceDE w:val="0"/>
              <w:autoSpaceDN w:val="0"/>
              <w:snapToGrid w:val="0"/>
              <w:textAlignment w:val="bottom"/>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10"/>
                <w:sz w:val="24"/>
              </w:rPr>
              <w:t>潜在供应商需在浙江政府采购网</w:t>
            </w:r>
            <w:r>
              <w:rPr>
                <w:rFonts w:hint="eastAsia" w:cs="宋体" w:asciiTheme="minorEastAsia" w:hAnsiTheme="minorEastAsia" w:eastAsiaTheme="minorEastAsia"/>
                <w:b/>
                <w:color w:val="000000"/>
                <w:kern w:val="10"/>
                <w:sz w:val="24"/>
              </w:rPr>
              <w:drawing>
                <wp:inline distT="0" distB="0" distL="0" distR="0">
                  <wp:extent cx="190500" cy="142875"/>
                  <wp:effectExtent l="19050" t="0" r="0" b="0"/>
                  <wp:docPr id="1027" name="图片 5" descr="IMG_257"/>
                  <wp:cNvGraphicFramePr/>
                  <a:graphic xmlns:a="http://schemas.openxmlformats.org/drawingml/2006/main">
                    <a:graphicData uri="http://schemas.openxmlformats.org/drawingml/2006/picture">
                      <pic:pic xmlns:pic="http://schemas.openxmlformats.org/drawingml/2006/picture">
                        <pic:nvPicPr>
                          <pic:cNvPr id="1027" name="图片 5" descr="IMG_257"/>
                          <pic:cNvPicPr/>
                        </pic:nvPicPr>
                        <pic:blipFill>
                          <a:blip r:embed="rId19" cstate="print"/>
                          <a:srcRect/>
                          <a:stretch>
                            <a:fillRect/>
                          </a:stretch>
                        </pic:blipFill>
                        <pic:spPr>
                          <a:xfrm>
                            <a:off x="0" y="0"/>
                            <a:ext cx="190500" cy="142875"/>
                          </a:xfrm>
                          <a:prstGeom prst="rect">
                            <a:avLst/>
                          </a:prstGeom>
                          <a:ln>
                            <a:noFill/>
                          </a:ln>
                        </pic:spPr>
                      </pic:pic>
                    </a:graphicData>
                  </a:graphic>
                </wp:inline>
              </w:drawing>
            </w:r>
            <w:r>
              <w:rPr>
                <w:rFonts w:hint="eastAsia" w:cs="宋体" w:asciiTheme="minorEastAsia" w:hAnsiTheme="minorEastAsia" w:eastAsiaTheme="minorEastAsia"/>
                <w:b/>
                <w:color w:val="000000"/>
                <w:kern w:val="10"/>
                <w:sz w:val="24"/>
              </w:rPr>
              <w:t>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w:t>
            </w:r>
          </w:p>
        </w:tc>
        <w:tc>
          <w:tcPr>
            <w:tcW w:w="9068" w:type="dxa"/>
            <w:vAlign w:val="center"/>
          </w:tcPr>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投标截止时间：</w:t>
            </w:r>
            <w:r>
              <w:rPr>
                <w:rFonts w:hint="eastAsia" w:asciiTheme="minorEastAsia" w:hAnsiTheme="minorEastAsia" w:eastAsiaTheme="minorEastAsia"/>
                <w:b/>
                <w:bCs/>
                <w:color w:val="FF0000"/>
                <w:sz w:val="24"/>
                <w:lang w:eastAsia="zh-CN"/>
              </w:rPr>
              <w:t>2024年02月27日09时30分</w:t>
            </w:r>
            <w:r>
              <w:rPr>
                <w:rFonts w:hint="eastAsia" w:asciiTheme="minorEastAsia" w:hAnsiTheme="minorEastAsia" w:eastAsiaTheme="minorEastAsia"/>
                <w:sz w:val="24"/>
              </w:rPr>
              <w:t>。</w:t>
            </w:r>
          </w:p>
          <w:p>
            <w:pPr>
              <w:snapToGrid w:val="0"/>
              <w:spacing w:line="360" w:lineRule="auto"/>
              <w:rPr>
                <w:rFonts w:asciiTheme="minorEastAsia" w:hAnsiTheme="minorEastAsia" w:eastAsiaTheme="minorEastAsia"/>
                <w:color w:val="000000"/>
                <w:sz w:val="24"/>
              </w:rPr>
            </w:pPr>
            <w:r>
              <w:rPr>
                <w:rFonts w:hint="eastAsia" w:cs="华文中宋" w:asciiTheme="minorEastAsia" w:hAnsiTheme="minorEastAsia" w:eastAsiaTheme="minorEastAsia"/>
                <w:color w:val="FF0000"/>
                <w:sz w:val="24"/>
              </w:rPr>
              <w:t>通过浙江省政府采购网政府采购云平台实行在线投标响应。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15</w:t>
            </w:r>
          </w:p>
        </w:tc>
        <w:tc>
          <w:tcPr>
            <w:tcW w:w="9068" w:type="dxa"/>
            <w:vAlign w:val="center"/>
          </w:tcPr>
          <w:p>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开标时间及地点：</w:t>
            </w:r>
            <w:r>
              <w:rPr>
                <w:rFonts w:hint="eastAsia" w:cs="Arial" w:asciiTheme="minorEastAsia" w:hAnsiTheme="minorEastAsia" w:eastAsiaTheme="minorEastAsia"/>
                <w:sz w:val="24"/>
              </w:rPr>
              <w:t>本次招标将于</w:t>
            </w:r>
            <w:r>
              <w:rPr>
                <w:rFonts w:hint="eastAsia" w:asciiTheme="minorEastAsia" w:hAnsiTheme="minorEastAsia" w:eastAsiaTheme="minorEastAsia"/>
                <w:b/>
                <w:bCs/>
                <w:color w:val="FF0000"/>
                <w:sz w:val="24"/>
                <w:lang w:eastAsia="zh-CN"/>
              </w:rPr>
              <w:t>2024年02月27日09时30分</w:t>
            </w:r>
            <w:r>
              <w:rPr>
                <w:rFonts w:hint="eastAsia" w:cs="Arial" w:asciiTheme="minorEastAsia" w:hAnsiTheme="minorEastAsia" w:eastAsiaTheme="minorEastAsia"/>
                <w:sz w:val="24"/>
              </w:rPr>
              <w:t>政采云在线开标。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16</w:t>
            </w:r>
          </w:p>
        </w:tc>
        <w:tc>
          <w:tcPr>
            <w:tcW w:w="9068" w:type="dxa"/>
            <w:vAlign w:val="center"/>
          </w:tcPr>
          <w:p>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评标办法及标准：按照招标文件评标办法及评分标准。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17</w:t>
            </w:r>
          </w:p>
        </w:tc>
        <w:tc>
          <w:tcPr>
            <w:tcW w:w="9068" w:type="dxa"/>
            <w:vAlign w:val="center"/>
          </w:tcPr>
          <w:p>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中标（成交）公告：采购人确定中标人后，在浙江政府采购网（http://zfcg.czt.zj.gov.cn/）上进行1个工作日的中标（成交）公告。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18</w:t>
            </w:r>
          </w:p>
        </w:tc>
        <w:tc>
          <w:tcPr>
            <w:tcW w:w="9068" w:type="dxa"/>
            <w:vAlign w:val="center"/>
          </w:tcPr>
          <w:p>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中标（成交）通知书：成交结果在中标（成交）公告时，代理机构以书面形式发出《成交通知书》。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19</w:t>
            </w:r>
          </w:p>
        </w:tc>
        <w:tc>
          <w:tcPr>
            <w:tcW w:w="9068" w:type="dxa"/>
            <w:vAlign w:val="center"/>
          </w:tcPr>
          <w:p>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签订合同：中标通知书发出后</w:t>
            </w:r>
            <w:r>
              <w:rPr>
                <w:rFonts w:hint="eastAsia" w:asciiTheme="minorEastAsia" w:hAnsiTheme="minorEastAsia" w:eastAsiaTheme="minorEastAsia"/>
                <w:sz w:val="24"/>
              </w:rPr>
              <w:t>30</w:t>
            </w:r>
            <w:r>
              <w:rPr>
                <w:rFonts w:hint="eastAsia" w:asciiTheme="minorEastAsia" w:hAnsiTheme="minorEastAsia" w:eastAsiaTheme="minorEastAsia"/>
                <w:color w:val="000000"/>
                <w:sz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20</w:t>
            </w:r>
          </w:p>
        </w:tc>
        <w:tc>
          <w:tcPr>
            <w:tcW w:w="9068" w:type="dxa"/>
            <w:vAlign w:val="center"/>
          </w:tcPr>
          <w:p>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投标文件有效期：</w:t>
            </w:r>
            <w:r>
              <w:rPr>
                <w:rFonts w:hint="eastAsia" w:cs="Arial" w:asciiTheme="minorEastAsia" w:hAnsiTheme="minorEastAsia" w:eastAsiaTheme="minorEastAsia"/>
                <w:color w:val="000000"/>
                <w:sz w:val="24"/>
                <w:u w:val="single"/>
              </w:rPr>
              <w:t>90</w:t>
            </w:r>
            <w:r>
              <w:rPr>
                <w:rFonts w:hint="eastAsia" w:cs="Arial" w:asciiTheme="minorEastAsia" w:hAnsiTheme="minorEastAsia" w:eastAsiaTheme="minorEastAsia"/>
                <w:color w:val="000000"/>
                <w:sz w:val="24"/>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21</w:t>
            </w:r>
          </w:p>
        </w:tc>
        <w:tc>
          <w:tcPr>
            <w:tcW w:w="9068" w:type="dxa"/>
            <w:vAlign w:val="center"/>
          </w:tcPr>
          <w:p>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2"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22</w:t>
            </w:r>
          </w:p>
        </w:tc>
        <w:tc>
          <w:tcPr>
            <w:tcW w:w="9068" w:type="dxa"/>
            <w:vAlign w:val="center"/>
          </w:tcPr>
          <w:p>
            <w:pPr>
              <w:snapToGrid w:val="0"/>
              <w:rPr>
                <w:rFonts w:asciiTheme="minorEastAsia" w:hAnsiTheme="minorEastAsia" w:eastAsiaTheme="minorEastAsia"/>
                <w:sz w:val="24"/>
              </w:rPr>
            </w:pPr>
            <w:r>
              <w:rPr>
                <w:rFonts w:hint="eastAsia" w:asciiTheme="minorEastAsia" w:hAnsiTheme="minorEastAsia" w:eastAsiaTheme="minorEastAsia"/>
                <w:b/>
                <w:color w:val="FF0000"/>
                <w:sz w:val="24"/>
              </w:rPr>
              <w:t>本次招标设定最高限价，最高限价为人民币：</w:t>
            </w:r>
            <w:r>
              <w:rPr>
                <w:rFonts w:hint="eastAsia" w:asciiTheme="minorEastAsia" w:hAnsiTheme="minorEastAsia" w:eastAsiaTheme="minorEastAsia"/>
                <w:b/>
                <w:color w:val="FF0000"/>
                <w:sz w:val="24"/>
                <w:u w:val="single"/>
                <w:lang w:eastAsia="zh-CN"/>
              </w:rPr>
              <w:t>28万元</w:t>
            </w:r>
            <w:r>
              <w:rPr>
                <w:rFonts w:hint="eastAsia" w:asciiTheme="minorEastAsia" w:hAnsiTheme="minorEastAsia" w:eastAsiaTheme="minorEastAsia"/>
                <w:b/>
                <w:color w:val="FF0000"/>
                <w:sz w:val="24"/>
              </w:rPr>
              <w:t>。</w:t>
            </w:r>
          </w:p>
        </w:tc>
      </w:tr>
    </w:tbl>
    <w:p>
      <w:pPr>
        <w:pStyle w:val="19"/>
        <w:snapToGrid w:val="0"/>
        <w:spacing w:before="120" w:after="120"/>
        <w:ind w:firstLine="482" w:firstLineChars="200"/>
        <w:rPr>
          <w:rFonts w:asciiTheme="minorEastAsia" w:hAnsiTheme="minorEastAsia" w:eastAsiaTheme="minorEastAsia"/>
          <w:b/>
          <w:sz w:val="24"/>
        </w:rPr>
      </w:pPr>
      <w:bookmarkStart w:id="1" w:name="_Toc91899903"/>
      <w:r>
        <w:rPr>
          <w:rFonts w:hint="eastAsia" w:asciiTheme="minorEastAsia" w:hAnsiTheme="minorEastAsia" w:eastAsiaTheme="minorEastAsia"/>
          <w:b/>
          <w:sz w:val="24"/>
        </w:rPr>
        <w:t>一、总  则</w:t>
      </w:r>
    </w:p>
    <w:p>
      <w:pPr>
        <w:tabs>
          <w:tab w:val="left" w:pos="360"/>
          <w:tab w:val="left" w:pos="540"/>
          <w:tab w:val="left" w:pos="720"/>
        </w:tabs>
        <w:snapToGrid w:val="0"/>
        <w:ind w:firstLine="482" w:firstLineChars="200"/>
        <w:jc w:val="left"/>
        <w:outlineLvl w:val="1"/>
        <w:rPr>
          <w:rFonts w:asciiTheme="minorEastAsia" w:hAnsiTheme="minorEastAsia" w:eastAsiaTheme="minorEastAsia"/>
          <w:b/>
          <w:color w:val="000000"/>
          <w:sz w:val="24"/>
        </w:rPr>
      </w:pPr>
      <w:bookmarkStart w:id="2" w:name="_Toc177824939"/>
      <w:bookmarkStart w:id="3" w:name="_Toc177825120"/>
      <w:bookmarkStart w:id="4" w:name="_Toc177824872"/>
      <w:bookmarkStart w:id="5" w:name="_Toc177870537"/>
      <w:r>
        <w:rPr>
          <w:rFonts w:hint="eastAsia" w:asciiTheme="minorEastAsia" w:hAnsiTheme="minorEastAsia" w:eastAsiaTheme="minorEastAsia"/>
          <w:b/>
          <w:color w:val="000000"/>
          <w:sz w:val="24"/>
        </w:rPr>
        <w:t>（一）适用范围</w:t>
      </w:r>
      <w:bookmarkEnd w:id="2"/>
      <w:bookmarkEnd w:id="3"/>
      <w:bookmarkEnd w:id="4"/>
      <w:bookmarkEnd w:id="5"/>
    </w:p>
    <w:p>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本招标文件适用于</w:t>
      </w:r>
      <w:r>
        <w:rPr>
          <w:rFonts w:hint="eastAsia" w:asciiTheme="minorEastAsia" w:hAnsiTheme="minorEastAsia" w:eastAsiaTheme="minorEastAsia"/>
          <w:b/>
          <w:bCs/>
          <w:sz w:val="24"/>
          <w:u w:val="single"/>
          <w:lang w:eastAsia="zh-CN"/>
        </w:rPr>
        <w:t>桐庐富春江影视基地项目（一期）地块土壤污染状况调查项目</w:t>
      </w:r>
      <w:r>
        <w:rPr>
          <w:rFonts w:hint="eastAsia" w:asciiTheme="minorEastAsia" w:hAnsiTheme="minorEastAsia" w:eastAsiaTheme="minorEastAsia"/>
          <w:color w:val="000000"/>
          <w:sz w:val="24"/>
        </w:rPr>
        <w:t>的招标、评标、定标、验收、合同履约、付款等（法律、法规另有规定的，从其规定）。</w:t>
      </w:r>
    </w:p>
    <w:p>
      <w:pPr>
        <w:snapToGrid w:val="0"/>
        <w:ind w:firstLine="482" w:firstLineChars="200"/>
        <w:jc w:val="left"/>
        <w:outlineLvl w:val="1"/>
        <w:rPr>
          <w:rFonts w:asciiTheme="minorEastAsia" w:hAnsiTheme="minorEastAsia" w:eastAsiaTheme="minorEastAsia"/>
          <w:b/>
          <w:color w:val="000000"/>
          <w:sz w:val="24"/>
        </w:rPr>
      </w:pPr>
      <w:bookmarkStart w:id="6" w:name="_Toc177824873"/>
      <w:bookmarkStart w:id="7" w:name="_Toc177825121"/>
      <w:bookmarkStart w:id="8" w:name="_Toc177824940"/>
      <w:bookmarkStart w:id="9" w:name="_Toc177870538"/>
      <w:r>
        <w:rPr>
          <w:rFonts w:hint="eastAsia" w:asciiTheme="minorEastAsia" w:hAnsiTheme="minorEastAsia" w:eastAsiaTheme="minorEastAsia"/>
          <w:b/>
          <w:color w:val="000000"/>
          <w:sz w:val="24"/>
        </w:rPr>
        <w:t>（二）定义</w:t>
      </w:r>
      <w:bookmarkEnd w:id="6"/>
      <w:bookmarkEnd w:id="7"/>
      <w:bookmarkEnd w:id="8"/>
      <w:bookmarkEnd w:id="9"/>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1.“供应商”系指向采购机构提交投标文件的单位。</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2.“采购人”系指</w:t>
      </w:r>
      <w:r>
        <w:rPr>
          <w:rFonts w:hint="eastAsia" w:asciiTheme="minorEastAsia" w:hAnsiTheme="minorEastAsia" w:eastAsiaTheme="minorEastAsia"/>
          <w:sz w:val="24"/>
          <w:lang w:eastAsia="zh-CN"/>
        </w:rPr>
        <w:t>桐庐江南镇新农村镇村建设有限公司</w:t>
      </w:r>
      <w:r>
        <w:rPr>
          <w:rFonts w:hint="eastAsia" w:asciiTheme="minorEastAsia" w:hAnsiTheme="minorEastAsia" w:eastAsiaTheme="minorEastAsia"/>
          <w:sz w:val="24"/>
        </w:rPr>
        <w:t>。</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3.“采购机构”系指</w:t>
      </w:r>
      <w:r>
        <w:rPr>
          <w:rFonts w:hint="eastAsia" w:asciiTheme="minorEastAsia" w:hAnsiTheme="minorEastAsia" w:eastAsiaTheme="minorEastAsia"/>
          <w:sz w:val="24"/>
          <w:lang w:eastAsia="zh-CN"/>
        </w:rPr>
        <w:t>桐庐鸿泰工程咨询有限公司</w:t>
      </w:r>
      <w:r>
        <w:rPr>
          <w:rFonts w:hint="eastAsia" w:asciiTheme="minorEastAsia" w:hAnsiTheme="minorEastAsia" w:eastAsiaTheme="minorEastAsia"/>
          <w:sz w:val="24"/>
        </w:rPr>
        <w:t>。</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4.“服务”系指招标文件规定投标人须承担的本项目</w:t>
      </w:r>
      <w:r>
        <w:rPr>
          <w:rFonts w:hint="eastAsia" w:cs="宋体" w:asciiTheme="minorEastAsia" w:hAnsiTheme="minorEastAsia" w:eastAsiaTheme="minorEastAsia"/>
          <w:bCs/>
          <w:sz w:val="24"/>
        </w:rPr>
        <w:t>服务所有工作内容</w:t>
      </w:r>
      <w:r>
        <w:rPr>
          <w:rFonts w:hint="eastAsia" w:asciiTheme="minorEastAsia" w:hAnsiTheme="minorEastAsia" w:eastAsiaTheme="minorEastAsia"/>
          <w:sz w:val="24"/>
        </w:rPr>
        <w:t>。</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5.“书面形式”包括信函、传真、电报、电子文档等。</w:t>
      </w:r>
    </w:p>
    <w:p>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z w:val="24"/>
        </w:rPr>
        <w:t>”系指实质性要求条款。</w:t>
      </w:r>
    </w:p>
    <w:p>
      <w:pPr>
        <w:snapToGrid w:val="0"/>
        <w:ind w:firstLine="482" w:firstLineChars="200"/>
        <w:jc w:val="left"/>
        <w:outlineLvl w:val="1"/>
        <w:rPr>
          <w:rFonts w:asciiTheme="minorEastAsia" w:hAnsiTheme="minorEastAsia" w:eastAsiaTheme="minorEastAsia"/>
          <w:b/>
          <w:color w:val="000000"/>
          <w:sz w:val="24"/>
        </w:rPr>
      </w:pPr>
      <w:bookmarkStart w:id="10" w:name="_Toc177870539"/>
      <w:r>
        <w:rPr>
          <w:rFonts w:hint="eastAsia" w:asciiTheme="minorEastAsia" w:hAnsiTheme="minorEastAsia" w:eastAsiaTheme="minorEastAsia"/>
          <w:b/>
          <w:color w:val="000000"/>
          <w:sz w:val="24"/>
        </w:rPr>
        <w:t>（三）招标方式</w:t>
      </w:r>
      <w:bookmarkEnd w:id="10"/>
    </w:p>
    <w:p>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本次招标采用公开招标方式进行。</w:t>
      </w:r>
    </w:p>
    <w:p>
      <w:pPr>
        <w:snapToGrid w:val="0"/>
        <w:spacing w:line="360" w:lineRule="auto"/>
        <w:ind w:firstLine="482" w:firstLineChars="200"/>
        <w:jc w:val="left"/>
        <w:rPr>
          <w:rFonts w:asciiTheme="minorEastAsia" w:hAnsiTheme="minorEastAsia" w:eastAsiaTheme="minorEastAsia"/>
          <w:b/>
          <w:sz w:val="24"/>
        </w:rPr>
      </w:pPr>
      <w:bookmarkStart w:id="11" w:name="_Toc177825122"/>
      <w:bookmarkStart w:id="12" w:name="_Toc177824874"/>
      <w:bookmarkStart w:id="13" w:name="_Toc177870540"/>
      <w:bookmarkStart w:id="14" w:name="_Toc177824941"/>
      <w:r>
        <w:rPr>
          <w:rFonts w:hint="eastAsia" w:asciiTheme="minorEastAsia" w:hAnsiTheme="minorEastAsia" w:eastAsiaTheme="minorEastAsia"/>
          <w:b/>
          <w:sz w:val="24"/>
        </w:rPr>
        <w:t>（四）投标委托</w:t>
      </w:r>
      <w:bookmarkEnd w:id="11"/>
      <w:bookmarkEnd w:id="12"/>
      <w:bookmarkEnd w:id="13"/>
      <w:bookmarkEnd w:id="14"/>
    </w:p>
    <w:p>
      <w:pPr>
        <w:snapToGrid w:val="0"/>
        <w:spacing w:line="360" w:lineRule="auto"/>
        <w:ind w:firstLine="480" w:firstLineChars="200"/>
        <w:jc w:val="left"/>
        <w:outlineLvl w:val="1"/>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投标人代表须携带居民身份证、法定代表人出具的授权委托书。</w:t>
      </w:r>
    </w:p>
    <w:p>
      <w:pPr>
        <w:snapToGrid w:val="0"/>
        <w:spacing w:line="360" w:lineRule="auto"/>
        <w:ind w:firstLine="482" w:firstLineChars="200"/>
        <w:jc w:val="left"/>
        <w:outlineLvl w:val="1"/>
        <w:rPr>
          <w:rFonts w:asciiTheme="minorEastAsia" w:hAnsiTheme="minorEastAsia" w:eastAsiaTheme="minorEastAsia"/>
          <w:b/>
          <w:color w:val="000000"/>
          <w:sz w:val="24"/>
        </w:rPr>
      </w:pPr>
      <w:bookmarkStart w:id="15" w:name="_Toc177870541"/>
      <w:bookmarkStart w:id="16" w:name="_Toc177824942"/>
      <w:bookmarkStart w:id="17" w:name="_Toc177825123"/>
      <w:bookmarkStart w:id="18" w:name="_Toc177824875"/>
      <w:r>
        <w:rPr>
          <w:rFonts w:hint="eastAsia" w:asciiTheme="minorEastAsia" w:hAnsiTheme="minorEastAsia" w:eastAsiaTheme="minorEastAsia"/>
          <w:b/>
          <w:color w:val="000000"/>
          <w:sz w:val="24"/>
        </w:rPr>
        <w:t>（五）投标费用</w:t>
      </w:r>
      <w:bookmarkEnd w:id="15"/>
      <w:bookmarkEnd w:id="16"/>
      <w:bookmarkEnd w:id="17"/>
      <w:bookmarkEnd w:id="18"/>
    </w:p>
    <w:p>
      <w:pPr>
        <w:snapToGrid w:val="0"/>
        <w:spacing w:line="360" w:lineRule="auto"/>
        <w:ind w:firstLine="480" w:firstLineChars="200"/>
        <w:jc w:val="left"/>
        <w:outlineLvl w:val="1"/>
        <w:rPr>
          <w:rFonts w:asciiTheme="minorEastAsia" w:hAnsiTheme="minorEastAsia" w:eastAsiaTheme="minorEastAsia"/>
          <w:b/>
          <w:color w:val="000000"/>
          <w:sz w:val="24"/>
        </w:rPr>
      </w:pPr>
      <w:r>
        <w:rPr>
          <w:rFonts w:hint="eastAsia" w:asciiTheme="minorEastAsia" w:hAnsiTheme="minorEastAsia" w:eastAsiaTheme="minorEastAsia"/>
          <w:sz w:val="24"/>
        </w:rPr>
        <w:t>不论投标结果如何，投标人均应自行承担所有与投标有关的全部费用。</w:t>
      </w:r>
    </w:p>
    <w:p>
      <w:pPr>
        <w:snapToGrid w:val="0"/>
        <w:spacing w:line="360" w:lineRule="auto"/>
        <w:ind w:firstLine="602" w:firstLineChars="250"/>
        <w:jc w:val="left"/>
        <w:outlineLvl w:val="1"/>
        <w:rPr>
          <w:rFonts w:asciiTheme="minorEastAsia" w:hAnsiTheme="minorEastAsia" w:eastAsiaTheme="minorEastAsia"/>
          <w:b/>
          <w:color w:val="000000"/>
          <w:sz w:val="24"/>
        </w:rPr>
      </w:pPr>
      <w:bookmarkStart w:id="19" w:name="_Toc177870542"/>
      <w:r>
        <w:rPr>
          <w:rFonts w:hint="eastAsia" w:asciiTheme="minorEastAsia" w:hAnsiTheme="minorEastAsia" w:eastAsiaTheme="minorEastAsia"/>
          <w:b/>
          <w:sz w:val="24"/>
        </w:rPr>
        <w:t>（六）</w:t>
      </w:r>
      <w:r>
        <w:rPr>
          <w:rFonts w:hint="eastAsia" w:asciiTheme="minorEastAsia" w:hAnsiTheme="minorEastAsia" w:eastAsiaTheme="minorEastAsia"/>
          <w:b/>
          <w:color w:val="000000"/>
          <w:sz w:val="24"/>
        </w:rPr>
        <w:t>特别说明：</w:t>
      </w:r>
      <w:bookmarkEnd w:id="19"/>
    </w:p>
    <w:p>
      <w:pPr>
        <w:spacing w:line="360" w:lineRule="auto"/>
        <w:ind w:firstLine="464" w:firstLineChars="220"/>
        <w:rPr>
          <w:rFonts w:cs="宋体" w:asciiTheme="minorEastAsia" w:hAnsiTheme="minorEastAsia" w:eastAsiaTheme="minorEastAsia"/>
          <w:color w:val="FF0000"/>
          <w:sz w:val="24"/>
        </w:rPr>
      </w:pPr>
      <w:bookmarkStart w:id="20" w:name="_Toc177870543"/>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1.</w:t>
      </w:r>
      <w:r>
        <w:rPr>
          <w:rFonts w:asciiTheme="minorEastAsia" w:hAnsiTheme="minorEastAsia" w:eastAsiaTheme="minorEastAsia"/>
          <w:sz w:val="24"/>
        </w:rPr>
        <w:t xml:space="preserve"> 直接或者间接受采购人控制的当事人，或者与采购人受共同上级控制的</w:t>
      </w:r>
      <w:r>
        <w:rPr>
          <w:rFonts w:hint="eastAsia" w:cs="宋体" w:asciiTheme="minorEastAsia" w:hAnsiTheme="minorEastAsia" w:eastAsiaTheme="minorEastAsia"/>
          <w:sz w:val="24"/>
        </w:rPr>
        <w:t>当事人，为本次采购进行设计或编制规范和其他文件的当事人，或者直接或间接地与为本次采购进行设计或编制规范、其他文件的个人、企业、采购代理机构或其附属机构有关联关系的当事人，不得参加本项目投标。</w:t>
      </w:r>
    </w:p>
    <w:p>
      <w:pPr>
        <w:pStyle w:val="19"/>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2.投标人投标所使用的资格、信誉、荣誉、业绩与企业认证必须为本企业所拥有。投标人投标所使用的采购项目实施人员可以为其控股公司的工作人员。</w:t>
      </w:r>
    </w:p>
    <w:p>
      <w:pPr>
        <w:pStyle w:val="19"/>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pPr>
        <w:pStyle w:val="19"/>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4.投标人应仔细阅读招标文件的所有内容，按照招标文件的要求提交投标文件。投标文件应对招标文件的要求作出实质性响应，并对所提供的全部资料的真实性承担法律责任。</w:t>
      </w:r>
    </w:p>
    <w:p>
      <w:pPr>
        <w:pStyle w:val="19"/>
        <w:snapToGrid w:val="0"/>
        <w:spacing w:line="360" w:lineRule="auto"/>
        <w:ind w:firstLine="422" w:firstLineChars="200"/>
        <w:rPr>
          <w:rFonts w:cs="宋体"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cs="宋体" w:asciiTheme="minorEastAsia" w:hAnsiTheme="minorEastAsia" w:eastAsiaTheme="minorEastAsia"/>
          <w:sz w:val="24"/>
        </w:rPr>
        <w:t>5、本次招标项目不得转包分包。本项目不接受联合体投标。</w:t>
      </w:r>
    </w:p>
    <w:p>
      <w:pPr>
        <w:pStyle w:val="19"/>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（七）质疑</w:t>
      </w:r>
      <w:bookmarkEnd w:id="20"/>
      <w:r>
        <w:rPr>
          <w:rFonts w:hint="eastAsia" w:asciiTheme="minorEastAsia" w:hAnsiTheme="minorEastAsia" w:eastAsiaTheme="minorEastAsia"/>
          <w:b/>
          <w:bCs/>
          <w:sz w:val="24"/>
        </w:rPr>
        <w:t>和投诉</w:t>
      </w:r>
    </w:p>
    <w:p>
      <w:pPr>
        <w:pStyle w:val="19"/>
        <w:snapToGrid w:val="0"/>
        <w:spacing w:line="360" w:lineRule="auto"/>
        <w:ind w:firstLine="480" w:firstLineChars="200"/>
        <w:rPr>
          <w:rFonts w:asciiTheme="minorEastAsia" w:hAnsiTheme="minorEastAsia" w:eastAsiaTheme="minorEastAsia"/>
          <w:sz w:val="24"/>
        </w:rPr>
      </w:pPr>
      <w:bookmarkStart w:id="21" w:name="_Toc177870544"/>
      <w:r>
        <w:rPr>
          <w:rFonts w:hint="eastAsia" w:asciiTheme="minorEastAsia" w:hAnsiTheme="minorEastAsia" w:eastAsiaTheme="minorEastAsia"/>
          <w:bCs/>
          <w:sz w:val="24"/>
        </w:rPr>
        <w:t>1.投标人认为招标过程和中标结果使自己的合法权益受到损害的，应当在知道或者应知其权益受到损害之日起七个工作日内，以书面形式向采购机构提出质疑。</w:t>
      </w:r>
      <w:r>
        <w:rPr>
          <w:rFonts w:hint="eastAsia" w:asciiTheme="minorEastAsia" w:hAnsiTheme="minorEastAsia" w:eastAsiaTheme="minorEastAsia"/>
          <w:sz w:val="24"/>
        </w:rPr>
        <w:t>投标人对采购机构的质疑答复不满意或者招标采购人未在规定时间内作出答复的，可以在答复期满后十五个工作日内向同级采购监管部门投诉。</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2.投标供应商在法定质疑期内一次性提出针对同一采购程序环节的质疑。</w:t>
      </w:r>
    </w:p>
    <w:p>
      <w:pPr>
        <w:pStyle w:val="19"/>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3.投标人认可采购机构在质疑答复程序中启用的调查和复评等程序，在该程序操作过程未明显违反法律禁止性规定时，不得提出疑义；</w:t>
      </w:r>
    </w:p>
    <w:p>
      <w:pPr>
        <w:pStyle w:val="19"/>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质疑、投诉应当采用书面形式，质疑书、投诉书均应明确阐述招标文件、招标过程和中标结果中使自己合法权益受到损害的实质性内容，提供相关事实、依据和证据及其来源或线索，便于有关单位调查、答复和处理，否者不予受理。</w:t>
      </w:r>
    </w:p>
    <w:p>
      <w:pPr>
        <w:pStyle w:val="19"/>
        <w:snapToGrid w:val="0"/>
        <w:spacing w:line="360" w:lineRule="auto"/>
        <w:ind w:firstLine="436" w:firstLineChars="181"/>
        <w:outlineLvl w:val="0"/>
        <w:rPr>
          <w:rFonts w:asciiTheme="minorEastAsia" w:hAnsiTheme="minorEastAsia" w:eastAsiaTheme="minorEastAsia"/>
          <w:b/>
          <w:sz w:val="24"/>
        </w:rPr>
      </w:pPr>
      <w:r>
        <w:rPr>
          <w:rFonts w:hint="eastAsia" w:asciiTheme="minorEastAsia" w:hAnsiTheme="minorEastAsia" w:eastAsiaTheme="minorEastAsia"/>
          <w:b/>
          <w:sz w:val="24"/>
        </w:rPr>
        <w:t>二 、招标文件</w:t>
      </w:r>
      <w:bookmarkEnd w:id="21"/>
    </w:p>
    <w:p>
      <w:pPr>
        <w:snapToGrid w:val="0"/>
        <w:spacing w:line="360" w:lineRule="auto"/>
        <w:ind w:firstLine="316" w:firstLineChars="131"/>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（一）招标文件的构成。本招标文件由以下部分组成：</w:t>
      </w:r>
    </w:p>
    <w:p>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1.招标公告</w:t>
      </w:r>
    </w:p>
    <w:p>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2.招标需求</w:t>
      </w:r>
    </w:p>
    <w:p>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3.投标人须知</w:t>
      </w:r>
    </w:p>
    <w:p>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4.评标办法及标准</w:t>
      </w:r>
    </w:p>
    <w:p>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5.政府采购合同</w:t>
      </w:r>
    </w:p>
    <w:p>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6.投标文件格式</w:t>
      </w:r>
    </w:p>
    <w:p>
      <w:pPr>
        <w:snapToGrid w:val="0"/>
        <w:spacing w:line="360" w:lineRule="auto"/>
        <w:ind w:firstLine="318" w:firstLineChars="132"/>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（二）投标人的风险</w:t>
      </w:r>
    </w:p>
    <w:p>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投标人没有按照招标文件要求提供全部资料，或者投标人没有对招标文件在各方面者作出实质性响应是投标人的风险，并可能导致其投标被拒绝。</w:t>
      </w:r>
    </w:p>
    <w:p>
      <w:pPr>
        <w:pStyle w:val="9"/>
        <w:widowControl w:val="0"/>
        <w:numPr>
          <w:ilvl w:val="0"/>
          <w:numId w:val="0"/>
        </w:numPr>
        <w:tabs>
          <w:tab w:val="left" w:pos="360"/>
        </w:tabs>
        <w:snapToGrid w:val="0"/>
        <w:spacing w:after="120" w:line="360" w:lineRule="auto"/>
        <w:ind w:firstLine="318" w:firstLineChars="132"/>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 xml:space="preserve">（三）招标文件的澄清与修改 </w:t>
      </w:r>
    </w:p>
    <w:p>
      <w:pPr>
        <w:pStyle w:val="19"/>
        <w:snapToGrid w:val="0"/>
        <w:spacing w:line="360" w:lineRule="auto"/>
        <w:ind w:firstLine="436" w:firstLineChars="182"/>
        <w:rPr>
          <w:rFonts w:asciiTheme="minorEastAsia" w:hAnsiTheme="minorEastAsia" w:eastAsiaTheme="minorEastAsia"/>
          <w:sz w:val="24"/>
        </w:rPr>
      </w:pPr>
      <w:bookmarkStart w:id="22" w:name="_Toc177870545"/>
      <w:r>
        <w:rPr>
          <w:rFonts w:asciiTheme="minorEastAsia" w:hAnsiTheme="minorEastAsia" w:eastAsiaTheme="minorEastAsia"/>
          <w:sz w:val="24"/>
        </w:rPr>
        <w:t>1.</w:t>
      </w:r>
      <w:r>
        <w:rPr>
          <w:rFonts w:hint="eastAsia" w:asciiTheme="minorEastAsia" w:hAnsiTheme="minorEastAsia" w:eastAsiaTheme="minorEastAsia"/>
          <w:sz w:val="24"/>
        </w:rPr>
        <w:t>投标人应认真阅读本招标文件，发现其中有误或有要求不合理的，投标人必须在</w:t>
      </w:r>
      <w:r>
        <w:rPr>
          <w:rFonts w:hint="eastAsia" w:asciiTheme="minorEastAsia" w:hAnsiTheme="minorEastAsia" w:eastAsiaTheme="minorEastAsia"/>
          <w:b/>
          <w:bCs/>
          <w:color w:val="FF0000"/>
          <w:sz w:val="24"/>
        </w:rPr>
        <w:t>前附表第5项规定的时间</w:t>
      </w:r>
      <w:r>
        <w:rPr>
          <w:rFonts w:hint="eastAsia" w:asciiTheme="minorEastAsia" w:hAnsiTheme="minorEastAsia" w:eastAsiaTheme="minorEastAsia"/>
          <w:b/>
          <w:color w:val="FF0000"/>
          <w:sz w:val="24"/>
        </w:rPr>
        <w:t>前</w:t>
      </w:r>
      <w:r>
        <w:rPr>
          <w:rFonts w:hint="eastAsia" w:asciiTheme="minorEastAsia" w:hAnsiTheme="minorEastAsia" w:eastAsiaTheme="minorEastAsia"/>
          <w:sz w:val="24"/>
        </w:rPr>
        <w:t>以书面形式要求采购人或采购机构澄清。</w:t>
      </w:r>
    </w:p>
    <w:p>
      <w:pPr>
        <w:pStyle w:val="19"/>
        <w:snapToGrid w:val="0"/>
        <w:spacing w:line="360" w:lineRule="auto"/>
        <w:ind w:firstLine="439" w:firstLineChars="182"/>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cs="宋体" w:asciiTheme="minorEastAsia" w:hAnsiTheme="minorEastAsia" w:eastAsiaTheme="minorEastAsia"/>
          <w:b/>
          <w:sz w:val="24"/>
        </w:rPr>
        <w:t xml:space="preserve"> 采购机构对已发出的招标文件进行必要澄清、答复、修改或补充的，将在招标文件要求提交投标文件截止时间15日前，在浙江政府采购网（https://zfcg.czt.zj.gov.cn/）发布更正公告，请投标人自行到网上查看和下载，投标人因漏看带来的后果由投标人自行承担</w:t>
      </w:r>
      <w:r>
        <w:rPr>
          <w:rFonts w:hint="eastAsia" w:cs="宋体" w:asciiTheme="minorEastAsia" w:hAnsiTheme="minorEastAsia" w:eastAsiaTheme="minorEastAsia"/>
          <w:sz w:val="24"/>
        </w:rPr>
        <w:t>。</w:t>
      </w:r>
    </w:p>
    <w:p>
      <w:pPr>
        <w:pStyle w:val="1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3.招标文件澄清、答复、修改、补充的内容为招标文件的组成部分。当招标文件与招标文件的答复、澄清、修改、补充通知就同一内容的表述不一致时，以最后发出的文件为准。</w:t>
      </w:r>
    </w:p>
    <w:p>
      <w:pPr>
        <w:pStyle w:val="1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4.招标文件的澄清、答复、修改或补充都应该通过采购机构以法定形式发布，采购人非通过采购机构，不得擅自澄清、答复、修改或补充招标文件。</w:t>
      </w:r>
    </w:p>
    <w:p>
      <w:pPr>
        <w:pStyle w:val="19"/>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5.投标供应商一旦参与本次采购活动，即被视为接受了本招标文件的所有内容，如有任何异议，均已在答疑截止时间前提出。</w:t>
      </w:r>
    </w:p>
    <w:p>
      <w:pPr>
        <w:pStyle w:val="19"/>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6、若有必要，招标代理机构将酌情延长递交投标文件的截止日期。</w:t>
      </w:r>
    </w:p>
    <w:p>
      <w:pPr>
        <w:pStyle w:val="19"/>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三、投标文件</w:t>
      </w:r>
      <w:bookmarkEnd w:id="22"/>
      <w:r>
        <w:rPr>
          <w:rFonts w:hint="eastAsia" w:asciiTheme="minorEastAsia" w:hAnsiTheme="minorEastAsia" w:eastAsiaTheme="minorEastAsia"/>
          <w:b/>
          <w:sz w:val="24"/>
        </w:rPr>
        <w:t>的编制</w:t>
      </w:r>
    </w:p>
    <w:p>
      <w:pPr>
        <w:snapToGrid w:val="0"/>
        <w:spacing w:line="360" w:lineRule="auto"/>
        <w:ind w:firstLine="482" w:firstLineChars="200"/>
        <w:jc w:val="left"/>
        <w:outlineLvl w:val="0"/>
        <w:rPr>
          <w:rFonts w:asciiTheme="minorEastAsia" w:hAnsiTheme="minorEastAsia" w:eastAsiaTheme="minorEastAsia"/>
          <w:b/>
          <w:color w:val="000000"/>
          <w:sz w:val="24"/>
        </w:rPr>
      </w:pPr>
      <w:bookmarkStart w:id="23" w:name="_Toc177870546"/>
      <w:bookmarkStart w:id="24" w:name="_Toc177825124"/>
      <w:bookmarkStart w:id="25" w:name="_Toc177824876"/>
      <w:bookmarkStart w:id="26" w:name="_Toc177824943"/>
      <w:r>
        <w:rPr>
          <w:rFonts w:hint="eastAsia" w:asciiTheme="minorEastAsia" w:hAnsiTheme="minorEastAsia" w:eastAsiaTheme="minorEastAsia"/>
          <w:b/>
          <w:color w:val="000000"/>
          <w:sz w:val="24"/>
        </w:rPr>
        <w:t>（一）投标文件的组成</w:t>
      </w:r>
      <w:bookmarkEnd w:id="23"/>
      <w:bookmarkEnd w:id="24"/>
      <w:bookmarkEnd w:id="25"/>
      <w:bookmarkEnd w:id="26"/>
    </w:p>
    <w:p>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投标文件由资格文件、商务技术文件、报价文件三部分组成。</w:t>
      </w:r>
    </w:p>
    <w:p>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1.资格文件（不含报价）</w:t>
      </w:r>
    </w:p>
    <w:p>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）营业执照的复印件或事业单位的《事业单位法人证书》复印件；</w:t>
      </w:r>
    </w:p>
    <w:p>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（2）法定代表人授权委托书(格式见附件)；</w:t>
      </w:r>
    </w:p>
    <w:p>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（3）投标声明书 (格式见附件，含重大违法记录声明)；</w:t>
      </w:r>
    </w:p>
    <w:p>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（4）具有履行合同所必需的设备和专业技术能力的承诺函；(格式见附件)；</w:t>
      </w:r>
    </w:p>
    <w:p>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（5）具有良好的商业信誉和健全的财务会计制度的承诺函(格式见附件)；</w:t>
      </w:r>
    </w:p>
    <w:p>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（6）有依法缴纳税收和社会保障资金的良好记录的承诺函(格式见附件)；</w:t>
      </w:r>
    </w:p>
    <w:p>
      <w:pPr>
        <w:snapToGrid w:val="0"/>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1.商务技术文件</w:t>
      </w:r>
      <w:r>
        <w:rPr>
          <w:rFonts w:hint="eastAsia" w:asciiTheme="minorEastAsia" w:hAnsiTheme="minorEastAsia" w:eastAsiaTheme="minorEastAsia"/>
          <w:color w:val="000000"/>
          <w:sz w:val="24"/>
        </w:rPr>
        <w:t>（内容结合评标办法，均不含报价）</w:t>
      </w:r>
      <w:r>
        <w:rPr>
          <w:rFonts w:hint="eastAsia" w:asciiTheme="minorEastAsia" w:hAnsiTheme="minorEastAsia" w:eastAsiaTheme="minorEastAsia"/>
          <w:b/>
          <w:color w:val="000000"/>
          <w:sz w:val="24"/>
        </w:rPr>
        <w:t>：</w:t>
      </w:r>
    </w:p>
    <w:p>
      <w:pPr>
        <w:snapToGrid w:val="0"/>
        <w:spacing w:line="360" w:lineRule="auto"/>
        <w:ind w:firstLine="480" w:firstLineChars="200"/>
        <w:jc w:val="left"/>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（1）供应商自评分表（根据评分内容自行设置）</w:t>
      </w:r>
    </w:p>
    <w:p>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（2）类似项目业绩</w:t>
      </w:r>
    </w:p>
    <w:p>
      <w:pPr>
        <w:spacing w:line="360" w:lineRule="auto"/>
        <w:ind w:firstLine="480" w:firstLineChars="200"/>
        <w:rPr>
          <w:rFonts w:hint="eastAsia" w:ascii="宋体" w:hAnsi="宋体" w:cs="Arial"/>
          <w:color w:val="000000"/>
          <w:sz w:val="24"/>
        </w:rPr>
      </w:pPr>
      <w:r>
        <w:rPr>
          <w:rFonts w:hint="eastAsia" w:cs="Arial" w:asciiTheme="minorEastAsia" w:hAnsiTheme="minorEastAsia" w:eastAsiaTheme="minorEastAsia"/>
          <w:color w:val="000000"/>
          <w:sz w:val="24"/>
        </w:rPr>
        <w:t>（3）</w:t>
      </w:r>
      <w:r>
        <w:rPr>
          <w:rFonts w:hint="eastAsia" w:ascii="宋体" w:hAnsi="宋体" w:cs="Arial"/>
          <w:color w:val="000000"/>
          <w:sz w:val="24"/>
        </w:rPr>
        <w:t>拟派班组成员情况</w:t>
      </w:r>
    </w:p>
    <w:p>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（4）</w:t>
      </w:r>
      <w:r>
        <w:rPr>
          <w:rFonts w:hint="eastAsia" w:ascii="宋体" w:hAnsi="宋体" w:cs="宋体"/>
          <w:b w:val="0"/>
          <w:bCs/>
          <w:sz w:val="24"/>
          <w:highlight w:val="none"/>
        </w:rPr>
        <w:t>本项目熟悉程度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cs="Arial" w:asciiTheme="minorEastAsia" w:hAnsiTheme="minorEastAsia" w:eastAsiaTheme="minorEastAsia"/>
          <w:color w:val="000000"/>
          <w:sz w:val="24"/>
        </w:rPr>
        <w:t>（5）</w:t>
      </w:r>
      <w:r>
        <w:rPr>
          <w:rFonts w:hint="eastAsia" w:ascii="宋体" w:hAnsi="宋体" w:cs="宋体"/>
          <w:sz w:val="24"/>
          <w:highlight w:val="none"/>
        </w:rPr>
        <w:t>组织实施方案及进度安排</w:t>
      </w:r>
    </w:p>
    <w:p>
      <w:pPr>
        <w:spacing w:line="360" w:lineRule="auto"/>
        <w:ind w:firstLine="480" w:firstLineChars="200"/>
        <w:rPr>
          <w:rFonts w:cs="Arial" w:asciiTheme="minorEastAsia" w:hAnsiTheme="minorEastAsia" w:eastAsiaTheme="minorEastAsia"/>
          <w:color w:val="000000"/>
          <w:sz w:val="24"/>
        </w:rPr>
      </w:pPr>
      <w:r>
        <w:rPr>
          <w:rFonts w:hint="eastAsia" w:ascii="宋体" w:hAnsi="宋体" w:cs="宋体"/>
          <w:color w:val="000000" w:themeColor="text1"/>
          <w:sz w:val="24"/>
          <w14:textFill>
            <w14:solidFill>
              <w14:schemeClr w14:val="tx1"/>
            </w14:solidFill>
          </w14:textFill>
        </w:rPr>
        <w:t>（6）</w:t>
      </w:r>
      <w:r>
        <w:rPr>
          <w:rFonts w:hint="eastAsia" w:ascii="宋体" w:hAnsi="宋体" w:cs="宋体"/>
          <w:sz w:val="24"/>
          <w:highlight w:val="none"/>
        </w:rPr>
        <w:t>成果、质量及安全保障体系</w:t>
      </w:r>
    </w:p>
    <w:p>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（7）</w:t>
      </w:r>
      <w:r>
        <w:rPr>
          <w:rFonts w:hint="eastAsia" w:ascii="宋体" w:hAnsi="宋体" w:cs="宋体"/>
          <w:sz w:val="24"/>
          <w:highlight w:val="none"/>
        </w:rPr>
        <w:t>后期服务</w:t>
      </w:r>
    </w:p>
    <w:p>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（8）</w:t>
      </w:r>
      <w:r>
        <w:rPr>
          <w:rFonts w:hint="eastAsia" w:ascii="宋体" w:hAnsi="宋体" w:cs="宋体"/>
          <w:kern w:val="0"/>
          <w:sz w:val="24"/>
          <w:highlight w:val="none"/>
        </w:rPr>
        <w:t>质量承诺</w:t>
      </w:r>
    </w:p>
    <w:p>
      <w:pPr>
        <w:snapToGrid w:val="0"/>
        <w:spacing w:line="360" w:lineRule="auto"/>
        <w:ind w:firstLine="480" w:firstLineChars="200"/>
        <w:jc w:val="left"/>
        <w:outlineLvl w:val="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w:t>
      </w:r>
      <w:r>
        <w:rPr>
          <w:rFonts w:hint="eastAsia" w:cs="Arial" w:asciiTheme="minorEastAsia" w:hAnsiTheme="minorEastAsia" w:eastAsiaTheme="minorEastAsia"/>
          <w:color w:val="000000"/>
          <w:sz w:val="24"/>
          <w:lang w:val="en-US" w:eastAsia="zh-CN"/>
        </w:rPr>
        <w:t>9</w:t>
      </w:r>
      <w:r>
        <w:rPr>
          <w:rFonts w:hint="eastAsia" w:cs="Arial" w:asciiTheme="minorEastAsia" w:hAnsiTheme="minorEastAsia" w:eastAsiaTheme="minorEastAsia"/>
          <w:color w:val="000000"/>
          <w:sz w:val="24"/>
        </w:rPr>
        <w:t>）</w:t>
      </w:r>
      <w:r>
        <w:rPr>
          <w:rFonts w:hint="eastAsia" w:ascii="宋体" w:hAnsi="宋体" w:cs="宋体"/>
          <w:kern w:val="0"/>
          <w:sz w:val="24"/>
          <w:highlight w:val="none"/>
        </w:rPr>
        <w:t>合理化建议和改进措施</w:t>
      </w:r>
    </w:p>
    <w:p>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w:t>
      </w:r>
      <w:r>
        <w:rPr>
          <w:rFonts w:hint="eastAsia" w:cs="Arial" w:asciiTheme="minorEastAsia" w:hAnsiTheme="minorEastAsia" w:eastAsiaTheme="minorEastAsia"/>
          <w:color w:val="000000"/>
          <w:sz w:val="24"/>
          <w:lang w:val="en-US" w:eastAsia="zh-CN"/>
        </w:rPr>
        <w:t>0</w:t>
      </w:r>
      <w:r>
        <w:rPr>
          <w:rFonts w:hint="eastAsia" w:cs="Arial" w:asciiTheme="minorEastAsia" w:hAnsiTheme="minorEastAsia" w:eastAsiaTheme="minorEastAsia"/>
          <w:color w:val="000000"/>
          <w:sz w:val="24"/>
        </w:rPr>
        <w:t>）投标人需要说明的其他文件等。</w:t>
      </w:r>
    </w:p>
    <w:p>
      <w:pPr>
        <w:spacing w:line="360" w:lineRule="auto"/>
        <w:ind w:firstLine="723" w:firstLineChars="3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3.报价文件：</w:t>
      </w:r>
    </w:p>
    <w:p>
      <w:pPr>
        <w:spacing w:line="360" w:lineRule="auto"/>
        <w:ind w:firstLine="480" w:firstLineChars="200"/>
        <w:rPr>
          <w:rFonts w:asciiTheme="minorEastAsia" w:hAnsiTheme="minorEastAsia" w:eastAsiaTheme="minorEastAsia"/>
          <w:color w:val="000000"/>
          <w:sz w:val="24"/>
        </w:rPr>
      </w:pPr>
      <w:bookmarkStart w:id="27" w:name="_Toc177824944"/>
      <w:bookmarkStart w:id="28" w:name="_Toc177824877"/>
      <w:bookmarkStart w:id="29" w:name="_Toc177870547"/>
      <w:bookmarkStart w:id="30" w:name="_Toc177825125"/>
      <w:r>
        <w:rPr>
          <w:rFonts w:hint="eastAsia" w:asciiTheme="minorEastAsia" w:hAnsiTheme="minorEastAsia" w:eastAsiaTheme="minorEastAsia"/>
          <w:color w:val="000000"/>
          <w:sz w:val="24"/>
        </w:rPr>
        <w:t>（1）投标函（格式见附件）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（2）开标一览表（格式见附件）</w:t>
      </w:r>
    </w:p>
    <w:p>
      <w:pPr>
        <w:tabs>
          <w:tab w:val="left" w:pos="5025"/>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（3）投标人需要说明的其他文件和说明（格式略）</w:t>
      </w:r>
    </w:p>
    <w:p>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（二）投标文件的语言及计量</w:t>
      </w:r>
      <w:bookmarkEnd w:id="27"/>
      <w:bookmarkEnd w:id="28"/>
      <w:bookmarkEnd w:id="29"/>
      <w:bookmarkEnd w:id="30"/>
    </w:p>
    <w:p>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2.投标计量单位，招标文件已有明确规定的，使用招标文件规定的计量单位；招标文件没有规定的，应采用中华人民共和国法定计量单位（货币单位：人民币元），否则视同未响应。</w:t>
      </w:r>
      <w:bookmarkStart w:id="31" w:name="_Toc177824878"/>
      <w:bookmarkStart w:id="32" w:name="_Toc177825126"/>
      <w:bookmarkStart w:id="33" w:name="_Toc177824945"/>
      <w:bookmarkStart w:id="34" w:name="_Toc177870548"/>
    </w:p>
    <w:p>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（三）投标报价</w:t>
      </w:r>
      <w:bookmarkEnd w:id="31"/>
      <w:bookmarkEnd w:id="32"/>
      <w:bookmarkEnd w:id="33"/>
      <w:bookmarkEnd w:id="34"/>
    </w:p>
    <w:p>
      <w:pPr>
        <w:pStyle w:val="19"/>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1.投标报价应按招标文件中相关附表格式填写。</w:t>
      </w:r>
    </w:p>
    <w:p>
      <w:pPr>
        <w:pStyle w:val="19"/>
        <w:snapToGrid w:val="0"/>
        <w:spacing w:line="360" w:lineRule="auto"/>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lang w:val="zh-CN"/>
        </w:rPr>
        <w:t xml:space="preserve"> 投标报价是履行合同的最终价格，包括完成本项目所需的一切费用(包括人工费、措施费、管理费、利润、税金等)。</w:t>
      </w:r>
    </w:p>
    <w:p>
      <w:pPr>
        <w:tabs>
          <w:tab w:val="left" w:pos="454"/>
          <w:tab w:val="left" w:pos="720"/>
        </w:tabs>
        <w:autoSpaceDE w:val="0"/>
        <w:autoSpaceDN w:val="0"/>
        <w:adjustRightInd w:val="0"/>
        <w:spacing w:line="360" w:lineRule="auto"/>
        <w:ind w:firstLine="480"/>
        <w:jc w:val="left"/>
        <w:rPr>
          <w:rFonts w:asciiTheme="minorEastAsia" w:hAnsiTheme="minorEastAsia" w:eastAsiaTheme="minorEastAsia"/>
          <w:kern w:val="0"/>
          <w:sz w:val="24"/>
          <w:lang w:val="zh-CN"/>
        </w:rPr>
      </w:pPr>
      <w:r>
        <w:rPr>
          <w:rFonts w:hint="eastAsia" w:asciiTheme="minorEastAsia" w:hAnsiTheme="minorEastAsia" w:eastAsiaTheme="minorEastAsia"/>
          <w:color w:val="000000"/>
          <w:sz w:val="24"/>
        </w:rPr>
        <w:t>3.投标文件只允许有一个报价，有选择性的报价将不予接受；</w:t>
      </w:r>
      <w:r>
        <w:rPr>
          <w:rFonts w:hint="eastAsia" w:asciiTheme="minorEastAsia" w:hAnsiTheme="minorEastAsia" w:eastAsiaTheme="minorEastAsia"/>
          <w:kern w:val="0"/>
          <w:sz w:val="24"/>
          <w:lang w:val="zh-CN"/>
        </w:rPr>
        <w:t>投标报价应按招标文件中相关附表格式填报，该投标报价应与明细报价汇总相等，且不允许出现报价优惠等字样（明细出现“0”元，视同赠送）。</w:t>
      </w:r>
    </w:p>
    <w:p>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（四）投标文件有效期</w:t>
      </w:r>
    </w:p>
    <w:p>
      <w:pPr>
        <w:tabs>
          <w:tab w:val="left" w:pos="525"/>
        </w:tabs>
        <w:snapToGrid w:val="0"/>
        <w:spacing w:line="360" w:lineRule="auto"/>
        <w:ind w:firstLine="477" w:firstLineChars="199"/>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1.自投标截止日起</w:t>
      </w:r>
      <w:r>
        <w:rPr>
          <w:rFonts w:hint="eastAsia" w:asciiTheme="minorEastAsia" w:hAnsiTheme="minorEastAsia" w:eastAsiaTheme="minorEastAsia"/>
          <w:color w:val="000000"/>
          <w:sz w:val="24"/>
          <w:u w:val="single"/>
        </w:rPr>
        <w:t xml:space="preserve"> 90 </w:t>
      </w:r>
      <w:r>
        <w:rPr>
          <w:rFonts w:hint="eastAsia" w:asciiTheme="minorEastAsia" w:hAnsiTheme="minorEastAsia" w:eastAsiaTheme="minorEastAsia"/>
          <w:color w:val="000000"/>
          <w:sz w:val="24"/>
        </w:rPr>
        <w:t>天投标书应保持有效。有效期短于这个规定期限的投标将被拒绝。</w:t>
      </w:r>
    </w:p>
    <w:p>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2.在特殊情况下，采购机构可与投标人协商延长投标书的有效期，这种要求和答复均以书面形式进行。</w:t>
      </w:r>
      <w:bookmarkStart w:id="35" w:name="_Toc177824946"/>
      <w:bookmarkStart w:id="36" w:name="_Toc177824879"/>
      <w:bookmarkStart w:id="37" w:name="_Toc177870549"/>
      <w:bookmarkStart w:id="38" w:name="_Toc177825127"/>
    </w:p>
    <w:p>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3.投标人可拒绝接受延期要求。同意延长有效期的，但不能修改投标文件。</w:t>
      </w:r>
      <w:bookmarkEnd w:id="35"/>
      <w:bookmarkEnd w:id="36"/>
      <w:bookmarkEnd w:id="37"/>
      <w:bookmarkEnd w:id="38"/>
    </w:p>
    <w:p>
      <w:pPr>
        <w:snapToGrid w:val="0"/>
        <w:spacing w:line="360" w:lineRule="auto"/>
        <w:ind w:firstLine="480"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color w:val="000000"/>
          <w:sz w:val="24"/>
        </w:rPr>
        <w:t>4.中标人的投标文件自开标之日起至合同履行完毕止均应保持有效。</w:t>
      </w:r>
      <w:bookmarkStart w:id="39" w:name="_Toc177870550"/>
      <w:bookmarkStart w:id="40" w:name="_Toc177825128"/>
      <w:bookmarkStart w:id="41" w:name="_Toc177824880"/>
      <w:bookmarkStart w:id="42" w:name="_Toc177824947"/>
    </w:p>
    <w:p>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（五）投标保证金</w:t>
      </w:r>
      <w:bookmarkEnd w:id="39"/>
      <w:bookmarkEnd w:id="40"/>
      <w:bookmarkEnd w:id="41"/>
      <w:bookmarkEnd w:id="42"/>
    </w:p>
    <w:p>
      <w:pPr>
        <w:spacing w:line="360" w:lineRule="auto"/>
        <w:ind w:firstLine="480" w:firstLineChars="200"/>
        <w:rPr>
          <w:rFonts w:asciiTheme="minorEastAsia" w:hAnsiTheme="minorEastAsia" w:eastAsiaTheme="minorEastAsia"/>
          <w:color w:val="000000"/>
          <w:kern w:val="0"/>
          <w:sz w:val="24"/>
          <w:szCs w:val="21"/>
        </w:rPr>
      </w:pPr>
      <w:r>
        <w:rPr>
          <w:rFonts w:hint="eastAsia" w:asciiTheme="minorEastAsia" w:hAnsiTheme="minorEastAsia" w:eastAsiaTheme="minorEastAsia"/>
          <w:color w:val="000000"/>
          <w:kern w:val="0"/>
          <w:sz w:val="24"/>
          <w:szCs w:val="21"/>
        </w:rPr>
        <w:t>本项目无需缴纳投标保证金。</w:t>
      </w:r>
    </w:p>
    <w:p>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（六）串通投标认定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有下列情形之一的，视为投标人串通投标，其投标无效：</w:t>
      </w:r>
    </w:p>
    <w:p>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1、不同投标人的投标文件由同一单位或者个人编制；</w:t>
      </w:r>
    </w:p>
    <w:p>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2、不同投标人委托同一单位或者个人办理投标事宜；</w:t>
      </w:r>
    </w:p>
    <w:p>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3、不同投标人的投标文件载明的项目管理成员或者联系人员为同一人；</w:t>
      </w:r>
    </w:p>
    <w:p>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4、不同投标人的投标文件异常一致或者投标报价呈规律性差异；</w:t>
      </w:r>
    </w:p>
    <w:p>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5、不同投标人的投标文件相互混装；</w:t>
      </w:r>
    </w:p>
    <w:p>
      <w:pPr>
        <w:snapToGrid w:val="0"/>
        <w:spacing w:line="360" w:lineRule="auto"/>
        <w:jc w:val="left"/>
        <w:outlineLvl w:val="0"/>
        <w:rPr>
          <w:rFonts w:asciiTheme="minorEastAsia" w:hAnsiTheme="minorEastAsia" w:eastAsiaTheme="minorEastAsia"/>
          <w:b/>
          <w:color w:val="000000"/>
          <w:sz w:val="24"/>
        </w:rPr>
      </w:pPr>
      <w:bookmarkStart w:id="43" w:name="_Toc177824948"/>
      <w:bookmarkStart w:id="44" w:name="_Toc177870551"/>
      <w:bookmarkStart w:id="45" w:name="_Toc177825129"/>
      <w:bookmarkStart w:id="46" w:name="_Toc177824881"/>
      <w:r>
        <w:rPr>
          <w:rFonts w:hint="eastAsia" w:asciiTheme="minorEastAsia" w:hAnsiTheme="minorEastAsia" w:eastAsiaTheme="minorEastAsia"/>
          <w:b/>
          <w:color w:val="000000"/>
          <w:sz w:val="24"/>
        </w:rPr>
        <w:t xml:space="preserve">   （七）投标文件的签署和份数</w:t>
      </w:r>
      <w:bookmarkEnd w:id="43"/>
      <w:bookmarkEnd w:id="44"/>
      <w:bookmarkEnd w:id="45"/>
      <w:bookmarkEnd w:id="46"/>
    </w:p>
    <w:p>
      <w:pPr>
        <w:pStyle w:val="10"/>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1.《投标文件》的签章：见《前附表》；</w:t>
      </w:r>
    </w:p>
    <w:p>
      <w:pPr>
        <w:pStyle w:val="10"/>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2.《投标文件》应由投标供应商法定代表人或其授权代表签字（或盖章），并加盖投标供应商公章。</w:t>
      </w:r>
    </w:p>
    <w:p>
      <w:pPr>
        <w:pStyle w:val="10"/>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3.电子签章操作指南详见采购公告附件《供应商项目采购-电子招投标操作指南》。</w:t>
      </w:r>
    </w:p>
    <w:p>
      <w:pPr>
        <w:snapToGrid w:val="0"/>
        <w:spacing w:line="360" w:lineRule="auto"/>
        <w:ind w:firstLine="236" w:firstLineChars="98"/>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（八）</w:t>
      </w:r>
      <w:r>
        <w:rPr>
          <w:rFonts w:hint="eastAsia" w:asciiTheme="minorEastAsia" w:hAnsiTheme="minorEastAsia" w:eastAsiaTheme="minorEastAsia"/>
          <w:b/>
          <w:sz w:val="24"/>
          <w:lang w:val="zh-CN"/>
        </w:rPr>
        <w:t>投标文件的包装、递交、修改和撤回</w:t>
      </w:r>
    </w:p>
    <w:p>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1.投标文件的形式：见《前附表》；</w:t>
      </w:r>
    </w:p>
    <w:p>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2.“电子加密投标文件”：“电子加密投标文件”是指通过“政采云电子交易客户端”完成投标文件编制后生成并加密的数据电文形式的投标文件。</w:t>
      </w:r>
    </w:p>
    <w:p>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3.“备份投标文件”：“备份投标文件”是指与“电子加密投标文件”同时生成的数据电文形式的电子文件（备份标书），其他方式编制的“备份投标文件”视为无效的“备份投标文件”。</w:t>
      </w:r>
    </w:p>
    <w:p>
      <w:pPr>
        <w:snapToGrid w:val="0"/>
        <w:spacing w:line="360" w:lineRule="auto"/>
        <w:ind w:firstLine="236" w:firstLineChars="98"/>
        <w:outlineLvl w:val="2"/>
        <w:rPr>
          <w:rFonts w:asciiTheme="minorEastAsia" w:hAnsiTheme="minorEastAsia" w:eastAsiaTheme="minorEastAsia"/>
          <w:b/>
          <w:sz w:val="24"/>
        </w:rPr>
      </w:pPr>
      <w:bookmarkStart w:id="47" w:name="_Toc177870552"/>
      <w:r>
        <w:rPr>
          <w:rFonts w:hint="eastAsia" w:asciiTheme="minorEastAsia" w:hAnsiTheme="minorEastAsia" w:eastAsiaTheme="minorEastAsia"/>
          <w:b/>
          <w:sz w:val="24"/>
        </w:rPr>
        <w:t>（九）投标无效的情形</w:t>
      </w:r>
      <w:bookmarkEnd w:id="47"/>
    </w:p>
    <w:p>
      <w:pPr>
        <w:snapToGrid w:val="0"/>
        <w:spacing w:line="360" w:lineRule="auto"/>
        <w:ind w:firstLine="480" w:firstLineChars="200"/>
        <w:rPr>
          <w:rFonts w:asciiTheme="minorEastAsia" w:hAnsiTheme="minorEastAsia" w:eastAsiaTheme="minorEastAsia"/>
          <w:sz w:val="24"/>
          <w:szCs w:val="20"/>
        </w:rPr>
      </w:pPr>
      <w:bookmarkStart w:id="48" w:name="_Toc177870553"/>
      <w:r>
        <w:rPr>
          <w:rFonts w:hint="eastAsia" w:asciiTheme="minorEastAsia" w:hAnsiTheme="minorEastAsia" w:eastAsiaTheme="minorEastAsia"/>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bookmarkEnd w:id="48"/>
    <w:p>
      <w:pPr>
        <w:numPr>
          <w:ilvl w:val="0"/>
          <w:numId w:val="9"/>
        </w:num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在符合性审查时，如发现下列情形之一的，投标文件将被视为无效投标：</w:t>
      </w:r>
    </w:p>
    <w:p>
      <w:pPr>
        <w:snapToGrid w:val="0"/>
        <w:spacing w:line="360" w:lineRule="auto"/>
        <w:ind w:firstLine="480" w:firstLineChars="200"/>
        <w:rPr>
          <w:rFonts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1）投标有效期不足的；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（2）电子投标文件解密失败且未在规定时间内提交备份投标文件的；或仅提交备份投标文件的；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（3）供应商被列入失信被执行人、重大税收违法案件当事人名单、政府采购严重违法失信行为记录名单的；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（4）投标文件未按招标文件要求签署、盖章的；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（5）与招标文件有重大偏离、未满足带“▲”号实质性指标的投标文件；</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（6）对一个标项提供两个投标方案的；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（7）商务技术文件中出现投标价格信息的；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（8）供应商被视为串通投标的；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（9）投标文件含有采购人不能接受的附加条件的；</w:t>
      </w:r>
    </w:p>
    <w:p>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（10）不符合法律、法规和本招标文件规定的其他实质性要求的。</w:t>
      </w:r>
    </w:p>
    <w:p>
      <w:pPr>
        <w:snapToGrid w:val="0"/>
        <w:spacing w:line="360" w:lineRule="auto"/>
        <w:ind w:firstLine="600" w:firstLineChars="250"/>
        <w:rPr>
          <w:rFonts w:asciiTheme="minorEastAsia" w:hAnsiTheme="minorEastAsia" w:eastAsiaTheme="minorEastAsia"/>
          <w:b/>
          <w:sz w:val="24"/>
        </w:rPr>
      </w:pPr>
      <w:r>
        <w:rPr>
          <w:rFonts w:hint="eastAsia" w:asciiTheme="minorEastAsia" w:hAnsiTheme="minorEastAsia" w:eastAsiaTheme="minorEastAsia"/>
          <w:sz w:val="24"/>
          <w:lang w:val="zh-CN"/>
        </w:rPr>
        <w:t>2.在技术评议时，如发现下列情形之一的，投标文件将被视为无效投标：</w:t>
      </w:r>
    </w:p>
    <w:p>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）未提供或未如实提供投标货物的技术参数，或者投标文件标明的响应或偏离与事实不符或虚假投标的；</w:t>
      </w:r>
    </w:p>
    <w:p>
      <w:pPr>
        <w:autoSpaceDE w:val="0"/>
        <w:autoSpaceDN w:val="0"/>
        <w:adjustRightInd w:val="0"/>
        <w:spacing w:line="360" w:lineRule="auto"/>
        <w:ind w:firstLine="480" w:firstLineChars="200"/>
        <w:rPr>
          <w:rFonts w:asciiTheme="minorEastAsia" w:hAnsiTheme="minorEastAsia" w:eastAsiaTheme="minorEastAsia"/>
          <w:b/>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2</w:t>
      </w:r>
      <w:r>
        <w:rPr>
          <w:rFonts w:hint="eastAsia" w:asciiTheme="minorEastAsia" w:hAnsiTheme="minorEastAsia" w:eastAsiaTheme="minorEastAsia"/>
          <w:sz w:val="24"/>
          <w:lang w:val="zh-CN"/>
        </w:rPr>
        <w:t>）明显不符合招标文件标明的规格型号、质量标准的；或者与招标文件中标</w:t>
      </w:r>
      <w:r>
        <w:rPr>
          <w:rFonts w:asciiTheme="minorEastAsia" w:hAnsiTheme="minorEastAsia" w:eastAsiaTheme="minorEastAsia"/>
          <w:sz w:val="24"/>
          <w:lang w:val="zh-CN"/>
        </w:rPr>
        <w:t>“</w:t>
      </w:r>
      <w:r>
        <w:rPr>
          <w:rFonts w:hint="eastAsia" w:asciiTheme="minorEastAsia" w:hAnsiTheme="minorEastAsia" w:eastAsiaTheme="minorEastAsia"/>
          <w:b/>
          <w:color w:val="000000"/>
          <w:szCs w:val="21"/>
        </w:rPr>
        <w:t>▲</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的技术指标、主要功能项目发生实质性偏离的；</w:t>
      </w:r>
    </w:p>
    <w:p>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（3）投标技术方案不明确，存在一个或一个以上备选（替代）投标方案的；</w:t>
      </w:r>
    </w:p>
    <w:p>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（4）与其他参加本次投标供应商的投标文件（商务技术文件）的文字表述内容相同连续20行以上或者差错相同2处以上的；</w:t>
      </w:r>
    </w:p>
    <w:p>
      <w:pPr>
        <w:autoSpaceDE w:val="0"/>
        <w:autoSpaceDN w:val="0"/>
        <w:adjustRightInd w:val="0"/>
        <w:spacing w:line="360" w:lineRule="auto"/>
        <w:ind w:firstLine="600" w:firstLineChars="250"/>
        <w:rPr>
          <w:rFonts w:asciiTheme="minorEastAsia" w:hAnsiTheme="minorEastAsia" w:eastAsiaTheme="minorEastAsia"/>
          <w:sz w:val="24"/>
          <w:lang w:val="zh-CN"/>
        </w:rPr>
      </w:pPr>
      <w:r>
        <w:rPr>
          <w:rFonts w:hint="eastAsia" w:asciiTheme="minorEastAsia" w:hAnsiTheme="minorEastAsia" w:eastAsiaTheme="minorEastAsia"/>
          <w:sz w:val="24"/>
          <w:lang w:val="zh-CN"/>
        </w:rPr>
        <w:t>3.在报价评议时，如发现下列情形之一的，投标文件将被视为无效投标：</w:t>
      </w:r>
    </w:p>
    <w:p>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（1）未采用人民币报价或者未按照招标文件标明的币种报价的；</w:t>
      </w:r>
    </w:p>
    <w:p>
      <w:pPr>
        <w:autoSpaceDE w:val="0"/>
        <w:autoSpaceDN w:val="0"/>
        <w:adjustRightInd w:val="0"/>
        <w:spacing w:line="360" w:lineRule="auto"/>
        <w:ind w:left="482"/>
        <w:rPr>
          <w:rFonts w:asciiTheme="minorEastAsia" w:hAnsiTheme="minorEastAsia" w:eastAsiaTheme="minorEastAsia"/>
          <w:b/>
          <w:sz w:val="24"/>
          <w:lang w:val="zh-CN"/>
        </w:rPr>
      </w:pPr>
      <w:r>
        <w:rPr>
          <w:rFonts w:hint="eastAsia" w:asciiTheme="minorEastAsia" w:hAnsiTheme="minorEastAsia" w:eastAsiaTheme="minorEastAsia"/>
          <w:sz w:val="24"/>
          <w:lang w:val="zh-CN"/>
        </w:rPr>
        <w:t>（2）投标总报价超出招标文件规定的上限价的，或者投标单价超出招标文件规定的上限价的；</w:t>
      </w:r>
    </w:p>
    <w:p>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（3）投标函的投标报价与开标一览表的总价不一致的；</w:t>
      </w:r>
    </w:p>
    <w:p>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（4）投标报价具有选择性，唱标价格与投标文件承诺的优惠/折扣后价格不一致的。</w:t>
      </w:r>
    </w:p>
    <w:p>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4.符合招标文件明确规定的其他无效投标条款的。</w:t>
      </w:r>
    </w:p>
    <w:p>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5.有下列情形之一的，投标无效且将投标文件、询标记录等报同级政府采购监管部门或有关职能部门查处：</w:t>
      </w:r>
    </w:p>
    <w:p>
      <w:pPr>
        <w:autoSpaceDE w:val="0"/>
        <w:autoSpaceDN w:val="0"/>
        <w:adjustRightInd w:val="0"/>
        <w:spacing w:line="360" w:lineRule="auto"/>
        <w:ind w:left="480"/>
        <w:rPr>
          <w:rFonts w:asciiTheme="minorEastAsia" w:hAnsiTheme="minorEastAsia" w:eastAsiaTheme="minorEastAsia"/>
          <w:sz w:val="24"/>
          <w:lang w:val="zh-CN"/>
        </w:rPr>
      </w:pPr>
      <w:r>
        <w:rPr>
          <w:rFonts w:hint="eastAsia" w:asciiTheme="minorEastAsia" w:hAnsiTheme="minorEastAsia" w:eastAsiaTheme="minorEastAsia"/>
          <w:sz w:val="24"/>
          <w:lang w:val="zh-CN"/>
        </w:rPr>
        <w:t>（1）未如实提供产品质量、性能等方面的缺陷或停产淘汰、债权债务、违法记录信息，影响或者可能影响中标结果的；</w:t>
      </w:r>
    </w:p>
    <w:p>
      <w:pPr>
        <w:pStyle w:val="17"/>
        <w:snapToGrid w:val="0"/>
        <w:spacing w:line="360" w:lineRule="auto"/>
        <w:ind w:leftChars="0"/>
        <w:rPr>
          <w:rFonts w:asciiTheme="minorEastAsia" w:hAnsiTheme="minorEastAsia" w:eastAsiaTheme="minorEastAsia"/>
          <w:sz w:val="24"/>
          <w:lang w:val="zh-CN"/>
        </w:rPr>
      </w:pPr>
      <w:r>
        <w:rPr>
          <w:rFonts w:hint="eastAsia" w:asciiTheme="minorEastAsia" w:hAnsiTheme="minorEastAsia" w:eastAsiaTheme="minorEastAsia"/>
          <w:sz w:val="24"/>
          <w:lang w:val="zh-CN"/>
        </w:rPr>
        <w:t>（2）采购活动中有其他违法违规行为的；</w:t>
      </w:r>
    </w:p>
    <w:p>
      <w:pPr>
        <w:pStyle w:val="17"/>
        <w:snapToGrid w:val="0"/>
        <w:spacing w:after="0" w:line="360" w:lineRule="auto"/>
        <w:ind w:left="0" w:leftChars="0"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四、开标</w:t>
      </w:r>
    </w:p>
    <w:p>
      <w:pPr>
        <w:pStyle w:val="17"/>
        <w:snapToGrid w:val="0"/>
        <w:spacing w:after="0" w:line="360" w:lineRule="auto"/>
        <w:ind w:left="0" w:leftChars="0" w:firstLine="354" w:firstLineChars="147"/>
        <w:outlineLvl w:val="1"/>
        <w:rPr>
          <w:rFonts w:asciiTheme="minorEastAsia" w:hAnsiTheme="minorEastAsia" w:eastAsiaTheme="minorEastAsia"/>
          <w:b/>
          <w:sz w:val="24"/>
        </w:rPr>
      </w:pPr>
      <w:r>
        <w:rPr>
          <w:rFonts w:hint="eastAsia" w:asciiTheme="minorEastAsia" w:hAnsiTheme="minorEastAsia" w:eastAsiaTheme="minorEastAsia"/>
          <w:b/>
          <w:sz w:val="24"/>
        </w:rPr>
        <w:t>（一）开标准备</w:t>
      </w:r>
    </w:p>
    <w:p>
      <w:pPr>
        <w:autoSpaceDE w:val="0"/>
        <w:autoSpaceDN w:val="0"/>
        <w:adjustRightInd w:val="0"/>
        <w:spacing w:line="360" w:lineRule="auto"/>
        <w:ind w:firstLine="354"/>
        <w:rPr>
          <w:rFonts w:asciiTheme="minorEastAsia" w:hAnsiTheme="minorEastAsia" w:eastAsiaTheme="minorEastAsia"/>
          <w:sz w:val="24"/>
          <w:lang w:val="zh-CN"/>
        </w:rPr>
      </w:pPr>
      <w:r>
        <w:rPr>
          <w:rFonts w:hint="eastAsia" w:asciiTheme="minorEastAsia" w:hAnsiTheme="minorEastAsia" w:eastAsiaTheme="minorEastAsia"/>
          <w:sz w:val="24"/>
          <w:lang w:val="zh-CN"/>
        </w:rPr>
        <w:t>采购组织机构将按照招标文件规定的时间通过“政府采购云平台”组织开标、开启投标文件，所有供应商均应当准时在线参加</w:t>
      </w:r>
    </w:p>
    <w:p>
      <w:pPr>
        <w:pStyle w:val="19"/>
        <w:snapToGrid w:val="0"/>
        <w:spacing w:line="360" w:lineRule="auto"/>
        <w:ind w:firstLine="354" w:firstLineChars="147"/>
        <w:rPr>
          <w:rFonts w:asciiTheme="minorEastAsia" w:hAnsiTheme="minorEastAsia" w:eastAsiaTheme="minorEastAsia"/>
          <w:b/>
          <w:color w:val="FF0000"/>
          <w:sz w:val="24"/>
        </w:rPr>
      </w:pPr>
      <w:r>
        <w:rPr>
          <w:rFonts w:hint="eastAsia" w:asciiTheme="minorEastAsia" w:hAnsiTheme="minorEastAsia" w:eastAsiaTheme="minorEastAsia"/>
          <w:b/>
          <w:sz w:val="24"/>
        </w:rPr>
        <w:t xml:space="preserve">（二） </w:t>
      </w:r>
      <w:r>
        <w:rPr>
          <w:rFonts w:hint="eastAsia" w:asciiTheme="minorEastAsia" w:hAnsiTheme="minorEastAsia" w:eastAsiaTheme="minorEastAsia"/>
          <w:b/>
          <w:color w:val="000000"/>
          <w:sz w:val="24"/>
        </w:rPr>
        <w:t>开标准备：</w:t>
      </w:r>
    </w:p>
    <w:p>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1、开标的准备工作由采购组织机构负责落实；</w:t>
      </w:r>
    </w:p>
    <w:p>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（三）开标流程</w:t>
      </w:r>
    </w:p>
    <w:p>
      <w:pPr>
        <w:pStyle w:val="19"/>
        <w:snapToGrid w:val="0"/>
        <w:spacing w:line="360" w:lineRule="auto"/>
        <w:ind w:firstLine="470" w:firstLineChars="196"/>
        <w:rPr>
          <w:rFonts w:asciiTheme="minorEastAsia" w:hAnsiTheme="minorEastAsia" w:eastAsiaTheme="minorEastAsia"/>
          <w:sz w:val="24"/>
          <w:szCs w:val="24"/>
          <w:lang w:val="zh-CN"/>
        </w:rPr>
      </w:pPr>
      <w:r>
        <w:rPr>
          <w:rFonts w:asciiTheme="minorEastAsia" w:hAnsiTheme="minorEastAsia" w:eastAsiaTheme="minorEastAsia"/>
          <w:sz w:val="24"/>
          <w:szCs w:val="24"/>
          <w:lang w:val="zh-CN"/>
        </w:rPr>
        <w:t>1</w:t>
      </w:r>
      <w:r>
        <w:rPr>
          <w:rFonts w:hint="eastAsia" w:asciiTheme="minorEastAsia" w:hAnsiTheme="minorEastAsia" w:eastAsiaTheme="minorEastAsia"/>
          <w:sz w:val="24"/>
          <w:szCs w:val="24"/>
          <w:lang w:val="zh-CN"/>
        </w:rPr>
        <w:t>.</w:t>
      </w:r>
      <w:r>
        <w:rPr>
          <w:rFonts w:asciiTheme="minorEastAsia" w:hAnsiTheme="minorEastAsia" w:eastAsiaTheme="minorEastAsia"/>
          <w:sz w:val="24"/>
          <w:szCs w:val="24"/>
          <w:lang w:val="zh-CN"/>
        </w:rPr>
        <w:t>投标截止时间后</w:t>
      </w:r>
      <w:r>
        <w:rPr>
          <w:rFonts w:hint="eastAsia" w:asciiTheme="minorEastAsia" w:hAnsiTheme="minorEastAsia" w:eastAsiaTheme="minorEastAsia"/>
          <w:sz w:val="24"/>
          <w:szCs w:val="24"/>
          <w:lang w:val="zh-CN"/>
        </w:rPr>
        <w:t>，采购组织机构向各投标供应商发出电子加密投标文件【开始解密】通知，由供应商按招标文件规定的时间内自行进行投标文件解密。在线解密电子投标文件时间为开标时间起半个小时内。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2.评标委员会对资格和商务技术响应文件进行评审；</w:t>
      </w:r>
    </w:p>
    <w:p>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3.在系统上公开资格和商务技术评审结果；</w:t>
      </w:r>
    </w:p>
    <w:p>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4.在系统上公开报价开标情况；</w:t>
      </w:r>
    </w:p>
    <w:p>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5.评标委员会对报价情况进行评审；</w:t>
      </w:r>
    </w:p>
    <w:p>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6.在系统上公布评审结果。</w:t>
      </w:r>
    </w:p>
    <w:p>
      <w:pPr>
        <w:spacing w:line="360" w:lineRule="auto"/>
        <w:ind w:firstLine="426" w:firstLineChars="177"/>
        <w:jc w:val="left"/>
        <w:rPr>
          <w:rFonts w:cs="Arial" w:asciiTheme="minorEastAsia" w:hAnsiTheme="minorEastAsia" w:eastAsiaTheme="minorEastAsia"/>
          <w:b/>
          <w:color w:val="000000"/>
          <w:kern w:val="0"/>
          <w:sz w:val="24"/>
        </w:rPr>
      </w:pPr>
      <w:r>
        <w:rPr>
          <w:rFonts w:hint="eastAsia" w:cs="Arial" w:asciiTheme="minorEastAsia" w:hAnsiTheme="minorEastAsia" w:eastAsiaTheme="minorEastAsia"/>
          <w:b/>
          <w:color w:val="000000"/>
          <w:kern w:val="0"/>
          <w:sz w:val="24"/>
        </w:rPr>
        <w:t>特别说明：如遇“政府采购云平台”电子化开标或评审程序调整的，按调整后程序执行。</w:t>
      </w:r>
    </w:p>
    <w:p>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（四）投标供应商资格审查</w:t>
      </w:r>
    </w:p>
    <w:p>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1、开标大会第一阶段结束后，采购人或采购代理机构首先依法对各投标供应商的资格进行审查，审查各投标供应商的资格是否满足招标文件的要求。</w:t>
      </w:r>
      <w:r>
        <w:rPr>
          <w:rFonts w:asciiTheme="minorEastAsia" w:hAnsiTheme="minorEastAsia" w:eastAsiaTheme="minorEastAsia"/>
          <w:sz w:val="24"/>
          <w:szCs w:val="24"/>
          <w:lang w:val="zh-CN"/>
        </w:rPr>
        <w:t>采购人或采购代理机构对投标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w:t>
      </w:r>
      <w:r>
        <w:rPr>
          <w:rFonts w:hint="eastAsia" w:asciiTheme="minorEastAsia" w:hAnsiTheme="minorEastAsia" w:eastAsiaTheme="minorEastAsia"/>
          <w:sz w:val="24"/>
          <w:szCs w:val="24"/>
          <w:lang w:val="zh-CN"/>
        </w:rPr>
        <w:t>提交</w:t>
      </w:r>
      <w:r>
        <w:rPr>
          <w:rFonts w:asciiTheme="minorEastAsia" w:hAnsiTheme="minorEastAsia" w:eastAsiaTheme="minorEastAsia"/>
          <w:sz w:val="24"/>
          <w:szCs w:val="24"/>
          <w:lang w:val="zh-CN"/>
        </w:rPr>
        <w:t>的资格证明材料仅负审核的责任。如发现投标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所提</w:t>
      </w:r>
      <w:r>
        <w:rPr>
          <w:rFonts w:hint="eastAsia" w:asciiTheme="minorEastAsia" w:hAnsiTheme="minorEastAsia" w:eastAsiaTheme="minorEastAsia"/>
          <w:sz w:val="24"/>
          <w:szCs w:val="24"/>
          <w:lang w:val="zh-CN"/>
        </w:rPr>
        <w:t>交</w:t>
      </w:r>
      <w:r>
        <w:rPr>
          <w:rFonts w:asciiTheme="minorEastAsia" w:hAnsiTheme="minorEastAsia" w:eastAsiaTheme="minorEastAsia"/>
          <w:sz w:val="24"/>
          <w:szCs w:val="24"/>
          <w:lang w:val="zh-CN"/>
        </w:rPr>
        <w:t>的资格证明材料不合法或</w:t>
      </w:r>
      <w:r>
        <w:rPr>
          <w:rFonts w:hint="eastAsia" w:asciiTheme="minorEastAsia" w:hAnsiTheme="minorEastAsia" w:eastAsiaTheme="minorEastAsia"/>
          <w:sz w:val="24"/>
          <w:szCs w:val="24"/>
          <w:lang w:val="zh-CN"/>
        </w:rPr>
        <w:t>与事实不符</w:t>
      </w:r>
      <w:r>
        <w:rPr>
          <w:rFonts w:asciiTheme="minorEastAsia" w:hAnsiTheme="minorEastAsia" w:eastAsiaTheme="minorEastAsia"/>
          <w:sz w:val="24"/>
          <w:szCs w:val="24"/>
          <w:lang w:val="zh-CN"/>
        </w:rPr>
        <w:t>，采购人可取消</w:t>
      </w:r>
      <w:r>
        <w:rPr>
          <w:rFonts w:hint="eastAsia" w:asciiTheme="minorEastAsia" w:hAnsiTheme="minorEastAsia" w:eastAsiaTheme="minorEastAsia"/>
          <w:sz w:val="24"/>
          <w:szCs w:val="24"/>
          <w:lang w:val="zh-CN"/>
        </w:rPr>
        <w:t>其</w:t>
      </w:r>
      <w:r>
        <w:rPr>
          <w:rFonts w:asciiTheme="minorEastAsia" w:hAnsiTheme="minorEastAsia" w:eastAsiaTheme="minorEastAsia"/>
          <w:sz w:val="24"/>
          <w:szCs w:val="24"/>
          <w:lang w:val="zh-CN"/>
        </w:rPr>
        <w:t>中标资格并追究投标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的法律责任。</w:t>
      </w:r>
    </w:p>
    <w:p>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3、单位负责人为同一人或者存在直接控股、管理关系的不同供应商参加同一合同项下的政府采购活动的，相关投标供应商均作资格无效处理。</w:t>
      </w:r>
    </w:p>
    <w:p>
      <w:pPr>
        <w:autoSpaceDE w:val="0"/>
        <w:autoSpaceDN w:val="0"/>
        <w:adjustRightInd w:val="0"/>
        <w:spacing w:line="360" w:lineRule="auto"/>
        <w:ind w:firstLine="482" w:firstLineChars="200"/>
        <w:rPr>
          <w:rFonts w:asciiTheme="minorEastAsia" w:hAnsiTheme="minorEastAsia" w:eastAsiaTheme="minorEastAsia"/>
          <w:b/>
          <w:sz w:val="24"/>
          <w:lang w:val="zh-CN"/>
        </w:rPr>
      </w:pPr>
      <w:r>
        <w:rPr>
          <w:rFonts w:hint="eastAsia" w:asciiTheme="minorEastAsia" w:hAnsiTheme="minorEastAsia" w:eastAsiaTheme="minorEastAsia"/>
          <w:b/>
          <w:sz w:val="24"/>
          <w:lang w:val="zh-CN"/>
        </w:rPr>
        <w:t>五、评标</w:t>
      </w:r>
    </w:p>
    <w:p>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（一）组建评标委员会</w:t>
      </w:r>
    </w:p>
    <w:p>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采购机构依法组建由5人以上（含）奇数的人员组成的评标委员会，负责对投标文件进行审查、质询、评审和比较等。评标委员会由采购人代表和采购咨询专家组成，其中采购咨询专家人数不少于成员总数的三分之二。 </w:t>
      </w:r>
    </w:p>
    <w:p>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（二）评标的依据</w:t>
      </w:r>
    </w:p>
    <w:p>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本项目采用不公开方式评标，评标的依据为招标文件和投标文件。</w:t>
      </w:r>
    </w:p>
    <w:p>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（三）评标程序</w:t>
      </w:r>
    </w:p>
    <w:p>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1.资格审查</w:t>
      </w:r>
    </w:p>
    <w:p>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评标委员会对供应商的投标文件的完整性、合法性等进行审查。</w:t>
      </w:r>
    </w:p>
    <w:p>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2.实质审查与比较</w:t>
      </w:r>
    </w:p>
    <w:p>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（1）评标委员会审查投标文件的实质性内容是否符合招标文件的实质性要求。</w:t>
      </w:r>
    </w:p>
    <w:p>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（2）评标委员会将根据供应商的投标文件进行审查、核对,如有疑问,将对供应商进行询标,供应商要向评标委员会澄清有关问题,并最终以书面形式进行答复。</w:t>
      </w:r>
    </w:p>
    <w:p>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（3）各供应商的商务技术得分按照评标委员会成员的独立评分结果汇总数后的算术平均分计算。</w:t>
      </w:r>
    </w:p>
    <w:p>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（4）评标委员会根据供应商的报价,计算各供应商的价格分。</w:t>
      </w:r>
    </w:p>
    <w:p>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（5）评标委员会完成评标后,评委对各部分得分汇总,得出本项目最终得分,评标委员会按评标原则推荐中标候选人同时起草评标报告。</w:t>
      </w:r>
    </w:p>
    <w:p>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（四）澄清问题的形式</w:t>
      </w:r>
    </w:p>
    <w:p>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授权代表签字或盖章确认，并不得超出投标文件的范围或者改变投标文件的实质性内容。</w:t>
      </w:r>
    </w:p>
    <w:p>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（五）错误修正</w:t>
      </w:r>
    </w:p>
    <w:p>
      <w:pPr>
        <w:pStyle w:val="19"/>
        <w:snapToGrid w:val="0"/>
        <w:spacing w:line="360" w:lineRule="auto"/>
        <w:ind w:firstLine="434" w:firstLineChars="181"/>
        <w:rPr>
          <w:rFonts w:asciiTheme="minorEastAsia" w:hAnsiTheme="minorEastAsia" w:eastAsiaTheme="minorEastAsia"/>
          <w:sz w:val="24"/>
        </w:rPr>
      </w:pPr>
      <w:bookmarkStart w:id="49" w:name="_Toc177870555"/>
      <w:r>
        <w:rPr>
          <w:rFonts w:hint="eastAsia" w:asciiTheme="minorEastAsia" w:hAnsiTheme="minorEastAsia" w:eastAsiaTheme="minorEastAsia"/>
          <w:sz w:val="24"/>
        </w:rPr>
        <w:t>投标文件如果出现计算或表达上的错误，修正错误的原则如下：</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1.对不同文字文本投标文件的解释发生异议的，以中文文本为准。</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2.投标文件报价出现前后不一致的，除招标文件另有规定外，按照下列规定修正： </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（1）投标文件中开标一览表（报价表）内容与投标文件中相应内容不一致的，以开标一览表（报价表）为准； </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（2）电子交易平台客户端里开标一览表录入的投标报价信息与扫描上传的报价文件不一致的，以扫描上传的报价文件为准。</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（3）大写金额和小写金额不一致的，以大写金额为准； </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（4）单价金额小数点或者百分比有明显错位的，以开标一览表的总价为准，并修改单价； </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（5）总价金额与按单价汇总金额不一致的，以单价金额计算结果为准。 </w:t>
      </w:r>
    </w:p>
    <w:p>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同时出现两种以上不一致的，按照前款规定的顺序修正。投标人同意后，调整后的投标报价对投标人起约束作用。如果投标人不接受修正后的报价，则其投标将被拒绝。</w:t>
      </w:r>
    </w:p>
    <w:p>
      <w:pPr>
        <w:pStyle w:val="19"/>
        <w:snapToGrid w:val="0"/>
        <w:spacing w:line="360" w:lineRule="auto"/>
        <w:ind w:firstLine="557" w:firstLineChars="231"/>
        <w:rPr>
          <w:rFonts w:asciiTheme="minorEastAsia" w:hAnsiTheme="minorEastAsia" w:eastAsiaTheme="minorEastAsia"/>
          <w:b/>
          <w:sz w:val="24"/>
        </w:rPr>
      </w:pPr>
      <w:r>
        <w:rPr>
          <w:rFonts w:hint="eastAsia" w:asciiTheme="minorEastAsia" w:hAnsiTheme="minorEastAsia" w:eastAsiaTheme="minorEastAsia"/>
          <w:b/>
          <w:color w:val="000000"/>
          <w:sz w:val="24"/>
        </w:rPr>
        <w:t xml:space="preserve">（六） </w:t>
      </w:r>
      <w:r>
        <w:rPr>
          <w:rFonts w:hint="eastAsia" w:asciiTheme="minorEastAsia" w:hAnsiTheme="minorEastAsia" w:eastAsiaTheme="minorEastAsia"/>
          <w:b/>
          <w:sz w:val="24"/>
        </w:rPr>
        <w:t>评标过程的保密</w:t>
      </w:r>
    </w:p>
    <w:p>
      <w:pPr>
        <w:pStyle w:val="19"/>
        <w:snapToGrid w:val="0"/>
        <w:spacing w:line="360" w:lineRule="auto"/>
        <w:ind w:firstLine="556" w:firstLineChars="232"/>
        <w:rPr>
          <w:rFonts w:asciiTheme="minorEastAsia" w:hAnsiTheme="minorEastAsia" w:eastAsiaTheme="minorEastAsia"/>
          <w:color w:val="000000"/>
          <w:sz w:val="24"/>
        </w:rPr>
      </w:pPr>
      <w:r>
        <w:rPr>
          <w:rFonts w:hint="eastAsia" w:asciiTheme="minorEastAsia" w:hAnsiTheme="minorEastAsia" w:eastAsiaTheme="minorEastAsia"/>
          <w:sz w:val="24"/>
        </w:rPr>
        <w:t>凡是属于审查、澄清、评审和比较的有关资料以及授标建议，任何人均不得向投标人或其他无关的人员透露。</w:t>
      </w:r>
      <w:r>
        <w:rPr>
          <w:rFonts w:hint="eastAsia" w:asciiTheme="minorEastAsia" w:hAnsiTheme="minorEastAsia" w:eastAsiaTheme="minorEastAsia"/>
          <w:sz w:val="24"/>
          <w:lang w:val="zh-CN"/>
        </w:rPr>
        <w:t>本项目评标过程实行全程录像监控，</w:t>
      </w:r>
      <w:r>
        <w:rPr>
          <w:rFonts w:hint="eastAsia" w:asciiTheme="minorEastAsia" w:hAnsiTheme="minorEastAsia" w:eastAsiaTheme="minorEastAsia"/>
          <w:sz w:val="24"/>
        </w:rPr>
        <w:t>投标人在评标过程中，所进行的力图影响评标结果的不公正活动，可能导致其投标被拒绝。</w:t>
      </w:r>
    </w:p>
    <w:p>
      <w:pPr>
        <w:pStyle w:val="19"/>
        <w:tabs>
          <w:tab w:val="left" w:pos="630"/>
        </w:tabs>
        <w:snapToGrid w:val="0"/>
        <w:spacing w:line="360" w:lineRule="auto"/>
        <w:ind w:firstLine="439" w:firstLineChars="182"/>
        <w:rPr>
          <w:rFonts w:asciiTheme="minorEastAsia" w:hAnsiTheme="minorEastAsia" w:eastAsiaTheme="minorEastAsia"/>
          <w:b/>
          <w:sz w:val="24"/>
        </w:rPr>
      </w:pPr>
      <w:r>
        <w:rPr>
          <w:rFonts w:hint="eastAsia" w:asciiTheme="minorEastAsia" w:hAnsiTheme="minorEastAsia" w:eastAsiaTheme="minorEastAsia"/>
          <w:b/>
          <w:sz w:val="24"/>
        </w:rPr>
        <w:t>（七）评标原则和评标办法</w:t>
      </w:r>
    </w:p>
    <w:bookmarkEnd w:id="49"/>
    <w:p>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1.评标原则。评标委员会必须公平、公正、客观，不带任何倾向性和启发性；不得向外界透露任何与评标有关的内容；任何单位和个人不得干扰、影响评标的正常进行；评标委员会及有关工作人员不得私下与投标人接触； </w:t>
      </w:r>
    </w:p>
    <w:p>
      <w:pPr>
        <w:autoSpaceDE w:val="0"/>
        <w:autoSpaceDN w:val="0"/>
        <w:adjustRightInd w:val="0"/>
        <w:spacing w:line="276"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2.评标办法。根据采购项目的实际情况采用综合评分法。本项目的具体评标办法详见《第四章：评标办法及评分标准》。</w:t>
      </w:r>
    </w:p>
    <w:p>
      <w:pPr>
        <w:pStyle w:val="19"/>
        <w:snapToGrid w:val="0"/>
        <w:spacing w:line="360" w:lineRule="auto"/>
        <w:ind w:firstLine="436" w:firstLineChars="181"/>
        <w:outlineLvl w:val="1"/>
        <w:rPr>
          <w:rFonts w:asciiTheme="minorEastAsia" w:hAnsiTheme="minorEastAsia" w:eastAsiaTheme="minorEastAsia"/>
          <w:b/>
          <w:sz w:val="24"/>
        </w:rPr>
      </w:pPr>
      <w:r>
        <w:rPr>
          <w:rFonts w:hint="eastAsia" w:asciiTheme="minorEastAsia" w:hAnsiTheme="minorEastAsia" w:eastAsiaTheme="minorEastAsia"/>
          <w:b/>
          <w:sz w:val="24"/>
        </w:rPr>
        <w:t>六、中标公示和定标</w:t>
      </w:r>
    </w:p>
    <w:p>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1.中标公示：采购机构在评标结束后将采购结果确认函交采购人确认，采购结果经采购人确认后，将采购结果在发布招标公告的网站上进行1个工作日的中标公示。</w:t>
      </w:r>
    </w:p>
    <w:p>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2.质疑：相关投标人如对采购结果有异议需提出质疑的，应当在中标公示结束前以书面形式向采购机构提出。</w:t>
      </w:r>
    </w:p>
    <w:p>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3.质疑处理：相关投标人提出质疑后，采购人有权要求中标候选人提供相关证明材料。</w:t>
      </w:r>
    </w:p>
    <w:p>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4.采购人应在收到采购结果确认函后5个工作日内对采购结果进行确认。如有投标人对采购结果提出质疑的，采购人可在质疑处理完毕后确定中标人。</w:t>
      </w:r>
    </w:p>
    <w:p>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5.采购结果在中标公示结束后，采购机构以书面形式发出《中标通知书》。如有投标人在中标公示期间提出质疑的，按照相关法规执行。</w:t>
      </w:r>
    </w:p>
    <w:p>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七、合同授予</w:t>
      </w:r>
    </w:p>
    <w:p>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中标人应在中标通知书发出后30日内与采购人签订合同。</w:t>
      </w:r>
    </w:p>
    <w:p>
      <w:pPr>
        <w:pStyle w:val="19"/>
        <w:snapToGrid w:val="0"/>
        <w:spacing w:after="120" w:line="360" w:lineRule="auto"/>
        <w:ind w:firstLine="470" w:firstLineChars="196"/>
        <w:rPr>
          <w:rFonts w:asciiTheme="minorEastAsia" w:hAnsiTheme="minorEastAsia" w:eastAsiaTheme="minorEastAsia"/>
          <w:sz w:val="24"/>
          <w:lang w:val="zh-CN"/>
        </w:rPr>
      </w:pPr>
      <w:r>
        <w:rPr>
          <w:rFonts w:asciiTheme="minorEastAsia" w:hAnsiTheme="minorEastAsia" w:eastAsiaTheme="minorEastAsia"/>
          <w:sz w:val="24"/>
          <w:lang w:val="zh-CN"/>
        </w:rPr>
        <w:t>2.</w:t>
      </w:r>
      <w:r>
        <w:rPr>
          <w:rFonts w:hint="eastAsia" w:asciiTheme="minorEastAsia" w:hAnsiTheme="minorEastAsia" w:eastAsiaTheme="minorEastAsia"/>
          <w:sz w:val="24"/>
          <w:lang w:val="zh-CN"/>
        </w:rPr>
        <w:t>中标人拖延、拒签合同的</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将被取消中标资格。</w:t>
      </w:r>
    </w:p>
    <w:p>
      <w:pPr>
        <w:pStyle w:val="19"/>
        <w:snapToGrid w:val="0"/>
        <w:spacing w:after="120" w:line="360" w:lineRule="auto"/>
        <w:ind w:firstLine="472" w:firstLineChars="196"/>
        <w:rPr>
          <w:rFonts w:hAnsi="宋体" w:cs="宋体"/>
          <w:b/>
          <w:bCs/>
          <w:sz w:val="24"/>
        </w:rPr>
      </w:pPr>
      <w:r>
        <w:rPr>
          <w:rFonts w:hint="eastAsia" w:hAnsi="宋体" w:cs="宋体"/>
          <w:b/>
          <w:bCs/>
          <w:sz w:val="24"/>
        </w:rPr>
        <w:t>八、代理服务费</w:t>
      </w:r>
    </w:p>
    <w:p>
      <w:pPr>
        <w:snapToGrid w:val="0"/>
        <w:spacing w:line="360" w:lineRule="auto"/>
        <w:ind w:firstLine="600" w:firstLineChars="250"/>
        <w:rPr>
          <w:rFonts w:ascii="宋体" w:hAnsi="宋体"/>
          <w:sz w:val="24"/>
        </w:rPr>
      </w:pPr>
      <w:r>
        <w:rPr>
          <w:rFonts w:hint="eastAsia" w:ascii="宋体" w:hAnsi="宋体"/>
          <w:sz w:val="24"/>
        </w:rPr>
        <w:t>1、本项目招标代理费：</w:t>
      </w:r>
      <w:r>
        <w:rPr>
          <w:rFonts w:hint="eastAsia" w:ascii="宋体" w:hAnsi="宋体"/>
          <w:sz w:val="24"/>
          <w:lang w:eastAsia="zh-CN"/>
        </w:rPr>
        <w:t>按桐庐县中介优选系统报价，</w:t>
      </w:r>
      <w:r>
        <w:rPr>
          <w:rFonts w:hint="eastAsia" w:ascii="宋体" w:hAnsi="宋体"/>
          <w:sz w:val="24"/>
          <w:lang w:val="en-US" w:eastAsia="zh-CN"/>
        </w:rPr>
        <w:t>4000.00元计取</w:t>
      </w:r>
      <w:r>
        <w:rPr>
          <w:rFonts w:hint="eastAsia" w:ascii="宋体" w:hAnsi="宋体"/>
          <w:sz w:val="24"/>
        </w:rPr>
        <w:t>；</w:t>
      </w:r>
    </w:p>
    <w:p>
      <w:pPr>
        <w:snapToGrid w:val="0"/>
        <w:spacing w:line="360" w:lineRule="auto"/>
        <w:ind w:firstLine="600" w:firstLineChars="250"/>
        <w:rPr>
          <w:rFonts w:ascii="宋体" w:hAnsi="宋体"/>
          <w:sz w:val="24"/>
        </w:rPr>
      </w:pPr>
      <w:r>
        <w:rPr>
          <w:rFonts w:hint="eastAsia" w:ascii="宋体" w:hAnsi="宋体"/>
          <w:sz w:val="24"/>
        </w:rPr>
        <w:t>2、开标过程中产生的其他费用按实际支出收取；</w:t>
      </w:r>
    </w:p>
    <w:p>
      <w:pPr>
        <w:pStyle w:val="19"/>
        <w:snapToGrid w:val="0"/>
        <w:spacing w:after="120" w:line="360" w:lineRule="auto"/>
        <w:ind w:firstLine="470" w:firstLineChars="196"/>
        <w:rPr>
          <w:rFonts w:hAnsi="宋体" w:cs="宋体"/>
          <w:b/>
          <w:bCs/>
          <w:sz w:val="24"/>
        </w:rPr>
      </w:pPr>
      <w:r>
        <w:rPr>
          <w:rFonts w:hint="eastAsia" w:hAnsi="宋体"/>
          <w:sz w:val="24"/>
        </w:rPr>
        <w:t>以上费用均由中标单位在领取中标通知书时，一次性支付给代理公司，上述两项费用应含在投标报价中（不得单独列项），投标人在投标报价让利中考虑上述费用。</w:t>
      </w:r>
    </w:p>
    <w:bookmarkEnd w:id="1"/>
    <w:p>
      <w:pPr>
        <w:autoSpaceDE w:val="0"/>
        <w:autoSpaceDN w:val="0"/>
        <w:adjustRightInd w:val="0"/>
        <w:spacing w:line="360" w:lineRule="auto"/>
        <w:ind w:firstLine="437"/>
        <w:rPr>
          <w:rFonts w:asciiTheme="minorEastAsia" w:hAnsiTheme="minorEastAsia" w:eastAsiaTheme="minorEastAsia"/>
          <w:sz w:val="24"/>
        </w:rPr>
        <w:sectPr>
          <w:pgSz w:w="11910" w:h="16840"/>
          <w:pgMar w:top="1134" w:right="1344" w:bottom="1134" w:left="1304" w:header="0" w:footer="993" w:gutter="0"/>
          <w:pgNumType w:fmt="decimal"/>
          <w:cols w:space="0" w:num="1"/>
        </w:sectPr>
      </w:pPr>
      <w:bookmarkStart w:id="50" w:name="_Hlk521930991"/>
    </w:p>
    <w:p>
      <w:pPr>
        <w:pStyle w:val="31"/>
        <w:adjustRightInd w:val="0"/>
        <w:snapToGrid w:val="0"/>
        <w:spacing w:after="0"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sz w:val="32"/>
          <w:szCs w:val="32"/>
        </w:rPr>
        <w:t>第四章  评标办法及评分标准</w:t>
      </w:r>
    </w:p>
    <w:bookmarkEnd w:id="50"/>
    <w:p>
      <w:pPr>
        <w:spacing w:afterLines="50" w:line="240" w:lineRule="auto"/>
        <w:rPr>
          <w:rFonts w:asciiTheme="minorEastAsia" w:hAnsiTheme="minorEastAsia" w:eastAsiaTheme="minorEastAsia"/>
          <w:b/>
          <w:sz w:val="24"/>
        </w:rPr>
      </w:pPr>
      <w:r>
        <w:rPr>
          <w:rFonts w:hint="eastAsia" w:asciiTheme="minorEastAsia" w:hAnsiTheme="minorEastAsia" w:eastAsiaTheme="minorEastAsia"/>
          <w:b/>
          <w:sz w:val="24"/>
        </w:rPr>
        <w:t>一、总则</w:t>
      </w:r>
    </w:p>
    <w:p>
      <w:pPr>
        <w:spacing w:afterLines="50"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pPr>
        <w:autoSpaceDE w:val="0"/>
        <w:autoSpaceDN w:val="0"/>
        <w:adjustRightIn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二、评标内容及标准</w:t>
      </w:r>
    </w:p>
    <w:p>
      <w:pPr>
        <w:widowControl/>
        <w:spacing w:line="276"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（一）价格分（10分）</w:t>
      </w:r>
    </w:p>
    <w:p>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、价格分采用低价优先法计算，即满足招标文件要求且投标价格最低的投标报价为评标基准价，其价格分为满分，其他投标人的价格分按照下列公式计算：</w:t>
      </w:r>
    </w:p>
    <w:p>
      <w:pPr>
        <w:autoSpaceDE w:val="0"/>
        <w:autoSpaceDN w:val="0"/>
        <w:adjustRightInd w:val="0"/>
        <w:spacing w:line="276" w:lineRule="auto"/>
        <w:ind w:firstLine="437"/>
        <w:rPr>
          <w:rFonts w:asciiTheme="minorEastAsia" w:hAnsiTheme="minorEastAsia" w:eastAsiaTheme="minorEastAsia"/>
          <w:color w:val="0000FF"/>
          <w:sz w:val="24"/>
        </w:rPr>
      </w:pPr>
      <w:r>
        <w:rPr>
          <w:rFonts w:hint="eastAsia" w:asciiTheme="minorEastAsia" w:hAnsiTheme="minorEastAsia" w:eastAsiaTheme="minorEastAsia"/>
          <w:sz w:val="24"/>
          <w:lang w:val="zh-CN"/>
        </w:rPr>
        <w:t>价格分</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（评标基准价</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投标报价）×10</w:t>
      </w:r>
    </w:p>
    <w:p>
      <w:pPr>
        <w:autoSpaceDE w:val="0"/>
        <w:autoSpaceDN w:val="0"/>
        <w:adjustRightInd w:val="0"/>
        <w:spacing w:line="276" w:lineRule="auto"/>
        <w:ind w:left="557" w:leftChars="208" w:hanging="120" w:hangingChars="50"/>
        <w:rPr>
          <w:rFonts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2、投标人的投标报价超过设定的上限价的作为无效标处理。</w:t>
      </w:r>
      <w:r>
        <w:rPr>
          <w:rFonts w:hint="eastAsia" w:cs="宋体" w:asciiTheme="minorEastAsia" w:hAnsiTheme="minorEastAsia" w:eastAsiaTheme="minorEastAsia"/>
          <w:b/>
          <w:bCs/>
          <w:sz w:val="24"/>
        </w:rPr>
        <w:t>本项目最高限价为：</w:t>
      </w:r>
      <w:r>
        <w:rPr>
          <w:rFonts w:hint="eastAsia" w:asciiTheme="minorEastAsia" w:hAnsiTheme="minorEastAsia" w:eastAsiaTheme="minorEastAsia"/>
          <w:b/>
          <w:color w:val="FF0000"/>
          <w:sz w:val="24"/>
          <w:u w:val="single"/>
          <w:lang w:eastAsia="zh-CN"/>
        </w:rPr>
        <w:t>28万元</w:t>
      </w:r>
      <w:r>
        <w:rPr>
          <w:rFonts w:hint="eastAsia" w:cs="宋体" w:asciiTheme="minorEastAsia" w:hAnsiTheme="minorEastAsia" w:eastAsiaTheme="minorEastAsia"/>
          <w:b/>
          <w:bCs/>
          <w:sz w:val="24"/>
        </w:rPr>
        <w:t>。</w:t>
      </w:r>
    </w:p>
    <w:p>
      <w:pPr>
        <w:tabs>
          <w:tab w:val="left" w:pos="3870"/>
          <w:tab w:val="left" w:pos="4085"/>
        </w:tabs>
        <w:snapToGrid w:val="0"/>
        <w:spacing w:afterLines="50" w:line="276"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3.报价是中标的一个重要因素，但最低报价不是中标的唯一依据。</w:t>
      </w:r>
    </w:p>
    <w:p>
      <w:pPr>
        <w:pStyle w:val="19"/>
        <w:adjustRightInd w:val="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（二）商务技术部分的评分标准（90分）</w:t>
      </w:r>
    </w:p>
    <w:p>
      <w:pPr>
        <w:spacing w:afterLines="50" w:line="240" w:lineRule="auto"/>
        <w:rPr>
          <w:rFonts w:asciiTheme="minorEastAsia" w:hAnsiTheme="minorEastAsia" w:eastAsiaTheme="minorEastAsia"/>
          <w:b/>
          <w:bCs/>
          <w:color w:val="000000"/>
          <w:sz w:val="24"/>
        </w:rPr>
      </w:pPr>
    </w:p>
    <w:tbl>
      <w:tblPr>
        <w:tblStyle w:val="33"/>
        <w:tblpPr w:leftFromText="180" w:rightFromText="180" w:vertAnchor="text" w:horzAnchor="page" w:tblpX="1611" w:tblpY="-87"/>
        <w:tblOverlap w:val="never"/>
        <w:tblW w:w="9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6828"/>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579" w:type="dxa"/>
            <w:vAlign w:val="center"/>
          </w:tcPr>
          <w:p>
            <w:pPr>
              <w:jc w:val="center"/>
              <w:rPr>
                <w:rFonts w:ascii="宋体" w:hAnsi="宋体" w:cs="宋体"/>
                <w:b/>
                <w:bCs/>
                <w:sz w:val="24"/>
                <w:highlight w:val="none"/>
              </w:rPr>
            </w:pPr>
            <w:r>
              <w:rPr>
                <w:rFonts w:hint="eastAsia" w:ascii="宋体" w:hAnsi="宋体" w:cs="宋体"/>
                <w:b/>
                <w:bCs/>
                <w:sz w:val="24"/>
                <w:highlight w:val="none"/>
              </w:rPr>
              <w:t>项目</w:t>
            </w:r>
          </w:p>
        </w:tc>
        <w:tc>
          <w:tcPr>
            <w:tcW w:w="6828" w:type="dxa"/>
            <w:vAlign w:val="center"/>
          </w:tcPr>
          <w:p>
            <w:pPr>
              <w:jc w:val="center"/>
              <w:rPr>
                <w:rFonts w:ascii="宋体" w:hAnsi="宋体" w:cs="宋体"/>
                <w:b/>
                <w:bCs/>
                <w:sz w:val="24"/>
                <w:highlight w:val="none"/>
              </w:rPr>
            </w:pPr>
            <w:r>
              <w:rPr>
                <w:rFonts w:hint="eastAsia" w:ascii="宋体" w:hAnsi="宋体" w:cs="宋体"/>
                <w:b/>
                <w:bCs/>
                <w:sz w:val="24"/>
                <w:highlight w:val="none"/>
              </w:rPr>
              <w:t>评分标准</w:t>
            </w:r>
          </w:p>
        </w:tc>
        <w:tc>
          <w:tcPr>
            <w:tcW w:w="817" w:type="dxa"/>
            <w:vAlign w:val="center"/>
          </w:tcPr>
          <w:p>
            <w:pPr>
              <w:jc w:val="center"/>
              <w:rPr>
                <w:rFonts w:hint="eastAsia" w:ascii="宋体" w:hAnsi="宋体" w:cs="宋体" w:eastAsiaTheme="minorEastAsia"/>
                <w:b/>
                <w:bCs/>
                <w:sz w:val="24"/>
                <w:highlight w:val="none"/>
                <w:lang w:val="en-US" w:eastAsia="zh-CN"/>
              </w:rPr>
            </w:pPr>
            <w:r>
              <w:rPr>
                <w:rFonts w:hint="eastAsia" w:ascii="宋体" w:hAnsi="宋体" w:cs="宋体"/>
                <w:b/>
                <w:bCs/>
                <w:sz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atLeast"/>
        </w:trPr>
        <w:tc>
          <w:tcPr>
            <w:tcW w:w="1579" w:type="dxa"/>
            <w:vAlign w:val="center"/>
          </w:tcPr>
          <w:p>
            <w:pPr>
              <w:jc w:val="center"/>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投标人资信</w:t>
            </w:r>
          </w:p>
        </w:tc>
        <w:tc>
          <w:tcPr>
            <w:tcW w:w="6828" w:type="dxa"/>
            <w:vAlign w:val="center"/>
          </w:tcPr>
          <w:p>
            <w:pPr>
              <w:spacing w:beforeLines="0" w:afterLines="0" w:line="240" w:lineRule="auto"/>
              <w:rPr>
                <w:rFonts w:hint="eastAsia" w:ascii="宋体" w:hAnsi="宋体" w:eastAsia="宋体" w:cs="宋体"/>
                <w:sz w:val="24"/>
                <w:highlight w:val="none"/>
              </w:rPr>
            </w:pPr>
            <w:r>
              <w:rPr>
                <w:rFonts w:hint="eastAsia" w:ascii="宋体" w:hAnsi="宋体" w:eastAsia="宋体" w:cs="宋体"/>
                <w:sz w:val="24"/>
                <w:highlight w:val="none"/>
              </w:rPr>
              <w:t>投标人具有ISO系列并在有效期内的：质量管理体系认证、职业健康安全管理体系认证、环境管理体系认证、履约能力评价体系5A认证、售后服务评价体系五星级认证，以上证书每个得1分，最高5分。</w:t>
            </w:r>
          </w:p>
          <w:p>
            <w:pPr>
              <w:spacing w:beforeLines="0" w:afterLines="0" w:line="240" w:lineRule="auto"/>
              <w:rPr>
                <w:rFonts w:hint="eastAsia" w:ascii="宋体" w:hAnsi="宋体" w:eastAsia="宋体" w:cs="宋体"/>
                <w:sz w:val="24"/>
                <w:highlight w:val="none"/>
              </w:rPr>
            </w:pPr>
            <w:r>
              <w:rPr>
                <w:rFonts w:hint="eastAsia" w:ascii="宋体" w:hAnsi="宋体" w:eastAsia="宋体" w:cs="宋体"/>
                <w:sz w:val="24"/>
                <w:highlight w:val="none"/>
              </w:rPr>
              <w:t>注：须提供相关证书原件扫描件，未提供或不符合以上条件不得分。</w:t>
            </w:r>
          </w:p>
        </w:tc>
        <w:tc>
          <w:tcPr>
            <w:tcW w:w="817" w:type="dxa"/>
            <w:vAlign w:val="center"/>
          </w:tcPr>
          <w:p>
            <w:pPr>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trPr>
        <w:tc>
          <w:tcPr>
            <w:tcW w:w="1579"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投标人业绩</w:t>
            </w:r>
          </w:p>
        </w:tc>
        <w:tc>
          <w:tcPr>
            <w:tcW w:w="6828" w:type="dxa"/>
            <w:vAlign w:val="center"/>
          </w:tcPr>
          <w:p>
            <w:pPr>
              <w:spacing w:beforeLines="0" w:afterLines="0" w:line="240" w:lineRule="auto"/>
              <w:rPr>
                <w:rFonts w:hint="eastAsia" w:ascii="宋体" w:hAnsi="宋体" w:eastAsia="宋体" w:cs="宋体"/>
                <w:sz w:val="24"/>
                <w:highlight w:val="none"/>
              </w:rPr>
            </w:pPr>
            <w:r>
              <w:rPr>
                <w:rFonts w:hint="eastAsia" w:ascii="宋体" w:hAnsi="宋体" w:eastAsia="宋体" w:cs="宋体"/>
                <w:sz w:val="24"/>
                <w:highlight w:val="none"/>
              </w:rPr>
              <w:t>投标人自2022年1月1日以来承担过类似项目业绩（以合同签订时间为准）的。承担1个得0.5分，最高1分。</w:t>
            </w:r>
          </w:p>
          <w:p>
            <w:pPr>
              <w:spacing w:beforeLines="0" w:afterLines="0" w:line="24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注：</w:t>
            </w:r>
            <w:r>
              <w:rPr>
                <w:rFonts w:hint="eastAsia" w:ascii="宋体" w:hAnsi="宋体" w:eastAsia="宋体" w:cs="宋体"/>
                <w:sz w:val="24"/>
                <w:highlight w:val="none"/>
              </w:rPr>
              <w:t>须提供</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合同及审查文件</w:t>
            </w:r>
            <w:r>
              <w:rPr>
                <w:rFonts w:hint="eastAsia" w:ascii="宋体" w:hAnsi="宋体" w:eastAsia="宋体" w:cs="宋体"/>
                <w:sz w:val="24"/>
                <w:highlight w:val="none"/>
                <w:lang w:val="en-US" w:eastAsia="zh-CN"/>
              </w:rPr>
              <w:t>的扫描件，</w:t>
            </w:r>
            <w:r>
              <w:rPr>
                <w:rFonts w:hint="eastAsia" w:ascii="宋体" w:hAnsi="宋体" w:eastAsia="宋体" w:cs="宋体"/>
                <w:sz w:val="24"/>
                <w:highlight w:val="none"/>
              </w:rPr>
              <w:t>未提供或不符合以上条件不得分。</w:t>
            </w:r>
          </w:p>
        </w:tc>
        <w:tc>
          <w:tcPr>
            <w:tcW w:w="817"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trPr>
        <w:tc>
          <w:tcPr>
            <w:tcW w:w="1579" w:type="dxa"/>
            <w:vAlign w:val="center"/>
          </w:tcPr>
          <w:p>
            <w:pPr>
              <w:jc w:val="center"/>
              <w:rPr>
                <w:rFonts w:ascii="宋体" w:hAnsi="宋体" w:cs="宋体"/>
                <w:sz w:val="24"/>
                <w:highlight w:val="none"/>
              </w:rPr>
            </w:pPr>
            <w:r>
              <w:rPr>
                <w:rFonts w:hint="eastAsia" w:ascii="宋体" w:hAnsi="宋体" w:cs="宋体"/>
                <w:sz w:val="24"/>
                <w:highlight w:val="none"/>
              </w:rPr>
              <w:t>项目负责人</w:t>
            </w:r>
          </w:p>
          <w:p>
            <w:pPr>
              <w:rPr>
                <w:rFonts w:ascii="宋体" w:hAnsi="宋体" w:cs="宋体"/>
                <w:sz w:val="24"/>
                <w:highlight w:val="none"/>
              </w:rPr>
            </w:pPr>
          </w:p>
        </w:tc>
        <w:tc>
          <w:tcPr>
            <w:tcW w:w="6828" w:type="dxa"/>
            <w:vAlign w:val="center"/>
          </w:tcPr>
          <w:p>
            <w:pPr>
              <w:spacing w:beforeLines="0" w:afterLines="0" w:line="240" w:lineRule="auto"/>
              <w:rPr>
                <w:rFonts w:hint="eastAsia" w:ascii="宋体" w:hAnsi="宋体" w:eastAsia="宋体" w:cs="宋体"/>
                <w:sz w:val="24"/>
                <w:highlight w:val="none"/>
              </w:rPr>
            </w:pPr>
            <w:r>
              <w:rPr>
                <w:rFonts w:hint="eastAsia" w:ascii="宋体" w:hAnsi="宋体" w:eastAsia="宋体" w:cs="宋体"/>
                <w:sz w:val="24"/>
                <w:highlight w:val="none"/>
              </w:rPr>
              <w:t>（1）项目负责人同时具有土地或土壤相关专业高级工程师职称和应急管理部门颁发的安全生产负责人证书的得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分，同时具有土地或土壤相关专业中级工程师职称和应急管理部门颁发的安全生产负责人证书的得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分，其余情况不得分，本项最高得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p>
          <w:p>
            <w:pPr>
              <w:spacing w:beforeLines="0" w:afterLines="0" w:line="240" w:lineRule="auto"/>
              <w:rPr>
                <w:rFonts w:hint="eastAsia" w:ascii="宋体" w:hAnsi="宋体" w:eastAsia="宋体" w:cs="宋体"/>
                <w:sz w:val="24"/>
                <w:highlight w:val="none"/>
              </w:rPr>
            </w:pPr>
            <w:r>
              <w:rPr>
                <w:rFonts w:hint="eastAsia" w:ascii="宋体" w:hAnsi="宋体" w:eastAsia="宋体" w:cs="宋体"/>
                <w:sz w:val="24"/>
                <w:highlight w:val="none"/>
              </w:rPr>
              <w:t>（2）项目负责人获得过国家级奖项的得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分，获得过省级奖项的得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分。本项最高得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p>
          <w:p>
            <w:pPr>
              <w:spacing w:beforeLines="0" w:afterLines="0" w:line="240" w:lineRule="auto"/>
              <w:rPr>
                <w:rFonts w:ascii="宋体" w:hAnsi="宋体" w:cs="宋体"/>
                <w:sz w:val="24"/>
                <w:highlight w:val="none"/>
              </w:rPr>
            </w:pPr>
            <w:r>
              <w:rPr>
                <w:rFonts w:hint="eastAsia" w:ascii="宋体" w:hAnsi="宋体" w:eastAsia="宋体" w:cs="宋体"/>
                <w:sz w:val="24"/>
                <w:highlight w:val="none"/>
              </w:rPr>
              <w:t>注:须提供人员</w:t>
            </w:r>
            <w:r>
              <w:rPr>
                <w:rFonts w:hint="eastAsia" w:ascii="宋体" w:hAnsi="宋体" w:eastAsia="宋体" w:cs="宋体"/>
                <w:sz w:val="24"/>
                <w:highlight w:val="none"/>
                <w:lang w:val="en-US" w:eastAsia="zh-CN"/>
              </w:rPr>
              <w:t>相关</w:t>
            </w:r>
            <w:r>
              <w:rPr>
                <w:rFonts w:hint="eastAsia" w:ascii="宋体" w:hAnsi="宋体" w:eastAsia="宋体" w:cs="宋体"/>
                <w:sz w:val="24"/>
                <w:highlight w:val="none"/>
              </w:rPr>
              <w:t>证书和投标人为其缴纳近三个月（2023年</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月）社保缴纳证明，未提供或不符合以上条件不得分。</w:t>
            </w:r>
          </w:p>
        </w:tc>
        <w:tc>
          <w:tcPr>
            <w:tcW w:w="817" w:type="dxa"/>
            <w:vAlign w:val="center"/>
          </w:tcPr>
          <w:p>
            <w:pPr>
              <w:jc w:val="center"/>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trPr>
        <w:tc>
          <w:tcPr>
            <w:tcW w:w="1579" w:type="dxa"/>
            <w:vAlign w:val="center"/>
          </w:tcPr>
          <w:p>
            <w:pPr>
              <w:ind w:left="-84" w:leftChars="-40"/>
              <w:jc w:val="center"/>
              <w:rPr>
                <w:rFonts w:hint="default" w:ascii="宋体" w:hAnsi="宋体" w:cs="宋体" w:eastAsiaTheme="minorEastAsia"/>
                <w:b w:val="0"/>
                <w:bCs/>
                <w:sz w:val="24"/>
                <w:highlight w:val="none"/>
                <w:lang w:val="en-US" w:eastAsia="zh-CN"/>
              </w:rPr>
            </w:pPr>
            <w:r>
              <w:rPr>
                <w:rFonts w:hint="eastAsia" w:ascii="宋体" w:hAnsi="宋体" w:cs="宋体"/>
                <w:b w:val="0"/>
                <w:bCs/>
                <w:sz w:val="24"/>
                <w:highlight w:val="none"/>
                <w:lang w:val="en-US" w:eastAsia="zh-CN"/>
              </w:rPr>
              <w:t>项目组成员</w:t>
            </w:r>
          </w:p>
        </w:tc>
        <w:tc>
          <w:tcPr>
            <w:tcW w:w="6828" w:type="dxa"/>
            <w:vAlign w:val="center"/>
          </w:tcPr>
          <w:p>
            <w:pPr>
              <w:rPr>
                <w:rFonts w:hint="eastAsia" w:ascii="宋体" w:hAnsi="宋体" w:cs="宋体"/>
                <w:sz w:val="24"/>
                <w:highlight w:val="none"/>
              </w:rPr>
            </w:pPr>
            <w:r>
              <w:rPr>
                <w:rFonts w:hint="eastAsia" w:ascii="宋体" w:hAnsi="宋体" w:cs="宋体"/>
                <w:sz w:val="24"/>
                <w:highlight w:val="none"/>
              </w:rPr>
              <w:t>工作组成员（除项目负责人外）具有土地类工程师及以上职称的每个得1分（同个人员不重复计分），最高</w:t>
            </w:r>
            <w:r>
              <w:rPr>
                <w:rFonts w:hint="eastAsia" w:ascii="宋体" w:hAnsi="宋体" w:cs="宋体"/>
                <w:sz w:val="24"/>
                <w:highlight w:val="none"/>
                <w:lang w:val="en-US" w:eastAsia="zh-CN"/>
              </w:rPr>
              <w:t>4</w:t>
            </w:r>
            <w:r>
              <w:rPr>
                <w:rFonts w:hint="eastAsia" w:ascii="宋体" w:hAnsi="宋体" w:cs="宋体"/>
                <w:sz w:val="24"/>
                <w:highlight w:val="none"/>
              </w:rPr>
              <w:t>分；同时具有应急管理部门颁发的安全生产管理员证书的，再得1分，最高得</w:t>
            </w:r>
            <w:r>
              <w:rPr>
                <w:rFonts w:hint="eastAsia" w:ascii="宋体" w:hAnsi="宋体" w:cs="宋体"/>
                <w:sz w:val="24"/>
                <w:highlight w:val="none"/>
                <w:lang w:val="en-US" w:eastAsia="zh-CN"/>
              </w:rPr>
              <w:t>4</w:t>
            </w:r>
            <w:r>
              <w:rPr>
                <w:rFonts w:hint="eastAsia" w:ascii="宋体" w:hAnsi="宋体" w:cs="宋体"/>
                <w:sz w:val="24"/>
                <w:highlight w:val="none"/>
              </w:rPr>
              <w:t>分。本项最高得</w:t>
            </w:r>
            <w:r>
              <w:rPr>
                <w:rFonts w:hint="eastAsia" w:ascii="宋体" w:hAnsi="宋体" w:cs="宋体"/>
                <w:sz w:val="24"/>
                <w:highlight w:val="none"/>
                <w:lang w:val="en-US" w:eastAsia="zh-CN"/>
              </w:rPr>
              <w:t>8</w:t>
            </w:r>
            <w:r>
              <w:rPr>
                <w:rFonts w:hint="eastAsia" w:ascii="宋体" w:hAnsi="宋体" w:cs="宋体"/>
                <w:sz w:val="24"/>
                <w:highlight w:val="none"/>
              </w:rPr>
              <w:t>分。</w:t>
            </w:r>
          </w:p>
          <w:p>
            <w:pPr>
              <w:rPr>
                <w:rFonts w:hint="eastAsia" w:ascii="宋体" w:hAnsi="宋体" w:cs="宋体"/>
                <w:sz w:val="24"/>
                <w:highlight w:val="none"/>
              </w:rPr>
            </w:pPr>
            <w:r>
              <w:rPr>
                <w:rFonts w:hint="eastAsia" w:ascii="宋体" w:hAnsi="宋体" w:cs="宋体"/>
                <w:sz w:val="24"/>
                <w:highlight w:val="none"/>
              </w:rPr>
              <w:t>注:须提供人员</w:t>
            </w:r>
            <w:r>
              <w:rPr>
                <w:rFonts w:hint="eastAsia" w:ascii="宋体" w:hAnsi="宋体" w:cs="宋体"/>
                <w:sz w:val="24"/>
                <w:highlight w:val="none"/>
                <w:lang w:val="en-US" w:eastAsia="zh-CN"/>
              </w:rPr>
              <w:t>相关</w:t>
            </w:r>
            <w:r>
              <w:rPr>
                <w:rFonts w:hint="eastAsia" w:ascii="宋体" w:hAnsi="宋体" w:cs="宋体"/>
                <w:sz w:val="24"/>
                <w:highlight w:val="none"/>
              </w:rPr>
              <w:t>证书和投标人为其缴纳近三个月（2023年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12</w:t>
            </w:r>
            <w:r>
              <w:rPr>
                <w:rFonts w:hint="eastAsia" w:ascii="宋体" w:hAnsi="宋体" w:cs="宋体"/>
                <w:sz w:val="24"/>
                <w:highlight w:val="none"/>
              </w:rPr>
              <w:t>月）社保缴纳证明，未提供或不符合以上条件不得分。</w:t>
            </w:r>
          </w:p>
        </w:tc>
        <w:tc>
          <w:tcPr>
            <w:tcW w:w="817" w:type="dxa"/>
            <w:vAlign w:val="center"/>
          </w:tcPr>
          <w:p>
            <w:pPr>
              <w:widowControl/>
              <w:jc w:val="both"/>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1579" w:type="dxa"/>
            <w:vAlign w:val="center"/>
          </w:tcPr>
          <w:p>
            <w:pPr>
              <w:ind w:left="-84" w:leftChars="-40"/>
              <w:jc w:val="center"/>
              <w:rPr>
                <w:rFonts w:hint="eastAsia" w:ascii="宋体" w:hAnsi="宋体" w:cs="宋体"/>
                <w:b w:val="0"/>
                <w:bCs/>
                <w:sz w:val="24"/>
                <w:highlight w:val="none"/>
              </w:rPr>
            </w:pPr>
            <w:r>
              <w:rPr>
                <w:rFonts w:hint="eastAsia" w:ascii="宋体" w:hAnsi="宋体" w:cs="宋体"/>
                <w:b w:val="0"/>
                <w:bCs/>
                <w:sz w:val="24"/>
                <w:highlight w:val="none"/>
              </w:rPr>
              <w:t>本项目熟悉</w:t>
            </w:r>
          </w:p>
          <w:p>
            <w:pPr>
              <w:ind w:left="-84" w:leftChars="-40"/>
              <w:jc w:val="center"/>
              <w:rPr>
                <w:rFonts w:ascii="宋体" w:hAnsi="宋体" w:cs="宋体"/>
                <w:b/>
                <w:sz w:val="24"/>
                <w:highlight w:val="none"/>
              </w:rPr>
            </w:pPr>
            <w:r>
              <w:rPr>
                <w:rFonts w:hint="eastAsia" w:ascii="宋体" w:hAnsi="宋体" w:cs="宋体"/>
                <w:b w:val="0"/>
                <w:bCs/>
                <w:sz w:val="24"/>
                <w:highlight w:val="none"/>
              </w:rPr>
              <w:t>程度</w:t>
            </w:r>
          </w:p>
        </w:tc>
        <w:tc>
          <w:tcPr>
            <w:tcW w:w="6828" w:type="dxa"/>
            <w:vAlign w:val="center"/>
          </w:tcPr>
          <w:p>
            <w:pPr>
              <w:rPr>
                <w:rFonts w:hint="eastAsia" w:ascii="宋体" w:hAnsi="宋体" w:cs="宋体"/>
                <w:sz w:val="24"/>
                <w:highlight w:val="none"/>
              </w:rPr>
            </w:pPr>
            <w:r>
              <w:rPr>
                <w:rFonts w:hint="eastAsia" w:ascii="宋体" w:hAnsi="宋体" w:cs="宋体"/>
                <w:sz w:val="24"/>
                <w:highlight w:val="none"/>
              </w:rPr>
              <w:t>根据投标人提供的针对本地块及周边情况的初步了解情况等方面进行相对比较、综合评议，酌情给分</w:t>
            </w:r>
            <w:r>
              <w:rPr>
                <w:rFonts w:hint="eastAsia" w:ascii="宋体" w:hAnsi="宋体" w:cs="宋体"/>
                <w:sz w:val="24"/>
                <w:highlight w:val="none"/>
                <w:lang w:eastAsia="zh-CN"/>
              </w:rPr>
              <w:t>（</w:t>
            </w:r>
            <w:r>
              <w:rPr>
                <w:rFonts w:hint="eastAsia" w:ascii="宋体" w:hAnsi="宋体" w:cs="宋体"/>
                <w:sz w:val="24"/>
                <w:highlight w:val="none"/>
                <w:lang w:val="en-US" w:eastAsia="zh-CN"/>
              </w:rPr>
              <w:t>0-20分）</w:t>
            </w:r>
            <w:r>
              <w:rPr>
                <w:rFonts w:hint="eastAsia" w:ascii="宋体" w:hAnsi="宋体" w:cs="宋体"/>
                <w:sz w:val="24"/>
                <w:highlight w:val="none"/>
              </w:rPr>
              <w:t>。</w:t>
            </w:r>
          </w:p>
        </w:tc>
        <w:tc>
          <w:tcPr>
            <w:tcW w:w="817" w:type="dxa"/>
            <w:vAlign w:val="center"/>
          </w:tcPr>
          <w:p>
            <w:pPr>
              <w:widowControl/>
              <w:jc w:val="both"/>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1579" w:type="dxa"/>
            <w:vAlign w:val="center"/>
          </w:tcPr>
          <w:p>
            <w:pPr>
              <w:ind w:left="-84" w:leftChars="-40"/>
              <w:jc w:val="center"/>
              <w:rPr>
                <w:rFonts w:ascii="宋体" w:hAnsi="宋体" w:cs="宋体"/>
                <w:sz w:val="24"/>
                <w:highlight w:val="none"/>
              </w:rPr>
            </w:pPr>
            <w:r>
              <w:rPr>
                <w:rFonts w:hint="eastAsia" w:ascii="宋体" w:hAnsi="宋体" w:cs="宋体"/>
                <w:sz w:val="24"/>
                <w:highlight w:val="none"/>
              </w:rPr>
              <w:t>组织实施方案及进度安排</w:t>
            </w:r>
          </w:p>
        </w:tc>
        <w:tc>
          <w:tcPr>
            <w:tcW w:w="6828" w:type="dxa"/>
            <w:vAlign w:val="center"/>
          </w:tcPr>
          <w:p>
            <w:pPr>
              <w:rPr>
                <w:rFonts w:hint="eastAsia" w:ascii="宋体" w:hAnsi="宋体" w:cs="宋体"/>
                <w:sz w:val="24"/>
                <w:highlight w:val="none"/>
              </w:rPr>
            </w:pPr>
            <w:r>
              <w:rPr>
                <w:rFonts w:hint="eastAsia" w:ascii="宋体" w:hAnsi="宋体" w:cs="宋体"/>
                <w:sz w:val="24"/>
                <w:highlight w:val="none"/>
              </w:rPr>
              <w:t>根据投标人提供的针对本</w:t>
            </w:r>
            <w:r>
              <w:rPr>
                <w:rFonts w:hint="eastAsia" w:ascii="宋体" w:hAnsi="宋体" w:cs="宋体"/>
                <w:sz w:val="24"/>
                <w:highlight w:val="none"/>
                <w:lang w:val="en-US" w:eastAsia="zh-CN"/>
              </w:rPr>
              <w:t>地块</w:t>
            </w:r>
            <w:r>
              <w:rPr>
                <w:rFonts w:hint="eastAsia" w:ascii="宋体" w:hAnsi="宋体" w:cs="宋体"/>
                <w:sz w:val="24"/>
                <w:highlight w:val="none"/>
              </w:rPr>
              <w:t>现场采样与调查监测方案</w:t>
            </w:r>
            <w:r>
              <w:rPr>
                <w:rFonts w:hint="eastAsia" w:ascii="宋体" w:hAnsi="宋体" w:cs="宋体"/>
                <w:sz w:val="24"/>
                <w:highlight w:val="none"/>
                <w:lang w:eastAsia="zh-CN"/>
              </w:rPr>
              <w:t>、</w:t>
            </w:r>
            <w:r>
              <w:rPr>
                <w:rFonts w:hint="eastAsia" w:ascii="宋体" w:hAnsi="宋体" w:cs="宋体"/>
                <w:sz w:val="24"/>
                <w:highlight w:val="none"/>
                <w:lang w:val="en-US" w:eastAsia="zh-CN"/>
              </w:rPr>
              <w:t>进度安排</w:t>
            </w:r>
            <w:r>
              <w:rPr>
                <w:rFonts w:hint="eastAsia" w:ascii="宋体" w:hAnsi="宋体" w:cs="宋体"/>
                <w:sz w:val="24"/>
                <w:highlight w:val="none"/>
              </w:rPr>
              <w:t>的合理性、可行性进行相对比较、综合评议，酌情给分</w:t>
            </w:r>
            <w:r>
              <w:rPr>
                <w:rFonts w:hint="eastAsia" w:ascii="宋体" w:hAnsi="宋体" w:cs="宋体"/>
                <w:sz w:val="24"/>
                <w:highlight w:val="none"/>
                <w:lang w:eastAsia="zh-CN"/>
              </w:rPr>
              <w:t>（</w:t>
            </w:r>
            <w:r>
              <w:rPr>
                <w:rFonts w:hint="eastAsia" w:ascii="宋体" w:hAnsi="宋体" w:cs="宋体"/>
                <w:sz w:val="24"/>
                <w:highlight w:val="none"/>
                <w:lang w:val="en-US" w:eastAsia="zh-CN"/>
              </w:rPr>
              <w:t>0-20分）</w:t>
            </w:r>
            <w:r>
              <w:rPr>
                <w:rFonts w:hint="eastAsia" w:ascii="宋体" w:hAnsi="宋体" w:cs="宋体"/>
                <w:sz w:val="24"/>
                <w:highlight w:val="none"/>
              </w:rPr>
              <w:t>。</w:t>
            </w:r>
          </w:p>
        </w:tc>
        <w:tc>
          <w:tcPr>
            <w:tcW w:w="817" w:type="dxa"/>
            <w:vAlign w:val="center"/>
          </w:tcPr>
          <w:p>
            <w:pPr>
              <w:widowControl/>
              <w:jc w:val="center"/>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1579" w:type="dxa"/>
            <w:vAlign w:val="center"/>
          </w:tcPr>
          <w:p>
            <w:pPr>
              <w:ind w:left="-84" w:leftChars="-40"/>
              <w:jc w:val="center"/>
              <w:rPr>
                <w:rFonts w:ascii="宋体" w:hAnsi="宋体" w:cs="宋体"/>
                <w:sz w:val="24"/>
                <w:highlight w:val="none"/>
              </w:rPr>
            </w:pPr>
            <w:r>
              <w:rPr>
                <w:rFonts w:hint="eastAsia" w:ascii="宋体" w:hAnsi="宋体" w:cs="宋体"/>
                <w:sz w:val="24"/>
                <w:highlight w:val="none"/>
              </w:rPr>
              <w:t>成果、质量及安全保障体系</w:t>
            </w:r>
          </w:p>
        </w:tc>
        <w:tc>
          <w:tcPr>
            <w:tcW w:w="6828" w:type="dxa"/>
            <w:vAlign w:val="center"/>
          </w:tcPr>
          <w:p>
            <w:pPr>
              <w:jc w:val="left"/>
              <w:rPr>
                <w:rFonts w:ascii="宋体" w:hAnsi="宋体" w:cs="宋体"/>
                <w:kern w:val="0"/>
                <w:sz w:val="24"/>
                <w:highlight w:val="none"/>
              </w:rPr>
            </w:pPr>
            <w:r>
              <w:rPr>
                <w:rFonts w:hint="eastAsia" w:ascii="宋体" w:hAnsi="宋体" w:cs="宋体"/>
                <w:sz w:val="24"/>
                <w:highlight w:val="none"/>
              </w:rPr>
              <w:t>根据投标人提供的针对本</w:t>
            </w:r>
            <w:r>
              <w:rPr>
                <w:rFonts w:hint="eastAsia" w:ascii="宋体" w:hAnsi="宋体" w:cs="宋体"/>
                <w:sz w:val="24"/>
                <w:highlight w:val="none"/>
                <w:lang w:val="en-US" w:eastAsia="zh-CN"/>
              </w:rPr>
              <w:t>项目成果、质量及安全保障体系方案</w:t>
            </w:r>
            <w:r>
              <w:rPr>
                <w:rFonts w:hint="eastAsia" w:ascii="宋体" w:hAnsi="宋体" w:cs="宋体"/>
                <w:sz w:val="24"/>
                <w:highlight w:val="none"/>
              </w:rPr>
              <w:t>的合理性、可行性进行相对比较、综合评议，酌情给分</w:t>
            </w:r>
            <w:r>
              <w:rPr>
                <w:rFonts w:hint="eastAsia" w:ascii="宋体" w:hAnsi="宋体" w:cs="宋体"/>
                <w:sz w:val="24"/>
                <w:highlight w:val="none"/>
                <w:lang w:eastAsia="zh-CN"/>
              </w:rPr>
              <w:t>（</w:t>
            </w:r>
            <w:r>
              <w:rPr>
                <w:rFonts w:hint="eastAsia" w:ascii="宋体" w:hAnsi="宋体" w:cs="宋体"/>
                <w:sz w:val="24"/>
                <w:highlight w:val="none"/>
                <w:lang w:val="en-US" w:eastAsia="zh-CN"/>
              </w:rPr>
              <w:t>0-10分）</w:t>
            </w:r>
            <w:r>
              <w:rPr>
                <w:rFonts w:hint="eastAsia" w:ascii="宋体" w:hAnsi="宋体" w:cs="宋体"/>
                <w:sz w:val="24"/>
                <w:highlight w:val="none"/>
              </w:rPr>
              <w:t>。</w:t>
            </w:r>
          </w:p>
        </w:tc>
        <w:tc>
          <w:tcPr>
            <w:tcW w:w="817" w:type="dxa"/>
            <w:vAlign w:val="center"/>
          </w:tcPr>
          <w:p>
            <w:pPr>
              <w:jc w:val="center"/>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579" w:type="dxa"/>
            <w:vAlign w:val="center"/>
          </w:tcPr>
          <w:p>
            <w:pPr>
              <w:ind w:left="-84" w:leftChars="-40"/>
              <w:jc w:val="center"/>
              <w:rPr>
                <w:rFonts w:ascii="宋体" w:hAnsi="宋体" w:cs="宋体"/>
                <w:sz w:val="24"/>
                <w:highlight w:val="none"/>
              </w:rPr>
            </w:pPr>
            <w:r>
              <w:rPr>
                <w:rFonts w:hint="eastAsia" w:ascii="宋体" w:hAnsi="宋体" w:cs="宋体"/>
                <w:sz w:val="24"/>
                <w:highlight w:val="none"/>
              </w:rPr>
              <w:t>后期服务</w:t>
            </w:r>
          </w:p>
        </w:tc>
        <w:tc>
          <w:tcPr>
            <w:tcW w:w="6828" w:type="dxa"/>
            <w:vAlign w:val="center"/>
          </w:tcPr>
          <w:p>
            <w:pPr>
              <w:jc w:val="left"/>
              <w:rPr>
                <w:rFonts w:hint="eastAsia" w:ascii="宋体" w:hAnsi="宋体" w:cs="宋体" w:eastAsiaTheme="minorEastAsia"/>
                <w:kern w:val="0"/>
                <w:sz w:val="24"/>
                <w:highlight w:val="none"/>
                <w:lang w:eastAsia="zh-CN"/>
              </w:rPr>
            </w:pPr>
            <w:r>
              <w:rPr>
                <w:rFonts w:hint="eastAsia" w:ascii="宋体" w:hAnsi="宋体" w:cs="宋体"/>
                <w:kern w:val="0"/>
                <w:sz w:val="24"/>
                <w:highlight w:val="none"/>
              </w:rPr>
              <w:t>根据</w:t>
            </w:r>
            <w:r>
              <w:rPr>
                <w:rFonts w:hint="eastAsia" w:ascii="宋体" w:hAnsi="宋体" w:cs="宋体"/>
                <w:kern w:val="0"/>
                <w:sz w:val="24"/>
                <w:highlight w:val="none"/>
                <w:lang w:val="en-US" w:eastAsia="zh-CN"/>
              </w:rPr>
              <w:t>投标人对后期</w:t>
            </w:r>
            <w:r>
              <w:rPr>
                <w:rFonts w:hint="eastAsia" w:ascii="宋体" w:hAnsi="宋体" w:cs="宋体"/>
                <w:kern w:val="0"/>
                <w:sz w:val="24"/>
                <w:highlight w:val="none"/>
              </w:rPr>
              <w:t>服务安排</w:t>
            </w:r>
            <w:r>
              <w:rPr>
                <w:rFonts w:hint="eastAsia" w:ascii="宋体" w:hAnsi="宋体" w:cs="宋体"/>
                <w:kern w:val="0"/>
                <w:sz w:val="24"/>
                <w:highlight w:val="none"/>
                <w:lang w:val="en-US" w:eastAsia="zh-CN"/>
              </w:rPr>
              <w:t>方案</w:t>
            </w:r>
            <w:r>
              <w:rPr>
                <w:rFonts w:hint="eastAsia" w:ascii="宋体" w:hAnsi="宋体" w:cs="宋体"/>
                <w:kern w:val="0"/>
                <w:sz w:val="24"/>
                <w:highlight w:val="none"/>
              </w:rPr>
              <w:t>优劣评分</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0-5分）</w:t>
            </w:r>
            <w:r>
              <w:rPr>
                <w:rFonts w:hint="eastAsia" w:ascii="宋体" w:hAnsi="宋体" w:cs="宋体"/>
                <w:kern w:val="0"/>
                <w:sz w:val="24"/>
                <w:highlight w:val="none"/>
                <w:lang w:eastAsia="zh-CN"/>
              </w:rPr>
              <w:t>。</w:t>
            </w:r>
          </w:p>
        </w:tc>
        <w:tc>
          <w:tcPr>
            <w:tcW w:w="817" w:type="dxa"/>
            <w:vAlign w:val="center"/>
          </w:tcPr>
          <w:p>
            <w:pPr>
              <w:jc w:val="center"/>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579" w:type="dxa"/>
            <w:vAlign w:val="center"/>
          </w:tcPr>
          <w:p>
            <w:pPr>
              <w:jc w:val="center"/>
              <w:rPr>
                <w:rFonts w:ascii="宋体" w:hAnsi="宋体" w:cs="宋体"/>
                <w:kern w:val="0"/>
                <w:sz w:val="24"/>
                <w:highlight w:val="none"/>
              </w:rPr>
            </w:pPr>
            <w:r>
              <w:rPr>
                <w:rFonts w:hint="eastAsia" w:ascii="宋体" w:hAnsi="宋体" w:cs="宋体"/>
                <w:kern w:val="0"/>
                <w:sz w:val="24"/>
                <w:highlight w:val="none"/>
              </w:rPr>
              <w:t>质量承诺</w:t>
            </w:r>
          </w:p>
        </w:tc>
        <w:tc>
          <w:tcPr>
            <w:tcW w:w="6828" w:type="dxa"/>
            <w:vAlign w:val="center"/>
          </w:tcPr>
          <w:p>
            <w:pPr>
              <w:jc w:val="left"/>
              <w:rPr>
                <w:rFonts w:hint="eastAsia" w:ascii="宋体" w:hAnsi="宋体" w:cs="宋体" w:eastAsiaTheme="minorEastAsia"/>
                <w:kern w:val="0"/>
                <w:sz w:val="24"/>
                <w:highlight w:val="none"/>
                <w:lang w:eastAsia="zh-CN"/>
              </w:rPr>
            </w:pPr>
            <w:r>
              <w:rPr>
                <w:rFonts w:hint="eastAsia" w:ascii="宋体" w:hAnsi="宋体" w:cs="宋体"/>
                <w:kern w:val="0"/>
                <w:sz w:val="24"/>
                <w:highlight w:val="none"/>
                <w:lang w:val="en-US" w:eastAsia="zh-CN"/>
              </w:rPr>
              <w:t>根据</w:t>
            </w:r>
            <w:r>
              <w:rPr>
                <w:rFonts w:hint="eastAsia" w:ascii="宋体" w:hAnsi="宋体" w:cs="宋体"/>
                <w:kern w:val="0"/>
                <w:sz w:val="24"/>
                <w:highlight w:val="none"/>
              </w:rPr>
              <w:t>投标人服务质量承诺</w:t>
            </w:r>
            <w:r>
              <w:rPr>
                <w:rFonts w:hint="eastAsia" w:ascii="宋体" w:hAnsi="宋体" w:cs="宋体"/>
                <w:kern w:val="0"/>
                <w:sz w:val="24"/>
                <w:highlight w:val="none"/>
                <w:lang w:val="en-US" w:eastAsia="zh-CN"/>
              </w:rPr>
              <w:t>的</w:t>
            </w:r>
            <w:r>
              <w:rPr>
                <w:rFonts w:hint="eastAsia" w:ascii="宋体" w:hAnsi="宋体" w:cs="宋体"/>
                <w:kern w:val="0"/>
                <w:sz w:val="24"/>
                <w:highlight w:val="none"/>
              </w:rPr>
              <w:t>全面性及可行性进行</w:t>
            </w:r>
            <w:r>
              <w:rPr>
                <w:rFonts w:hint="eastAsia" w:ascii="宋体" w:hAnsi="宋体" w:cs="宋体"/>
                <w:kern w:val="0"/>
                <w:sz w:val="24"/>
                <w:highlight w:val="none"/>
                <w:lang w:val="en-US" w:eastAsia="zh-CN"/>
              </w:rPr>
              <w:t>评</w:t>
            </w:r>
            <w:r>
              <w:rPr>
                <w:rFonts w:hint="eastAsia" w:ascii="宋体" w:hAnsi="宋体" w:cs="宋体"/>
                <w:kern w:val="0"/>
                <w:sz w:val="24"/>
                <w:highlight w:val="none"/>
              </w:rPr>
              <w:t>分</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0-5分）</w:t>
            </w:r>
            <w:r>
              <w:rPr>
                <w:rFonts w:hint="eastAsia" w:ascii="宋体" w:hAnsi="宋体" w:cs="宋体"/>
                <w:kern w:val="0"/>
                <w:sz w:val="24"/>
                <w:highlight w:val="none"/>
                <w:lang w:eastAsia="zh-CN"/>
              </w:rPr>
              <w:t>。</w:t>
            </w:r>
          </w:p>
        </w:tc>
        <w:tc>
          <w:tcPr>
            <w:tcW w:w="817" w:type="dxa"/>
            <w:vAlign w:val="center"/>
          </w:tcPr>
          <w:p>
            <w:pPr>
              <w:jc w:val="center"/>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1579" w:type="dxa"/>
            <w:vAlign w:val="center"/>
          </w:tcPr>
          <w:p>
            <w:pPr>
              <w:jc w:val="center"/>
              <w:rPr>
                <w:rFonts w:ascii="宋体" w:hAnsi="宋体" w:cs="宋体"/>
                <w:kern w:val="0"/>
                <w:sz w:val="24"/>
                <w:highlight w:val="none"/>
              </w:rPr>
            </w:pPr>
            <w:r>
              <w:rPr>
                <w:rFonts w:hint="eastAsia" w:ascii="宋体" w:hAnsi="宋体" w:cs="宋体"/>
                <w:kern w:val="0"/>
                <w:sz w:val="24"/>
                <w:highlight w:val="none"/>
              </w:rPr>
              <w:t>合理化建议和改进措施</w:t>
            </w:r>
          </w:p>
        </w:tc>
        <w:tc>
          <w:tcPr>
            <w:tcW w:w="6828" w:type="dxa"/>
            <w:vAlign w:val="center"/>
          </w:tcPr>
          <w:p>
            <w:pPr>
              <w:jc w:val="left"/>
              <w:rPr>
                <w:rFonts w:hint="eastAsia" w:ascii="宋体" w:hAnsi="宋体" w:cs="宋体" w:eastAsiaTheme="minorEastAsia"/>
                <w:kern w:val="0"/>
                <w:sz w:val="24"/>
                <w:highlight w:val="none"/>
                <w:lang w:eastAsia="zh-CN"/>
              </w:rPr>
            </w:pPr>
            <w:r>
              <w:rPr>
                <w:rFonts w:hint="eastAsia" w:ascii="宋体" w:hAnsi="宋体" w:cs="宋体"/>
                <w:kern w:val="0"/>
                <w:sz w:val="24"/>
                <w:highlight w:val="none"/>
              </w:rPr>
              <w:t>根据投标人对本项目的合理化建议及改进措施的合理、可行性，进行综合评</w:t>
            </w:r>
            <w:r>
              <w:rPr>
                <w:rFonts w:hint="eastAsia" w:ascii="宋体" w:hAnsi="宋体" w:cs="宋体"/>
                <w:kern w:val="0"/>
                <w:sz w:val="24"/>
                <w:highlight w:val="none"/>
                <w:lang w:val="en-US" w:eastAsia="zh-CN"/>
              </w:rPr>
              <w:t>分（0-10分）</w:t>
            </w:r>
            <w:r>
              <w:rPr>
                <w:rFonts w:hint="eastAsia" w:ascii="宋体" w:hAnsi="宋体" w:cs="宋体"/>
                <w:kern w:val="0"/>
                <w:sz w:val="24"/>
                <w:highlight w:val="none"/>
                <w:lang w:eastAsia="zh-CN"/>
              </w:rPr>
              <w:t>。</w:t>
            </w:r>
          </w:p>
        </w:tc>
        <w:tc>
          <w:tcPr>
            <w:tcW w:w="817" w:type="dxa"/>
            <w:vAlign w:val="center"/>
          </w:tcPr>
          <w:p>
            <w:pPr>
              <w:pStyle w:val="19"/>
              <w:adjustRightInd w:val="0"/>
              <w:jc w:val="center"/>
              <w:rPr>
                <w:rFonts w:hAnsi="宋体"/>
                <w:sz w:val="24"/>
                <w:szCs w:val="24"/>
                <w:highlight w:val="none"/>
              </w:rPr>
            </w:pPr>
            <w:r>
              <w:rPr>
                <w:rFonts w:hint="eastAsia" w:hAnsi="宋体"/>
                <w:sz w:val="24"/>
                <w:szCs w:val="24"/>
                <w:highlight w:val="none"/>
                <w:lang w:val="en-US" w:eastAsia="zh-CN"/>
              </w:rPr>
              <w:t>10</w:t>
            </w:r>
            <w:r>
              <w:rPr>
                <w:rFonts w:hint="eastAsia" w:hAnsi="宋体" w:cs="宋体"/>
                <w:sz w:val="24"/>
                <w:szCs w:val="24"/>
                <w:highlight w:val="none"/>
              </w:rPr>
              <w:t>分</w:t>
            </w:r>
          </w:p>
        </w:tc>
      </w:tr>
    </w:tbl>
    <w:p>
      <w:pPr>
        <w:spacing w:afterLines="50" w:line="240" w:lineRule="auto"/>
        <w:rPr>
          <w:rFonts w:asciiTheme="minorEastAsia" w:hAnsiTheme="minorEastAsia" w:eastAsiaTheme="minorEastAsia"/>
          <w:b/>
          <w:bCs/>
          <w:color w:val="000000"/>
          <w:sz w:val="24"/>
        </w:rPr>
      </w:pPr>
      <w:r>
        <w:rPr>
          <w:rFonts w:asciiTheme="minorEastAsia" w:hAnsiTheme="minorEastAsia" w:eastAsiaTheme="minorEastAsia"/>
          <w:b/>
          <w:bCs/>
          <w:color w:val="000000"/>
          <w:sz w:val="24"/>
        </w:rPr>
        <w:t>（</w:t>
      </w:r>
      <w:r>
        <w:rPr>
          <w:rFonts w:hint="eastAsia" w:asciiTheme="minorEastAsia" w:hAnsiTheme="minorEastAsia" w:eastAsiaTheme="minorEastAsia"/>
          <w:b/>
          <w:bCs/>
          <w:color w:val="000000"/>
          <w:sz w:val="24"/>
          <w:lang w:val="en-US" w:eastAsia="zh-CN"/>
        </w:rPr>
        <w:t>三</w:t>
      </w:r>
      <w:r>
        <w:rPr>
          <w:rFonts w:asciiTheme="minorEastAsia" w:hAnsiTheme="minorEastAsia" w:eastAsiaTheme="minorEastAsia"/>
          <w:b/>
          <w:bCs/>
          <w:color w:val="000000"/>
          <w:sz w:val="24"/>
        </w:rPr>
        <w:t>）商务技术分的计算</w:t>
      </w:r>
    </w:p>
    <w:p>
      <w:pPr>
        <w:spacing w:after="120" w:line="24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商务技术分按照评标委员会成员的独立评分结果汇总数,以算术平均分计算，计算公式为：</w:t>
      </w:r>
    </w:p>
    <w:p>
      <w:pPr>
        <w:spacing w:after="120"/>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商务技术分=（评标委员会所有成员评分合计数）/（评标委员会组成人员数）</w:t>
      </w:r>
    </w:p>
    <w:p>
      <w:pPr>
        <w:spacing w:line="360" w:lineRule="auto"/>
        <w:ind w:left="87" w:right="172"/>
        <w:jc w:val="center"/>
        <w:rPr>
          <w:b/>
          <w:sz w:val="72"/>
        </w:rPr>
        <w:sectPr>
          <w:pgSz w:w="11910" w:h="16840"/>
          <w:pgMar w:top="1134" w:right="1344" w:bottom="1134" w:left="1304" w:header="0" w:footer="993" w:gutter="0"/>
          <w:pgNumType w:fmt="decimal"/>
          <w:cols w:space="0" w:num="1"/>
        </w:sectPr>
      </w:pPr>
    </w:p>
    <w:p>
      <w:pPr>
        <w:pStyle w:val="124"/>
        <w:spacing w:before="0"/>
        <w:ind w:firstLine="320" w:firstLineChars="100"/>
        <w:jc w:val="center"/>
        <w:rPr>
          <w:rFonts w:ascii="宋体" w:hAnsi="宋体"/>
          <w:sz w:val="32"/>
          <w:szCs w:val="32"/>
        </w:rPr>
      </w:pPr>
      <w:r>
        <w:rPr>
          <w:rFonts w:hint="eastAsia" w:ascii="宋体" w:hAnsi="宋体"/>
          <w:sz w:val="32"/>
          <w:szCs w:val="32"/>
        </w:rPr>
        <w:t>第五章采购合同（范本）</w:t>
      </w:r>
    </w:p>
    <w:p>
      <w:pPr>
        <w:spacing w:line="480" w:lineRule="auto"/>
        <w:rPr>
          <w:rFonts w:cs="宋体" w:asciiTheme="minorEastAsia" w:hAnsiTheme="minorEastAsia" w:eastAsiaTheme="minorEastAsia"/>
          <w:b/>
          <w:sz w:val="24"/>
        </w:rPr>
      </w:pP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采购合同参考范本</w:t>
      </w: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（服务类）</w:t>
      </w:r>
    </w:p>
    <w:p>
      <w:pPr>
        <w:pStyle w:val="180"/>
        <w:rPr>
          <w:rFonts w:cs="宋体" w:asciiTheme="minorEastAsia" w:hAnsiTheme="minorEastAsia" w:eastAsiaTheme="minorEastAsia"/>
          <w:szCs w:val="24"/>
        </w:rPr>
      </w:pPr>
    </w:p>
    <w:p>
      <w:pPr>
        <w:pStyle w:val="180"/>
        <w:ind w:left="0" w:leftChars="0" w:firstLine="0" w:firstLineChars="0"/>
        <w:rPr>
          <w:rFonts w:cs="宋体" w:asciiTheme="minorEastAsia" w:hAnsiTheme="minorEastAsia" w:eastAsiaTheme="minorEastAsia"/>
          <w:szCs w:val="24"/>
        </w:rPr>
      </w:pPr>
    </w:p>
    <w:p>
      <w:pPr>
        <w:pStyle w:val="180"/>
        <w:ind w:firstLine="2843" w:firstLineChars="1180"/>
        <w:rPr>
          <w:rFonts w:cs="宋体" w:asciiTheme="minorEastAsia" w:hAnsiTheme="minorEastAsia" w:eastAsiaTheme="minorEastAsia"/>
          <w:b/>
          <w:szCs w:val="24"/>
        </w:rPr>
      </w:pPr>
      <w:r>
        <w:rPr>
          <w:rFonts w:hint="eastAsia" w:cs="宋体" w:asciiTheme="minorEastAsia" w:hAnsiTheme="minorEastAsia" w:eastAsiaTheme="minorEastAsia"/>
          <w:b/>
          <w:szCs w:val="24"/>
        </w:rPr>
        <w:t>第一部分 合同书</w:t>
      </w:r>
    </w:p>
    <w:p>
      <w:pPr>
        <w:pStyle w:val="180"/>
        <w:rPr>
          <w:rFonts w:cs="宋体" w:asciiTheme="minorEastAsia" w:hAnsiTheme="minorEastAsia" w:eastAsiaTheme="minorEastAsia"/>
          <w:szCs w:val="24"/>
        </w:rPr>
      </w:pPr>
    </w:p>
    <w:p>
      <w:pPr>
        <w:pStyle w:val="180"/>
        <w:rPr>
          <w:rFonts w:cs="宋体" w:asciiTheme="minorEastAsia" w:hAnsiTheme="minorEastAsia" w:eastAsiaTheme="minorEastAsia"/>
          <w:szCs w:val="24"/>
        </w:rPr>
      </w:pPr>
    </w:p>
    <w:p>
      <w:pPr>
        <w:spacing w:before="120" w:line="22" w:lineRule="atLeast"/>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p>
      <w:pPr>
        <w:pStyle w:val="179"/>
        <w:spacing w:before="120" w:line="22" w:lineRule="atLeast"/>
        <w:rPr>
          <w:rFonts w:cs="宋体" w:asciiTheme="minorEastAsia" w:hAnsiTheme="minorEastAsia" w:eastAsiaTheme="minorEastAsia"/>
          <w:szCs w:val="24"/>
        </w:rPr>
      </w:pPr>
    </w:p>
    <w:p>
      <w:pPr>
        <w:pStyle w:val="179"/>
        <w:spacing w:before="120" w:line="22" w:lineRule="atLeast"/>
        <w:rPr>
          <w:rFonts w:cs="宋体" w:asciiTheme="minorEastAsia" w:hAnsiTheme="minorEastAsia" w:eastAsiaTheme="minorEastAsia"/>
          <w:szCs w:val="24"/>
        </w:rPr>
      </w:pPr>
    </w:p>
    <w:p>
      <w:pPr>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甲方：</w:t>
      </w:r>
    </w:p>
    <w:p>
      <w:pPr>
        <w:spacing w:before="120" w:line="22" w:lineRule="atLeast"/>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乙方：</w:t>
      </w:r>
    </w:p>
    <w:p>
      <w:pPr>
        <w:spacing w:before="120" w:line="22" w:lineRule="atLeast"/>
        <w:rPr>
          <w:rFonts w:cs="宋体" w:asciiTheme="minorEastAsia" w:hAnsiTheme="minorEastAsia" w:eastAsiaTheme="minorEastAsia"/>
          <w:sz w:val="24"/>
        </w:rPr>
      </w:pPr>
    </w:p>
    <w:p>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签订地：</w:t>
      </w:r>
    </w:p>
    <w:p>
      <w:pPr>
        <w:spacing w:before="120" w:line="22" w:lineRule="atLeast"/>
        <w:rPr>
          <w:rFonts w:cs="宋体" w:asciiTheme="minorEastAsia" w:hAnsiTheme="minorEastAsia" w:eastAsiaTheme="minorEastAsia"/>
          <w:sz w:val="24"/>
        </w:rPr>
      </w:pPr>
    </w:p>
    <w:p>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签订日期：年月日</w:t>
      </w:r>
    </w:p>
    <w:p>
      <w:pPr>
        <w:widowControl/>
        <w:jc w:val="left"/>
        <w:rPr>
          <w:rFonts w:cs="宋体" w:asciiTheme="minorEastAsia" w:hAnsiTheme="minorEastAsia" w:eastAsiaTheme="minorEastAsia"/>
          <w:kern w:val="0"/>
          <w:sz w:val="24"/>
        </w:rPr>
        <w:sectPr>
          <w:pgSz w:w="11907" w:h="16840"/>
          <w:pgMar w:top="1440" w:right="1417" w:bottom="1440" w:left="1417" w:header="851" w:footer="850" w:gutter="0"/>
          <w:pgNumType w:fmt="decimal"/>
          <w:cols w:space="0" w:num="1"/>
        </w:sectPr>
      </w:pP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年月日</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rPr>
        <w:t>以</w:t>
      </w:r>
      <w:r>
        <w:rPr>
          <w:rFonts w:hint="eastAsia" w:cs="宋体" w:asciiTheme="minorEastAsia" w:hAnsiTheme="minorEastAsia" w:eastAsiaTheme="minorEastAsia"/>
          <w:sz w:val="24"/>
          <w:u w:val="single"/>
        </w:rPr>
        <w:t xml:space="preserve">   （采购方式）  </w:t>
      </w:r>
      <w:r>
        <w:rPr>
          <w:rFonts w:hint="eastAsia" w:cs="宋体" w:asciiTheme="minorEastAsia" w:hAnsiTheme="minorEastAsia" w:eastAsiaTheme="minorEastAsia"/>
          <w:sz w:val="24"/>
        </w:rPr>
        <w:t>对</w:t>
      </w:r>
      <w:r>
        <w:rPr>
          <w:rFonts w:hint="eastAsia" w:cs="宋体" w:asciiTheme="minorEastAsia" w:hAnsiTheme="minorEastAsia" w:eastAsiaTheme="minorEastAsia"/>
          <w:sz w:val="24"/>
          <w:u w:val="single"/>
        </w:rPr>
        <w:t xml:space="preserve">   （项目名称）   </w:t>
      </w:r>
      <w:r>
        <w:rPr>
          <w:rFonts w:hint="eastAsia" w:cs="宋体" w:asciiTheme="minorEastAsia" w:hAnsiTheme="minorEastAsia" w:eastAsiaTheme="minorEastAsia"/>
          <w:sz w:val="24"/>
        </w:rPr>
        <w:t>项目进行了采购。经评定，</w:t>
      </w:r>
      <w:r>
        <w:rPr>
          <w:rFonts w:hint="eastAsia" w:cs="宋体" w:asciiTheme="minorEastAsia" w:hAnsiTheme="minorEastAsia" w:eastAsiaTheme="minorEastAsia"/>
          <w:sz w:val="24"/>
          <w:u w:val="single"/>
        </w:rPr>
        <w:t xml:space="preserve">   （中标供应商名称）</w:t>
      </w:r>
      <w:r>
        <w:rPr>
          <w:rFonts w:hint="eastAsia" w:cs="宋体" w:asciiTheme="minorEastAsia" w:hAnsiTheme="minorEastAsia" w:eastAsiaTheme="minorEastAsia"/>
          <w:sz w:val="24"/>
        </w:rPr>
        <w:t>为该项目中标供应商。现于中标通知书发出之日起三十日内，按照采购文件确定的事项签订本合同。</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根据《中华人民共和国民法典》等相关法律法规之规定，按照平等、自愿、公平、诚实信用和绿色的原则，经</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lang w:val="zh-CN"/>
        </w:rPr>
        <w:t>(以下简称：甲方)和</w:t>
      </w:r>
      <w:r>
        <w:rPr>
          <w:rFonts w:hint="eastAsia" w:cs="宋体" w:asciiTheme="minorEastAsia" w:hAnsiTheme="minorEastAsia" w:eastAsiaTheme="minorEastAsia"/>
          <w:sz w:val="24"/>
          <w:u w:val="single"/>
        </w:rPr>
        <w:t xml:space="preserve">   （中标供应商名称）   </w:t>
      </w:r>
      <w:r>
        <w:rPr>
          <w:rFonts w:hint="eastAsia" w:cs="宋体" w:asciiTheme="minorEastAsia" w:hAnsiTheme="minorEastAsia" w:eastAsiaTheme="minorEastAsia"/>
          <w:sz w:val="24"/>
          <w:lang w:val="zh-CN"/>
        </w:rPr>
        <w:t>(以下简称：乙方)协商一致，约定以下合同</w:t>
      </w:r>
      <w:r>
        <w:rPr>
          <w:rFonts w:hint="eastAsia" w:cs="宋体" w:asciiTheme="minorEastAsia" w:hAnsiTheme="minorEastAsia" w:eastAsiaTheme="minorEastAsia"/>
          <w:sz w:val="24"/>
        </w:rPr>
        <w:t>条款，以兹共同遵守、全面履行。</w:t>
      </w:r>
    </w:p>
    <w:p>
      <w:pPr>
        <w:spacing w:line="288" w:lineRule="auto"/>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第一条：服务内容</w:t>
      </w:r>
    </w:p>
    <w:tbl>
      <w:tblPr>
        <w:tblStyle w:val="3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992"/>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具体服务</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数量</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金额</w:t>
            </w: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中标单价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1</w:t>
            </w:r>
          </w:p>
        </w:tc>
        <w:tc>
          <w:tcPr>
            <w:tcW w:w="2694" w:type="dxa"/>
            <w:tcBorders>
              <w:top w:val="single" w:color="auto" w:sz="4" w:space="0"/>
              <w:left w:val="single" w:color="auto" w:sz="4" w:space="0"/>
              <w:bottom w:val="single" w:color="auto" w:sz="4" w:space="0"/>
              <w:right w:val="single" w:color="auto" w:sz="4" w:space="0"/>
            </w:tcBorders>
            <w:noWrap/>
            <w:vAlign w:val="center"/>
          </w:tcPr>
          <w:p>
            <w:pPr>
              <w:spacing w:line="288" w:lineRule="auto"/>
              <w:ind w:left="178" w:leftChars="85"/>
              <w:jc w:val="center"/>
              <w:rPr>
                <w:rFonts w:cs="宋体" w:asciiTheme="minorEastAsia" w:hAnsiTheme="minorEastAsia" w:eastAsiaTheme="minorEastAsia"/>
                <w:spacing w:val="-6"/>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p>
        </w:tc>
      </w:tr>
    </w:tbl>
    <w:p>
      <w:pPr>
        <w:snapToGrid w:val="0"/>
        <w:spacing w:line="360" w:lineRule="auto"/>
        <w:ind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注：投标报价应包括投标总报价是指综合费用，包括人员工资、交通、住宿、税金、保险、验收、报审过程中以及在履行本合同时的现场踏勘、资料收集、调查等的全部费用。</w:t>
      </w:r>
    </w:p>
    <w:p>
      <w:pPr>
        <w:snapToGrid w:val="0"/>
        <w:spacing w:line="360" w:lineRule="auto"/>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第二条：服务期限：</w:t>
      </w:r>
    </w:p>
    <w:p>
      <w:pPr>
        <w:snapToGrid w:val="0"/>
        <w:spacing w:line="360" w:lineRule="auto"/>
        <w:rPr>
          <w:rFonts w:cs="宋体" w:asciiTheme="minorEastAsia" w:hAnsiTheme="minorEastAsia" w:eastAsiaTheme="minorEastAsia"/>
          <w:bCs/>
          <w:spacing w:val="-6"/>
          <w:sz w:val="24"/>
        </w:rPr>
      </w:pPr>
      <w:r>
        <w:rPr>
          <w:rFonts w:hint="eastAsia" w:cs="宋体" w:asciiTheme="minorEastAsia" w:hAnsiTheme="minorEastAsia" w:eastAsiaTheme="minorEastAsia"/>
          <w:b/>
          <w:spacing w:val="-6"/>
          <w:sz w:val="24"/>
        </w:rPr>
        <w:t>第三条：执行技术标准：</w:t>
      </w:r>
      <w:r>
        <w:rPr>
          <w:rFonts w:hint="eastAsia" w:cs="宋体" w:asciiTheme="minorEastAsia" w:hAnsiTheme="minorEastAsia" w:eastAsiaTheme="minorEastAsia"/>
          <w:bCs/>
          <w:spacing w:val="-6"/>
          <w:sz w:val="24"/>
        </w:rPr>
        <w:t>提交成果必须符合国家相关规程和规范要求</w:t>
      </w:r>
    </w:p>
    <w:p>
      <w:pPr>
        <w:snapToGrid w:val="0"/>
        <w:spacing w:line="360" w:lineRule="auto"/>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第四条：付款方式：</w:t>
      </w:r>
    </w:p>
    <w:p>
      <w:pPr>
        <w:autoSpaceDE w:val="0"/>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乙方开户行名称：_____________________</w:t>
      </w:r>
    </w:p>
    <w:p>
      <w:pPr>
        <w:topLinePunct/>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开户行账号：_________________________</w:t>
      </w:r>
    </w:p>
    <w:p>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第五条：履约保证金：</w:t>
      </w:r>
    </w:p>
    <w:p>
      <w:pPr>
        <w:autoSpaceDE w:val="0"/>
        <w:spacing w:line="360" w:lineRule="auto"/>
        <w:rPr>
          <w:rFonts w:cs="宋体" w:asciiTheme="minorEastAsia" w:hAnsiTheme="minorEastAsia" w:eastAsiaTheme="minorEastAsia"/>
          <w:b/>
          <w:sz w:val="24"/>
        </w:rPr>
      </w:pPr>
      <w:r>
        <w:rPr>
          <w:rFonts w:hint="eastAsia" w:ascii="宋体" w:hAnsi="宋体"/>
          <w:sz w:val="24"/>
        </w:rPr>
        <w:t>本项目无须缴纳履约保证金</w:t>
      </w:r>
    </w:p>
    <w:p>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第六条：知识产权</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乙方应保证提供服务过程中不会侵犯任何第三方的知识产权。</w:t>
      </w:r>
    </w:p>
    <w:p>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第七条：转包或分包</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1.本合同范围的服务，应由乙方直接供应，不得转让他人供应；</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2.除非得到甲方的书面同意，乙方不得将本合同范围的服务全部或部分分包给他人供应；</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3.如有转让和未经甲方同意的分包行为，甲方有权解除合同，并追究乙方的违约责任。</w:t>
      </w:r>
    </w:p>
    <w:p>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sz w:val="24"/>
        </w:rPr>
        <w:t>第八条：</w:t>
      </w:r>
      <w:r>
        <w:rPr>
          <w:rFonts w:hint="eastAsia" w:cs="宋体" w:asciiTheme="minorEastAsia" w:hAnsiTheme="minorEastAsia" w:eastAsiaTheme="minorEastAsia"/>
          <w:b/>
          <w:bCs/>
          <w:sz w:val="24"/>
        </w:rPr>
        <w:t>税费</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本合同执行中相关的一切税费均由乙方负担。</w:t>
      </w:r>
    </w:p>
    <w:p>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第九条：验收</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1、验收按国家有关的规定、规范进行。</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2、验收费用由乙方承担。</w:t>
      </w:r>
    </w:p>
    <w:p>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第十条：售后服务</w:t>
      </w:r>
    </w:p>
    <w:p>
      <w:pPr>
        <w:autoSpaceDE w:val="0"/>
        <w:spacing w:line="360" w:lineRule="auto"/>
        <w:ind w:firstLine="480" w:firstLineChars="200"/>
        <w:rPr>
          <w:rFonts w:cs="宋体" w:asciiTheme="minorEastAsia" w:hAnsiTheme="minorEastAsia" w:eastAsiaTheme="minorEastAsia"/>
          <w:b/>
          <w:sz w:val="24"/>
        </w:rPr>
      </w:pPr>
      <w:r>
        <w:rPr>
          <w:rFonts w:hint="eastAsia" w:asciiTheme="minorEastAsia" w:hAnsiTheme="minorEastAsia" w:eastAsiaTheme="minorEastAsia"/>
          <w:sz w:val="24"/>
        </w:rPr>
        <w:t xml:space="preserve">在服务质保期内，乙方应该确保服务范围内的质量标准符合本招标文件要求。当出现问题时，投标人应承诺在小时内响应并提出解决方案，小时之内到现场对存在问题进行处理，并提出相应措施。                                             </w:t>
      </w:r>
    </w:p>
    <w:p>
      <w:pPr>
        <w:autoSpaceDE w:val="0"/>
        <w:spacing w:line="360" w:lineRule="auto"/>
        <w:jc w:val="left"/>
        <w:rPr>
          <w:rFonts w:cs="宋体" w:asciiTheme="minorEastAsia" w:hAnsiTheme="minorEastAsia" w:eastAsiaTheme="minorEastAsia"/>
          <w:bCs/>
          <w:kern w:val="0"/>
          <w:sz w:val="24"/>
        </w:rPr>
      </w:pPr>
      <w:r>
        <w:rPr>
          <w:rFonts w:hint="eastAsia" w:cs="宋体" w:asciiTheme="minorEastAsia" w:hAnsiTheme="minorEastAsia" w:eastAsiaTheme="minorEastAsia"/>
          <w:b/>
          <w:sz w:val="24"/>
        </w:rPr>
        <w:t>第十一条：</w:t>
      </w:r>
      <w:r>
        <w:rPr>
          <w:rFonts w:hint="eastAsia" w:cs="宋体" w:asciiTheme="minorEastAsia" w:hAnsiTheme="minorEastAsia" w:eastAsiaTheme="minorEastAsia"/>
          <w:bCs/>
          <w:kern w:val="0"/>
          <w:sz w:val="24"/>
        </w:rPr>
        <w:t>乙方承担完成本招标项目的一切费用(包括不可预见费用)和市场风险。</w:t>
      </w:r>
    </w:p>
    <w:p>
      <w:pPr>
        <w:autoSpaceDE w:val="0"/>
        <w:spacing w:line="360" w:lineRule="auto"/>
        <w:jc w:val="left"/>
        <w:rPr>
          <w:rFonts w:asciiTheme="minorEastAsia" w:hAnsiTheme="minorEastAsia" w:eastAsiaTheme="minorEastAsia"/>
          <w:sz w:val="24"/>
          <w:u w:val="single"/>
        </w:rPr>
      </w:pPr>
      <w:r>
        <w:rPr>
          <w:rFonts w:hint="eastAsia" w:cs="宋体" w:asciiTheme="minorEastAsia" w:hAnsiTheme="minorEastAsia" w:eastAsiaTheme="minorEastAsia"/>
          <w:b/>
          <w:sz w:val="24"/>
        </w:rPr>
        <w:t xml:space="preserve">第十二条：其他约定：              </w:t>
      </w:r>
    </w:p>
    <w:p>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sz w:val="24"/>
        </w:rPr>
        <w:t>第十三条：</w:t>
      </w:r>
      <w:r>
        <w:rPr>
          <w:rFonts w:hint="eastAsia" w:cs="宋体" w:asciiTheme="minorEastAsia" w:hAnsiTheme="minorEastAsia" w:eastAsiaTheme="minorEastAsia"/>
          <w:b/>
          <w:bCs/>
          <w:sz w:val="24"/>
          <w:lang w:val="zh-CN"/>
        </w:rPr>
        <w:t>甲方的责任与义务</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甲方应当主要负责项目的所有外部关系的联系与协调，为乙方工作提供良好的外部条件。</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甲方应当按双方约定的内容和时间，向乙方提供与项目有关的资料。</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甲方应授权一名熟悉本项目情况、能迅速做出决定的项目代表，负责与乙方联系。更换代表，要提前通知乙方。</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甲方有与乙方订立补充合同的签订权。</w:t>
      </w:r>
    </w:p>
    <w:p>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sz w:val="24"/>
        </w:rPr>
        <w:t>第十四条：</w:t>
      </w:r>
      <w:r>
        <w:rPr>
          <w:rFonts w:hint="eastAsia" w:cs="宋体" w:asciiTheme="minorEastAsia" w:hAnsiTheme="minorEastAsia" w:eastAsiaTheme="minorEastAsia"/>
          <w:b/>
          <w:bCs/>
          <w:sz w:val="24"/>
          <w:lang w:val="zh-CN"/>
        </w:rPr>
        <w:t>乙方的责任与义务</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根据投标文件的承诺向甲方委派项目组人员。</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在履行本合同义务的期间，应运用合理的技能，认真、勤奋的工作。</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在本合同期内或合同终止后，未征得有关方同意，不得泄漏与本项目、本合同有关的技术、资料等，不得以任何形式侵害甲方的知识产权。</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负责处理好与相关项目实施单位的协调工作。</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第十五条  违约责任</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由于乙方原因(除不可抗力外)不能按期交付合同标的，对超出交付期的每一天，乙方应按1000元/天承担违约金，在合同款支付时一次性扣除。若超出交付期十天(含十天)以上的，甲方有权终止合同，质量保证金不予退还。</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乙方按合同要求将成果送达甲方后，经验收合格后，甲方超出付款期支付项目款的，每逾一天，甲方应向乙方支付合同金额的千分之三的滞纳金。甲方无正当理由拒收合同标的、拒付项目款的，应向乙方偿付合同总价千分之五的违约金。</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3、由于乙方原因导致甲方有重大损失的，责任由乙方承担，并依法追究其经济责任和法律责任。</w:t>
      </w:r>
    </w:p>
    <w:p>
      <w:pPr>
        <w:autoSpaceDE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第十六条：不可抗力事件处理</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1．在合同有效期内，任何一方因不可抗力事件导致不能履行合同，则合同履行期可延长，其延长期与不可抗力影响期相同。</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2．不可抗力事件发生后，应立即通知对方，并寄送有关权威机构出具的证明。</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3．不可抗力事件延续120天以上，双方应通过友好协商，确定是否继续履行合同。</w:t>
      </w:r>
    </w:p>
    <w:p>
      <w:pPr>
        <w:autoSpaceDE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第十七条：争议的解决</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1．因质量问题发生争议的，由甲方委托有关技术部门进行质量鉴定，该鉴定的结论甲乙双方应当接受，各方均有权直接向对方索赔，并签订书面处理协议书，报相关部门备案。</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2．双方无法通过协商解决合同争议的，任何一方有权向甲方所在地经济仲裁机构提请仲裁或向人民法院提起诉讼。</w:t>
      </w:r>
    </w:p>
    <w:p>
      <w:pPr>
        <w:snapToGrid w:val="0"/>
        <w:spacing w:line="360" w:lineRule="auto"/>
        <w:ind w:right="-514" w:rightChars="-245" w:firstLine="229" w:firstLineChars="100"/>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第十八条：合同生效</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1.合同经甲方、乙方法定代表人或授权代表签字并加盖单位公章后生效。</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2.本合同未尽事宜，遵照《中华人民共和国民法典》有关条文执行。</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3.本合同一式肆份，甲方、乙方各执贰份。</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4.相关招投标文件、询标承诺、产品配置清单等与本合同具有同等法律效力。</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甲方（公章）：                       乙方（公章）：</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法定代表人或受委托人（签字或盖章）   法定代表人或受委托人（签字或盖章）</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地址：                               地址：</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电话：                               电话：</w:t>
      </w:r>
    </w:p>
    <w:p>
      <w:pPr>
        <w:snapToGrid w:val="0"/>
        <w:spacing w:line="360" w:lineRule="auto"/>
        <w:ind w:right="23" w:rightChars="11" w:firstLine="456" w:firstLineChars="200"/>
        <w:jc w:val="right"/>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签约时间：    年  月  日</w:t>
      </w:r>
    </w:p>
    <w:p>
      <w:pPr>
        <w:spacing w:line="360" w:lineRule="auto"/>
        <w:outlineLvl w:val="0"/>
        <w:rPr>
          <w:rFonts w:cs="宋体" w:asciiTheme="minorEastAsia" w:hAnsiTheme="minorEastAsia" w:eastAsiaTheme="minorEastAsia"/>
          <w:b/>
          <w:sz w:val="36"/>
          <w:szCs w:val="20"/>
        </w:rPr>
        <w:sectPr>
          <w:headerReference r:id="rId12" w:type="first"/>
          <w:footerReference r:id="rId14" w:type="first"/>
          <w:headerReference r:id="rId11" w:type="default"/>
          <w:footerReference r:id="rId13" w:type="default"/>
          <w:pgSz w:w="11906" w:h="16838"/>
          <w:pgMar w:top="1440" w:right="1418" w:bottom="1440" w:left="1418" w:header="851" w:footer="992" w:gutter="0"/>
          <w:pgNumType w:fmt="decimal"/>
          <w:cols w:space="0" w:num="1"/>
          <w:titlePg/>
          <w:docGrid w:linePitch="312" w:charSpace="0"/>
        </w:sectPr>
      </w:pPr>
    </w:p>
    <w:p>
      <w:pPr>
        <w:pStyle w:val="124"/>
        <w:spacing w:before="0"/>
        <w:ind w:firstLine="320" w:firstLineChars="1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第六章  投标文件格式</w:t>
      </w:r>
    </w:p>
    <w:p>
      <w:pPr>
        <w:snapToGrid w:val="0"/>
        <w:spacing w:beforeLines="50" w:after="50" w:line="380" w:lineRule="exact"/>
        <w:ind w:firstLine="645"/>
        <w:jc w:val="center"/>
        <w:rPr>
          <w:rFonts w:asciiTheme="minorEastAsia" w:hAnsiTheme="minorEastAsia" w:eastAsiaTheme="minorEastAsia"/>
          <w:bCs/>
          <w:sz w:val="24"/>
        </w:rPr>
      </w:pPr>
    </w:p>
    <w:p>
      <w:pPr>
        <w:snapToGrid w:val="0"/>
        <w:spacing w:beforeLines="50" w:after="50"/>
        <w:rPr>
          <w:rFonts w:asciiTheme="minorEastAsia" w:hAnsiTheme="minorEastAsia" w:eastAsiaTheme="minorEastAsia"/>
          <w:b/>
          <w:sz w:val="24"/>
        </w:rPr>
      </w:pPr>
      <w:r>
        <w:rPr>
          <w:rFonts w:hint="eastAsia" w:asciiTheme="minorEastAsia" w:hAnsiTheme="minorEastAsia" w:eastAsiaTheme="minorEastAsia"/>
          <w:b/>
          <w:sz w:val="24"/>
        </w:rPr>
        <w:t xml:space="preserve">1.资格文件、商务技术（报价）文件封面格式： </w:t>
      </w:r>
    </w:p>
    <w:p>
      <w:pPr>
        <w:snapToGrid w:val="0"/>
        <w:spacing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×××（投标人名称）</w:t>
      </w:r>
    </w:p>
    <w:p>
      <w:pPr>
        <w:snapToGrid w:val="0"/>
        <w:spacing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sz w:val="24"/>
          <w:lang w:val="zh-CN"/>
        </w:rPr>
        <w:t>资格文件、商务技术</w:t>
      </w:r>
      <w:r>
        <w:rPr>
          <w:rFonts w:hint="eastAsia" w:asciiTheme="minorEastAsia" w:hAnsiTheme="minorEastAsia" w:eastAsiaTheme="minorEastAsia"/>
          <w:sz w:val="24"/>
        </w:rPr>
        <w:t>（报价）</w:t>
      </w:r>
      <w:r>
        <w:rPr>
          <w:rFonts w:hint="eastAsia" w:asciiTheme="minorEastAsia" w:hAnsiTheme="minorEastAsia" w:eastAsiaTheme="minorEastAsia"/>
          <w:bCs/>
          <w:sz w:val="24"/>
        </w:rPr>
        <w:t>文 件</w:t>
      </w:r>
    </w:p>
    <w:p>
      <w:pPr>
        <w:snapToGrid w:val="0"/>
        <w:spacing w:beforeLines="50" w:after="50"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项目名称：</w:t>
      </w:r>
    </w:p>
    <w:p>
      <w:pPr>
        <w:snapToGrid w:val="0"/>
        <w:spacing w:beforeLines="50" w:after="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    项目编号：</w:t>
      </w:r>
    </w:p>
    <w:p>
      <w:pPr>
        <w:pStyle w:val="10"/>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投标人名称（盖章）：</w:t>
      </w:r>
    </w:p>
    <w:p>
      <w:pPr>
        <w:pStyle w:val="10"/>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投标人地址：</w:t>
      </w:r>
    </w:p>
    <w:p>
      <w:pPr>
        <w:snapToGrid w:val="0"/>
        <w:spacing w:beforeLines="50" w:after="50" w:line="360" w:lineRule="exact"/>
        <w:ind w:firstLine="4080" w:firstLineChars="1700"/>
        <w:rPr>
          <w:rFonts w:asciiTheme="minorEastAsia" w:hAnsiTheme="minorEastAsia" w:eastAsiaTheme="minorEastAsia"/>
          <w:sz w:val="24"/>
        </w:rPr>
      </w:pPr>
      <w:r>
        <w:rPr>
          <w:rFonts w:hint="eastAsia" w:asciiTheme="minorEastAsia" w:hAnsiTheme="minorEastAsia" w:eastAsiaTheme="minorEastAsia"/>
          <w:sz w:val="24"/>
        </w:rPr>
        <w:t>法定代表人签字或盖章：</w:t>
      </w:r>
    </w:p>
    <w:p>
      <w:pPr>
        <w:snapToGrid w:val="0"/>
        <w:spacing w:beforeLines="50" w:after="50" w:line="360" w:lineRule="exact"/>
        <w:ind w:firstLine="4080" w:firstLineChars="1700"/>
        <w:rPr>
          <w:rFonts w:asciiTheme="minorEastAsia" w:hAnsiTheme="minorEastAsia" w:eastAsiaTheme="minorEastAsia"/>
          <w:sz w:val="24"/>
        </w:rPr>
      </w:pPr>
    </w:p>
    <w:p>
      <w:pPr>
        <w:snapToGrid w:val="0"/>
        <w:spacing w:beforeLines="50" w:after="50" w:line="360" w:lineRule="exact"/>
        <w:ind w:firstLine="645"/>
        <w:jc w:val="center"/>
        <w:rPr>
          <w:rFonts w:asciiTheme="minorEastAsia" w:hAnsiTheme="minorEastAsia" w:eastAsiaTheme="minorEastAsia"/>
          <w:sz w:val="24"/>
        </w:rPr>
      </w:pPr>
      <w:r>
        <w:rPr>
          <w:rFonts w:hint="eastAsia" w:asciiTheme="minorEastAsia" w:hAnsiTheme="minorEastAsia" w:eastAsiaTheme="minorEastAsia"/>
          <w:sz w:val="24"/>
        </w:rPr>
        <w:t>年 月 日</w:t>
      </w:r>
    </w:p>
    <w:p>
      <w:pPr>
        <w:snapToGrid w:val="0"/>
        <w:spacing w:beforeLines="50" w:after="50" w:line="360" w:lineRule="exact"/>
        <w:ind w:firstLine="645"/>
        <w:jc w:val="center"/>
        <w:rPr>
          <w:rFonts w:asciiTheme="minorEastAsia" w:hAnsiTheme="minorEastAsia" w:eastAsiaTheme="minorEastAsia"/>
          <w:bCs/>
          <w:sz w:val="24"/>
        </w:rPr>
      </w:pPr>
    </w:p>
    <w:p>
      <w:pPr>
        <w:snapToGrid w:val="0"/>
        <w:spacing w:beforeLines="50" w:after="50" w:line="380" w:lineRule="exact"/>
        <w:ind w:firstLine="645"/>
        <w:rPr>
          <w:rFonts w:asciiTheme="minorEastAsia" w:hAnsiTheme="minorEastAsia" w:eastAsiaTheme="minorEastAsia"/>
          <w:b/>
          <w:bCs/>
          <w:sz w:val="24"/>
        </w:rPr>
      </w:pPr>
      <w:r>
        <w:rPr>
          <w:rFonts w:hint="eastAsia" w:asciiTheme="minorEastAsia" w:hAnsiTheme="minorEastAsia" w:eastAsiaTheme="minorEastAsia"/>
          <w:sz w:val="24"/>
        </w:rPr>
        <w:t>注：投标人应按资格文件、商务技术文件、报价文件</w:t>
      </w:r>
      <w:r>
        <w:rPr>
          <w:rFonts w:hint="eastAsia" w:asciiTheme="minorEastAsia" w:hAnsiTheme="minorEastAsia" w:eastAsiaTheme="minorEastAsia"/>
          <w:b/>
          <w:sz w:val="24"/>
        </w:rPr>
        <w:t>分别进行编制。</w:t>
      </w:r>
    </w:p>
    <w:p>
      <w:pPr>
        <w:snapToGrid w:val="0"/>
        <w:spacing w:before="50" w:after="50" w:line="360" w:lineRule="auto"/>
        <w:rPr>
          <w:rFonts w:ascii="宋体" w:hAnsi="宋体" w:cs="宋体"/>
          <w:b/>
          <w:bCs/>
          <w:sz w:val="30"/>
          <w:szCs w:val="30"/>
        </w:rPr>
      </w:pPr>
      <w:r>
        <w:rPr>
          <w:rFonts w:hint="eastAsia" w:asciiTheme="minorEastAsia" w:hAnsiTheme="minorEastAsia" w:eastAsiaTheme="minorEastAsia"/>
          <w:sz w:val="24"/>
        </w:rPr>
        <w:br w:type="page"/>
      </w:r>
      <w:r>
        <w:rPr>
          <w:rFonts w:hint="eastAsia" w:ascii="宋体" w:hAnsi="宋体" w:cs="宋体"/>
          <w:b/>
          <w:bCs/>
          <w:sz w:val="30"/>
          <w:szCs w:val="30"/>
        </w:rPr>
        <w:t>1、资格文件目录</w:t>
      </w:r>
    </w:p>
    <w:p>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）营业执照的复印件或事业单位的《事业单位法人证书》复印件；</w:t>
      </w:r>
    </w:p>
    <w:p>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（2）法定代表人授权委托书(格式见附件)；</w:t>
      </w:r>
    </w:p>
    <w:p>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（3）投标声明书 (格式见附件，含重大违法记录声明)；</w:t>
      </w:r>
    </w:p>
    <w:p>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（4）具有履行合同所必需的设备和专业技术能力的承诺函；(格式见附件)；</w:t>
      </w:r>
    </w:p>
    <w:p>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（5）具有良好的商业信誉和健全的财务会计制度的承诺函(格式见附件)；</w:t>
      </w:r>
    </w:p>
    <w:p>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（6）有依法缴纳税收和社会保障资金的良好记录的承诺函(格式见附件)；</w:t>
      </w:r>
    </w:p>
    <w:p>
      <w:pPr>
        <w:snapToGrid w:val="0"/>
        <w:spacing w:before="50" w:after="50"/>
        <w:jc w:val="center"/>
        <w:rPr>
          <w:rFonts w:asciiTheme="minorEastAsia" w:hAnsiTheme="minorEastAsia" w:eastAsiaTheme="minorEastAsia"/>
          <w:b/>
          <w:sz w:val="36"/>
          <w:szCs w:val="36"/>
        </w:rPr>
        <w:sectPr>
          <w:pgSz w:w="11906" w:h="16838"/>
          <w:pgMar w:top="1400" w:right="1531" w:bottom="471" w:left="1531" w:header="851" w:footer="851" w:gutter="0"/>
          <w:pgNumType w:fmt="decimal" w:chapStyle="1" w:chapSep="colon"/>
          <w:cols w:space="720" w:num="1"/>
        </w:sectPr>
      </w:pPr>
    </w:p>
    <w:p>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法定代表人授权委托书</w:t>
      </w:r>
    </w:p>
    <w:p>
      <w:pPr>
        <w:snapToGrid w:val="0"/>
        <w:spacing w:beforeLines="50" w:after="50"/>
        <w:jc w:val="center"/>
        <w:rPr>
          <w:rFonts w:asciiTheme="minorEastAsia" w:hAnsiTheme="minorEastAsia" w:eastAsiaTheme="minorEastAsia"/>
          <w:b/>
          <w:sz w:val="30"/>
          <w:szCs w:val="30"/>
        </w:rPr>
      </w:pPr>
    </w:p>
    <w:p>
      <w:pPr>
        <w:snapToGrid w:val="0"/>
        <w:spacing w:beforeLines="50" w:after="50" w:line="460" w:lineRule="exact"/>
        <w:rPr>
          <w:rFonts w:asciiTheme="minorEastAsia" w:hAnsiTheme="minorEastAsia" w:eastAsiaTheme="minorEastAsia"/>
          <w:b/>
          <w:bCs/>
          <w:sz w:val="24"/>
        </w:rPr>
      </w:pPr>
      <w:r>
        <w:rPr>
          <w:rFonts w:hint="eastAsia" w:asciiTheme="minorEastAsia" w:hAnsiTheme="minorEastAsia" w:eastAsiaTheme="minorEastAsia"/>
          <w:bCs/>
          <w:sz w:val="24"/>
          <w:lang w:eastAsia="zh-CN"/>
        </w:rPr>
        <w:t>桐庐鸿泰工程咨询有限公司</w:t>
      </w:r>
      <w:r>
        <w:rPr>
          <w:rFonts w:hint="eastAsia" w:asciiTheme="minorEastAsia" w:hAnsiTheme="minorEastAsia" w:eastAsiaTheme="minorEastAsia"/>
          <w:bCs/>
          <w:sz w:val="24"/>
        </w:rPr>
        <w:t>：</w:t>
      </w:r>
    </w:p>
    <w:p>
      <w:pPr>
        <w:snapToGrid w:val="0"/>
        <w:spacing w:beforeLines="50" w:after="50" w:line="4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我（姓名）系（投标人名称）的法定代表人，现授权委托本单位在职职工 （姓名）为授权代表，以我方的名义参加项目编号：项目名称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项目的投标活动，并代表我方全权办理针对上述项目的投标、开标、评标、签约等具体事务和签署相关文件。我方对授权代表的签名事项负全部责任。</w:t>
      </w:r>
    </w:p>
    <w:p>
      <w:pPr>
        <w:snapToGrid w:val="0"/>
        <w:spacing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授权代表无转委托权，特此委托。</w:t>
      </w:r>
    </w:p>
    <w:p>
      <w:pPr>
        <w:snapToGrid w:val="0"/>
        <w:spacing w:beforeLines="50" w:after="50" w:line="460" w:lineRule="exact"/>
        <w:ind w:firstLine="480"/>
        <w:rPr>
          <w:rFonts w:asciiTheme="minorEastAsia" w:hAnsiTheme="minorEastAsia" w:eastAsiaTheme="minorEastAsia"/>
          <w:sz w:val="30"/>
          <w:szCs w:val="30"/>
        </w:rPr>
      </w:pPr>
    </w:p>
    <w:p>
      <w:pPr>
        <w:snapToGrid w:val="0"/>
        <w:spacing w:beforeLines="50" w:after="50" w:line="460" w:lineRule="exact"/>
        <w:ind w:firstLine="480"/>
        <w:rPr>
          <w:rFonts w:asciiTheme="minorEastAsia" w:hAnsiTheme="minorEastAsia" w:eastAsiaTheme="minorEastAsia"/>
          <w:sz w:val="24"/>
        </w:rPr>
      </w:pPr>
    </w:p>
    <w:p>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授权代表签名：     职务：</w:t>
      </w:r>
    </w:p>
    <w:p>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授权代表身份证号码：</w:t>
      </w:r>
    </w:p>
    <w:p>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法定代表人（签字或盖章）：   职务：</w:t>
      </w:r>
    </w:p>
    <w:p>
      <w:pPr>
        <w:snapToGrid w:val="0"/>
        <w:spacing w:beforeLines="50" w:after="50" w:line="460" w:lineRule="exact"/>
        <w:rPr>
          <w:rFonts w:asciiTheme="minorEastAsia" w:hAnsiTheme="minorEastAsia" w:eastAsiaTheme="minorEastAsia"/>
          <w:sz w:val="24"/>
        </w:rPr>
      </w:pPr>
    </w:p>
    <w:p>
      <w:pPr>
        <w:snapToGrid w:val="0"/>
        <w:spacing w:beforeLines="50" w:after="50" w:line="460" w:lineRule="exact"/>
        <w:rPr>
          <w:rFonts w:asciiTheme="minorEastAsia" w:hAnsiTheme="minorEastAsia" w:eastAsiaTheme="minorEastAsia"/>
          <w:sz w:val="24"/>
        </w:rPr>
      </w:pPr>
    </w:p>
    <w:p>
      <w:pPr>
        <w:snapToGrid w:val="0"/>
        <w:spacing w:beforeLines="50" w:after="50" w:line="360" w:lineRule="auto"/>
        <w:rPr>
          <w:rFonts w:asciiTheme="minorEastAsia" w:hAnsiTheme="minorEastAsia" w:eastAsiaTheme="minorEastAsia"/>
          <w:sz w:val="24"/>
        </w:rPr>
      </w:pPr>
      <w:r>
        <w:rPr>
          <w:rFonts w:hint="eastAsia" w:asciiTheme="minorEastAsia" w:hAnsiTheme="minorEastAsia" w:eastAsiaTheme="minorEastAsia"/>
          <w:sz w:val="24"/>
        </w:rPr>
        <w:t>投标人（盖章）：</w:t>
      </w:r>
    </w:p>
    <w:p>
      <w:pPr>
        <w:widowControl/>
        <w:spacing w:line="360" w:lineRule="auto"/>
        <w:jc w:val="left"/>
        <w:rPr>
          <w:rFonts w:asciiTheme="minorEastAsia" w:hAnsiTheme="minorEastAsia" w:eastAsiaTheme="minorEastAsia"/>
          <w:sz w:val="24"/>
          <w:u w:val="single"/>
        </w:rPr>
        <w:sectPr>
          <w:pgSz w:w="11906" w:h="16838"/>
          <w:pgMar w:top="1400" w:right="1531" w:bottom="471" w:left="1531" w:header="851" w:footer="851" w:gutter="0"/>
          <w:pgNumType w:fmt="decimal" w:chapStyle="1" w:chapSep="colon"/>
          <w:cols w:space="720" w:num="1"/>
        </w:sectPr>
      </w:pPr>
      <w:r>
        <w:rPr>
          <w:rFonts w:hint="eastAsia" w:cs="宋体" w:asciiTheme="minorEastAsia" w:hAnsiTheme="minorEastAsia" w:eastAsiaTheme="minorEastAsia"/>
          <w:color w:val="000000"/>
          <w:kern w:val="0"/>
          <w:sz w:val="24"/>
        </w:rPr>
        <w:t>日期：年月日</w:t>
      </w:r>
    </w:p>
    <w:p>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 标 声 明 书</w:t>
      </w:r>
    </w:p>
    <w:p>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lang w:eastAsia="zh-CN"/>
        </w:rPr>
        <w:t>桐庐鸿泰工程咨询有限公司</w:t>
      </w:r>
      <w:r>
        <w:rPr>
          <w:rFonts w:hint="eastAsia" w:asciiTheme="minorEastAsia" w:hAnsiTheme="minorEastAsia" w:eastAsiaTheme="minorEastAsia"/>
          <w:sz w:val="24"/>
        </w:rPr>
        <w:t>：</w:t>
      </w:r>
    </w:p>
    <w:p>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（投标人名称）</w:t>
      </w:r>
      <w:r>
        <w:rPr>
          <w:rFonts w:hint="eastAsia" w:asciiTheme="minorEastAsia" w:hAnsiTheme="minorEastAsia" w:eastAsiaTheme="minorEastAsia"/>
          <w:sz w:val="24"/>
        </w:rPr>
        <w:t>系中华人民共和国合法企业，经营地址。</w:t>
      </w:r>
    </w:p>
    <w:p>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w:t>
      </w:r>
      <w:r>
        <w:rPr>
          <w:rFonts w:hint="eastAsia" w:asciiTheme="minorEastAsia" w:hAnsiTheme="minorEastAsia" w:eastAsiaTheme="minorEastAsia"/>
          <w:sz w:val="24"/>
          <w:u w:val="single"/>
        </w:rPr>
        <w:t>（姓名）</w:t>
      </w:r>
      <w:r>
        <w:rPr>
          <w:rFonts w:hint="eastAsia" w:asciiTheme="minorEastAsia" w:hAnsiTheme="minorEastAsia" w:eastAsiaTheme="minorEastAsia"/>
          <w:sz w:val="24"/>
        </w:rPr>
        <w:t>系</w:t>
      </w:r>
      <w:r>
        <w:rPr>
          <w:rFonts w:hint="eastAsia" w:asciiTheme="minorEastAsia" w:hAnsiTheme="minorEastAsia" w:eastAsiaTheme="minorEastAsia"/>
          <w:sz w:val="24"/>
          <w:u w:val="single"/>
        </w:rPr>
        <w:t>（投标人名称）</w:t>
      </w:r>
      <w:r>
        <w:rPr>
          <w:rFonts w:hint="eastAsia" w:asciiTheme="minorEastAsia" w:hAnsiTheme="minorEastAsia" w:eastAsiaTheme="minorEastAsia"/>
          <w:sz w:val="24"/>
        </w:rPr>
        <w:t>的法定代表人，我方愿意参加贵方组织的</w:t>
      </w:r>
      <w:r>
        <w:rPr>
          <w:rFonts w:hint="eastAsia" w:asciiTheme="minorEastAsia" w:hAnsiTheme="minorEastAsia" w:eastAsiaTheme="minorEastAsia"/>
          <w:sz w:val="24"/>
          <w:u w:val="single"/>
        </w:rPr>
        <w:t>（项目名称）（编号为</w:t>
      </w:r>
      <w:r>
        <w:rPr>
          <w:rFonts w:hint="eastAsia" w:asciiTheme="minorEastAsia" w:hAnsiTheme="minorEastAsia" w:eastAsiaTheme="minorEastAsia"/>
          <w:sz w:val="24"/>
          <w:u w:val="single"/>
          <w:lang w:eastAsia="zh-CN"/>
        </w:rPr>
        <w:t>JN20240001</w:t>
      </w:r>
      <w:r>
        <w:rPr>
          <w:rFonts w:hint="eastAsia" w:asciiTheme="minorEastAsia" w:hAnsiTheme="minorEastAsia" w:eastAsiaTheme="minorEastAsia"/>
          <w:sz w:val="24"/>
          <w:u w:val="single"/>
        </w:rPr>
        <w:t>）</w:t>
      </w:r>
      <w:r>
        <w:rPr>
          <w:rFonts w:hint="eastAsia" w:asciiTheme="minorEastAsia" w:hAnsiTheme="minorEastAsia" w:eastAsiaTheme="minorEastAsia"/>
          <w:sz w:val="24"/>
        </w:rPr>
        <w:t>的投标，为此，我方就本次投标有关事项郑重声明如下：</w:t>
      </w:r>
    </w:p>
    <w:p>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1、我方已详细审查全部磋商文件，同意磋商文件的各项要求。</w:t>
      </w:r>
    </w:p>
    <w:p>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2、我方向贵方提交的所有响应文件、资料都是准确的和真实的。</w:t>
      </w:r>
    </w:p>
    <w:p>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3、若中标，我方将按磋商文件规定履行合同责任和义务。</w:t>
      </w:r>
    </w:p>
    <w:p>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5、响应文件自开标日起有效期为90天。</w:t>
      </w:r>
    </w:p>
    <w:p>
      <w:pPr>
        <w:snapToGrid w:val="0"/>
        <w:spacing w:line="460" w:lineRule="exact"/>
        <w:ind w:firstLine="472" w:firstLineChars="196"/>
        <w:jc w:val="left"/>
        <w:rPr>
          <w:rFonts w:asciiTheme="minorEastAsia" w:hAnsiTheme="minorEastAsia" w:eastAsiaTheme="minorEastAsia"/>
          <w:b/>
          <w:sz w:val="24"/>
        </w:rPr>
      </w:pPr>
      <w:r>
        <w:rPr>
          <w:rFonts w:hint="eastAsia" w:asciiTheme="minorEastAsia" w:hAnsiTheme="minorEastAsia" w:eastAsiaTheme="minorEastAsia"/>
          <w:b/>
          <w:sz w:val="24"/>
        </w:rPr>
        <w:t>6、我方参与本项目前3年内的经营活动中没有重大违法记录；</w:t>
      </w:r>
    </w:p>
    <w:p>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8、以上事项如有虚假或隐瞒，我方愿意承担一切后果，并不再寻求任何旨在减轻或免除法律责任的辩解。</w:t>
      </w:r>
    </w:p>
    <w:p>
      <w:pPr>
        <w:snapToGrid w:val="0"/>
        <w:spacing w:beforeLines="50" w:after="50" w:line="460" w:lineRule="exact"/>
        <w:ind w:firstLine="120" w:firstLineChars="50"/>
        <w:jc w:val="right"/>
        <w:rPr>
          <w:rFonts w:asciiTheme="minorEastAsia" w:hAnsiTheme="minorEastAsia" w:eastAsiaTheme="minorEastAsia"/>
          <w:sz w:val="24"/>
        </w:rPr>
      </w:pPr>
    </w:p>
    <w:p>
      <w:pPr>
        <w:snapToGrid w:val="0"/>
        <w:spacing w:beforeLines="50" w:after="50" w:line="360" w:lineRule="auto"/>
        <w:jc w:val="center"/>
        <w:rPr>
          <w:rFonts w:asciiTheme="minorEastAsia" w:hAnsiTheme="minorEastAsia" w:eastAsiaTheme="minorEastAsia"/>
          <w:sz w:val="24"/>
        </w:rPr>
      </w:pPr>
      <w:r>
        <w:rPr>
          <w:rFonts w:hint="eastAsia" w:asciiTheme="minorEastAsia" w:hAnsiTheme="minorEastAsia" w:eastAsiaTheme="minorEastAsia"/>
          <w:sz w:val="24"/>
        </w:rPr>
        <w:t xml:space="preserve">                                   投标人（盖章）：</w:t>
      </w:r>
    </w:p>
    <w:p>
      <w:pPr>
        <w:widowControl/>
        <w:spacing w:line="360" w:lineRule="auto"/>
        <w:jc w:val="right"/>
        <w:rPr>
          <w:rFonts w:asciiTheme="minorEastAsia" w:hAnsiTheme="minorEastAsia" w:eastAsiaTheme="minorEastAsia"/>
          <w:sz w:val="24"/>
          <w:u w:val="single"/>
        </w:rPr>
        <w:sectPr>
          <w:pgSz w:w="11906" w:h="16838"/>
          <w:pgMar w:top="1400" w:right="1531" w:bottom="471" w:left="1531" w:header="851" w:footer="851" w:gutter="0"/>
          <w:pgNumType w:fmt="decimal" w:chapStyle="1" w:chapSep="colon"/>
          <w:cols w:space="720" w:num="1"/>
        </w:sectPr>
      </w:pPr>
      <w:r>
        <w:rPr>
          <w:rFonts w:hint="eastAsia" w:cs="宋体" w:asciiTheme="minorEastAsia" w:hAnsiTheme="minorEastAsia" w:eastAsiaTheme="minorEastAsia"/>
          <w:color w:val="000000"/>
          <w:kern w:val="0"/>
          <w:sz w:val="24"/>
        </w:rPr>
        <w:t>日期：年月日</w:t>
      </w:r>
    </w:p>
    <w:p>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具有履行合同所必需的设备和专业技术能力的承诺函</w:t>
      </w:r>
    </w:p>
    <w:p>
      <w:pPr>
        <w:pStyle w:val="174"/>
        <w:snapToGrid w:val="0"/>
        <w:spacing w:line="500" w:lineRule="exact"/>
        <w:rPr>
          <w:rFonts w:asciiTheme="minorEastAsia" w:hAnsiTheme="minorEastAsia" w:eastAsiaTheme="minorEastAsia"/>
          <w:b/>
          <w:bCs/>
          <w:sz w:val="24"/>
          <w:szCs w:val="22"/>
        </w:rPr>
      </w:pPr>
    </w:p>
    <w:p>
      <w:pPr>
        <w:pStyle w:val="174"/>
        <w:snapToGrid w:val="0"/>
        <w:spacing w:line="500" w:lineRule="exact"/>
        <w:ind w:firstLine="480" w:firstLineChars="200"/>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u w:val="single"/>
        </w:rPr>
        <w:t xml:space="preserve">   </w:t>
      </w:r>
      <w:r>
        <w:rPr>
          <w:rFonts w:hint="eastAsia" w:cs="宋体" w:asciiTheme="minorEastAsia" w:hAnsiTheme="minorEastAsia" w:eastAsiaTheme="minorEastAsia"/>
          <w:bCs/>
          <w:color w:val="000000"/>
          <w:kern w:val="0"/>
          <w:sz w:val="24"/>
          <w:szCs w:val="24"/>
          <w:u w:val="single"/>
          <w:lang w:eastAsia="zh-CN"/>
        </w:rPr>
        <w:t>桐庐鸿泰工程咨询有限公司</w:t>
      </w:r>
      <w:r>
        <w:rPr>
          <w:rFonts w:hint="eastAsia" w:cs="宋体" w:asciiTheme="minorEastAsia" w:hAnsiTheme="minorEastAsia" w:eastAsiaTheme="minorEastAsia"/>
          <w:bCs/>
          <w:color w:val="000000"/>
          <w:kern w:val="0"/>
          <w:sz w:val="24"/>
          <w:szCs w:val="24"/>
          <w:u w:val="single"/>
        </w:rPr>
        <w:t xml:space="preserve">  </w:t>
      </w:r>
      <w:r>
        <w:rPr>
          <w:rFonts w:hint="eastAsia" w:cs="宋体" w:asciiTheme="minorEastAsia" w:hAnsiTheme="minorEastAsia" w:eastAsiaTheme="minorEastAsia"/>
          <w:bCs/>
          <w:color w:val="000000"/>
          <w:kern w:val="0"/>
          <w:sz w:val="24"/>
          <w:szCs w:val="24"/>
        </w:rPr>
        <w:t>：（采购机构名称）</w:t>
      </w:r>
    </w:p>
    <w:p>
      <w:pPr>
        <w:pStyle w:val="174"/>
        <w:snapToGrid w:val="0"/>
        <w:spacing w:line="50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我方 （供应商）承诺具有履行合同所必需的设备和专业技术能力。如有虚假，采购人可取消我方任何资格（投标/中标/签订合同），我方对此无任何异议。</w:t>
      </w:r>
    </w:p>
    <w:p>
      <w:pPr>
        <w:pStyle w:val="174"/>
        <w:snapToGrid w:val="0"/>
        <w:spacing w:line="500" w:lineRule="exact"/>
        <w:rPr>
          <w:rFonts w:cs="宋体" w:asciiTheme="minorEastAsia" w:hAnsiTheme="minorEastAsia" w:eastAsiaTheme="minorEastAsia"/>
          <w:sz w:val="24"/>
          <w:szCs w:val="22"/>
        </w:rPr>
      </w:pPr>
    </w:p>
    <w:p>
      <w:pPr>
        <w:pStyle w:val="174"/>
        <w:snapToGrid w:val="0"/>
        <w:spacing w:line="500" w:lineRule="exact"/>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特此承诺！</w:t>
      </w:r>
    </w:p>
    <w:p>
      <w:pPr>
        <w:spacing w:line="360" w:lineRule="auto"/>
        <w:rPr>
          <w:rFonts w:cs="宋体" w:asciiTheme="minorEastAsia" w:hAnsiTheme="minorEastAsia" w:eastAsiaTheme="minorEastAsia"/>
          <w:color w:val="000000"/>
          <w:sz w:val="24"/>
        </w:rPr>
      </w:pPr>
    </w:p>
    <w:p>
      <w:pPr>
        <w:widowControl/>
        <w:spacing w:line="360" w:lineRule="auto"/>
        <w:jc w:val="left"/>
        <w:rPr>
          <w:rFonts w:cs="宋体" w:asciiTheme="minorEastAsia" w:hAnsiTheme="minorEastAsia" w:eastAsiaTheme="minorEastAsia"/>
          <w:color w:val="000000"/>
          <w:kern w:val="0"/>
          <w:sz w:val="24"/>
          <w:u w:val="single"/>
        </w:rPr>
      </w:pPr>
      <w:r>
        <w:rPr>
          <w:rFonts w:hint="eastAsia" w:cs="宋体" w:asciiTheme="minorEastAsia" w:hAnsiTheme="minorEastAsia" w:eastAsiaTheme="minorEastAsia"/>
          <w:color w:val="000000"/>
          <w:kern w:val="0"/>
          <w:sz w:val="24"/>
        </w:rPr>
        <w:t>投标人（盖章）：</w:t>
      </w:r>
    </w:p>
    <w:p>
      <w:pPr>
        <w:widowControl/>
        <w:spacing w:line="360" w:lineRule="auto"/>
        <w:jc w:val="left"/>
        <w:rPr>
          <w:rFonts w:asciiTheme="minorEastAsia" w:hAnsiTheme="minorEastAsia" w:eastAsiaTheme="minorEastAsia"/>
          <w:sz w:val="24"/>
          <w:u w:val="single"/>
        </w:rPr>
        <w:sectPr>
          <w:pgSz w:w="11906" w:h="16838"/>
          <w:pgMar w:top="1400" w:right="1531" w:bottom="471" w:left="1531" w:header="851" w:footer="851" w:gutter="0"/>
          <w:pgNumType w:fmt="decimal" w:chapStyle="1" w:chapSep="colon"/>
          <w:cols w:space="720" w:num="1"/>
        </w:sectPr>
      </w:pPr>
      <w:r>
        <w:rPr>
          <w:rFonts w:hint="eastAsia" w:cs="宋体" w:asciiTheme="minorEastAsia" w:hAnsiTheme="minorEastAsia" w:eastAsiaTheme="minorEastAsia"/>
          <w:color w:val="000000"/>
          <w:kern w:val="0"/>
          <w:sz w:val="24"/>
        </w:rPr>
        <w:t>日期：年月日</w:t>
      </w:r>
    </w:p>
    <w:p>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具有良好的商业信誉和健全的财务会计制度的承诺函 </w:t>
      </w:r>
    </w:p>
    <w:p>
      <w:pPr>
        <w:widowControl/>
        <w:jc w:val="left"/>
        <w:rPr>
          <w:rFonts w:cs="宋体" w:asciiTheme="minorEastAsia" w:hAnsiTheme="minorEastAsia" w:eastAsiaTheme="minorEastAsia"/>
          <w:bCs/>
          <w:color w:val="000000"/>
          <w:kern w:val="0"/>
          <w:sz w:val="26"/>
          <w:szCs w:val="26"/>
          <w:u w:val="single"/>
        </w:rPr>
      </w:pPr>
    </w:p>
    <w:p>
      <w:pPr>
        <w:widowControl/>
        <w:spacing w:line="360" w:lineRule="auto"/>
        <w:jc w:val="left"/>
        <w:rPr>
          <w:rFonts w:cs="宋体" w:asciiTheme="minorEastAsia" w:hAnsiTheme="minorEastAsia" w:eastAsiaTheme="minorEastAsia"/>
          <w:bCs/>
          <w:sz w:val="24"/>
        </w:rPr>
      </w:pPr>
      <w:r>
        <w:rPr>
          <w:rFonts w:hint="eastAsia" w:cs="宋体" w:asciiTheme="minorEastAsia" w:hAnsiTheme="minorEastAsia" w:eastAsiaTheme="minorEastAsia"/>
          <w:bCs/>
          <w:color w:val="000000"/>
          <w:kern w:val="0"/>
          <w:sz w:val="24"/>
          <w:u w:val="single"/>
        </w:rPr>
        <w:t xml:space="preserve">  </w:t>
      </w:r>
      <w:r>
        <w:rPr>
          <w:rFonts w:hint="eastAsia" w:cs="宋体" w:asciiTheme="minorEastAsia" w:hAnsiTheme="minorEastAsia" w:eastAsiaTheme="minorEastAsia"/>
          <w:bCs/>
          <w:color w:val="000000"/>
          <w:kern w:val="0"/>
          <w:sz w:val="24"/>
          <w:u w:val="single"/>
          <w:lang w:eastAsia="zh-CN"/>
        </w:rPr>
        <w:t>桐庐鸿泰工程咨询有限公司</w:t>
      </w:r>
      <w:r>
        <w:rPr>
          <w:rFonts w:hint="eastAsia" w:cs="宋体" w:asciiTheme="minorEastAsia" w:hAnsiTheme="minorEastAsia" w:eastAsiaTheme="minorEastAsia"/>
          <w:bCs/>
          <w:color w:val="000000"/>
          <w:kern w:val="0"/>
          <w:sz w:val="24"/>
          <w:u w:val="single"/>
        </w:rPr>
        <w:t xml:space="preserve"> </w:t>
      </w:r>
      <w:r>
        <w:rPr>
          <w:rFonts w:hint="eastAsia" w:cs="宋体" w:asciiTheme="minorEastAsia" w:hAnsiTheme="minorEastAsia" w:eastAsiaTheme="minorEastAsia"/>
          <w:bCs/>
          <w:color w:val="000000"/>
          <w:kern w:val="0"/>
          <w:sz w:val="24"/>
        </w:rPr>
        <w:t xml:space="preserve">：（采购机构名称） </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rPr>
        <w:t>我方参加（项目编号：</w:t>
      </w:r>
      <w:r>
        <w:rPr>
          <w:rFonts w:hint="eastAsia" w:cs="宋体" w:asciiTheme="minorEastAsia" w:hAnsiTheme="minorEastAsia" w:eastAsiaTheme="minorEastAsia"/>
          <w:color w:val="000000"/>
          <w:kern w:val="0"/>
          <w:sz w:val="24"/>
          <w:lang w:eastAsia="zh-CN"/>
        </w:rPr>
        <w:t>JN20240001</w:t>
      </w:r>
      <w:r>
        <w:rPr>
          <w:rFonts w:hint="eastAsia" w:cs="宋体" w:asciiTheme="minorEastAsia" w:hAnsiTheme="minorEastAsia" w:eastAsiaTheme="minorEastAsia"/>
          <w:color w:val="000000"/>
          <w:kern w:val="0"/>
          <w:sz w:val="24"/>
        </w:rPr>
        <w:t xml:space="preserve">）的政府采购活动，依据采购文件相关规定，郑重承诺：我方具有良好的商业信誉和健全的财务会计制度，符合本项目采购文件规定的投标供应商资格要求，如中标，我方将按我方投标文件承诺，保证合同顺利履行。如有虚假或隐瞒，采购人可取消我方任何资格（投标/谈判/中标（成交）/签订合同），我方对此无任何异议，并愿意承担一切后果和责任。 </w:t>
      </w:r>
    </w:p>
    <w:p>
      <w:pPr>
        <w:widowControl/>
        <w:spacing w:line="360" w:lineRule="auto"/>
        <w:jc w:val="left"/>
        <w:rPr>
          <w:rFonts w:cs="宋体" w:asciiTheme="minorEastAsia" w:hAnsiTheme="minorEastAsia" w:eastAsiaTheme="minorEastAsia"/>
          <w:color w:val="000000"/>
          <w:kern w:val="0"/>
          <w:sz w:val="24"/>
        </w:rPr>
      </w:pPr>
    </w:p>
    <w:p>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rPr>
        <w:t xml:space="preserve">特此承诺！ </w:t>
      </w:r>
    </w:p>
    <w:p>
      <w:pPr>
        <w:widowControl/>
        <w:spacing w:line="360" w:lineRule="auto"/>
        <w:jc w:val="left"/>
        <w:rPr>
          <w:rFonts w:cs="宋体" w:asciiTheme="minorEastAsia" w:hAnsiTheme="minorEastAsia" w:eastAsiaTheme="minorEastAsia"/>
          <w:color w:val="000000"/>
          <w:kern w:val="0"/>
          <w:sz w:val="24"/>
        </w:rPr>
      </w:pPr>
    </w:p>
    <w:p>
      <w:pPr>
        <w:widowControl/>
        <w:spacing w:line="360" w:lineRule="auto"/>
        <w:jc w:val="left"/>
        <w:rPr>
          <w:rFonts w:cs="宋体" w:asciiTheme="minorEastAsia" w:hAnsiTheme="minorEastAsia" w:eastAsiaTheme="minorEastAsia"/>
          <w:color w:val="000000"/>
          <w:kern w:val="0"/>
          <w:sz w:val="24"/>
          <w:u w:val="single"/>
        </w:rPr>
      </w:pPr>
      <w:r>
        <w:rPr>
          <w:rFonts w:hint="eastAsia" w:cs="宋体" w:asciiTheme="minorEastAsia" w:hAnsiTheme="minorEastAsia" w:eastAsiaTheme="minorEastAsia"/>
          <w:color w:val="000000"/>
          <w:kern w:val="0"/>
          <w:sz w:val="24"/>
        </w:rPr>
        <w:t>投标人（盖章）：</w:t>
      </w:r>
    </w:p>
    <w:p>
      <w:pPr>
        <w:widowControl/>
        <w:spacing w:line="360" w:lineRule="auto"/>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日期：年月日</w:t>
      </w:r>
    </w:p>
    <w:p>
      <w:pPr>
        <w:snapToGrid w:val="0"/>
        <w:spacing w:before="50" w:after="50"/>
        <w:jc w:val="center"/>
        <w:rPr>
          <w:rFonts w:asciiTheme="minorEastAsia" w:hAnsiTheme="minorEastAsia" w:eastAsiaTheme="minorEastAsia"/>
          <w:b/>
          <w:sz w:val="36"/>
          <w:szCs w:val="36"/>
        </w:rPr>
        <w:sectPr>
          <w:pgSz w:w="11906" w:h="16838"/>
          <w:pgMar w:top="1418" w:right="1134" w:bottom="1134" w:left="1418" w:header="851" w:footer="992" w:gutter="0"/>
          <w:pgNumType w:fmt="decimal"/>
          <w:cols w:space="425" w:num="1"/>
          <w:docGrid w:type="lines" w:linePitch="312" w:charSpace="0"/>
        </w:sectPr>
      </w:pPr>
    </w:p>
    <w:p>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具有依法缴纳税收和社会保障资金的良好记录承诺函</w:t>
      </w:r>
    </w:p>
    <w:p>
      <w:pPr>
        <w:pStyle w:val="174"/>
        <w:snapToGrid w:val="0"/>
        <w:spacing w:line="500" w:lineRule="exact"/>
        <w:rPr>
          <w:rFonts w:asciiTheme="minorEastAsia" w:hAnsiTheme="minorEastAsia" w:eastAsiaTheme="minorEastAsia"/>
          <w:b/>
          <w:bCs/>
          <w:sz w:val="24"/>
          <w:szCs w:val="22"/>
        </w:rPr>
      </w:pPr>
    </w:p>
    <w:p>
      <w:pPr>
        <w:widowControl/>
        <w:spacing w:line="360" w:lineRule="auto"/>
        <w:jc w:val="left"/>
        <w:rPr>
          <w:rFonts w:cs="宋体" w:asciiTheme="minorEastAsia" w:hAnsiTheme="minorEastAsia" w:eastAsiaTheme="minorEastAsia"/>
          <w:bCs/>
          <w:sz w:val="24"/>
        </w:rPr>
      </w:pPr>
      <w:r>
        <w:rPr>
          <w:rFonts w:hint="eastAsia" w:cs="宋体" w:asciiTheme="minorEastAsia" w:hAnsiTheme="minorEastAsia" w:eastAsiaTheme="minorEastAsia"/>
          <w:bCs/>
          <w:color w:val="000000"/>
          <w:kern w:val="0"/>
          <w:sz w:val="24"/>
          <w:u w:val="single"/>
        </w:rPr>
        <w:t xml:space="preserve">  </w:t>
      </w:r>
      <w:r>
        <w:rPr>
          <w:rFonts w:hint="eastAsia" w:cs="宋体" w:asciiTheme="minorEastAsia" w:hAnsiTheme="minorEastAsia" w:eastAsiaTheme="minorEastAsia"/>
          <w:bCs/>
          <w:color w:val="000000"/>
          <w:kern w:val="0"/>
          <w:sz w:val="24"/>
          <w:u w:val="single"/>
          <w:lang w:eastAsia="zh-CN"/>
        </w:rPr>
        <w:t>桐庐鸿泰工程咨询有限公司</w:t>
      </w:r>
      <w:r>
        <w:rPr>
          <w:rFonts w:hint="eastAsia" w:cs="宋体" w:asciiTheme="minorEastAsia" w:hAnsiTheme="minorEastAsia" w:eastAsiaTheme="minorEastAsia"/>
          <w:bCs/>
          <w:color w:val="000000"/>
          <w:kern w:val="0"/>
          <w:sz w:val="24"/>
          <w:u w:val="single"/>
        </w:rPr>
        <w:t xml:space="preserve">  </w:t>
      </w:r>
      <w:r>
        <w:rPr>
          <w:rFonts w:hint="eastAsia" w:cs="宋体" w:asciiTheme="minorEastAsia" w:hAnsiTheme="minorEastAsia" w:eastAsiaTheme="minorEastAsia"/>
          <w:bCs/>
          <w:color w:val="000000"/>
          <w:kern w:val="0"/>
          <w:sz w:val="24"/>
        </w:rPr>
        <w:t xml:space="preserve">：（采购机构名称） </w:t>
      </w:r>
    </w:p>
    <w:p>
      <w:pPr>
        <w:pStyle w:val="174"/>
        <w:snapToGrid w:val="0"/>
        <w:spacing w:line="500" w:lineRule="exact"/>
        <w:ind w:firstLine="480" w:firstLineChars="200"/>
        <w:rPr>
          <w:rFonts w:cs="宋体" w:asciiTheme="minorEastAsia" w:hAnsiTheme="minorEastAsia" w:eastAsiaTheme="minorEastAsia"/>
          <w:sz w:val="24"/>
          <w:szCs w:val="24"/>
        </w:rPr>
      </w:pPr>
      <w:r>
        <w:rPr>
          <w:rFonts w:hint="eastAsia" w:cs="仿宋" w:asciiTheme="minorEastAsia" w:hAnsiTheme="minorEastAsia" w:eastAsiaTheme="minorEastAsia"/>
          <w:sz w:val="24"/>
          <w:szCs w:val="22"/>
        </w:rPr>
        <w:t>我</w:t>
      </w:r>
      <w:r>
        <w:rPr>
          <w:rFonts w:hint="eastAsia" w:cs="宋体" w:asciiTheme="minorEastAsia" w:hAnsiTheme="minorEastAsia" w:eastAsiaTheme="minorEastAsia"/>
          <w:sz w:val="24"/>
          <w:szCs w:val="24"/>
        </w:rPr>
        <w:t>公司郑重声明，我公司严格依法缴纳税收和社会保障资金，本文件中所提供的相关材料均真实有效，不存在虚假、造假行为。如有违反，愿承担一切责任。</w:t>
      </w:r>
    </w:p>
    <w:p>
      <w:pPr>
        <w:pStyle w:val="174"/>
        <w:snapToGrid w:val="0"/>
        <w:spacing w:line="500" w:lineRule="exact"/>
        <w:rPr>
          <w:rFonts w:cs="宋体" w:asciiTheme="minorEastAsia" w:hAnsiTheme="minorEastAsia" w:eastAsiaTheme="minorEastAsia"/>
          <w:sz w:val="24"/>
          <w:szCs w:val="24"/>
        </w:rPr>
      </w:pPr>
    </w:p>
    <w:p>
      <w:pPr>
        <w:pStyle w:val="174"/>
        <w:snapToGrid w:val="0"/>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特此承诺！</w:t>
      </w:r>
    </w:p>
    <w:p>
      <w:pPr>
        <w:pStyle w:val="175"/>
        <w:spacing w:line="360" w:lineRule="auto"/>
        <w:rPr>
          <w:rFonts w:cs="宋体" w:asciiTheme="minorEastAsia" w:hAnsiTheme="minorEastAsia" w:eastAsiaTheme="minorEastAsia"/>
          <w:szCs w:val="24"/>
          <w:lang w:val="en-US"/>
        </w:rPr>
      </w:pPr>
    </w:p>
    <w:p>
      <w:pPr>
        <w:pStyle w:val="175"/>
        <w:spacing w:line="360" w:lineRule="auto"/>
        <w:rPr>
          <w:rFonts w:cs="宋体" w:asciiTheme="minorEastAsia" w:hAnsiTheme="minorEastAsia" w:eastAsiaTheme="minorEastAsia"/>
          <w:szCs w:val="24"/>
          <w:lang w:val="en-US"/>
        </w:rPr>
      </w:pPr>
    </w:p>
    <w:p>
      <w:pPr>
        <w:widowControl/>
        <w:spacing w:line="360" w:lineRule="auto"/>
        <w:jc w:val="left"/>
        <w:rPr>
          <w:rFonts w:cs="宋体" w:asciiTheme="minorEastAsia" w:hAnsiTheme="minorEastAsia" w:eastAsiaTheme="minorEastAsia"/>
          <w:color w:val="000000"/>
          <w:kern w:val="0"/>
          <w:sz w:val="24"/>
          <w:u w:val="single"/>
        </w:rPr>
      </w:pPr>
      <w:r>
        <w:rPr>
          <w:rFonts w:hint="eastAsia" w:cs="宋体" w:asciiTheme="minorEastAsia" w:hAnsiTheme="minorEastAsia" w:eastAsiaTheme="minorEastAsia"/>
          <w:color w:val="000000"/>
          <w:kern w:val="0"/>
          <w:sz w:val="24"/>
        </w:rPr>
        <w:t>投标人（盖章）：</w:t>
      </w:r>
    </w:p>
    <w:p>
      <w:pPr>
        <w:spacing w:line="700" w:lineRule="exact"/>
        <w:outlineLvl w:val="3"/>
        <w:rPr>
          <w:rFonts w:asciiTheme="minorEastAsia" w:hAnsiTheme="minorEastAsia" w:eastAsiaTheme="minorEastAsia"/>
          <w:b/>
          <w:sz w:val="24"/>
        </w:rPr>
      </w:pPr>
      <w:r>
        <w:rPr>
          <w:rFonts w:hint="eastAsia" w:cs="宋体" w:asciiTheme="minorEastAsia" w:hAnsiTheme="minorEastAsia" w:eastAsiaTheme="minorEastAsia"/>
          <w:color w:val="000000"/>
          <w:kern w:val="0"/>
          <w:sz w:val="24"/>
        </w:rPr>
        <w:t>日期：年月日</w:t>
      </w:r>
    </w:p>
    <w:p>
      <w:pPr>
        <w:snapToGrid w:val="0"/>
        <w:spacing w:line="360" w:lineRule="auto"/>
        <w:ind w:firstLine="602" w:firstLineChars="200"/>
        <w:jc w:val="left"/>
        <w:rPr>
          <w:rFonts w:ascii="宋体" w:hAnsi="宋体" w:cs="宋体"/>
          <w:b/>
          <w:bCs/>
          <w:sz w:val="30"/>
          <w:szCs w:val="30"/>
        </w:rPr>
        <w:sectPr>
          <w:footerReference r:id="rId17" w:type="first"/>
          <w:headerReference r:id="rId15" w:type="default"/>
          <w:footerReference r:id="rId16" w:type="default"/>
          <w:pgSz w:w="11906" w:h="16838"/>
          <w:pgMar w:top="1440" w:right="1440" w:bottom="1440" w:left="1440" w:header="851" w:footer="992" w:gutter="0"/>
          <w:pgNumType w:fmt="decimal"/>
          <w:cols w:space="720" w:num="1"/>
          <w:titlePg/>
          <w:docGrid w:linePitch="312" w:charSpace="0"/>
        </w:sectPr>
      </w:pPr>
    </w:p>
    <w:p>
      <w:pPr>
        <w:snapToGrid w:val="0"/>
        <w:spacing w:line="360" w:lineRule="auto"/>
        <w:ind w:firstLine="602" w:firstLineChars="200"/>
        <w:jc w:val="left"/>
        <w:rPr>
          <w:rFonts w:asciiTheme="minorEastAsia" w:hAnsiTheme="minorEastAsia" w:eastAsiaTheme="minorEastAsia"/>
          <w:b/>
          <w:color w:val="000000"/>
          <w:sz w:val="24"/>
        </w:rPr>
      </w:pPr>
      <w:r>
        <w:rPr>
          <w:rFonts w:hint="eastAsia" w:ascii="宋体" w:hAnsi="宋体" w:cs="宋体"/>
          <w:b/>
          <w:bCs/>
          <w:sz w:val="30"/>
          <w:szCs w:val="30"/>
        </w:rPr>
        <w:t>2.商务技术文件目录</w:t>
      </w:r>
    </w:p>
    <w:p>
      <w:pPr>
        <w:snapToGrid w:val="0"/>
        <w:spacing w:line="360" w:lineRule="auto"/>
        <w:ind w:firstLine="480" w:firstLineChars="200"/>
        <w:jc w:val="left"/>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（1）供应商自评分表（根据评分内容自行设置）</w:t>
      </w:r>
    </w:p>
    <w:p>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（2）类似项目业绩</w:t>
      </w:r>
    </w:p>
    <w:p>
      <w:pPr>
        <w:snapToGrid w:val="0"/>
        <w:spacing w:line="360" w:lineRule="auto"/>
        <w:ind w:firstLine="480" w:firstLineChars="200"/>
        <w:jc w:val="left"/>
        <w:rPr>
          <w:rFonts w:hint="eastAsia"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（3）拟派</w:t>
      </w:r>
      <w:r>
        <w:rPr>
          <w:rFonts w:hint="eastAsia" w:cs="Arial" w:asciiTheme="minorEastAsia" w:hAnsiTheme="minorEastAsia" w:eastAsiaTheme="minorEastAsia"/>
          <w:color w:val="000000"/>
          <w:sz w:val="24"/>
          <w:lang w:val="en-US" w:eastAsia="zh-CN"/>
        </w:rPr>
        <w:t>项目负责人及项目组</w:t>
      </w:r>
      <w:r>
        <w:rPr>
          <w:rFonts w:hint="eastAsia" w:cs="Arial" w:asciiTheme="minorEastAsia" w:hAnsiTheme="minorEastAsia" w:eastAsiaTheme="minorEastAsia"/>
          <w:color w:val="000000"/>
          <w:sz w:val="24"/>
        </w:rPr>
        <w:t>成员情况</w:t>
      </w:r>
    </w:p>
    <w:p>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（4）</w:t>
      </w:r>
      <w:r>
        <w:rPr>
          <w:rFonts w:hint="eastAsia" w:ascii="宋体" w:hAnsi="宋体" w:cs="宋体"/>
          <w:b w:val="0"/>
          <w:bCs/>
          <w:sz w:val="24"/>
          <w:highlight w:val="none"/>
        </w:rPr>
        <w:t>本项目熟悉程度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cs="Arial" w:asciiTheme="minorEastAsia" w:hAnsiTheme="minorEastAsia" w:eastAsiaTheme="minorEastAsia"/>
          <w:color w:val="000000"/>
          <w:sz w:val="24"/>
        </w:rPr>
        <w:t>（5）</w:t>
      </w:r>
      <w:r>
        <w:rPr>
          <w:rFonts w:hint="eastAsia" w:ascii="宋体" w:hAnsi="宋体" w:cs="宋体"/>
          <w:sz w:val="24"/>
          <w:highlight w:val="none"/>
        </w:rPr>
        <w:t>组织实施方案及进度安排</w:t>
      </w:r>
    </w:p>
    <w:p>
      <w:pPr>
        <w:spacing w:line="360" w:lineRule="auto"/>
        <w:ind w:firstLine="480" w:firstLineChars="200"/>
        <w:rPr>
          <w:rFonts w:cs="Arial" w:asciiTheme="minorEastAsia" w:hAnsiTheme="minorEastAsia" w:eastAsiaTheme="minorEastAsia"/>
          <w:color w:val="000000"/>
          <w:sz w:val="24"/>
        </w:rPr>
      </w:pPr>
      <w:r>
        <w:rPr>
          <w:rFonts w:hint="eastAsia" w:ascii="宋体" w:hAnsi="宋体" w:cs="宋体"/>
          <w:color w:val="000000" w:themeColor="text1"/>
          <w:sz w:val="24"/>
          <w14:textFill>
            <w14:solidFill>
              <w14:schemeClr w14:val="tx1"/>
            </w14:solidFill>
          </w14:textFill>
        </w:rPr>
        <w:t>（6）</w:t>
      </w:r>
      <w:r>
        <w:rPr>
          <w:rFonts w:hint="eastAsia" w:ascii="宋体" w:hAnsi="宋体" w:cs="宋体"/>
          <w:sz w:val="24"/>
          <w:highlight w:val="none"/>
        </w:rPr>
        <w:t>成果、质量及安全保障体系</w:t>
      </w:r>
    </w:p>
    <w:p>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（7）</w:t>
      </w:r>
      <w:r>
        <w:rPr>
          <w:rFonts w:hint="eastAsia" w:ascii="宋体" w:hAnsi="宋体" w:cs="宋体"/>
          <w:sz w:val="24"/>
          <w:highlight w:val="none"/>
        </w:rPr>
        <w:t>后期服务</w:t>
      </w:r>
    </w:p>
    <w:p>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（8）</w:t>
      </w:r>
      <w:r>
        <w:rPr>
          <w:rFonts w:hint="eastAsia" w:ascii="宋体" w:hAnsi="宋体" w:cs="宋体"/>
          <w:kern w:val="0"/>
          <w:sz w:val="24"/>
          <w:highlight w:val="none"/>
        </w:rPr>
        <w:t>质量承诺</w:t>
      </w:r>
    </w:p>
    <w:p>
      <w:pPr>
        <w:snapToGrid w:val="0"/>
        <w:spacing w:line="360" w:lineRule="auto"/>
        <w:ind w:firstLine="480" w:firstLineChars="200"/>
        <w:jc w:val="left"/>
        <w:outlineLvl w:val="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w:t>
      </w:r>
      <w:r>
        <w:rPr>
          <w:rFonts w:hint="eastAsia" w:cs="Arial" w:asciiTheme="minorEastAsia" w:hAnsiTheme="minorEastAsia" w:eastAsiaTheme="minorEastAsia"/>
          <w:color w:val="000000"/>
          <w:sz w:val="24"/>
          <w:lang w:val="en-US" w:eastAsia="zh-CN"/>
        </w:rPr>
        <w:t>9</w:t>
      </w:r>
      <w:r>
        <w:rPr>
          <w:rFonts w:hint="eastAsia" w:cs="Arial" w:asciiTheme="minorEastAsia" w:hAnsiTheme="minorEastAsia" w:eastAsiaTheme="minorEastAsia"/>
          <w:color w:val="000000"/>
          <w:sz w:val="24"/>
        </w:rPr>
        <w:t>）</w:t>
      </w:r>
      <w:r>
        <w:rPr>
          <w:rFonts w:hint="eastAsia" w:ascii="宋体" w:hAnsi="宋体" w:cs="宋体"/>
          <w:kern w:val="0"/>
          <w:sz w:val="24"/>
          <w:highlight w:val="none"/>
        </w:rPr>
        <w:t>合理化建议和改进措施</w:t>
      </w:r>
    </w:p>
    <w:p>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w:t>
      </w:r>
      <w:r>
        <w:rPr>
          <w:rFonts w:hint="eastAsia" w:cs="Arial" w:asciiTheme="minorEastAsia" w:hAnsiTheme="minorEastAsia" w:eastAsiaTheme="minorEastAsia"/>
          <w:color w:val="000000"/>
          <w:sz w:val="24"/>
          <w:lang w:val="en-US" w:eastAsia="zh-CN"/>
        </w:rPr>
        <w:t>0</w:t>
      </w:r>
      <w:r>
        <w:rPr>
          <w:rFonts w:hint="eastAsia" w:cs="Arial" w:asciiTheme="minorEastAsia" w:hAnsiTheme="minorEastAsia" w:eastAsiaTheme="minorEastAsia"/>
          <w:color w:val="000000"/>
          <w:sz w:val="24"/>
        </w:rPr>
        <w:t>）投标人需要说明的其他文件等。</w:t>
      </w:r>
    </w:p>
    <w:p>
      <w:pPr>
        <w:spacing w:line="360" w:lineRule="auto"/>
        <w:rPr>
          <w:rFonts w:asciiTheme="minorEastAsia" w:hAnsiTheme="minorEastAsia" w:eastAsiaTheme="minorEastAsia"/>
          <w:b/>
          <w:sz w:val="24"/>
        </w:rPr>
        <w:sectPr>
          <w:pgSz w:w="11906" w:h="16838"/>
          <w:pgMar w:top="1440" w:right="1440" w:bottom="1440" w:left="1440" w:header="851" w:footer="992" w:gutter="0"/>
          <w:pgNumType w:fmt="decimal"/>
          <w:cols w:space="720" w:num="1"/>
          <w:titlePg/>
          <w:docGrid w:linePitch="312" w:charSpace="0"/>
        </w:sect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（1）评分对应表</w:t>
      </w:r>
    </w:p>
    <w:tbl>
      <w:tblPr>
        <w:tblStyle w:val="3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3"/>
        <w:gridCol w:w="3532"/>
        <w:gridCol w:w="23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03" w:type="dxa"/>
            <w:tcBorders>
              <w:top w:val="single" w:color="auto" w:sz="4" w:space="0"/>
              <w:left w:val="single" w:color="auto" w:sz="4" w:space="0"/>
              <w:bottom w:val="single" w:color="auto" w:sz="4" w:space="0"/>
              <w:right w:val="single" w:color="auto" w:sz="4" w:space="0"/>
            </w:tcBorders>
            <w:vAlign w:val="center"/>
          </w:tcPr>
          <w:p>
            <w:pPr>
              <w:spacing w:line="580" w:lineRule="exact"/>
              <w:rPr>
                <w:rFonts w:ascii="宋体" w:hAnsi="宋体" w:cs="宋体"/>
                <w:sz w:val="24"/>
              </w:rPr>
            </w:pPr>
            <w:r>
              <w:rPr>
                <w:rFonts w:hint="eastAsia" w:ascii="宋体" w:hAnsi="宋体" w:cs="宋体"/>
                <w:sz w:val="24"/>
              </w:rPr>
              <w:t>评分项目</w:t>
            </w:r>
          </w:p>
        </w:tc>
        <w:tc>
          <w:tcPr>
            <w:tcW w:w="3532" w:type="dxa"/>
            <w:tcBorders>
              <w:top w:val="single" w:color="auto" w:sz="4" w:space="0"/>
              <w:left w:val="nil"/>
              <w:bottom w:val="single" w:color="auto" w:sz="4" w:space="0"/>
              <w:right w:val="single" w:color="auto" w:sz="4" w:space="0"/>
            </w:tcBorders>
            <w:vAlign w:val="center"/>
          </w:tcPr>
          <w:p>
            <w:pPr>
              <w:spacing w:line="580" w:lineRule="exact"/>
              <w:rPr>
                <w:rFonts w:ascii="宋体" w:hAnsi="宋体" w:cs="宋体"/>
                <w:sz w:val="24"/>
              </w:rPr>
            </w:pPr>
            <w:r>
              <w:rPr>
                <w:rFonts w:hint="eastAsia" w:ascii="宋体" w:hAnsi="宋体" w:cs="宋体"/>
                <w:sz w:val="24"/>
              </w:rPr>
              <w:t>投标文件对应资料</w:t>
            </w:r>
          </w:p>
        </w:tc>
        <w:tc>
          <w:tcPr>
            <w:tcW w:w="2345" w:type="dxa"/>
            <w:tcBorders>
              <w:top w:val="single" w:color="auto" w:sz="4" w:space="0"/>
              <w:left w:val="nil"/>
              <w:bottom w:val="single" w:color="auto" w:sz="4" w:space="0"/>
              <w:right w:val="single" w:color="auto" w:sz="4" w:space="0"/>
            </w:tcBorders>
            <w:vAlign w:val="center"/>
          </w:tcPr>
          <w:p>
            <w:pPr>
              <w:spacing w:line="580" w:lineRule="exact"/>
              <w:rPr>
                <w:rFonts w:ascii="宋体" w:hAnsi="宋体" w:cs="宋体"/>
                <w:sz w:val="24"/>
              </w:rPr>
            </w:pPr>
            <w:r>
              <w:rPr>
                <w:rFonts w:hint="eastAsia" w:ascii="宋体" w:hAnsi="宋体" w:cs="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r>
              <w:rPr>
                <w:rFonts w:hint="eastAsia" w:ascii="宋体" w:hAnsi="宋体" w:cs="宋体"/>
                <w:sz w:val="24"/>
              </w:rPr>
              <w:t>对应第四章评分办法及评分标准（报价除外）</w:t>
            </w: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r>
              <w:rPr>
                <w:rFonts w:hint="eastAsia" w:ascii="宋体" w:hAnsi="宋体" w:cs="宋体"/>
                <w:sz w:val="24"/>
              </w:rPr>
              <w:t>……</w:t>
            </w: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pPr>
              <w:spacing w:line="580" w:lineRule="exact"/>
              <w:rPr>
                <w:rFonts w:ascii="宋体" w:hAnsi="宋体" w:cs="宋体"/>
                <w:sz w:val="24"/>
              </w:rPr>
            </w:pPr>
          </w:p>
        </w:tc>
      </w:tr>
    </w:tbl>
    <w:p>
      <w:pPr>
        <w:snapToGrid w:val="0"/>
        <w:spacing w:beforeLines="50" w:after="50" w:line="360" w:lineRule="auto"/>
        <w:rPr>
          <w:rFonts w:ascii="宋体" w:hAnsi="宋体" w:cs="宋体"/>
          <w:sz w:val="24"/>
        </w:rPr>
      </w:pPr>
    </w:p>
    <w:p>
      <w:pPr>
        <w:snapToGrid w:val="0"/>
        <w:spacing w:beforeLines="50" w:after="50" w:line="360" w:lineRule="auto"/>
        <w:rPr>
          <w:rFonts w:ascii="宋体" w:hAnsi="宋体" w:cs="宋体"/>
          <w:sz w:val="24"/>
        </w:rPr>
      </w:pPr>
    </w:p>
    <w:p>
      <w:pPr>
        <w:snapToGrid w:val="0"/>
        <w:spacing w:beforeLines="50" w:after="50" w:line="460" w:lineRule="exact"/>
        <w:ind w:firstLine="120" w:firstLineChars="50"/>
        <w:jc w:val="left"/>
        <w:rPr>
          <w:rFonts w:ascii="宋体" w:hAnsi="宋体" w:cs="宋体"/>
          <w:sz w:val="24"/>
        </w:rPr>
      </w:pPr>
      <w:r>
        <w:rPr>
          <w:rFonts w:hint="eastAsia" w:ascii="宋体" w:hAnsi="宋体" w:cs="宋体"/>
          <w:sz w:val="24"/>
        </w:rPr>
        <w:t>投标人全称（公章）：</w:t>
      </w:r>
    </w:p>
    <w:p>
      <w:pPr>
        <w:spacing w:beforeLines="50" w:afterLines="50" w:line="480" w:lineRule="exact"/>
        <w:ind w:right="105" w:rightChars="50"/>
        <w:jc w:val="left"/>
        <w:rPr>
          <w:rFonts w:ascii="宋体" w:hAnsi="宋体" w:cs="宋体"/>
          <w:sz w:val="24"/>
        </w:rPr>
      </w:pPr>
      <w:r>
        <w:rPr>
          <w:rFonts w:hint="eastAsia" w:ascii="宋体" w:hAnsi="宋体" w:cs="宋体"/>
          <w:sz w:val="24"/>
        </w:rPr>
        <w:t>法定代表人或委托代理人：（签字或盖章）</w:t>
      </w:r>
    </w:p>
    <w:p>
      <w:pPr>
        <w:spacing w:line="360" w:lineRule="auto"/>
        <w:jc w:val="both"/>
        <w:rPr>
          <w:rFonts w:ascii="宋体" w:hAnsi="宋体" w:cs="宋体"/>
          <w:sz w:val="24"/>
        </w:rPr>
      </w:pPr>
      <w:r>
        <w:rPr>
          <w:rFonts w:hint="eastAsia" w:ascii="宋体" w:hAnsi="宋体" w:cs="宋体"/>
          <w:sz w:val="24"/>
        </w:rPr>
        <w:t>日 期：</w:t>
      </w:r>
    </w:p>
    <w:p>
      <w:pPr>
        <w:spacing w:line="360" w:lineRule="auto"/>
        <w:rPr>
          <w:rFonts w:asciiTheme="minorEastAsia" w:hAnsiTheme="minorEastAsia" w:eastAsiaTheme="minorEastAsia"/>
          <w:b/>
          <w:sz w:val="24"/>
        </w:rPr>
        <w:sectPr>
          <w:pgSz w:w="11906" w:h="16838"/>
          <w:pgMar w:top="1440" w:right="1440" w:bottom="1440" w:left="1440" w:header="851" w:footer="992" w:gutter="0"/>
          <w:pgNumType w:fmt="decimal"/>
          <w:cols w:space="720" w:num="1"/>
          <w:titlePg/>
          <w:docGrid w:linePitch="312" w:charSpace="0"/>
        </w:sectPr>
      </w:pPr>
    </w:p>
    <w:p>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 拟派</w:t>
      </w:r>
      <w:r>
        <w:rPr>
          <w:rFonts w:hint="eastAsia" w:asciiTheme="minorEastAsia" w:hAnsiTheme="minorEastAsia" w:eastAsiaTheme="minorEastAsia"/>
          <w:b/>
          <w:sz w:val="24"/>
          <w:lang w:val="en-US" w:eastAsia="zh-CN"/>
        </w:rPr>
        <w:t>项目负责人及项目组成员情况</w:t>
      </w:r>
      <w:r>
        <w:rPr>
          <w:rFonts w:hint="eastAsia" w:asciiTheme="minorEastAsia" w:hAnsiTheme="minorEastAsia" w:eastAsiaTheme="minorEastAsia"/>
          <w:b/>
          <w:sz w:val="24"/>
        </w:rPr>
        <w:t>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1315"/>
        <w:gridCol w:w="1872"/>
        <w:gridCol w:w="1967"/>
        <w:gridCol w:w="23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姓名</w:t>
            </w: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职位</w:t>
            </w: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专业</w:t>
            </w:r>
          </w:p>
        </w:tc>
        <w:tc>
          <w:tcPr>
            <w:tcW w:w="1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职称</w:t>
            </w: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持何种证书和奖项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heme="minorEastAsia" w:hAnsiTheme="minorEastAsia" w:eastAsiaTheme="minorEastAsia"/>
                <w:bCs/>
                <w:sz w:val="24"/>
              </w:rPr>
            </w:pPr>
          </w:p>
        </w:tc>
      </w:tr>
    </w:tbl>
    <w:p>
      <w:pPr>
        <w:spacing w:line="360" w:lineRule="auto"/>
        <w:ind w:firstLine="480"/>
        <w:rPr>
          <w:rFonts w:asciiTheme="minorEastAsia" w:hAnsiTheme="minorEastAsia" w:eastAsiaTheme="minorEastAsia"/>
          <w:bCs/>
          <w:sz w:val="24"/>
        </w:rPr>
      </w:pPr>
    </w:p>
    <w:p>
      <w:pPr>
        <w:spacing w:line="360" w:lineRule="auto"/>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投标人全称（加盖公章）：</w:t>
      </w:r>
    </w:p>
    <w:p>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法定代表人或其授权委托人：（签字或盖章）</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日期：    </w:t>
      </w:r>
    </w:p>
    <w:p>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注：1、此表仅提供了表格形式，投标人应根据需要准备足够数量的表格来填写；</w:t>
      </w:r>
    </w:p>
    <w:p>
      <w:pPr>
        <w:spacing w:line="360" w:lineRule="auto"/>
        <w:ind w:firstLine="960" w:firstLineChars="4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2、请附证书复印件（加盖公章）</w:t>
      </w:r>
      <w:r>
        <w:rPr>
          <w:rFonts w:hint="eastAsia" w:asciiTheme="minorEastAsia" w:hAnsiTheme="minorEastAsia" w:eastAsiaTheme="minorEastAsia"/>
          <w:bCs/>
          <w:sz w:val="24"/>
          <w:lang w:eastAsia="zh-CN"/>
        </w:rPr>
        <w:t>；</w:t>
      </w:r>
    </w:p>
    <w:p>
      <w:pPr>
        <w:spacing w:line="360" w:lineRule="auto"/>
        <w:ind w:firstLine="960" w:firstLineChars="400"/>
        <w:rPr>
          <w:rFonts w:hint="eastAsia" w:asciiTheme="minorEastAsia" w:hAnsiTheme="minorEastAsia" w:eastAsiaTheme="minorEastAsia"/>
          <w:b/>
          <w:sz w:val="24"/>
          <w:lang w:eastAsia="zh-CN"/>
        </w:rPr>
        <w:sectPr>
          <w:pgSz w:w="11906" w:h="16838"/>
          <w:pgMar w:top="1440" w:right="1440" w:bottom="1440" w:left="1440" w:header="851" w:footer="992" w:gutter="0"/>
          <w:pgNumType w:fmt="decimal"/>
          <w:cols w:space="720" w:num="1"/>
          <w:titlePg/>
          <w:docGrid w:linePitch="312" w:charSpace="0"/>
        </w:sectPr>
      </w:pPr>
      <w:r>
        <w:rPr>
          <w:rFonts w:hint="eastAsia" w:asciiTheme="minorEastAsia" w:hAnsiTheme="minorEastAsia" w:eastAsiaTheme="minorEastAsia"/>
          <w:bCs/>
          <w:sz w:val="24"/>
        </w:rPr>
        <w:t>3、社保复印件（加盖公章）</w:t>
      </w:r>
      <w:r>
        <w:rPr>
          <w:rFonts w:hint="eastAsia" w:asciiTheme="minorEastAsia" w:hAnsiTheme="minorEastAsia" w:eastAsiaTheme="minorEastAsia"/>
          <w:bCs/>
          <w:sz w:val="24"/>
          <w:lang w:eastAsia="zh-CN"/>
        </w:rPr>
        <w:t>。</w:t>
      </w:r>
    </w:p>
    <w:p>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（3）企业业绩</w:t>
      </w:r>
    </w:p>
    <w:tbl>
      <w:tblPr>
        <w:tblStyle w:val="3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002"/>
        <w:gridCol w:w="1984"/>
        <w:gridCol w:w="198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00" w:type="dxa"/>
            <w:noWrap/>
            <w:vAlign w:val="center"/>
          </w:tcPr>
          <w:p>
            <w:pPr>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序号</w:t>
            </w:r>
          </w:p>
        </w:tc>
        <w:tc>
          <w:tcPr>
            <w:tcW w:w="2002" w:type="dxa"/>
            <w:noWrap/>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采购方</w:t>
            </w:r>
          </w:p>
        </w:tc>
        <w:tc>
          <w:tcPr>
            <w:tcW w:w="1984" w:type="dxa"/>
            <w:noWrap/>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合同金额</w:t>
            </w:r>
          </w:p>
        </w:tc>
        <w:tc>
          <w:tcPr>
            <w:tcW w:w="1985" w:type="dxa"/>
            <w:noWrap/>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签订时间</w:t>
            </w:r>
          </w:p>
        </w:tc>
        <w:tc>
          <w:tcPr>
            <w:tcW w:w="2693" w:type="dxa"/>
            <w:noWrap/>
            <w:vAlign w:val="center"/>
          </w:tcPr>
          <w:p>
            <w:pPr>
              <w:snapToGrid w:val="0"/>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pPr>
              <w:snapToGrid w:val="0"/>
              <w:spacing w:line="360" w:lineRule="auto"/>
              <w:jc w:val="center"/>
              <w:rPr>
                <w:rFonts w:asciiTheme="minorEastAsia" w:hAnsiTheme="minorEastAsia" w:eastAsiaTheme="minorEastAsia"/>
                <w:sz w:val="24"/>
              </w:rPr>
            </w:pPr>
          </w:p>
        </w:tc>
        <w:tc>
          <w:tcPr>
            <w:tcW w:w="2002" w:type="dxa"/>
            <w:noWrap/>
          </w:tcPr>
          <w:p>
            <w:pPr>
              <w:snapToGrid w:val="0"/>
              <w:spacing w:line="360" w:lineRule="auto"/>
              <w:jc w:val="center"/>
              <w:rPr>
                <w:rFonts w:asciiTheme="minorEastAsia" w:hAnsiTheme="minorEastAsia" w:eastAsiaTheme="minorEastAsia"/>
                <w:sz w:val="24"/>
              </w:rPr>
            </w:pPr>
          </w:p>
        </w:tc>
        <w:tc>
          <w:tcPr>
            <w:tcW w:w="1984" w:type="dxa"/>
            <w:noWrap/>
          </w:tcPr>
          <w:p>
            <w:pPr>
              <w:snapToGrid w:val="0"/>
              <w:spacing w:line="360" w:lineRule="auto"/>
              <w:rPr>
                <w:rFonts w:asciiTheme="minorEastAsia" w:hAnsiTheme="minorEastAsia" w:eastAsiaTheme="minorEastAsia"/>
                <w:sz w:val="24"/>
              </w:rPr>
            </w:pPr>
          </w:p>
        </w:tc>
        <w:tc>
          <w:tcPr>
            <w:tcW w:w="1985" w:type="dxa"/>
            <w:noWrap/>
          </w:tcPr>
          <w:p>
            <w:pPr>
              <w:snapToGrid w:val="0"/>
              <w:spacing w:line="360" w:lineRule="auto"/>
              <w:jc w:val="center"/>
              <w:rPr>
                <w:rFonts w:asciiTheme="minorEastAsia" w:hAnsiTheme="minorEastAsia" w:eastAsiaTheme="minorEastAsia"/>
                <w:sz w:val="24"/>
              </w:rPr>
            </w:pPr>
          </w:p>
        </w:tc>
        <w:tc>
          <w:tcPr>
            <w:tcW w:w="2693" w:type="dxa"/>
            <w:noWrap/>
          </w:tcPr>
          <w:p>
            <w:pPr>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pPr>
              <w:snapToGrid w:val="0"/>
              <w:spacing w:line="360" w:lineRule="auto"/>
              <w:jc w:val="center"/>
              <w:rPr>
                <w:rFonts w:asciiTheme="minorEastAsia" w:hAnsiTheme="minorEastAsia" w:eastAsiaTheme="minorEastAsia"/>
                <w:sz w:val="24"/>
              </w:rPr>
            </w:pPr>
          </w:p>
        </w:tc>
        <w:tc>
          <w:tcPr>
            <w:tcW w:w="2002" w:type="dxa"/>
            <w:noWrap/>
          </w:tcPr>
          <w:p>
            <w:pPr>
              <w:snapToGrid w:val="0"/>
              <w:spacing w:line="360" w:lineRule="auto"/>
              <w:jc w:val="center"/>
              <w:rPr>
                <w:rFonts w:asciiTheme="minorEastAsia" w:hAnsiTheme="minorEastAsia" w:eastAsiaTheme="minorEastAsia"/>
                <w:sz w:val="24"/>
              </w:rPr>
            </w:pPr>
          </w:p>
        </w:tc>
        <w:tc>
          <w:tcPr>
            <w:tcW w:w="1984" w:type="dxa"/>
            <w:noWrap/>
          </w:tcPr>
          <w:p>
            <w:pPr>
              <w:snapToGrid w:val="0"/>
              <w:spacing w:line="360" w:lineRule="auto"/>
              <w:rPr>
                <w:rFonts w:asciiTheme="minorEastAsia" w:hAnsiTheme="minorEastAsia" w:eastAsiaTheme="minorEastAsia"/>
                <w:sz w:val="24"/>
              </w:rPr>
            </w:pPr>
          </w:p>
        </w:tc>
        <w:tc>
          <w:tcPr>
            <w:tcW w:w="1985" w:type="dxa"/>
            <w:noWrap/>
          </w:tcPr>
          <w:p>
            <w:pPr>
              <w:snapToGrid w:val="0"/>
              <w:spacing w:line="360" w:lineRule="auto"/>
              <w:jc w:val="center"/>
              <w:rPr>
                <w:rFonts w:asciiTheme="minorEastAsia" w:hAnsiTheme="minorEastAsia" w:eastAsiaTheme="minorEastAsia"/>
                <w:sz w:val="24"/>
              </w:rPr>
            </w:pPr>
          </w:p>
        </w:tc>
        <w:tc>
          <w:tcPr>
            <w:tcW w:w="2693" w:type="dxa"/>
            <w:noWrap/>
          </w:tcPr>
          <w:p>
            <w:pPr>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pPr>
              <w:snapToGrid w:val="0"/>
              <w:spacing w:line="360" w:lineRule="auto"/>
              <w:jc w:val="center"/>
              <w:rPr>
                <w:rFonts w:asciiTheme="minorEastAsia" w:hAnsiTheme="minorEastAsia" w:eastAsiaTheme="minorEastAsia"/>
                <w:sz w:val="24"/>
              </w:rPr>
            </w:pPr>
          </w:p>
        </w:tc>
        <w:tc>
          <w:tcPr>
            <w:tcW w:w="2002" w:type="dxa"/>
            <w:noWrap/>
          </w:tcPr>
          <w:p>
            <w:pPr>
              <w:snapToGrid w:val="0"/>
              <w:spacing w:line="360" w:lineRule="auto"/>
              <w:jc w:val="center"/>
              <w:rPr>
                <w:rFonts w:asciiTheme="minorEastAsia" w:hAnsiTheme="minorEastAsia" w:eastAsiaTheme="minorEastAsia"/>
                <w:sz w:val="24"/>
              </w:rPr>
            </w:pPr>
          </w:p>
        </w:tc>
        <w:tc>
          <w:tcPr>
            <w:tcW w:w="1984" w:type="dxa"/>
            <w:noWrap/>
          </w:tcPr>
          <w:p>
            <w:pPr>
              <w:snapToGrid w:val="0"/>
              <w:spacing w:line="360" w:lineRule="auto"/>
              <w:rPr>
                <w:rFonts w:asciiTheme="minorEastAsia" w:hAnsiTheme="minorEastAsia" w:eastAsiaTheme="minorEastAsia"/>
                <w:sz w:val="24"/>
              </w:rPr>
            </w:pPr>
          </w:p>
        </w:tc>
        <w:tc>
          <w:tcPr>
            <w:tcW w:w="1985" w:type="dxa"/>
            <w:noWrap/>
          </w:tcPr>
          <w:p>
            <w:pPr>
              <w:snapToGrid w:val="0"/>
              <w:spacing w:line="360" w:lineRule="auto"/>
              <w:jc w:val="center"/>
              <w:rPr>
                <w:rFonts w:asciiTheme="minorEastAsia" w:hAnsiTheme="minorEastAsia" w:eastAsiaTheme="minorEastAsia"/>
                <w:sz w:val="24"/>
              </w:rPr>
            </w:pPr>
          </w:p>
        </w:tc>
        <w:tc>
          <w:tcPr>
            <w:tcW w:w="2693" w:type="dxa"/>
            <w:noWrap/>
          </w:tcPr>
          <w:p>
            <w:pPr>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00" w:type="dxa"/>
            <w:noWrap/>
          </w:tcPr>
          <w:p>
            <w:pPr>
              <w:snapToGrid w:val="0"/>
              <w:spacing w:line="360" w:lineRule="auto"/>
              <w:jc w:val="center"/>
              <w:rPr>
                <w:rFonts w:asciiTheme="minorEastAsia" w:hAnsiTheme="minorEastAsia" w:eastAsiaTheme="minorEastAsia"/>
                <w:sz w:val="24"/>
              </w:rPr>
            </w:pPr>
          </w:p>
        </w:tc>
        <w:tc>
          <w:tcPr>
            <w:tcW w:w="2002" w:type="dxa"/>
            <w:noWrap/>
          </w:tcPr>
          <w:p>
            <w:pPr>
              <w:snapToGrid w:val="0"/>
              <w:spacing w:line="360" w:lineRule="auto"/>
              <w:jc w:val="center"/>
              <w:rPr>
                <w:rFonts w:asciiTheme="minorEastAsia" w:hAnsiTheme="minorEastAsia" w:eastAsiaTheme="minorEastAsia"/>
                <w:sz w:val="24"/>
              </w:rPr>
            </w:pPr>
          </w:p>
        </w:tc>
        <w:tc>
          <w:tcPr>
            <w:tcW w:w="1984" w:type="dxa"/>
            <w:noWrap/>
          </w:tcPr>
          <w:p>
            <w:pPr>
              <w:snapToGrid w:val="0"/>
              <w:spacing w:line="360" w:lineRule="auto"/>
              <w:rPr>
                <w:rFonts w:asciiTheme="minorEastAsia" w:hAnsiTheme="minorEastAsia" w:eastAsiaTheme="minorEastAsia"/>
                <w:sz w:val="24"/>
              </w:rPr>
            </w:pPr>
          </w:p>
        </w:tc>
        <w:tc>
          <w:tcPr>
            <w:tcW w:w="1985" w:type="dxa"/>
            <w:noWrap/>
          </w:tcPr>
          <w:p>
            <w:pPr>
              <w:snapToGrid w:val="0"/>
              <w:spacing w:line="360" w:lineRule="auto"/>
              <w:jc w:val="center"/>
              <w:rPr>
                <w:rFonts w:asciiTheme="minorEastAsia" w:hAnsiTheme="minorEastAsia" w:eastAsiaTheme="minorEastAsia"/>
                <w:sz w:val="24"/>
              </w:rPr>
            </w:pPr>
          </w:p>
        </w:tc>
        <w:tc>
          <w:tcPr>
            <w:tcW w:w="2693" w:type="dxa"/>
            <w:noWrap/>
          </w:tcPr>
          <w:p>
            <w:pPr>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pPr>
              <w:snapToGrid w:val="0"/>
              <w:spacing w:line="360" w:lineRule="auto"/>
              <w:jc w:val="center"/>
              <w:rPr>
                <w:rFonts w:asciiTheme="minorEastAsia" w:hAnsiTheme="minorEastAsia" w:eastAsiaTheme="minorEastAsia"/>
                <w:sz w:val="24"/>
              </w:rPr>
            </w:pPr>
          </w:p>
        </w:tc>
        <w:tc>
          <w:tcPr>
            <w:tcW w:w="2002" w:type="dxa"/>
            <w:noWrap/>
          </w:tcPr>
          <w:p>
            <w:pPr>
              <w:snapToGrid w:val="0"/>
              <w:spacing w:line="360" w:lineRule="auto"/>
              <w:jc w:val="center"/>
              <w:rPr>
                <w:rFonts w:asciiTheme="minorEastAsia" w:hAnsiTheme="minorEastAsia" w:eastAsiaTheme="minorEastAsia"/>
                <w:sz w:val="24"/>
              </w:rPr>
            </w:pPr>
          </w:p>
        </w:tc>
        <w:tc>
          <w:tcPr>
            <w:tcW w:w="1984" w:type="dxa"/>
            <w:noWrap/>
          </w:tcPr>
          <w:p>
            <w:pPr>
              <w:snapToGrid w:val="0"/>
              <w:spacing w:line="360" w:lineRule="auto"/>
              <w:rPr>
                <w:rFonts w:asciiTheme="minorEastAsia" w:hAnsiTheme="minorEastAsia" w:eastAsiaTheme="minorEastAsia"/>
                <w:sz w:val="24"/>
              </w:rPr>
            </w:pPr>
          </w:p>
        </w:tc>
        <w:tc>
          <w:tcPr>
            <w:tcW w:w="1985" w:type="dxa"/>
            <w:noWrap/>
          </w:tcPr>
          <w:p>
            <w:pPr>
              <w:snapToGrid w:val="0"/>
              <w:spacing w:line="360" w:lineRule="auto"/>
              <w:jc w:val="center"/>
              <w:rPr>
                <w:rFonts w:asciiTheme="minorEastAsia" w:hAnsiTheme="minorEastAsia" w:eastAsiaTheme="minorEastAsia"/>
                <w:sz w:val="24"/>
              </w:rPr>
            </w:pPr>
          </w:p>
        </w:tc>
        <w:tc>
          <w:tcPr>
            <w:tcW w:w="2693" w:type="dxa"/>
            <w:noWrap/>
          </w:tcPr>
          <w:p>
            <w:pPr>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pPr>
              <w:snapToGrid w:val="0"/>
              <w:spacing w:line="360" w:lineRule="auto"/>
              <w:jc w:val="center"/>
              <w:rPr>
                <w:rFonts w:asciiTheme="minorEastAsia" w:hAnsiTheme="minorEastAsia" w:eastAsiaTheme="minorEastAsia"/>
                <w:sz w:val="24"/>
              </w:rPr>
            </w:pPr>
          </w:p>
        </w:tc>
        <w:tc>
          <w:tcPr>
            <w:tcW w:w="2002" w:type="dxa"/>
            <w:noWrap/>
          </w:tcPr>
          <w:p>
            <w:pPr>
              <w:snapToGrid w:val="0"/>
              <w:spacing w:line="360" w:lineRule="auto"/>
              <w:jc w:val="center"/>
              <w:rPr>
                <w:rFonts w:asciiTheme="minorEastAsia" w:hAnsiTheme="minorEastAsia" w:eastAsiaTheme="minorEastAsia"/>
                <w:sz w:val="24"/>
              </w:rPr>
            </w:pPr>
          </w:p>
        </w:tc>
        <w:tc>
          <w:tcPr>
            <w:tcW w:w="1984" w:type="dxa"/>
            <w:noWrap/>
          </w:tcPr>
          <w:p>
            <w:pPr>
              <w:snapToGrid w:val="0"/>
              <w:spacing w:line="360" w:lineRule="auto"/>
              <w:rPr>
                <w:rFonts w:asciiTheme="minorEastAsia" w:hAnsiTheme="minorEastAsia" w:eastAsiaTheme="minorEastAsia"/>
                <w:sz w:val="24"/>
              </w:rPr>
            </w:pPr>
          </w:p>
        </w:tc>
        <w:tc>
          <w:tcPr>
            <w:tcW w:w="1985" w:type="dxa"/>
            <w:noWrap/>
          </w:tcPr>
          <w:p>
            <w:pPr>
              <w:snapToGrid w:val="0"/>
              <w:spacing w:line="360" w:lineRule="auto"/>
              <w:jc w:val="center"/>
              <w:rPr>
                <w:rFonts w:asciiTheme="minorEastAsia" w:hAnsiTheme="minorEastAsia" w:eastAsiaTheme="minorEastAsia"/>
                <w:sz w:val="24"/>
              </w:rPr>
            </w:pPr>
          </w:p>
        </w:tc>
        <w:tc>
          <w:tcPr>
            <w:tcW w:w="2693" w:type="dxa"/>
            <w:noWrap/>
          </w:tcPr>
          <w:p>
            <w:pPr>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pPr>
              <w:snapToGrid w:val="0"/>
              <w:spacing w:line="360" w:lineRule="auto"/>
              <w:jc w:val="center"/>
              <w:rPr>
                <w:rFonts w:asciiTheme="minorEastAsia" w:hAnsiTheme="minorEastAsia" w:eastAsiaTheme="minorEastAsia"/>
                <w:sz w:val="24"/>
              </w:rPr>
            </w:pPr>
          </w:p>
        </w:tc>
        <w:tc>
          <w:tcPr>
            <w:tcW w:w="2002" w:type="dxa"/>
            <w:noWrap/>
          </w:tcPr>
          <w:p>
            <w:pPr>
              <w:snapToGrid w:val="0"/>
              <w:spacing w:line="360" w:lineRule="auto"/>
              <w:jc w:val="center"/>
              <w:rPr>
                <w:rFonts w:asciiTheme="minorEastAsia" w:hAnsiTheme="minorEastAsia" w:eastAsiaTheme="minorEastAsia"/>
                <w:sz w:val="24"/>
              </w:rPr>
            </w:pPr>
          </w:p>
        </w:tc>
        <w:tc>
          <w:tcPr>
            <w:tcW w:w="1984" w:type="dxa"/>
            <w:noWrap/>
          </w:tcPr>
          <w:p>
            <w:pPr>
              <w:snapToGrid w:val="0"/>
              <w:spacing w:line="360" w:lineRule="auto"/>
              <w:rPr>
                <w:rFonts w:asciiTheme="minorEastAsia" w:hAnsiTheme="minorEastAsia" w:eastAsiaTheme="minorEastAsia"/>
                <w:sz w:val="24"/>
              </w:rPr>
            </w:pPr>
          </w:p>
        </w:tc>
        <w:tc>
          <w:tcPr>
            <w:tcW w:w="1985" w:type="dxa"/>
            <w:noWrap/>
          </w:tcPr>
          <w:p>
            <w:pPr>
              <w:snapToGrid w:val="0"/>
              <w:spacing w:line="360" w:lineRule="auto"/>
              <w:jc w:val="center"/>
              <w:rPr>
                <w:rFonts w:asciiTheme="minorEastAsia" w:hAnsiTheme="minorEastAsia" w:eastAsiaTheme="minorEastAsia"/>
                <w:sz w:val="24"/>
              </w:rPr>
            </w:pPr>
          </w:p>
        </w:tc>
        <w:tc>
          <w:tcPr>
            <w:tcW w:w="2693" w:type="dxa"/>
            <w:noWrap/>
          </w:tcPr>
          <w:p>
            <w:pPr>
              <w:snapToGrid w:val="0"/>
              <w:spacing w:line="360" w:lineRule="auto"/>
              <w:jc w:val="center"/>
              <w:rPr>
                <w:rFonts w:asciiTheme="minorEastAsia" w:hAnsiTheme="minorEastAsia" w:eastAsiaTheme="minorEastAsia"/>
                <w:sz w:val="24"/>
              </w:rPr>
            </w:pPr>
          </w:p>
        </w:tc>
      </w:tr>
    </w:tbl>
    <w:p>
      <w:pPr>
        <w:snapToGrid w:val="0"/>
        <w:spacing w:line="360" w:lineRule="auto"/>
        <w:ind w:firstLine="540"/>
        <w:rPr>
          <w:rFonts w:ascii="宋体" w:hAnsi="宋体"/>
          <w:sz w:val="24"/>
        </w:rPr>
      </w:pPr>
    </w:p>
    <w:p>
      <w:pPr>
        <w:snapToGrid w:val="0"/>
        <w:spacing w:line="360" w:lineRule="auto"/>
        <w:ind w:firstLine="540"/>
        <w:rPr>
          <w:rFonts w:ascii="宋体" w:hAnsi="宋体"/>
          <w:sz w:val="24"/>
        </w:rPr>
      </w:pPr>
    </w:p>
    <w:p>
      <w:pPr>
        <w:snapToGrid w:val="0"/>
        <w:spacing w:line="360" w:lineRule="auto"/>
        <w:ind w:firstLine="540"/>
        <w:rPr>
          <w:rFonts w:ascii="宋体" w:hAnsi="宋体"/>
          <w:sz w:val="24"/>
        </w:rPr>
      </w:pPr>
      <w:r>
        <w:rPr>
          <w:rFonts w:hint="eastAsia" w:ascii="宋体" w:hAnsi="宋体"/>
          <w:sz w:val="24"/>
        </w:rPr>
        <w:t>供应商：                     （盖章）</w:t>
      </w:r>
    </w:p>
    <w:p>
      <w:pPr>
        <w:snapToGrid w:val="0"/>
        <w:spacing w:line="360" w:lineRule="auto"/>
        <w:ind w:firstLine="540"/>
        <w:rPr>
          <w:rFonts w:ascii="宋体" w:hAnsi="宋体"/>
          <w:sz w:val="24"/>
        </w:rPr>
      </w:pPr>
      <w:r>
        <w:rPr>
          <w:rFonts w:hint="eastAsia" w:ascii="宋体" w:hAnsi="宋体"/>
          <w:sz w:val="24"/>
        </w:rPr>
        <w:t>法定代表人或委托代理人：                （签字或盖章）</w:t>
      </w:r>
    </w:p>
    <w:p>
      <w:pPr>
        <w:snapToGrid w:val="0"/>
        <w:spacing w:line="360" w:lineRule="auto"/>
        <w:ind w:firstLine="540"/>
        <w:rPr>
          <w:rFonts w:ascii="宋体" w:hAnsi="宋体"/>
          <w:sz w:val="24"/>
        </w:rPr>
      </w:pPr>
      <w:r>
        <w:rPr>
          <w:rFonts w:hint="eastAsia" w:ascii="宋体" w:hAnsi="宋体"/>
          <w:sz w:val="24"/>
        </w:rPr>
        <w:t xml:space="preserve">日 期：                    </w:t>
      </w:r>
    </w:p>
    <w:p>
      <w:pPr>
        <w:spacing w:line="580" w:lineRule="exact"/>
        <w:rPr>
          <w:rFonts w:asciiTheme="minorEastAsia" w:hAnsiTheme="minorEastAsia" w:eastAsiaTheme="minorEastAsia"/>
          <w:b w:val="0"/>
          <w:bCs/>
          <w:sz w:val="24"/>
        </w:rPr>
      </w:pPr>
      <w:r>
        <w:rPr>
          <w:rFonts w:hint="eastAsia" w:ascii="宋体" w:hAnsi="宋体"/>
          <w:b w:val="0"/>
          <w:bCs/>
          <w:spacing w:val="20"/>
          <w:position w:val="2"/>
          <w:sz w:val="24"/>
          <w:lang w:val="en-US" w:eastAsia="zh-CN"/>
        </w:rPr>
        <w:t>注：请附合同复印件及审查意见（加盖公章）</w:t>
      </w:r>
      <w:r>
        <w:rPr>
          <w:rFonts w:hint="eastAsia" w:ascii="宋体" w:hAnsi="宋体"/>
          <w:b w:val="0"/>
          <w:bCs/>
          <w:spacing w:val="20"/>
          <w:position w:val="2"/>
          <w:sz w:val="24"/>
        </w:rPr>
        <w:br w:type="page"/>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3.报价文件目录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（1）投标函（格式见附件）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（2）开标一览表（格式见附件）</w:t>
      </w:r>
    </w:p>
    <w:p>
      <w:pPr>
        <w:tabs>
          <w:tab w:val="left" w:pos="5025"/>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（3）投标人需要说明的其他文件和说明（格式略）</w:t>
      </w:r>
    </w:p>
    <w:p>
      <w:pPr>
        <w:spacing w:line="360" w:lineRule="auto"/>
        <w:rPr>
          <w:rFonts w:asciiTheme="minorEastAsia" w:hAnsiTheme="minorEastAsia" w:eastAsiaTheme="minorEastAsia"/>
          <w:b/>
          <w:sz w:val="24"/>
        </w:rPr>
        <w:sectPr>
          <w:pgSz w:w="11906" w:h="16838"/>
          <w:pgMar w:top="1440" w:right="1440" w:bottom="1440" w:left="1440" w:header="851" w:footer="992" w:gutter="0"/>
          <w:pgNumType w:fmt="decimal"/>
          <w:cols w:space="720" w:num="1"/>
          <w:titlePg/>
          <w:docGrid w:linePitch="312" w:charSpace="0"/>
        </w:sect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（1）投 标 函</w:t>
      </w:r>
    </w:p>
    <w:p>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致：</w:t>
      </w:r>
      <w:r>
        <w:rPr>
          <w:rFonts w:hint="eastAsia" w:asciiTheme="minorEastAsia" w:hAnsiTheme="minorEastAsia" w:eastAsiaTheme="minorEastAsia"/>
          <w:sz w:val="24"/>
          <w:lang w:eastAsia="zh-CN"/>
        </w:rPr>
        <w:t>桐庐鸿泰工程咨询有限公司</w:t>
      </w:r>
    </w:p>
    <w:p>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根据贵方招标文件的要求，正式授权下述签字人</w:t>
      </w:r>
      <w:r>
        <w:rPr>
          <w:rFonts w:hint="eastAsia" w:asciiTheme="minorEastAsia" w:hAnsiTheme="minorEastAsia" w:eastAsiaTheme="minorEastAsia"/>
          <w:sz w:val="24"/>
          <w:u w:val="single"/>
        </w:rPr>
        <w:t xml:space="preserve"> (姓名) </w:t>
      </w:r>
      <w:r>
        <w:rPr>
          <w:rFonts w:hint="eastAsia" w:asciiTheme="minorEastAsia" w:hAnsiTheme="minorEastAsia" w:eastAsiaTheme="minorEastAsia"/>
          <w:sz w:val="24"/>
        </w:rPr>
        <w:t xml:space="preserve">代表投标人 </w:t>
      </w:r>
      <w:r>
        <w:rPr>
          <w:rFonts w:hint="eastAsia" w:asciiTheme="minorEastAsia" w:hAnsiTheme="minorEastAsia" w:eastAsiaTheme="minorEastAsia"/>
          <w:sz w:val="24"/>
          <w:u w:val="single"/>
        </w:rPr>
        <w:t xml:space="preserve">（投标人名称） </w:t>
      </w:r>
      <w:r>
        <w:rPr>
          <w:rFonts w:hint="eastAsia" w:asciiTheme="minorEastAsia" w:hAnsiTheme="minorEastAsia" w:eastAsiaTheme="minorEastAsia"/>
          <w:sz w:val="24"/>
        </w:rPr>
        <w:t>，提交下述文件。据此函，签字人兹宣布同意如下：</w:t>
      </w:r>
    </w:p>
    <w:p>
      <w:pPr>
        <w:snapToGrid w:val="0"/>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1.我方已仔细研究了(项目名称) 的招标文件的全部内容，愿意以承诺以下内容：</w:t>
      </w:r>
    </w:p>
    <w:p>
      <w:pPr>
        <w:snapToGrid w:val="0"/>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人民币(大写)元（小写 元）的投标总报价。</w:t>
      </w:r>
    </w:p>
    <w:p>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2.我方在投标之前已经与贵方进行了充分的沟通，完全理解并接受招标文件的各项规定和要求，对招标文件的合理性、合法性不再有异议。（包括修改文件）</w:t>
      </w:r>
    </w:p>
    <w:p>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3.我方承诺在投标有效期内（从开标之日起</w:t>
      </w:r>
      <w:r>
        <w:rPr>
          <w:rFonts w:hint="eastAsia" w:asciiTheme="minorEastAsia" w:hAnsiTheme="minorEastAsia" w:eastAsiaTheme="minorEastAsia"/>
          <w:sz w:val="24"/>
          <w:u w:val="single"/>
        </w:rPr>
        <w:t>90</w:t>
      </w:r>
      <w:r>
        <w:rPr>
          <w:rFonts w:hint="eastAsia" w:asciiTheme="minorEastAsia" w:hAnsiTheme="minorEastAsia" w:eastAsiaTheme="minorEastAsia"/>
          <w:sz w:val="24"/>
        </w:rPr>
        <w:t>天），其投标文件中的所有内容对我方具有约束力。如在此有效期内，我方出现下列行为之一者，同意无条件支付贰万元违约保证金。</w:t>
      </w:r>
    </w:p>
    <w:p>
      <w:pPr>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1）在投标有效期内撤回投标文件；</w:t>
      </w:r>
    </w:p>
    <w:p>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2）在投标过程中弄虚作假、提供虚假材料的；</w:t>
      </w:r>
    </w:p>
    <w:p>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3）如果中标不与采购人签订合同的；</w:t>
      </w:r>
    </w:p>
    <w:p>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4）有其他严重扰乱招投标程序的。</w:t>
      </w:r>
    </w:p>
    <w:p>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4.如我方中标，我方承诺：</w:t>
      </w:r>
    </w:p>
    <w:p>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1）收到中标通知书后，在中标通知书规定的期限内与采购人签订合同。</w:t>
      </w:r>
    </w:p>
    <w:p>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2）在合同约定的期限内完成并移交全部合同工程。</w:t>
      </w:r>
    </w:p>
    <w:p>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5.我方在此声明，所递交的投标文件及有关资料内容完整、真实和准确。</w:t>
      </w:r>
    </w:p>
    <w:p>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6.我方理解贵方不一定接受最低报价的投标人，且对招标文件中规定的付款方式无异议。</w:t>
      </w:r>
    </w:p>
    <w:p>
      <w:pPr>
        <w:snapToGrid w:val="0"/>
        <w:spacing w:line="360" w:lineRule="auto"/>
        <w:ind w:left="2940" w:leftChars="257" w:hanging="2400" w:hangingChars="1000"/>
        <w:rPr>
          <w:rFonts w:asciiTheme="minorEastAsia" w:hAnsiTheme="minorEastAsia" w:eastAsiaTheme="minorEastAsia"/>
          <w:sz w:val="24"/>
        </w:rPr>
      </w:pPr>
      <w:r>
        <w:rPr>
          <w:rFonts w:hint="eastAsia" w:asciiTheme="minorEastAsia" w:hAnsiTheme="minorEastAsia" w:eastAsiaTheme="minorEastAsia"/>
          <w:sz w:val="24"/>
        </w:rPr>
        <w:t xml:space="preserve">7.（投标人认为需要的其他补充说明）。 </w:t>
      </w:r>
    </w:p>
    <w:p>
      <w:pPr>
        <w:snapToGrid w:val="0"/>
        <w:spacing w:line="360" w:lineRule="auto"/>
        <w:ind w:firstLine="2880" w:firstLineChars="1200"/>
        <w:jc w:val="right"/>
        <w:rPr>
          <w:rFonts w:asciiTheme="minorEastAsia" w:hAnsiTheme="minorEastAsia" w:eastAsiaTheme="minorEastAsia"/>
          <w:sz w:val="24"/>
        </w:rPr>
      </w:pPr>
      <w:r>
        <w:rPr>
          <w:rFonts w:hint="eastAsia" w:asciiTheme="minorEastAsia" w:hAnsiTheme="minorEastAsia" w:eastAsiaTheme="minorEastAsia"/>
          <w:sz w:val="24"/>
        </w:rPr>
        <w:t xml:space="preserve">投标人：（盖章） </w:t>
      </w:r>
    </w:p>
    <w:p>
      <w:pPr>
        <w:snapToGrid w:val="0"/>
        <w:spacing w:line="360" w:lineRule="auto"/>
        <w:ind w:firstLine="2872" w:firstLineChars="1197"/>
        <w:jc w:val="right"/>
        <w:rPr>
          <w:rFonts w:asciiTheme="minorEastAsia" w:hAnsiTheme="minorEastAsia" w:eastAsiaTheme="minorEastAsia"/>
          <w:sz w:val="24"/>
          <w:u w:val="single"/>
        </w:rPr>
      </w:pPr>
      <w:r>
        <w:rPr>
          <w:rFonts w:hint="eastAsia" w:asciiTheme="minorEastAsia" w:hAnsiTheme="minorEastAsia" w:eastAsiaTheme="minorEastAsia"/>
          <w:sz w:val="24"/>
        </w:rPr>
        <w:t>法定代表人：（签字或盖章）</w:t>
      </w:r>
    </w:p>
    <w:p>
      <w:pPr>
        <w:snapToGrid w:val="0"/>
        <w:spacing w:line="360" w:lineRule="auto"/>
        <w:ind w:firstLine="2868" w:firstLineChars="1195"/>
        <w:jc w:val="right"/>
        <w:rPr>
          <w:rFonts w:asciiTheme="minorEastAsia" w:hAnsiTheme="minorEastAsia" w:eastAsiaTheme="minorEastAsia"/>
          <w:sz w:val="24"/>
          <w:u w:val="single"/>
        </w:rPr>
      </w:pPr>
      <w:r>
        <w:rPr>
          <w:rFonts w:hint="eastAsia" w:asciiTheme="minorEastAsia" w:hAnsiTheme="minorEastAsia" w:eastAsiaTheme="minorEastAsia"/>
          <w:sz w:val="24"/>
        </w:rPr>
        <w:t>电话：</w:t>
      </w:r>
    </w:p>
    <w:p>
      <w:pPr>
        <w:snapToGrid w:val="0"/>
        <w:spacing w:line="360" w:lineRule="auto"/>
        <w:ind w:firstLine="2872" w:firstLineChars="1197"/>
        <w:jc w:val="right"/>
        <w:rPr>
          <w:rFonts w:asciiTheme="minorEastAsia" w:hAnsiTheme="minorEastAsia" w:eastAsiaTheme="minorEastAsia"/>
          <w:sz w:val="24"/>
          <w:u w:val="single"/>
        </w:rPr>
      </w:pPr>
      <w:r>
        <w:rPr>
          <w:rFonts w:hint="eastAsia" w:asciiTheme="minorEastAsia" w:hAnsiTheme="minorEastAsia" w:eastAsiaTheme="minorEastAsia"/>
          <w:sz w:val="24"/>
        </w:rPr>
        <w:t>日期：</w:t>
      </w:r>
    </w:p>
    <w:p>
      <w:pPr>
        <w:spacing w:beforeLines="50" w:afterLines="50" w:line="480" w:lineRule="exact"/>
        <w:ind w:right="105" w:rightChars="50"/>
        <w:rPr>
          <w:rFonts w:asciiTheme="minorEastAsia" w:hAnsiTheme="minorEastAsia" w:eastAsiaTheme="minorEastAsia"/>
          <w:b/>
          <w:spacing w:val="20"/>
          <w:position w:val="2"/>
          <w:sz w:val="24"/>
        </w:rPr>
        <w:sectPr>
          <w:pgSz w:w="11906" w:h="16838"/>
          <w:pgMar w:top="1440" w:right="1440" w:bottom="1440" w:left="1440" w:header="851" w:footer="992" w:gutter="0"/>
          <w:pgNumType w:fmt="decimal"/>
          <w:cols w:space="720" w:num="1"/>
          <w:titlePg/>
          <w:docGrid w:linePitch="312" w:charSpace="0"/>
        </w:sectPr>
      </w:pPr>
    </w:p>
    <w:p>
      <w:pPr>
        <w:spacing w:beforeLines="50" w:afterLines="50" w:line="480" w:lineRule="exact"/>
        <w:ind w:right="105" w:rightChars="50"/>
        <w:rPr>
          <w:rFonts w:asciiTheme="minorEastAsia" w:hAnsiTheme="minorEastAsia" w:eastAsiaTheme="minorEastAsia"/>
          <w:b/>
          <w:spacing w:val="20"/>
          <w:position w:val="2"/>
          <w:sz w:val="24"/>
        </w:rPr>
      </w:pPr>
      <w:r>
        <w:rPr>
          <w:rFonts w:hint="eastAsia" w:asciiTheme="minorEastAsia" w:hAnsiTheme="minorEastAsia" w:eastAsiaTheme="minorEastAsia"/>
          <w:b/>
          <w:spacing w:val="20"/>
          <w:position w:val="2"/>
          <w:sz w:val="24"/>
        </w:rPr>
        <w:t>（2）开标一览表</w:t>
      </w:r>
    </w:p>
    <w:p>
      <w:pPr>
        <w:snapToGrid w:val="0"/>
        <w:spacing w:before="50" w:after="50"/>
        <w:rPr>
          <w:rFonts w:asciiTheme="minorEastAsia" w:hAnsiTheme="minorEastAsia" w:eastAsiaTheme="minorEastAsia"/>
          <w:sz w:val="24"/>
        </w:rPr>
      </w:pPr>
      <w:r>
        <w:rPr>
          <w:rFonts w:hint="eastAsia" w:cs="宋体" w:asciiTheme="minorEastAsia" w:hAnsiTheme="minorEastAsia" w:eastAsiaTheme="minorEastAsia"/>
          <w:sz w:val="24"/>
        </w:rPr>
        <w:t>投标人名称：</w:t>
      </w:r>
    </w:p>
    <w:p>
      <w:pPr>
        <w:snapToGrid w:val="0"/>
        <w:spacing w:before="50" w:after="50"/>
        <w:rPr>
          <w:rFonts w:asciiTheme="minorEastAsia" w:hAnsiTheme="minorEastAsia" w:eastAsiaTheme="minorEastAsia"/>
          <w:sz w:val="24"/>
        </w:rPr>
      </w:pPr>
      <w:r>
        <w:rPr>
          <w:rFonts w:hint="eastAsia" w:cs="宋体" w:asciiTheme="minorEastAsia" w:hAnsiTheme="minorEastAsia" w:eastAsiaTheme="minorEastAsia"/>
          <w:sz w:val="24"/>
        </w:rPr>
        <w:t>项目名称：</w:t>
      </w:r>
    </w:p>
    <w:p>
      <w:pPr>
        <w:snapToGrid w:val="0"/>
        <w:spacing w:before="50" w:after="50"/>
        <w:rPr>
          <w:rFonts w:cs="宋体" w:asciiTheme="minorEastAsia" w:hAnsiTheme="minorEastAsia" w:eastAsiaTheme="minorEastAsia"/>
          <w:sz w:val="24"/>
          <w:u w:val="single"/>
        </w:rPr>
      </w:pPr>
      <w:r>
        <w:rPr>
          <w:rFonts w:hint="eastAsia" w:cs="宋体" w:asciiTheme="minorEastAsia" w:hAnsiTheme="minorEastAsia" w:eastAsiaTheme="minorEastAsia"/>
          <w:sz w:val="24"/>
        </w:rPr>
        <w:t>招标编号：</w:t>
      </w:r>
    </w:p>
    <w:tbl>
      <w:tblPr>
        <w:tblStyle w:val="33"/>
        <w:tblW w:w="11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576"/>
        <w:gridCol w:w="1418"/>
        <w:gridCol w:w="2425"/>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45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rFonts w:asciiTheme="minorEastAsia" w:hAnsiTheme="minorEastAsia" w:eastAsiaTheme="minorEastAsia"/>
                <w:b/>
                <w:sz w:val="24"/>
              </w:rPr>
            </w:pPr>
            <w:r>
              <w:rPr>
                <w:rFonts w:hint="eastAsia" w:cs="宋体" w:asciiTheme="minorEastAsia" w:hAnsiTheme="minorEastAsia" w:eastAsiaTheme="minorEastAsia"/>
                <w:b/>
                <w:sz w:val="24"/>
              </w:rPr>
              <w:t>内容</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rFonts w:cs="宋体" w:asciiTheme="minorEastAsia" w:hAnsiTheme="minorEastAsia" w:eastAsiaTheme="minorEastAsia"/>
                <w:b/>
                <w:sz w:val="24"/>
              </w:rPr>
            </w:pPr>
            <w:r>
              <w:rPr>
                <w:rFonts w:hint="eastAsia" w:asciiTheme="minorEastAsia" w:hAnsiTheme="minorEastAsia" w:eastAsiaTheme="minorEastAsia"/>
                <w:b/>
                <w:sz w:val="24"/>
              </w:rPr>
              <w:t>数量</w:t>
            </w:r>
          </w:p>
        </w:tc>
        <w:tc>
          <w:tcPr>
            <w:tcW w:w="24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投标报价（元）</w:t>
            </w:r>
          </w:p>
        </w:tc>
        <w:tc>
          <w:tcPr>
            <w:tcW w:w="19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rFonts w:asciiTheme="minorEastAsia" w:hAnsiTheme="minorEastAsia" w:eastAsiaTheme="minorEastAsia"/>
                <w:b/>
                <w:sz w:val="24"/>
              </w:rPr>
            </w:pPr>
            <w:r>
              <w:rPr>
                <w:rFonts w:asciiTheme="minorEastAsia" w:hAnsiTheme="minorEastAsia" w:eastAsiaTheme="minorEastAsia"/>
                <w:b/>
                <w:sz w:val="24"/>
              </w:rPr>
              <w:t>1</w:t>
            </w:r>
          </w:p>
        </w:tc>
        <w:tc>
          <w:tcPr>
            <w:tcW w:w="45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桐庐富春江影视基地项目（一期）地块土壤污染状况调查项目</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1项</w:t>
            </w:r>
          </w:p>
        </w:tc>
        <w:tc>
          <w:tcPr>
            <w:tcW w:w="24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jc w:val="center"/>
              <w:rPr>
                <w:rFonts w:asciiTheme="minorEastAsia" w:hAnsiTheme="minorEastAsia" w:eastAsiaTheme="minorEastAsia"/>
                <w:b/>
                <w:sz w:val="24"/>
              </w:rPr>
            </w:pPr>
          </w:p>
        </w:tc>
        <w:tc>
          <w:tcPr>
            <w:tcW w:w="1906" w:type="dxa"/>
            <w:tcBorders>
              <w:top w:val="single" w:color="auto" w:sz="4" w:space="0"/>
              <w:left w:val="single" w:color="auto" w:sz="4" w:space="0"/>
              <w:bottom w:val="single" w:color="auto" w:sz="4" w:space="0"/>
              <w:right w:val="single" w:color="auto" w:sz="4" w:space="0"/>
            </w:tcBorders>
          </w:tcPr>
          <w:p>
            <w:pPr>
              <w:snapToGrid w:val="0"/>
              <w:spacing w:before="50" w:after="50" w:line="30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1056"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30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投标总报价：</w:t>
            </w:r>
            <w:r>
              <w:rPr>
                <w:rFonts w:hint="eastAsia" w:asciiTheme="minorEastAsia" w:hAnsiTheme="minorEastAsia" w:eastAsiaTheme="minorEastAsia"/>
                <w:sz w:val="24"/>
                <w:u w:val="single"/>
              </w:rPr>
              <w:t xml:space="preserve">                                              （大写） </w:t>
            </w:r>
          </w:p>
        </w:tc>
      </w:tr>
    </w:tbl>
    <w:p>
      <w:pPr>
        <w:rPr>
          <w:rFonts w:asciiTheme="minorEastAsia" w:hAnsiTheme="minorEastAsia" w:eastAsiaTheme="minorEastAsia"/>
          <w:sz w:val="22"/>
          <w:szCs w:val="22"/>
        </w:rPr>
      </w:pPr>
    </w:p>
    <w:p>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注:报价一经涂改，应在涂改处加盖单位公章或由法定代表人或授权委托人签字或盖章，否则其投标作无效标处理。</w:t>
      </w:r>
    </w:p>
    <w:p>
      <w:pPr>
        <w:autoSpaceDE w:val="0"/>
        <w:autoSpaceDN w:val="0"/>
        <w:adjustRightInd w:val="0"/>
        <w:spacing w:line="440" w:lineRule="exact"/>
        <w:rPr>
          <w:rFonts w:cs="FangSong_GB2312" w:asciiTheme="minorEastAsia" w:hAnsiTheme="minorEastAsia" w:eastAsiaTheme="minorEastAsia"/>
          <w:kern w:val="0"/>
          <w:sz w:val="24"/>
          <w:lang w:val="zh-CN"/>
        </w:rPr>
      </w:pPr>
    </w:p>
    <w:p>
      <w:pPr>
        <w:autoSpaceDE w:val="0"/>
        <w:autoSpaceDN w:val="0"/>
        <w:adjustRightInd w:val="0"/>
        <w:spacing w:line="440" w:lineRule="exact"/>
        <w:jc w:val="left"/>
        <w:rPr>
          <w:rFonts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法定代表人</w:t>
      </w:r>
      <w:r>
        <w:rPr>
          <w:rFonts w:hint="eastAsia" w:asciiTheme="minorEastAsia" w:hAnsiTheme="minorEastAsia" w:eastAsiaTheme="minorEastAsia"/>
          <w:sz w:val="24"/>
        </w:rPr>
        <w:t>（签字或盖章）</w:t>
      </w:r>
      <w:r>
        <w:rPr>
          <w:rFonts w:hint="eastAsia" w:cs="FangSong_GB2312" w:asciiTheme="minorEastAsia" w:hAnsiTheme="minorEastAsia" w:eastAsiaTheme="minorEastAsia"/>
          <w:kern w:val="0"/>
          <w:sz w:val="24"/>
          <w:lang w:val="zh-CN"/>
        </w:rPr>
        <w:t>：</w:t>
      </w:r>
    </w:p>
    <w:p>
      <w:pPr>
        <w:autoSpaceDE w:val="0"/>
        <w:autoSpaceDN w:val="0"/>
        <w:adjustRightInd w:val="0"/>
        <w:spacing w:line="440" w:lineRule="exact"/>
        <w:jc w:val="left"/>
        <w:rPr>
          <w:rFonts w:cs="FangSong_GB2312" w:asciiTheme="minorEastAsia" w:hAnsiTheme="minorEastAsia" w:eastAsiaTheme="minorEastAsia"/>
          <w:kern w:val="0"/>
          <w:sz w:val="24"/>
          <w:u w:val="single"/>
          <w:lang w:val="zh-CN"/>
        </w:rPr>
      </w:pPr>
      <w:r>
        <w:rPr>
          <w:rFonts w:hint="eastAsia" w:cs="FangSong_GB2312" w:asciiTheme="minorEastAsia" w:hAnsiTheme="minorEastAsia" w:eastAsiaTheme="minorEastAsia"/>
          <w:kern w:val="0"/>
          <w:sz w:val="24"/>
          <w:lang w:val="zh-CN"/>
        </w:rPr>
        <w:t>授权委托人签字：</w:t>
      </w:r>
    </w:p>
    <w:p>
      <w:pPr>
        <w:autoSpaceDE w:val="0"/>
        <w:autoSpaceDN w:val="0"/>
        <w:adjustRightInd w:val="0"/>
        <w:spacing w:line="440" w:lineRule="exact"/>
        <w:jc w:val="left"/>
        <w:rPr>
          <w:rFonts w:cs="FangSong_GB2312" w:asciiTheme="minorEastAsia" w:hAnsiTheme="minorEastAsia" w:eastAsiaTheme="minorEastAsia"/>
          <w:kern w:val="0"/>
          <w:sz w:val="24"/>
          <w:u w:val="single"/>
          <w:lang w:val="zh-CN"/>
        </w:rPr>
      </w:pPr>
      <w:r>
        <w:rPr>
          <w:rFonts w:hint="eastAsia" w:cs="FangSong_GB2312" w:asciiTheme="minorEastAsia" w:hAnsiTheme="minorEastAsia" w:eastAsiaTheme="minorEastAsia"/>
          <w:kern w:val="0"/>
          <w:sz w:val="24"/>
          <w:lang w:val="zh-CN"/>
        </w:rPr>
        <w:t>投标人盖章</w:t>
      </w:r>
      <w:r>
        <w:rPr>
          <w:rFonts w:cs="FangSong_GB2312" w:asciiTheme="minorEastAsia" w:hAnsiTheme="minorEastAsia" w:eastAsiaTheme="minorEastAsia"/>
          <w:kern w:val="0"/>
          <w:sz w:val="24"/>
          <w:lang w:val="zh-CN"/>
        </w:rPr>
        <w:t>:</w:t>
      </w:r>
    </w:p>
    <w:p>
      <w:pPr>
        <w:autoSpaceDE w:val="0"/>
        <w:autoSpaceDN w:val="0"/>
        <w:adjustRightInd w:val="0"/>
        <w:spacing w:line="440" w:lineRule="exact"/>
        <w:jc w:val="left"/>
        <w:rPr>
          <w:rFonts w:cs="FangSong_GB2312" w:asciiTheme="minorEastAsia" w:hAnsiTheme="minorEastAsia" w:eastAsiaTheme="minorEastAsia"/>
          <w:kern w:val="0"/>
          <w:sz w:val="24"/>
          <w:u w:val="single"/>
          <w:lang w:val="zh-CN"/>
        </w:rPr>
      </w:pPr>
      <w:r>
        <w:rPr>
          <w:rFonts w:hint="eastAsia" w:cs="FangSong_GB2312" w:asciiTheme="minorEastAsia" w:hAnsiTheme="minorEastAsia" w:eastAsiaTheme="minorEastAsia"/>
          <w:kern w:val="0"/>
          <w:sz w:val="24"/>
          <w:lang w:val="zh-CN"/>
        </w:rPr>
        <w:t>日期</w:t>
      </w:r>
      <w:r>
        <w:rPr>
          <w:rFonts w:hint="eastAsia" w:cs="FangSong_GB2312" w:asciiTheme="minorEastAsia" w:hAnsiTheme="minorEastAsia" w:eastAsiaTheme="minorEastAsia"/>
          <w:kern w:val="0"/>
          <w:sz w:val="24"/>
        </w:rPr>
        <w:t>：</w:t>
      </w:r>
      <w:r>
        <w:rPr>
          <w:rFonts w:hint="eastAsia" w:cs="FangSong_GB2312" w:asciiTheme="minorEastAsia" w:hAnsiTheme="minorEastAsia" w:eastAsiaTheme="minorEastAsia"/>
          <w:kern w:val="0"/>
          <w:sz w:val="24"/>
          <w:lang w:val="zh-CN"/>
        </w:rPr>
        <w:t>年月日</w:t>
      </w:r>
    </w:p>
    <w:p>
      <w:pPr>
        <w:spacing w:beforeLines="50" w:afterLines="50" w:line="360" w:lineRule="auto"/>
        <w:ind w:right="105" w:rightChars="50"/>
        <w:rPr>
          <w:rFonts w:hAnsi="宋体" w:cs="Courier New"/>
          <w:b/>
          <w:color w:val="FF0000"/>
          <w:sz w:val="44"/>
          <w:szCs w:val="44"/>
          <w:highlight w:val="yellow"/>
        </w:rPr>
      </w:pPr>
    </w:p>
    <w:sectPr>
      <w:pgSz w:w="11906" w:h="16838"/>
      <w:pgMar w:top="1440" w:right="1440" w:bottom="1440" w:left="1440" w:header="851" w:footer="992" w:gutter="0"/>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0"/>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FangSong_GB2312">
    <w:altName w:val="仿宋"/>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FangSong_GB2312" w:eastAsia="FangSong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FangSong_GB2312" w:eastAsia="FangSong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8" w:lineRule="auto"/>
      </w:pPr>
      <w:r>
        <w:separator/>
      </w:r>
    </w:p>
  </w:footnote>
  <w:footnote w:type="continuationSeparator" w:id="1">
    <w:p>
      <w:pPr>
        <w:spacing w:line="3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rPr>
        <w:rFonts w:ascii="FangSong_GB2312" w:eastAsia="FangSong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ind w:left="7447" w:hanging="360"/>
      </w:pPr>
      <w:rPr>
        <w:rFonts w:hint="default" w:ascii="Cambria" w:hAnsi="Cambria" w:eastAsia="Cambria"/>
        <w:color w:val="5B9BD5"/>
      </w:rPr>
    </w:lvl>
  </w:abstractNum>
  <w:abstractNum w:abstractNumId="1">
    <w:nsid w:val="00000002"/>
    <w:multiLevelType w:val="multilevel"/>
    <w:tmpl w:val="00000002"/>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00000003"/>
    <w:multiLevelType w:val="multilevel"/>
    <w:tmpl w:val="00000003"/>
    <w:lvl w:ilvl="0" w:tentative="0">
      <w:start w:val="1"/>
      <w:numFmt w:val="decimal"/>
      <w:pStyle w:val="9"/>
      <w:lvlText w:val="（%1）"/>
      <w:lvlJc w:val="left"/>
      <w:pPr>
        <w:tabs>
          <w:tab w:val="left" w:pos="980"/>
        </w:tabs>
        <w:ind w:left="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japaneseCounting"/>
      <w:lvlText w:val="%1、"/>
      <w:lvlJc w:val="left"/>
      <w:pPr>
        <w:ind w:left="992" w:hanging="510"/>
      </w:pPr>
      <w:rPr>
        <w:rFonts w:hint="default" w:cs="Arial"/>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06"/>
    <w:multiLevelType w:val="multilevel"/>
    <w:tmpl w:val="00000006"/>
    <w:lvl w:ilvl="0" w:tentative="0">
      <w:start w:val="1"/>
      <w:numFmt w:val="bullet"/>
      <w:pStyle w:val="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7"/>
    <w:multiLevelType w:val="multilevel"/>
    <w:tmpl w:val="00000007"/>
    <w:lvl w:ilvl="0" w:tentative="0">
      <w:start w:val="1"/>
      <w:numFmt w:val="chineseCountingThousand"/>
      <w:pStyle w:val="3"/>
      <w:suff w:val="nothing"/>
      <w:lvlText w:val="%1、"/>
      <w:lvlJc w:val="left"/>
      <w:pPr>
        <w:ind w:left="425" w:hanging="425"/>
      </w:pPr>
      <w:rPr>
        <w:rFonts w:hint="eastAsia"/>
        <w:lang w:val="en-US"/>
      </w:rPr>
    </w:lvl>
    <w:lvl w:ilvl="1" w:tentative="0">
      <w:start w:val="1"/>
      <w:numFmt w:val="chineseCountingThousand"/>
      <w:pStyle w:val="4"/>
      <w:suff w:val="nothing"/>
      <w:lvlText w:val="（%2）"/>
      <w:lvlJc w:val="left"/>
      <w:pPr>
        <w:ind w:left="992" w:hanging="992"/>
      </w:pPr>
      <w:rPr>
        <w:rFonts w:hint="eastAsia"/>
      </w:rPr>
    </w:lvl>
    <w:lvl w:ilvl="2" w:tentative="0">
      <w:start w:val="1"/>
      <w:numFmt w:val="decimal"/>
      <w:pStyle w:val="5"/>
      <w:suff w:val="space"/>
      <w:lvlText w:val="%3."/>
      <w:lvlJc w:val="left"/>
      <w:pPr>
        <w:ind w:left="1418" w:hanging="1418"/>
      </w:pPr>
      <w:rPr>
        <w:rFonts w:hint="eastAsia"/>
      </w:rPr>
    </w:lvl>
    <w:lvl w:ilvl="3" w:tentative="0">
      <w:start w:val="1"/>
      <w:numFmt w:val="decimal"/>
      <w:pStyle w:val="6"/>
      <w:suff w:val="nothing"/>
      <w:lvlText w:val="（%4）"/>
      <w:lvlJc w:val="left"/>
      <w:pPr>
        <w:ind w:left="1984" w:hanging="1984"/>
      </w:pPr>
      <w:rPr>
        <w:rFonts w:hint="eastAsia"/>
      </w:rPr>
    </w:lvl>
    <w:lvl w:ilvl="4" w:tentative="0">
      <w:start w:val="1"/>
      <w:numFmt w:val="decimal"/>
      <w:pStyle w:val="7"/>
      <w:suff w:val="nothing"/>
      <w:lvlText w:val="%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0000008"/>
    <w:multiLevelType w:val="singleLevel"/>
    <w:tmpl w:val="00000008"/>
    <w:lvl w:ilvl="0" w:tentative="0">
      <w:start w:val="2"/>
      <w:numFmt w:val="chineseCounting"/>
      <w:suff w:val="space"/>
      <w:lvlText w:val="第%1章"/>
      <w:lvlJc w:val="left"/>
    </w:lvl>
  </w:abstractNum>
  <w:abstractNum w:abstractNumId="7">
    <w:nsid w:val="00000009"/>
    <w:multiLevelType w:val="singleLevel"/>
    <w:tmpl w:val="00000009"/>
    <w:lvl w:ilvl="0" w:tentative="0">
      <w:start w:val="3"/>
      <w:numFmt w:val="chineseCounting"/>
      <w:suff w:val="space"/>
      <w:lvlText w:val="第%1章"/>
      <w:lvlJc w:val="left"/>
    </w:lvl>
  </w:abstractNum>
  <w:abstractNum w:abstractNumId="8">
    <w:nsid w:val="0000000A"/>
    <w:multiLevelType w:val="singleLevel"/>
    <w:tmpl w:val="0000000A"/>
    <w:lvl w:ilvl="0" w:tentative="0">
      <w:start w:val="1"/>
      <w:numFmt w:val="decimal"/>
      <w:suff w:val="nothing"/>
      <w:lvlText w:val="%1."/>
      <w:lvlJc w:val="left"/>
      <w:rPr>
        <w:lang w:val="en-US" w:eastAsia="zh-CN"/>
      </w:r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MWY2YzExNDZkM2U4OGIyZTAwMzhiYmRjMDY3NjYifQ=="/>
  </w:docVars>
  <w:rsids>
    <w:rsidRoot w:val="001649B9"/>
    <w:rsid w:val="00002036"/>
    <w:rsid w:val="000024FB"/>
    <w:rsid w:val="00002AC3"/>
    <w:rsid w:val="000126C5"/>
    <w:rsid w:val="00030691"/>
    <w:rsid w:val="000369B5"/>
    <w:rsid w:val="00036B23"/>
    <w:rsid w:val="00040D36"/>
    <w:rsid w:val="0005014F"/>
    <w:rsid w:val="00054604"/>
    <w:rsid w:val="00055C8F"/>
    <w:rsid w:val="000720AC"/>
    <w:rsid w:val="00072340"/>
    <w:rsid w:val="000749EB"/>
    <w:rsid w:val="00074F6C"/>
    <w:rsid w:val="000769E6"/>
    <w:rsid w:val="000862F2"/>
    <w:rsid w:val="000921AE"/>
    <w:rsid w:val="000944AD"/>
    <w:rsid w:val="000B677B"/>
    <w:rsid w:val="000C2619"/>
    <w:rsid w:val="000D1A8C"/>
    <w:rsid w:val="000D2A00"/>
    <w:rsid w:val="000D38E1"/>
    <w:rsid w:val="000E1229"/>
    <w:rsid w:val="000E3923"/>
    <w:rsid w:val="000E4490"/>
    <w:rsid w:val="000F048B"/>
    <w:rsid w:val="000F647F"/>
    <w:rsid w:val="00112643"/>
    <w:rsid w:val="00112BD2"/>
    <w:rsid w:val="001176AC"/>
    <w:rsid w:val="00117B88"/>
    <w:rsid w:val="00121500"/>
    <w:rsid w:val="00121DBC"/>
    <w:rsid w:val="001253CD"/>
    <w:rsid w:val="00136FFF"/>
    <w:rsid w:val="0014111A"/>
    <w:rsid w:val="00142C67"/>
    <w:rsid w:val="00151BEB"/>
    <w:rsid w:val="00152E0B"/>
    <w:rsid w:val="0015468B"/>
    <w:rsid w:val="00155160"/>
    <w:rsid w:val="001576E0"/>
    <w:rsid w:val="00163DAF"/>
    <w:rsid w:val="001649B9"/>
    <w:rsid w:val="0016635D"/>
    <w:rsid w:val="00167113"/>
    <w:rsid w:val="00174156"/>
    <w:rsid w:val="00181CE5"/>
    <w:rsid w:val="0018583D"/>
    <w:rsid w:val="00192387"/>
    <w:rsid w:val="00192563"/>
    <w:rsid w:val="0019367C"/>
    <w:rsid w:val="00193AAD"/>
    <w:rsid w:val="00193D41"/>
    <w:rsid w:val="001963CB"/>
    <w:rsid w:val="00196FAF"/>
    <w:rsid w:val="001B0CC5"/>
    <w:rsid w:val="001B1C40"/>
    <w:rsid w:val="001B36CB"/>
    <w:rsid w:val="001B3A4B"/>
    <w:rsid w:val="001B7359"/>
    <w:rsid w:val="001C407E"/>
    <w:rsid w:val="001C6B6A"/>
    <w:rsid w:val="001D2BC3"/>
    <w:rsid w:val="001D4E0A"/>
    <w:rsid w:val="001D7320"/>
    <w:rsid w:val="001F0D51"/>
    <w:rsid w:val="001F5323"/>
    <w:rsid w:val="002015A0"/>
    <w:rsid w:val="00201852"/>
    <w:rsid w:val="00202AC6"/>
    <w:rsid w:val="00212F33"/>
    <w:rsid w:val="00217EFC"/>
    <w:rsid w:val="00237E2E"/>
    <w:rsid w:val="00244777"/>
    <w:rsid w:val="00245F16"/>
    <w:rsid w:val="00246189"/>
    <w:rsid w:val="00246D1B"/>
    <w:rsid w:val="002523BC"/>
    <w:rsid w:val="00254695"/>
    <w:rsid w:val="002571CE"/>
    <w:rsid w:val="0025758C"/>
    <w:rsid w:val="00260850"/>
    <w:rsid w:val="00267213"/>
    <w:rsid w:val="00267A49"/>
    <w:rsid w:val="00267E9D"/>
    <w:rsid w:val="00275487"/>
    <w:rsid w:val="00277C20"/>
    <w:rsid w:val="0028628D"/>
    <w:rsid w:val="002901BE"/>
    <w:rsid w:val="00292026"/>
    <w:rsid w:val="002A1CAD"/>
    <w:rsid w:val="002A2787"/>
    <w:rsid w:val="002A6599"/>
    <w:rsid w:val="002B1EB6"/>
    <w:rsid w:val="002B1F87"/>
    <w:rsid w:val="002B5FBE"/>
    <w:rsid w:val="002C33AE"/>
    <w:rsid w:val="002C6E7F"/>
    <w:rsid w:val="002D1415"/>
    <w:rsid w:val="002D7CF6"/>
    <w:rsid w:val="002E3647"/>
    <w:rsid w:val="002F023A"/>
    <w:rsid w:val="002F0507"/>
    <w:rsid w:val="002F1075"/>
    <w:rsid w:val="002F6442"/>
    <w:rsid w:val="002F72F1"/>
    <w:rsid w:val="00307887"/>
    <w:rsid w:val="003101FC"/>
    <w:rsid w:val="0032205A"/>
    <w:rsid w:val="00325260"/>
    <w:rsid w:val="00327BB2"/>
    <w:rsid w:val="003316B6"/>
    <w:rsid w:val="00333D05"/>
    <w:rsid w:val="0033796D"/>
    <w:rsid w:val="003406CC"/>
    <w:rsid w:val="00344C1E"/>
    <w:rsid w:val="00347887"/>
    <w:rsid w:val="00350661"/>
    <w:rsid w:val="00355619"/>
    <w:rsid w:val="00362058"/>
    <w:rsid w:val="00370089"/>
    <w:rsid w:val="00372297"/>
    <w:rsid w:val="003743D1"/>
    <w:rsid w:val="00377BC5"/>
    <w:rsid w:val="00381A1F"/>
    <w:rsid w:val="00384E91"/>
    <w:rsid w:val="00385D7B"/>
    <w:rsid w:val="0039017D"/>
    <w:rsid w:val="003A1D5C"/>
    <w:rsid w:val="003A480A"/>
    <w:rsid w:val="003A4CA9"/>
    <w:rsid w:val="003A5730"/>
    <w:rsid w:val="003B4691"/>
    <w:rsid w:val="003C5315"/>
    <w:rsid w:val="003C63A0"/>
    <w:rsid w:val="003C7E05"/>
    <w:rsid w:val="003D00BB"/>
    <w:rsid w:val="003D3A61"/>
    <w:rsid w:val="003D4B49"/>
    <w:rsid w:val="003E18A4"/>
    <w:rsid w:val="003E2E81"/>
    <w:rsid w:val="003E4FA4"/>
    <w:rsid w:val="003F1E35"/>
    <w:rsid w:val="00400270"/>
    <w:rsid w:val="004039E9"/>
    <w:rsid w:val="00416A97"/>
    <w:rsid w:val="00423024"/>
    <w:rsid w:val="00437B8B"/>
    <w:rsid w:val="004440E5"/>
    <w:rsid w:val="004527EB"/>
    <w:rsid w:val="00457E24"/>
    <w:rsid w:val="00460A06"/>
    <w:rsid w:val="00464100"/>
    <w:rsid w:val="0047077A"/>
    <w:rsid w:val="00491C63"/>
    <w:rsid w:val="0049207C"/>
    <w:rsid w:val="0049303C"/>
    <w:rsid w:val="00495E83"/>
    <w:rsid w:val="004A03C7"/>
    <w:rsid w:val="004A3ABC"/>
    <w:rsid w:val="004B57C0"/>
    <w:rsid w:val="004B57DE"/>
    <w:rsid w:val="004C19A8"/>
    <w:rsid w:val="004C5C71"/>
    <w:rsid w:val="004D2CA6"/>
    <w:rsid w:val="004D388B"/>
    <w:rsid w:val="004D395E"/>
    <w:rsid w:val="004E10BF"/>
    <w:rsid w:val="004E259C"/>
    <w:rsid w:val="004E488E"/>
    <w:rsid w:val="004E7D18"/>
    <w:rsid w:val="004E7D52"/>
    <w:rsid w:val="004F08E4"/>
    <w:rsid w:val="004F66B2"/>
    <w:rsid w:val="00500CCD"/>
    <w:rsid w:val="00502C28"/>
    <w:rsid w:val="00512DFD"/>
    <w:rsid w:val="0051377B"/>
    <w:rsid w:val="0053249D"/>
    <w:rsid w:val="00534025"/>
    <w:rsid w:val="00534FCA"/>
    <w:rsid w:val="005428BA"/>
    <w:rsid w:val="00543E17"/>
    <w:rsid w:val="0054459C"/>
    <w:rsid w:val="00544635"/>
    <w:rsid w:val="00553A1B"/>
    <w:rsid w:val="00565A48"/>
    <w:rsid w:val="00571686"/>
    <w:rsid w:val="0057591D"/>
    <w:rsid w:val="005866DC"/>
    <w:rsid w:val="00586D29"/>
    <w:rsid w:val="005A1ECE"/>
    <w:rsid w:val="005B553A"/>
    <w:rsid w:val="005C3C6A"/>
    <w:rsid w:val="005D554C"/>
    <w:rsid w:val="005D63E6"/>
    <w:rsid w:val="00602011"/>
    <w:rsid w:val="00602F07"/>
    <w:rsid w:val="00604954"/>
    <w:rsid w:val="006100D6"/>
    <w:rsid w:val="00610A15"/>
    <w:rsid w:val="006160A8"/>
    <w:rsid w:val="00622467"/>
    <w:rsid w:val="0062461A"/>
    <w:rsid w:val="00640B6B"/>
    <w:rsid w:val="00641997"/>
    <w:rsid w:val="0065105A"/>
    <w:rsid w:val="0065575B"/>
    <w:rsid w:val="00655E13"/>
    <w:rsid w:val="006562A0"/>
    <w:rsid w:val="006571BD"/>
    <w:rsid w:val="0066278A"/>
    <w:rsid w:val="00670CE8"/>
    <w:rsid w:val="006737F2"/>
    <w:rsid w:val="006764AC"/>
    <w:rsid w:val="00680429"/>
    <w:rsid w:val="00684197"/>
    <w:rsid w:val="00684AC9"/>
    <w:rsid w:val="00691883"/>
    <w:rsid w:val="00691AE0"/>
    <w:rsid w:val="00693D52"/>
    <w:rsid w:val="006942C0"/>
    <w:rsid w:val="006A1D2A"/>
    <w:rsid w:val="006A7E00"/>
    <w:rsid w:val="006B1807"/>
    <w:rsid w:val="006B2ED4"/>
    <w:rsid w:val="006C1341"/>
    <w:rsid w:val="006C4130"/>
    <w:rsid w:val="006C7317"/>
    <w:rsid w:val="006D14E0"/>
    <w:rsid w:val="006D15C4"/>
    <w:rsid w:val="006D2552"/>
    <w:rsid w:val="006D7D19"/>
    <w:rsid w:val="006E2F63"/>
    <w:rsid w:val="007002F5"/>
    <w:rsid w:val="00702F63"/>
    <w:rsid w:val="00707ED9"/>
    <w:rsid w:val="00713737"/>
    <w:rsid w:val="00715CC4"/>
    <w:rsid w:val="00721505"/>
    <w:rsid w:val="0072239D"/>
    <w:rsid w:val="0072388F"/>
    <w:rsid w:val="00724AB3"/>
    <w:rsid w:val="00731BAB"/>
    <w:rsid w:val="00733C52"/>
    <w:rsid w:val="007441C7"/>
    <w:rsid w:val="007517E4"/>
    <w:rsid w:val="007550BE"/>
    <w:rsid w:val="00761FDA"/>
    <w:rsid w:val="00765CE2"/>
    <w:rsid w:val="00767A9D"/>
    <w:rsid w:val="007711EA"/>
    <w:rsid w:val="00773F9C"/>
    <w:rsid w:val="00776F77"/>
    <w:rsid w:val="0078454B"/>
    <w:rsid w:val="00791299"/>
    <w:rsid w:val="007B0F19"/>
    <w:rsid w:val="007C274F"/>
    <w:rsid w:val="007C63C6"/>
    <w:rsid w:val="007C75F4"/>
    <w:rsid w:val="007E1AA5"/>
    <w:rsid w:val="007E5099"/>
    <w:rsid w:val="007F53C0"/>
    <w:rsid w:val="00801843"/>
    <w:rsid w:val="008020D9"/>
    <w:rsid w:val="00804F9C"/>
    <w:rsid w:val="00814908"/>
    <w:rsid w:val="00815544"/>
    <w:rsid w:val="00815CF9"/>
    <w:rsid w:val="00817043"/>
    <w:rsid w:val="0082690F"/>
    <w:rsid w:val="008302B3"/>
    <w:rsid w:val="00832EC7"/>
    <w:rsid w:val="00833AD4"/>
    <w:rsid w:val="00833DDB"/>
    <w:rsid w:val="008416DB"/>
    <w:rsid w:val="00846DC6"/>
    <w:rsid w:val="00860AB7"/>
    <w:rsid w:val="008617C7"/>
    <w:rsid w:val="00863B28"/>
    <w:rsid w:val="00864F16"/>
    <w:rsid w:val="0086564C"/>
    <w:rsid w:val="008719F8"/>
    <w:rsid w:val="00872824"/>
    <w:rsid w:val="00874EC2"/>
    <w:rsid w:val="00882EF4"/>
    <w:rsid w:val="008A1EA5"/>
    <w:rsid w:val="008A2399"/>
    <w:rsid w:val="008A4BF2"/>
    <w:rsid w:val="008A592B"/>
    <w:rsid w:val="008A7C9F"/>
    <w:rsid w:val="008B4E45"/>
    <w:rsid w:val="008B5C0F"/>
    <w:rsid w:val="008C2335"/>
    <w:rsid w:val="008C4449"/>
    <w:rsid w:val="008C5EB4"/>
    <w:rsid w:val="008C75B5"/>
    <w:rsid w:val="008C7BAE"/>
    <w:rsid w:val="008C7DA2"/>
    <w:rsid w:val="008D5A3D"/>
    <w:rsid w:val="008D6B10"/>
    <w:rsid w:val="008D7211"/>
    <w:rsid w:val="008E02CA"/>
    <w:rsid w:val="008E4CE4"/>
    <w:rsid w:val="008F11B2"/>
    <w:rsid w:val="008F1AB6"/>
    <w:rsid w:val="008F2769"/>
    <w:rsid w:val="009003A4"/>
    <w:rsid w:val="00904200"/>
    <w:rsid w:val="00904308"/>
    <w:rsid w:val="0090712D"/>
    <w:rsid w:val="0091023C"/>
    <w:rsid w:val="0091388C"/>
    <w:rsid w:val="00917427"/>
    <w:rsid w:val="00920119"/>
    <w:rsid w:val="00921031"/>
    <w:rsid w:val="009218AF"/>
    <w:rsid w:val="00922EA4"/>
    <w:rsid w:val="009414C6"/>
    <w:rsid w:val="009424D1"/>
    <w:rsid w:val="00943B08"/>
    <w:rsid w:val="00950202"/>
    <w:rsid w:val="009626ED"/>
    <w:rsid w:val="00963516"/>
    <w:rsid w:val="00963527"/>
    <w:rsid w:val="00970853"/>
    <w:rsid w:val="00970B25"/>
    <w:rsid w:val="00973C27"/>
    <w:rsid w:val="009838E9"/>
    <w:rsid w:val="0098543E"/>
    <w:rsid w:val="00987738"/>
    <w:rsid w:val="00992F69"/>
    <w:rsid w:val="00993A67"/>
    <w:rsid w:val="009A3592"/>
    <w:rsid w:val="009A51FF"/>
    <w:rsid w:val="009A551D"/>
    <w:rsid w:val="009B433F"/>
    <w:rsid w:val="009C6CCB"/>
    <w:rsid w:val="009D1BE8"/>
    <w:rsid w:val="009D3CFE"/>
    <w:rsid w:val="009D4C42"/>
    <w:rsid w:val="009D6752"/>
    <w:rsid w:val="009E26DF"/>
    <w:rsid w:val="009E544E"/>
    <w:rsid w:val="009E74B7"/>
    <w:rsid w:val="009F4CB1"/>
    <w:rsid w:val="00A007E9"/>
    <w:rsid w:val="00A00A75"/>
    <w:rsid w:val="00A01327"/>
    <w:rsid w:val="00A04AF2"/>
    <w:rsid w:val="00A13272"/>
    <w:rsid w:val="00A16F4F"/>
    <w:rsid w:val="00A177C0"/>
    <w:rsid w:val="00A25A1D"/>
    <w:rsid w:val="00A319F3"/>
    <w:rsid w:val="00A45E45"/>
    <w:rsid w:val="00A46F27"/>
    <w:rsid w:val="00A50941"/>
    <w:rsid w:val="00A60A7D"/>
    <w:rsid w:val="00A61555"/>
    <w:rsid w:val="00A64780"/>
    <w:rsid w:val="00A665FA"/>
    <w:rsid w:val="00A66F8A"/>
    <w:rsid w:val="00A70C01"/>
    <w:rsid w:val="00A70DFB"/>
    <w:rsid w:val="00A87B8C"/>
    <w:rsid w:val="00A90967"/>
    <w:rsid w:val="00A938DD"/>
    <w:rsid w:val="00A953AE"/>
    <w:rsid w:val="00A9685F"/>
    <w:rsid w:val="00AA0DE5"/>
    <w:rsid w:val="00AA7012"/>
    <w:rsid w:val="00AA74FE"/>
    <w:rsid w:val="00AC2961"/>
    <w:rsid w:val="00AD0832"/>
    <w:rsid w:val="00AD3F90"/>
    <w:rsid w:val="00AD7591"/>
    <w:rsid w:val="00AE2DAA"/>
    <w:rsid w:val="00AE2F4E"/>
    <w:rsid w:val="00AF4343"/>
    <w:rsid w:val="00AF466C"/>
    <w:rsid w:val="00AF52BF"/>
    <w:rsid w:val="00B02770"/>
    <w:rsid w:val="00B038EF"/>
    <w:rsid w:val="00B079ED"/>
    <w:rsid w:val="00B114FD"/>
    <w:rsid w:val="00B1498B"/>
    <w:rsid w:val="00B1600A"/>
    <w:rsid w:val="00B168A0"/>
    <w:rsid w:val="00B17053"/>
    <w:rsid w:val="00B17900"/>
    <w:rsid w:val="00B17BEF"/>
    <w:rsid w:val="00B206D8"/>
    <w:rsid w:val="00B238BC"/>
    <w:rsid w:val="00B40CE9"/>
    <w:rsid w:val="00B45145"/>
    <w:rsid w:val="00B4565B"/>
    <w:rsid w:val="00B76AD1"/>
    <w:rsid w:val="00B81A8B"/>
    <w:rsid w:val="00B825CF"/>
    <w:rsid w:val="00B83C79"/>
    <w:rsid w:val="00B841CA"/>
    <w:rsid w:val="00B849A5"/>
    <w:rsid w:val="00B912BF"/>
    <w:rsid w:val="00B928BD"/>
    <w:rsid w:val="00B95BD8"/>
    <w:rsid w:val="00B978A1"/>
    <w:rsid w:val="00BA442A"/>
    <w:rsid w:val="00BA7BC8"/>
    <w:rsid w:val="00BB00D2"/>
    <w:rsid w:val="00BB0E1E"/>
    <w:rsid w:val="00BC70F0"/>
    <w:rsid w:val="00BD4537"/>
    <w:rsid w:val="00BD61EC"/>
    <w:rsid w:val="00BE579A"/>
    <w:rsid w:val="00BE62BE"/>
    <w:rsid w:val="00C07457"/>
    <w:rsid w:val="00C10515"/>
    <w:rsid w:val="00C33197"/>
    <w:rsid w:val="00C34CAF"/>
    <w:rsid w:val="00C3618F"/>
    <w:rsid w:val="00C36A24"/>
    <w:rsid w:val="00C4507D"/>
    <w:rsid w:val="00C5341A"/>
    <w:rsid w:val="00C56DF7"/>
    <w:rsid w:val="00C60791"/>
    <w:rsid w:val="00C60F97"/>
    <w:rsid w:val="00C62BF2"/>
    <w:rsid w:val="00C62C90"/>
    <w:rsid w:val="00C82EA6"/>
    <w:rsid w:val="00C8439A"/>
    <w:rsid w:val="00C866E2"/>
    <w:rsid w:val="00C9053C"/>
    <w:rsid w:val="00C9211A"/>
    <w:rsid w:val="00C96EFC"/>
    <w:rsid w:val="00CA1C2D"/>
    <w:rsid w:val="00CA548C"/>
    <w:rsid w:val="00CA6434"/>
    <w:rsid w:val="00CA7600"/>
    <w:rsid w:val="00CB07ED"/>
    <w:rsid w:val="00CB3A57"/>
    <w:rsid w:val="00CB42DD"/>
    <w:rsid w:val="00CC7D99"/>
    <w:rsid w:val="00CE01E3"/>
    <w:rsid w:val="00CE1FF2"/>
    <w:rsid w:val="00CF0AEC"/>
    <w:rsid w:val="00D0556B"/>
    <w:rsid w:val="00D059AA"/>
    <w:rsid w:val="00D0797D"/>
    <w:rsid w:val="00D1427B"/>
    <w:rsid w:val="00D14C39"/>
    <w:rsid w:val="00D21B28"/>
    <w:rsid w:val="00D274CA"/>
    <w:rsid w:val="00D33620"/>
    <w:rsid w:val="00D33F64"/>
    <w:rsid w:val="00D345F3"/>
    <w:rsid w:val="00D34ED0"/>
    <w:rsid w:val="00D40BA9"/>
    <w:rsid w:val="00D45BF9"/>
    <w:rsid w:val="00D47381"/>
    <w:rsid w:val="00D560CC"/>
    <w:rsid w:val="00D61E14"/>
    <w:rsid w:val="00D74256"/>
    <w:rsid w:val="00D75059"/>
    <w:rsid w:val="00D82E7F"/>
    <w:rsid w:val="00D90008"/>
    <w:rsid w:val="00DA4C14"/>
    <w:rsid w:val="00DA6765"/>
    <w:rsid w:val="00DB33F5"/>
    <w:rsid w:val="00DB66BA"/>
    <w:rsid w:val="00DB6C50"/>
    <w:rsid w:val="00DB7202"/>
    <w:rsid w:val="00DB7F90"/>
    <w:rsid w:val="00DD29CF"/>
    <w:rsid w:val="00DD3B61"/>
    <w:rsid w:val="00DE1222"/>
    <w:rsid w:val="00E0472E"/>
    <w:rsid w:val="00E0506E"/>
    <w:rsid w:val="00E127C3"/>
    <w:rsid w:val="00E14797"/>
    <w:rsid w:val="00E22EB3"/>
    <w:rsid w:val="00E2606E"/>
    <w:rsid w:val="00E3097A"/>
    <w:rsid w:val="00E31956"/>
    <w:rsid w:val="00E35563"/>
    <w:rsid w:val="00E466F1"/>
    <w:rsid w:val="00E51E05"/>
    <w:rsid w:val="00E63A93"/>
    <w:rsid w:val="00E63C1C"/>
    <w:rsid w:val="00E64BF5"/>
    <w:rsid w:val="00E67334"/>
    <w:rsid w:val="00E7683A"/>
    <w:rsid w:val="00E833DC"/>
    <w:rsid w:val="00EA088E"/>
    <w:rsid w:val="00EA2B9D"/>
    <w:rsid w:val="00EA336E"/>
    <w:rsid w:val="00EA47B0"/>
    <w:rsid w:val="00EA6D01"/>
    <w:rsid w:val="00EB681C"/>
    <w:rsid w:val="00EC546D"/>
    <w:rsid w:val="00EF0DD1"/>
    <w:rsid w:val="00EF31AF"/>
    <w:rsid w:val="00F01E1B"/>
    <w:rsid w:val="00F032A1"/>
    <w:rsid w:val="00F067D7"/>
    <w:rsid w:val="00F12B1E"/>
    <w:rsid w:val="00F152A5"/>
    <w:rsid w:val="00F15A19"/>
    <w:rsid w:val="00F17E35"/>
    <w:rsid w:val="00F22592"/>
    <w:rsid w:val="00F41208"/>
    <w:rsid w:val="00F42A86"/>
    <w:rsid w:val="00F50A5E"/>
    <w:rsid w:val="00F52D8B"/>
    <w:rsid w:val="00F6147D"/>
    <w:rsid w:val="00F65FF6"/>
    <w:rsid w:val="00F667EC"/>
    <w:rsid w:val="00F775D2"/>
    <w:rsid w:val="00F90C8F"/>
    <w:rsid w:val="00F91D8F"/>
    <w:rsid w:val="00F926AE"/>
    <w:rsid w:val="00F930A7"/>
    <w:rsid w:val="00F96113"/>
    <w:rsid w:val="00FA08DB"/>
    <w:rsid w:val="00FA5942"/>
    <w:rsid w:val="00FA611F"/>
    <w:rsid w:val="00FB2176"/>
    <w:rsid w:val="00FB4123"/>
    <w:rsid w:val="00FC2B38"/>
    <w:rsid w:val="00FC42D7"/>
    <w:rsid w:val="00FE0B29"/>
    <w:rsid w:val="00FE25CB"/>
    <w:rsid w:val="00FF7CD1"/>
    <w:rsid w:val="01EC5C3E"/>
    <w:rsid w:val="0250093A"/>
    <w:rsid w:val="027D0F8C"/>
    <w:rsid w:val="051060E7"/>
    <w:rsid w:val="0865299B"/>
    <w:rsid w:val="08AA08A1"/>
    <w:rsid w:val="0A7E5C43"/>
    <w:rsid w:val="0C6345FF"/>
    <w:rsid w:val="0D4E3C51"/>
    <w:rsid w:val="0F081F56"/>
    <w:rsid w:val="0F631888"/>
    <w:rsid w:val="15381FBA"/>
    <w:rsid w:val="1AED2CFB"/>
    <w:rsid w:val="1C281B11"/>
    <w:rsid w:val="1E150BD8"/>
    <w:rsid w:val="21F201A6"/>
    <w:rsid w:val="220C0960"/>
    <w:rsid w:val="22F95FB5"/>
    <w:rsid w:val="261B3662"/>
    <w:rsid w:val="267C0033"/>
    <w:rsid w:val="26812549"/>
    <w:rsid w:val="29AF769B"/>
    <w:rsid w:val="29FB62B0"/>
    <w:rsid w:val="2B6D1B40"/>
    <w:rsid w:val="2EDC604A"/>
    <w:rsid w:val="2FED0C50"/>
    <w:rsid w:val="312A47FE"/>
    <w:rsid w:val="33F24A86"/>
    <w:rsid w:val="343B01DB"/>
    <w:rsid w:val="34CC3529"/>
    <w:rsid w:val="34EE4FCB"/>
    <w:rsid w:val="35D97CAC"/>
    <w:rsid w:val="386046B4"/>
    <w:rsid w:val="387243E8"/>
    <w:rsid w:val="3AE93EA8"/>
    <w:rsid w:val="3BD53828"/>
    <w:rsid w:val="3C2C4712"/>
    <w:rsid w:val="3F485EA2"/>
    <w:rsid w:val="40833636"/>
    <w:rsid w:val="41975EAE"/>
    <w:rsid w:val="420A5691"/>
    <w:rsid w:val="44F20D8A"/>
    <w:rsid w:val="468E7A41"/>
    <w:rsid w:val="482254E2"/>
    <w:rsid w:val="4AB26C09"/>
    <w:rsid w:val="4CBB7CB4"/>
    <w:rsid w:val="4D7F6F33"/>
    <w:rsid w:val="4DFF1E22"/>
    <w:rsid w:val="4E42314D"/>
    <w:rsid w:val="4E9B404B"/>
    <w:rsid w:val="4EDD03B5"/>
    <w:rsid w:val="52410C5B"/>
    <w:rsid w:val="52D21D13"/>
    <w:rsid w:val="532D4A8B"/>
    <w:rsid w:val="540672D6"/>
    <w:rsid w:val="55210D67"/>
    <w:rsid w:val="567D422C"/>
    <w:rsid w:val="570D2E66"/>
    <w:rsid w:val="58974BA1"/>
    <w:rsid w:val="5B370E4D"/>
    <w:rsid w:val="5CBC324F"/>
    <w:rsid w:val="5CE2128D"/>
    <w:rsid w:val="5DA622BA"/>
    <w:rsid w:val="5DD7565E"/>
    <w:rsid w:val="5E420235"/>
    <w:rsid w:val="5F6B37BB"/>
    <w:rsid w:val="623954AB"/>
    <w:rsid w:val="624E5BC3"/>
    <w:rsid w:val="67332795"/>
    <w:rsid w:val="690C2DBD"/>
    <w:rsid w:val="6A42336B"/>
    <w:rsid w:val="6BAF620C"/>
    <w:rsid w:val="6E8E6B7E"/>
    <w:rsid w:val="724759C2"/>
    <w:rsid w:val="7480340D"/>
    <w:rsid w:val="759E0D5A"/>
    <w:rsid w:val="75DC1208"/>
    <w:rsid w:val="78EE1E74"/>
    <w:rsid w:val="7B1623D5"/>
    <w:rsid w:val="7B22521E"/>
    <w:rsid w:val="7D6C3C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48" w:lineRule="auto"/>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autoRedefine/>
    <w:qFormat/>
    <w:uiPriority w:val="9"/>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1"/>
    <w:link w:val="66"/>
    <w:autoRedefine/>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44"/>
    <w:autoRedefine/>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7">
    <w:name w:val="heading 5"/>
    <w:basedOn w:val="1"/>
    <w:next w:val="1"/>
    <w:link w:val="52"/>
    <w:autoRedefine/>
    <w:qFormat/>
    <w:uiPriority w:val="0"/>
    <w:pPr>
      <w:keepNext/>
      <w:keepLines/>
      <w:numPr>
        <w:ilvl w:val="4"/>
        <w:numId w:val="1"/>
      </w:numPr>
      <w:spacing w:before="280" w:after="290" w:line="360" w:lineRule="auto"/>
      <w:jc w:val="left"/>
      <w:outlineLvl w:val="4"/>
    </w:pPr>
    <w:rPr>
      <w:b/>
      <w:bCs/>
      <w:kern w:val="0"/>
      <w:sz w:val="24"/>
      <w:szCs w:val="28"/>
    </w:rPr>
  </w:style>
  <w:style w:type="paragraph" w:styleId="8">
    <w:name w:val="heading 6"/>
    <w:basedOn w:val="1"/>
    <w:next w:val="1"/>
    <w:link w:val="53"/>
    <w:autoRedefine/>
    <w:qFormat/>
    <w:uiPriority w:val="0"/>
    <w:pPr>
      <w:keepNext/>
      <w:keepLines/>
      <w:spacing w:before="240" w:after="64" w:line="320" w:lineRule="auto"/>
      <w:outlineLvl w:val="5"/>
    </w:pPr>
    <w:rPr>
      <w:rFonts w:ascii="Cambria" w:hAnsi="Cambria"/>
      <w:b/>
      <w:bCs/>
      <w:sz w:val="2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List Number"/>
    <w:basedOn w:val="1"/>
    <w:autoRedefine/>
    <w:qFormat/>
    <w:uiPriority w:val="0"/>
    <w:pPr>
      <w:widowControl/>
      <w:numPr>
        <w:ilvl w:val="0"/>
        <w:numId w:val="2"/>
      </w:numPr>
      <w:tabs>
        <w:tab w:val="clear" w:pos="980"/>
      </w:tabs>
      <w:spacing w:afterLines="50"/>
      <w:ind w:left="454" w:hanging="284"/>
      <w:jc w:val="left"/>
    </w:pPr>
    <w:rPr>
      <w:kern w:val="0"/>
      <w:sz w:val="24"/>
      <w:szCs w:val="20"/>
    </w:rPr>
  </w:style>
  <w:style w:type="paragraph" w:styleId="10">
    <w:name w:val="Normal Indent"/>
    <w:basedOn w:val="1"/>
    <w:link w:val="42"/>
    <w:autoRedefine/>
    <w:qFormat/>
    <w:uiPriority w:val="99"/>
    <w:pPr>
      <w:ind w:firstLine="420" w:firstLineChars="200"/>
    </w:p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List Bullet"/>
    <w:basedOn w:val="1"/>
    <w:autoRedefine/>
    <w:unhideWhenUsed/>
    <w:qFormat/>
    <w:uiPriority w:val="99"/>
    <w:pPr>
      <w:widowControl/>
      <w:numPr>
        <w:ilvl w:val="0"/>
        <w:numId w:val="3"/>
      </w:numPr>
      <w:spacing w:before="40" w:after="40" w:line="288" w:lineRule="auto"/>
      <w:ind w:left="2545" w:hanging="425"/>
      <w:jc w:val="left"/>
    </w:pPr>
    <w:rPr>
      <w:color w:val="595959"/>
      <w:kern w:val="20"/>
      <w:sz w:val="20"/>
      <w:szCs w:val="20"/>
      <w:lang w:val="zh-CN"/>
    </w:rPr>
  </w:style>
  <w:style w:type="paragraph" w:styleId="13">
    <w:name w:val="Document Map"/>
    <w:basedOn w:val="1"/>
    <w:autoRedefine/>
    <w:qFormat/>
    <w:uiPriority w:val="0"/>
    <w:pPr>
      <w:shd w:val="clear" w:color="auto" w:fill="000080"/>
    </w:pPr>
  </w:style>
  <w:style w:type="paragraph" w:styleId="14">
    <w:name w:val="annotation text"/>
    <w:basedOn w:val="1"/>
    <w:link w:val="64"/>
    <w:autoRedefine/>
    <w:qFormat/>
    <w:uiPriority w:val="0"/>
    <w:pPr>
      <w:spacing w:line="240" w:lineRule="auto"/>
      <w:jc w:val="left"/>
    </w:pPr>
    <w:rPr>
      <w:szCs w:val="22"/>
    </w:rPr>
  </w:style>
  <w:style w:type="paragraph" w:styleId="15">
    <w:name w:val="Body Text 3"/>
    <w:basedOn w:val="1"/>
    <w:autoRedefine/>
    <w:qFormat/>
    <w:uiPriority w:val="0"/>
    <w:pPr>
      <w:spacing w:after="120"/>
    </w:pPr>
    <w:rPr>
      <w:sz w:val="16"/>
      <w:szCs w:val="16"/>
    </w:rPr>
  </w:style>
  <w:style w:type="paragraph" w:styleId="16">
    <w:name w:val="Body Text"/>
    <w:basedOn w:val="1"/>
    <w:autoRedefine/>
    <w:qFormat/>
    <w:uiPriority w:val="0"/>
    <w:pPr>
      <w:spacing w:after="120"/>
    </w:pPr>
  </w:style>
  <w:style w:type="paragraph" w:styleId="17">
    <w:name w:val="Body Text Indent"/>
    <w:basedOn w:val="1"/>
    <w:next w:val="1"/>
    <w:link w:val="51"/>
    <w:autoRedefine/>
    <w:qFormat/>
    <w:uiPriority w:val="0"/>
    <w:pPr>
      <w:spacing w:after="120"/>
      <w:ind w:left="420" w:leftChars="200"/>
    </w:pPr>
  </w:style>
  <w:style w:type="paragraph" w:styleId="18">
    <w:name w:val="List 2"/>
    <w:basedOn w:val="1"/>
    <w:autoRedefine/>
    <w:qFormat/>
    <w:uiPriority w:val="0"/>
    <w:pPr>
      <w:ind w:left="100" w:leftChars="200" w:hanging="200" w:hangingChars="200"/>
    </w:pPr>
  </w:style>
  <w:style w:type="paragraph" w:styleId="19">
    <w:name w:val="Plain Text"/>
    <w:basedOn w:val="1"/>
    <w:next w:val="20"/>
    <w:link w:val="54"/>
    <w:autoRedefine/>
    <w:qFormat/>
    <w:uiPriority w:val="0"/>
    <w:rPr>
      <w:rFonts w:ascii="宋体" w:hAnsi="Courier New"/>
      <w:szCs w:val="20"/>
    </w:rPr>
  </w:style>
  <w:style w:type="paragraph" w:styleId="20">
    <w:name w:val="toc 1"/>
    <w:basedOn w:val="1"/>
    <w:next w:val="1"/>
    <w:autoRedefine/>
    <w:qFormat/>
    <w:uiPriority w:val="39"/>
    <w:pPr>
      <w:tabs>
        <w:tab w:val="left" w:pos="0"/>
        <w:tab w:val="right" w:leader="dot" w:pos="8280"/>
      </w:tabs>
      <w:adjustRightInd w:val="0"/>
      <w:snapToGrid w:val="0"/>
      <w:spacing w:beforeLines="50" w:afterLines="50" w:line="440" w:lineRule="exact"/>
      <w:ind w:firstLine="100" w:firstLineChars="100"/>
    </w:pPr>
    <w:rPr>
      <w:rFonts w:ascii="Times New Roman" w:hAnsi="Times New Roman"/>
    </w:rPr>
  </w:style>
  <w:style w:type="paragraph" w:styleId="21">
    <w:name w:val="Date"/>
    <w:basedOn w:val="1"/>
    <w:next w:val="1"/>
    <w:autoRedefine/>
    <w:qFormat/>
    <w:uiPriority w:val="0"/>
    <w:pPr>
      <w:ind w:left="100"/>
    </w:pPr>
    <w:rPr>
      <w:sz w:val="28"/>
      <w:szCs w:val="20"/>
    </w:rPr>
  </w:style>
  <w:style w:type="paragraph" w:styleId="22">
    <w:name w:val="Balloon Text"/>
    <w:basedOn w:val="1"/>
    <w:link w:val="41"/>
    <w:autoRedefine/>
    <w:qFormat/>
    <w:uiPriority w:val="99"/>
    <w:rPr>
      <w:sz w:val="18"/>
      <w:szCs w:val="18"/>
    </w:rPr>
  </w:style>
  <w:style w:type="paragraph" w:styleId="23">
    <w:name w:val="footer"/>
    <w:basedOn w:val="1"/>
    <w:link w:val="65"/>
    <w:autoRedefine/>
    <w:qFormat/>
    <w:uiPriority w:val="99"/>
    <w:pPr>
      <w:tabs>
        <w:tab w:val="center" w:pos="4153"/>
        <w:tab w:val="right" w:pos="8306"/>
      </w:tabs>
      <w:snapToGrid w:val="0"/>
      <w:jc w:val="left"/>
    </w:pPr>
    <w:rPr>
      <w:sz w:val="18"/>
      <w:szCs w:val="18"/>
    </w:rPr>
  </w:style>
  <w:style w:type="paragraph" w:styleId="24">
    <w:name w:val="header"/>
    <w:basedOn w:val="1"/>
    <w:link w:val="178"/>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List"/>
    <w:basedOn w:val="1"/>
    <w:autoRedefine/>
    <w:qFormat/>
    <w:uiPriority w:val="0"/>
    <w:pPr>
      <w:ind w:left="200" w:hanging="200" w:hangingChars="200"/>
    </w:pPr>
    <w:rPr>
      <w:sz w:val="28"/>
    </w:rPr>
  </w:style>
  <w:style w:type="paragraph" w:styleId="26">
    <w:name w:val="Body Text Indent 3"/>
    <w:basedOn w:val="1"/>
    <w:link w:val="43"/>
    <w:autoRedefine/>
    <w:qFormat/>
    <w:uiPriority w:val="0"/>
    <w:pPr>
      <w:spacing w:after="120"/>
      <w:ind w:left="420" w:leftChars="200"/>
    </w:pPr>
    <w:rPr>
      <w:sz w:val="16"/>
      <w:szCs w:val="16"/>
    </w:rPr>
  </w:style>
  <w:style w:type="paragraph" w:styleId="27">
    <w:name w:val="Body Text 2"/>
    <w:basedOn w:val="1"/>
    <w:autoRedefine/>
    <w:qFormat/>
    <w:uiPriority w:val="0"/>
    <w:pPr>
      <w:spacing w:after="120" w:line="480" w:lineRule="auto"/>
    </w:p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next w:val="1"/>
    <w:link w:val="166"/>
    <w:autoRedefine/>
    <w:qFormat/>
    <w:uiPriority w:val="0"/>
    <w:pPr>
      <w:keepNext/>
      <w:keepLines/>
      <w:widowControl/>
      <w:tabs>
        <w:tab w:val="center" w:pos="540"/>
      </w:tabs>
      <w:spacing w:line="360" w:lineRule="auto"/>
      <w:outlineLvl w:val="0"/>
    </w:pPr>
    <w:rPr>
      <w:rFonts w:ascii="Arial" w:hAnsi="Arial" w:cs="Arial"/>
      <w:b/>
      <w:bCs/>
      <w:sz w:val="28"/>
      <w:szCs w:val="32"/>
    </w:rPr>
  </w:style>
  <w:style w:type="paragraph" w:styleId="30">
    <w:name w:val="annotation subject"/>
    <w:basedOn w:val="14"/>
    <w:next w:val="14"/>
    <w:link w:val="74"/>
    <w:autoRedefine/>
    <w:qFormat/>
    <w:uiPriority w:val="0"/>
    <w:pPr>
      <w:spacing w:line="348" w:lineRule="auto"/>
    </w:pPr>
    <w:rPr>
      <w:b/>
      <w:bCs/>
      <w:szCs w:val="24"/>
    </w:rPr>
  </w:style>
  <w:style w:type="paragraph" w:styleId="31">
    <w:name w:val="Body Text First Indent"/>
    <w:basedOn w:val="16"/>
    <w:autoRedefine/>
    <w:qFormat/>
    <w:uiPriority w:val="0"/>
    <w:pPr>
      <w:ind w:firstLine="420" w:firstLineChars="100"/>
    </w:pPr>
  </w:style>
  <w:style w:type="paragraph" w:styleId="32">
    <w:name w:val="Body Text First Indent 2"/>
    <w:basedOn w:val="17"/>
    <w:next w:val="1"/>
    <w:link w:val="171"/>
    <w:autoRedefine/>
    <w:unhideWhenUsed/>
    <w:qFormat/>
    <w:uiPriority w:val="99"/>
    <w:pPr>
      <w:spacing w:line="240" w:lineRule="auto"/>
      <w:ind w:firstLine="420" w:firstLineChars="200"/>
    </w:pPr>
    <w:rPr>
      <w:rFonts w:ascii="Times New Roman" w:hAnsi="Times New Roman"/>
    </w:rPr>
  </w:style>
  <w:style w:type="table" w:styleId="34">
    <w:name w:val="Table Grid"/>
    <w:basedOn w:val="3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basedOn w:val="35"/>
    <w:autoRedefine/>
    <w:qFormat/>
    <w:uiPriority w:val="0"/>
  </w:style>
  <w:style w:type="character" w:styleId="37">
    <w:name w:val="FollowedHyperlink"/>
    <w:autoRedefine/>
    <w:qFormat/>
    <w:uiPriority w:val="0"/>
    <w:rPr>
      <w:color w:val="800080"/>
      <w:u w:val="single"/>
    </w:rPr>
  </w:style>
  <w:style w:type="character" w:styleId="38">
    <w:name w:val="Emphasis"/>
    <w:autoRedefine/>
    <w:qFormat/>
    <w:uiPriority w:val="20"/>
    <w:rPr>
      <w:color w:val="CC0000"/>
    </w:rPr>
  </w:style>
  <w:style w:type="character" w:styleId="39">
    <w:name w:val="Hyperlink"/>
    <w:autoRedefine/>
    <w:qFormat/>
    <w:uiPriority w:val="0"/>
    <w:rPr>
      <w:color w:val="0000FF"/>
      <w:u w:val="single"/>
    </w:rPr>
  </w:style>
  <w:style w:type="character" w:styleId="40">
    <w:name w:val="annotation reference"/>
    <w:autoRedefine/>
    <w:qFormat/>
    <w:uiPriority w:val="0"/>
    <w:rPr>
      <w:sz w:val="21"/>
      <w:szCs w:val="21"/>
    </w:rPr>
  </w:style>
  <w:style w:type="character" w:customStyle="1" w:styleId="41">
    <w:name w:val="批注框文本 Char"/>
    <w:link w:val="22"/>
    <w:autoRedefine/>
    <w:qFormat/>
    <w:uiPriority w:val="99"/>
    <w:rPr>
      <w:kern w:val="2"/>
      <w:sz w:val="18"/>
      <w:szCs w:val="18"/>
    </w:rPr>
  </w:style>
  <w:style w:type="character" w:customStyle="1" w:styleId="42">
    <w:name w:val="正文缩进 Char"/>
    <w:link w:val="10"/>
    <w:autoRedefine/>
    <w:qFormat/>
    <w:uiPriority w:val="99"/>
    <w:rPr>
      <w:kern w:val="2"/>
      <w:sz w:val="21"/>
      <w:szCs w:val="24"/>
    </w:rPr>
  </w:style>
  <w:style w:type="character" w:customStyle="1" w:styleId="43">
    <w:name w:val="正文文本缩进 3 Char"/>
    <w:link w:val="26"/>
    <w:autoRedefine/>
    <w:qFormat/>
    <w:uiPriority w:val="0"/>
    <w:rPr>
      <w:kern w:val="2"/>
      <w:sz w:val="16"/>
      <w:szCs w:val="16"/>
    </w:rPr>
  </w:style>
  <w:style w:type="character" w:customStyle="1" w:styleId="44">
    <w:name w:val="标题 4 Char"/>
    <w:link w:val="6"/>
    <w:autoRedefine/>
    <w:qFormat/>
    <w:uiPriority w:val="9"/>
    <w:rPr>
      <w:rFonts w:ascii="Cambria" w:hAnsi="Cambria"/>
      <w:b/>
      <w:bCs/>
      <w:kern w:val="2"/>
      <w:sz w:val="28"/>
      <w:szCs w:val="28"/>
    </w:rPr>
  </w:style>
  <w:style w:type="character" w:customStyle="1" w:styleId="45">
    <w:name w:val="正文2 Char Char"/>
    <w:autoRedefine/>
    <w:qFormat/>
    <w:uiPriority w:val="0"/>
    <w:rPr>
      <w:kern w:val="2"/>
      <w:sz w:val="24"/>
    </w:rPr>
  </w:style>
  <w:style w:type="character" w:customStyle="1" w:styleId="46">
    <w:name w:val="18"/>
    <w:basedOn w:val="35"/>
    <w:autoRedefine/>
    <w:qFormat/>
    <w:uiPriority w:val="0"/>
    <w:rPr>
      <w:rFonts w:hint="eastAsia" w:ascii="宋体" w:hAnsi="宋体" w:eastAsia="宋体"/>
      <w:color w:val="000000"/>
      <w:sz w:val="24"/>
      <w:szCs w:val="24"/>
      <w:vertAlign w:val="superscript"/>
    </w:rPr>
  </w:style>
  <w:style w:type="character" w:customStyle="1" w:styleId="47">
    <w:name w:val="15"/>
    <w:basedOn w:val="35"/>
    <w:autoRedefine/>
    <w:qFormat/>
    <w:uiPriority w:val="0"/>
    <w:rPr>
      <w:rFonts w:hint="eastAsia" w:ascii="宋体" w:hAnsi="宋体" w:eastAsia="宋体"/>
      <w:color w:val="000000"/>
      <w:sz w:val="22"/>
      <w:szCs w:val="22"/>
    </w:rPr>
  </w:style>
  <w:style w:type="character" w:customStyle="1" w:styleId="48">
    <w:name w:val="纯文本 Char1"/>
    <w:autoRedefine/>
    <w:qFormat/>
    <w:uiPriority w:val="0"/>
    <w:rPr>
      <w:rFonts w:ascii="宋体" w:hAnsi="Courier New" w:eastAsia="宋体"/>
      <w:kern w:val="2"/>
      <w:sz w:val="21"/>
      <w:lang w:val="en-US" w:eastAsia="zh-CN"/>
    </w:rPr>
  </w:style>
  <w:style w:type="character" w:customStyle="1" w:styleId="49">
    <w:name w:val="Char Char Char"/>
    <w:autoRedefine/>
    <w:qFormat/>
    <w:uiPriority w:val="0"/>
    <w:rPr>
      <w:rFonts w:ascii="宋体" w:hAnsi="Courier New" w:eastAsia="宋体"/>
      <w:kern w:val="2"/>
      <w:sz w:val="21"/>
      <w:lang w:val="en-US" w:eastAsia="zh-CN" w:bidi="ar-SA"/>
    </w:rPr>
  </w:style>
  <w:style w:type="character" w:customStyle="1" w:styleId="50">
    <w:name w:val="表正文 Char"/>
    <w:autoRedefine/>
    <w:qFormat/>
    <w:uiPriority w:val="0"/>
    <w:rPr>
      <w:rFonts w:eastAsia="宋体"/>
      <w:kern w:val="2"/>
      <w:sz w:val="21"/>
      <w:szCs w:val="24"/>
      <w:lang w:val="en-US" w:eastAsia="zh-CN" w:bidi="ar-SA"/>
    </w:rPr>
  </w:style>
  <w:style w:type="character" w:customStyle="1" w:styleId="51">
    <w:name w:val="正文文本缩进 Char"/>
    <w:link w:val="17"/>
    <w:autoRedefine/>
    <w:qFormat/>
    <w:uiPriority w:val="0"/>
    <w:rPr>
      <w:rFonts w:eastAsia="宋体"/>
      <w:kern w:val="2"/>
      <w:sz w:val="21"/>
      <w:szCs w:val="24"/>
      <w:lang w:val="en-US" w:eastAsia="zh-CN" w:bidi="ar-SA"/>
    </w:rPr>
  </w:style>
  <w:style w:type="character" w:customStyle="1" w:styleId="52">
    <w:name w:val="标题 5 Char"/>
    <w:link w:val="7"/>
    <w:autoRedefine/>
    <w:qFormat/>
    <w:uiPriority w:val="0"/>
    <w:rPr>
      <w:b/>
      <w:bCs/>
      <w:sz w:val="24"/>
      <w:szCs w:val="28"/>
    </w:rPr>
  </w:style>
  <w:style w:type="character" w:customStyle="1" w:styleId="53">
    <w:name w:val="标题 6 Char"/>
    <w:link w:val="8"/>
    <w:autoRedefine/>
    <w:qFormat/>
    <w:uiPriority w:val="0"/>
    <w:rPr>
      <w:rFonts w:ascii="Cambria" w:hAnsi="Cambria" w:eastAsia="宋体" w:cs="Times New Roman"/>
      <w:b/>
      <w:bCs/>
      <w:kern w:val="2"/>
      <w:sz w:val="24"/>
      <w:szCs w:val="24"/>
    </w:rPr>
  </w:style>
  <w:style w:type="character" w:customStyle="1" w:styleId="54">
    <w:name w:val="纯文本 Char"/>
    <w:link w:val="19"/>
    <w:autoRedefine/>
    <w:qFormat/>
    <w:uiPriority w:val="0"/>
    <w:rPr>
      <w:rFonts w:ascii="宋体" w:hAnsi="Courier New" w:eastAsia="宋体"/>
      <w:kern w:val="2"/>
      <w:sz w:val="21"/>
      <w:lang w:val="en-US" w:eastAsia="zh-CN" w:bidi="ar-SA"/>
    </w:rPr>
  </w:style>
  <w:style w:type="character" w:customStyle="1" w:styleId="55">
    <w:name w:val="纯文本 Char3"/>
    <w:autoRedefine/>
    <w:qFormat/>
    <w:uiPriority w:val="0"/>
    <w:rPr>
      <w:rFonts w:ascii="宋体" w:hAnsi="Courier New" w:eastAsia="宋体"/>
      <w:kern w:val="2"/>
      <w:sz w:val="21"/>
      <w:lang w:val="en-US" w:eastAsia="zh-CN" w:bidi="ar-SA"/>
    </w:rPr>
  </w:style>
  <w:style w:type="character" w:customStyle="1" w:styleId="56">
    <w:name w:val="NormalCharacter"/>
    <w:link w:val="57"/>
    <w:autoRedefine/>
    <w:qFormat/>
    <w:uiPriority w:val="0"/>
    <w:rPr>
      <w:rFonts w:ascii="Tahoma" w:hAnsi="Tahoma"/>
      <w:sz w:val="24"/>
    </w:rPr>
  </w:style>
  <w:style w:type="paragraph" w:customStyle="1" w:styleId="57">
    <w:name w:val="UserStyle_13"/>
    <w:basedOn w:val="1"/>
    <w:link w:val="56"/>
    <w:autoRedefine/>
    <w:qFormat/>
    <w:uiPriority w:val="0"/>
    <w:pPr>
      <w:widowControl/>
      <w:spacing w:line="360" w:lineRule="auto"/>
      <w:ind w:firstLine="200" w:firstLineChars="200"/>
    </w:pPr>
    <w:rPr>
      <w:rFonts w:ascii="Tahoma" w:hAnsi="Tahoma"/>
      <w:kern w:val="0"/>
      <w:sz w:val="24"/>
      <w:szCs w:val="20"/>
    </w:rPr>
  </w:style>
  <w:style w:type="character" w:customStyle="1" w:styleId="58">
    <w:name w:val="正文2 Char"/>
    <w:link w:val="59"/>
    <w:autoRedefine/>
    <w:qFormat/>
    <w:uiPriority w:val="0"/>
    <w:rPr>
      <w:kern w:val="2"/>
      <w:sz w:val="24"/>
    </w:rPr>
  </w:style>
  <w:style w:type="paragraph" w:customStyle="1" w:styleId="59">
    <w:name w:val="正文2"/>
    <w:basedOn w:val="1"/>
    <w:link w:val="58"/>
    <w:autoRedefine/>
    <w:qFormat/>
    <w:uiPriority w:val="0"/>
    <w:pPr>
      <w:spacing w:before="156" w:line="360" w:lineRule="auto"/>
      <w:ind w:firstLine="510" w:firstLineChars="200"/>
    </w:pPr>
    <w:rPr>
      <w:sz w:val="24"/>
      <w:szCs w:val="20"/>
    </w:rPr>
  </w:style>
  <w:style w:type="character" w:customStyle="1" w:styleId="60">
    <w:name w:val="列出段落 Char"/>
    <w:link w:val="61"/>
    <w:autoRedefine/>
    <w:qFormat/>
    <w:uiPriority w:val="34"/>
    <w:rPr>
      <w:rFonts w:ascii="Calibri" w:hAnsi="Calibri" w:eastAsia="宋体" w:cs="Times New Roman"/>
      <w:kern w:val="2"/>
      <w:sz w:val="21"/>
      <w:szCs w:val="22"/>
    </w:rPr>
  </w:style>
  <w:style w:type="paragraph" w:styleId="61">
    <w:name w:val="List Paragraph"/>
    <w:basedOn w:val="1"/>
    <w:link w:val="60"/>
    <w:autoRedefine/>
    <w:qFormat/>
    <w:uiPriority w:val="34"/>
    <w:pPr>
      <w:spacing w:line="240" w:lineRule="auto"/>
      <w:ind w:firstLine="420" w:firstLineChars="200"/>
    </w:pPr>
    <w:rPr>
      <w:szCs w:val="22"/>
    </w:rPr>
  </w:style>
  <w:style w:type="character" w:customStyle="1" w:styleId="62">
    <w:name w:val="居中表格内容 Char"/>
    <w:link w:val="63"/>
    <w:autoRedefine/>
    <w:qFormat/>
    <w:uiPriority w:val="0"/>
    <w:rPr>
      <w:rFonts w:cs="宋体"/>
      <w:color w:val="000000"/>
      <w:sz w:val="21"/>
      <w:szCs w:val="24"/>
    </w:rPr>
  </w:style>
  <w:style w:type="paragraph" w:customStyle="1" w:styleId="63">
    <w:name w:val="居中表格内容"/>
    <w:basedOn w:val="1"/>
    <w:next w:val="1"/>
    <w:link w:val="62"/>
    <w:autoRedefine/>
    <w:qFormat/>
    <w:uiPriority w:val="0"/>
    <w:pPr>
      <w:widowControl/>
      <w:spacing w:line="240" w:lineRule="auto"/>
    </w:pPr>
    <w:rPr>
      <w:color w:val="000000"/>
      <w:kern w:val="0"/>
    </w:rPr>
  </w:style>
  <w:style w:type="character" w:customStyle="1" w:styleId="64">
    <w:name w:val="批注文字 Char"/>
    <w:link w:val="14"/>
    <w:autoRedefine/>
    <w:qFormat/>
    <w:uiPriority w:val="0"/>
    <w:rPr>
      <w:rFonts w:ascii="Calibri" w:hAnsi="Calibri" w:eastAsia="宋体" w:cs="Times New Roman"/>
      <w:kern w:val="2"/>
      <w:sz w:val="21"/>
      <w:szCs w:val="22"/>
    </w:rPr>
  </w:style>
  <w:style w:type="character" w:customStyle="1" w:styleId="65">
    <w:name w:val="页脚 Char"/>
    <w:link w:val="23"/>
    <w:autoRedefine/>
    <w:qFormat/>
    <w:uiPriority w:val="99"/>
    <w:rPr>
      <w:kern w:val="2"/>
      <w:sz w:val="18"/>
      <w:szCs w:val="18"/>
    </w:rPr>
  </w:style>
  <w:style w:type="character" w:customStyle="1" w:styleId="66">
    <w:name w:val="标题 3 Char"/>
    <w:link w:val="5"/>
    <w:autoRedefine/>
    <w:qFormat/>
    <w:uiPriority w:val="9"/>
    <w:rPr>
      <w:b/>
      <w:bCs/>
      <w:kern w:val="2"/>
      <w:sz w:val="32"/>
      <w:szCs w:val="32"/>
    </w:rPr>
  </w:style>
  <w:style w:type="character" w:customStyle="1" w:styleId="67">
    <w:name w:val="正文加粗 字符"/>
    <w:link w:val="68"/>
    <w:autoRedefine/>
    <w:qFormat/>
    <w:uiPriority w:val="0"/>
    <w:rPr>
      <w:rFonts w:ascii="微软雅黑" w:hAnsi="等线" w:eastAsia="微软雅黑"/>
      <w:b/>
      <w:kern w:val="2"/>
      <w:sz w:val="24"/>
      <w:szCs w:val="22"/>
    </w:rPr>
  </w:style>
  <w:style w:type="paragraph" w:customStyle="1" w:styleId="68">
    <w:name w:val="正文加粗"/>
    <w:basedOn w:val="1"/>
    <w:link w:val="67"/>
    <w:autoRedefine/>
    <w:qFormat/>
    <w:uiPriority w:val="0"/>
    <w:pPr>
      <w:spacing w:line="360" w:lineRule="auto"/>
      <w:ind w:firstLine="480" w:firstLineChars="200"/>
      <w:jc w:val="left"/>
    </w:pPr>
    <w:rPr>
      <w:rFonts w:ascii="微软雅黑" w:hAnsi="等线" w:eastAsia="微软雅黑"/>
      <w:b/>
      <w:sz w:val="24"/>
      <w:szCs w:val="22"/>
    </w:rPr>
  </w:style>
  <w:style w:type="character" w:customStyle="1" w:styleId="69">
    <w:name w:val="列出段落 Char1"/>
    <w:autoRedefine/>
    <w:qFormat/>
    <w:uiPriority w:val="0"/>
    <w:rPr>
      <w:rFonts w:ascii="Calibri" w:hAnsi="Calibri"/>
      <w:kern w:val="2"/>
      <w:sz w:val="21"/>
      <w:szCs w:val="22"/>
    </w:rPr>
  </w:style>
  <w:style w:type="character" w:customStyle="1" w:styleId="70">
    <w:name w:val="17"/>
    <w:basedOn w:val="35"/>
    <w:autoRedefine/>
    <w:qFormat/>
    <w:uiPriority w:val="0"/>
    <w:rPr>
      <w:rFonts w:hint="default" w:ascii="Arial" w:hAnsi="Arial" w:cs="Arial"/>
      <w:color w:val="000000"/>
      <w:sz w:val="22"/>
      <w:szCs w:val="22"/>
    </w:rPr>
  </w:style>
  <w:style w:type="character" w:customStyle="1" w:styleId="71">
    <w:name w:val="font61"/>
    <w:basedOn w:val="35"/>
    <w:autoRedefine/>
    <w:qFormat/>
    <w:uiPriority w:val="0"/>
    <w:rPr>
      <w:rFonts w:hint="eastAsia" w:ascii="宋体" w:hAnsi="宋体" w:eastAsia="宋体" w:cs="宋体"/>
      <w:color w:val="000000"/>
      <w:sz w:val="24"/>
      <w:szCs w:val="24"/>
      <w:u w:val="none"/>
    </w:rPr>
  </w:style>
  <w:style w:type="character" w:customStyle="1" w:styleId="72">
    <w:name w:val="纯文本 Char2"/>
    <w:autoRedefine/>
    <w:qFormat/>
    <w:uiPriority w:val="0"/>
    <w:rPr>
      <w:rFonts w:ascii="宋体" w:hAnsi="Courier New" w:eastAsia="宋体" w:cs="Courier New"/>
      <w:sz w:val="21"/>
      <w:szCs w:val="21"/>
    </w:rPr>
  </w:style>
  <w:style w:type="character" w:customStyle="1" w:styleId="73">
    <w:name w:val="16"/>
    <w:basedOn w:val="35"/>
    <w:autoRedefine/>
    <w:qFormat/>
    <w:uiPriority w:val="0"/>
    <w:rPr>
      <w:rFonts w:hint="eastAsia" w:ascii="宋体" w:hAnsi="宋体" w:eastAsia="宋体"/>
      <w:color w:val="000000"/>
      <w:sz w:val="24"/>
      <w:szCs w:val="24"/>
    </w:rPr>
  </w:style>
  <w:style w:type="character" w:customStyle="1" w:styleId="74">
    <w:name w:val="批注主题 Char"/>
    <w:link w:val="30"/>
    <w:autoRedefine/>
    <w:qFormat/>
    <w:uiPriority w:val="0"/>
    <w:rPr>
      <w:rFonts w:ascii="Calibri" w:hAnsi="Calibri" w:eastAsia="宋体" w:cs="Times New Roman"/>
      <w:b/>
      <w:bCs/>
      <w:kern w:val="2"/>
      <w:sz w:val="21"/>
      <w:szCs w:val="24"/>
    </w:rPr>
  </w:style>
  <w:style w:type="character" w:customStyle="1" w:styleId="75">
    <w:name w:val="1.5倍行距 Char"/>
    <w:link w:val="76"/>
    <w:autoRedefine/>
    <w:qFormat/>
    <w:uiPriority w:val="0"/>
    <w:rPr>
      <w:rFonts w:ascii="宋体" w:hAnsi="宋体"/>
      <w:kern w:val="2"/>
      <w:sz w:val="24"/>
      <w:szCs w:val="24"/>
    </w:rPr>
  </w:style>
  <w:style w:type="paragraph" w:customStyle="1" w:styleId="76">
    <w:name w:val="1.5倍行距"/>
    <w:basedOn w:val="1"/>
    <w:link w:val="75"/>
    <w:autoRedefine/>
    <w:qFormat/>
    <w:uiPriority w:val="0"/>
    <w:pPr>
      <w:spacing w:line="360" w:lineRule="auto"/>
      <w:ind w:firstLine="480" w:firstLineChars="200"/>
    </w:pPr>
    <w:rPr>
      <w:rFonts w:ascii="宋体" w:hAnsi="宋体"/>
      <w:sz w:val="24"/>
    </w:rPr>
  </w:style>
  <w:style w:type="character" w:customStyle="1" w:styleId="77">
    <w:name w:val="样式4 Char"/>
    <w:link w:val="78"/>
    <w:autoRedefine/>
    <w:qFormat/>
    <w:uiPriority w:val="0"/>
    <w:rPr>
      <w:rFonts w:ascii="Calibri" w:hAnsi="Calibri"/>
      <w:kern w:val="2"/>
      <w:sz w:val="24"/>
      <w:szCs w:val="22"/>
    </w:rPr>
  </w:style>
  <w:style w:type="paragraph" w:customStyle="1" w:styleId="78">
    <w:name w:val="样式4"/>
    <w:basedOn w:val="1"/>
    <w:link w:val="77"/>
    <w:autoRedefine/>
    <w:qFormat/>
    <w:uiPriority w:val="0"/>
    <w:pPr>
      <w:spacing w:line="360" w:lineRule="auto"/>
    </w:pPr>
    <w:rPr>
      <w:sz w:val="24"/>
      <w:szCs w:val="22"/>
    </w:rPr>
  </w:style>
  <w:style w:type="character" w:customStyle="1" w:styleId="79">
    <w:name w:val="font21"/>
    <w:basedOn w:val="35"/>
    <w:autoRedefine/>
    <w:qFormat/>
    <w:uiPriority w:val="0"/>
    <w:rPr>
      <w:rFonts w:hint="default" w:ascii="Times New Roman" w:hAnsi="Times New Roman" w:cs="Times New Roman"/>
      <w:color w:val="000000"/>
      <w:sz w:val="24"/>
      <w:szCs w:val="24"/>
      <w:u w:val="none"/>
    </w:rPr>
  </w:style>
  <w:style w:type="character" w:customStyle="1" w:styleId="80">
    <w:name w:val="正文首行缩进2字符 Char"/>
    <w:link w:val="81"/>
    <w:autoRedefine/>
    <w:qFormat/>
    <w:uiPriority w:val="0"/>
    <w:rPr>
      <w:rFonts w:ascii="宋体" w:hAnsi="宋体" w:eastAsia="宋体" w:cs="Times New Roman"/>
      <w:kern w:val="2"/>
      <w:sz w:val="24"/>
      <w:szCs w:val="28"/>
    </w:rPr>
  </w:style>
  <w:style w:type="paragraph" w:customStyle="1" w:styleId="81">
    <w:name w:val="正文首行缩进2字符"/>
    <w:basedOn w:val="1"/>
    <w:link w:val="80"/>
    <w:autoRedefine/>
    <w:qFormat/>
    <w:uiPriority w:val="0"/>
    <w:pPr>
      <w:spacing w:line="360" w:lineRule="auto"/>
      <w:ind w:firstLine="480" w:firstLineChars="200"/>
    </w:pPr>
    <w:rPr>
      <w:rFonts w:ascii="宋体" w:hAnsi="宋体"/>
      <w:sz w:val="24"/>
      <w:szCs w:val="28"/>
    </w:rPr>
  </w:style>
  <w:style w:type="paragraph" w:customStyle="1" w:styleId="82">
    <w:name w:val="cm4"/>
    <w:basedOn w:val="1"/>
    <w:autoRedefine/>
    <w:qFormat/>
    <w:uiPriority w:val="0"/>
    <w:pPr>
      <w:widowControl/>
      <w:spacing w:before="100" w:beforeAutospacing="1" w:after="100" w:afterAutospacing="1" w:line="312" w:lineRule="auto"/>
      <w:jc w:val="left"/>
    </w:pPr>
    <w:rPr>
      <w:rFonts w:ascii="宋体" w:hAnsi="宋体" w:cs="宋体"/>
      <w:kern w:val="0"/>
      <w:sz w:val="18"/>
      <w:szCs w:val="18"/>
    </w:rPr>
  </w:style>
  <w:style w:type="paragraph" w:customStyle="1" w:styleId="83">
    <w:name w:val="修订1"/>
    <w:autoRedefine/>
    <w:qFormat/>
    <w:uiPriority w:val="99"/>
    <w:rPr>
      <w:rFonts w:ascii="Calibri" w:hAnsi="Calibri" w:eastAsia="宋体" w:cs="Times New Roman"/>
      <w:kern w:val="2"/>
      <w:sz w:val="21"/>
      <w:szCs w:val="24"/>
      <w:lang w:val="en-US" w:eastAsia="zh-CN" w:bidi="ar-SA"/>
    </w:rPr>
  </w:style>
  <w:style w:type="paragraph" w:customStyle="1" w:styleId="84">
    <w:name w:val="reader-word-layer reader-word-s8-6 reader-word-s8-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5">
    <w:name w:val="纯文本1"/>
    <w:basedOn w:val="1"/>
    <w:autoRedefine/>
    <w:qFormat/>
    <w:uiPriority w:val="99"/>
    <w:rPr>
      <w:rFonts w:ascii="宋体" w:hAnsi="Courier New"/>
    </w:rPr>
  </w:style>
  <w:style w:type="paragraph" w:customStyle="1" w:styleId="86">
    <w:name w:val="reader-word-layer reader-word-s9-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reader-word-layer reader-word-s19-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reader-word-layer reader-word-s18-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reader-word-layer reader-word-s19-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段"/>
    <w:autoRedefine/>
    <w:qFormat/>
    <w:uiPriority w:val="0"/>
    <w:pPr>
      <w:autoSpaceDE w:val="0"/>
      <w:autoSpaceDN w:val="0"/>
      <w:spacing w:line="348" w:lineRule="auto"/>
      <w:ind w:firstLine="200" w:firstLineChars="200"/>
      <w:jc w:val="both"/>
    </w:pPr>
    <w:rPr>
      <w:rFonts w:ascii="宋体" w:hAnsi="Calibri" w:eastAsia="宋体" w:cs="Times New Roman"/>
      <w:sz w:val="21"/>
      <w:lang w:val="en-US" w:eastAsia="zh-CN" w:bidi="ar-SA"/>
    </w:rPr>
  </w:style>
  <w:style w:type="paragraph" w:customStyle="1" w:styleId="91">
    <w:name w:val="reader-word-layer reader-word-s19-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19-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9-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Char2"/>
    <w:basedOn w:val="1"/>
    <w:autoRedefine/>
    <w:qFormat/>
    <w:uiPriority w:val="0"/>
    <w:rPr>
      <w:rFonts w:ascii="FangSong_GB2312" w:eastAsia="FangSong_GB2312"/>
      <w:b/>
      <w:sz w:val="32"/>
      <w:szCs w:val="32"/>
    </w:rPr>
  </w:style>
  <w:style w:type="paragraph" w:customStyle="1" w:styleId="95">
    <w:name w:val="reader-word-layer reader-word-s9-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列表内容"/>
    <w:basedOn w:val="1"/>
    <w:next w:val="1"/>
    <w:autoRedefine/>
    <w:qFormat/>
    <w:uiPriority w:val="0"/>
    <w:pPr>
      <w:widowControl/>
      <w:numPr>
        <w:ilvl w:val="0"/>
        <w:numId w:val="4"/>
      </w:numPr>
      <w:jc w:val="left"/>
    </w:pPr>
    <w:rPr>
      <w:kern w:val="0"/>
      <w:sz w:val="18"/>
    </w:rPr>
  </w:style>
  <w:style w:type="paragraph" w:customStyle="1" w:styleId="97">
    <w:name w:val="reader-word-layer reader-word-s19-16 reader-word-s19-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列出段落1"/>
    <w:basedOn w:val="1"/>
    <w:autoRedefine/>
    <w:qFormat/>
    <w:uiPriority w:val="0"/>
    <w:pPr>
      <w:spacing w:line="240" w:lineRule="auto"/>
      <w:ind w:firstLine="420" w:firstLineChars="200"/>
    </w:pPr>
  </w:style>
  <w:style w:type="paragraph" w:customStyle="1" w:styleId="99">
    <w:name w:val="reader-word-layer reader-word-s19-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正文 A"/>
    <w:autoRedefine/>
    <w:qFormat/>
    <w:uiPriority w:val="0"/>
    <w:pPr>
      <w:widowControl w:val="0"/>
      <w:jc w:val="both"/>
    </w:pPr>
    <w:rPr>
      <w:rFonts w:ascii="Calibri" w:hAnsi="Calibri" w:eastAsia="Times New Roman" w:cs="Calibri"/>
      <w:color w:val="000000"/>
      <w:kern w:val="2"/>
      <w:sz w:val="21"/>
      <w:szCs w:val="21"/>
      <w:u w:color="000000"/>
      <w:lang w:val="en-US" w:eastAsia="zh-CN" w:bidi="ar-SA"/>
    </w:rPr>
  </w:style>
  <w:style w:type="paragraph" w:customStyle="1" w:styleId="101">
    <w:name w:val="reader-word-layer reader-word-s9-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reader-word-layer reader-word-s9-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3">
    <w:name w:val="reader-word-layer reader-word-s19-2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4">
    <w:name w:val="reader-word-layer reader-word-s19-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5">
    <w:name w:val="正文1"/>
    <w:autoRedefine/>
    <w:qFormat/>
    <w:uiPriority w:val="0"/>
    <w:pPr>
      <w:jc w:val="both"/>
    </w:pPr>
    <w:rPr>
      <w:rFonts w:ascii="Calibri" w:hAnsi="Calibri" w:eastAsia="宋体" w:cs="Times New Roman"/>
      <w:kern w:val="2"/>
      <w:sz w:val="21"/>
      <w:szCs w:val="21"/>
      <w:lang w:val="en-US" w:eastAsia="zh-CN" w:bidi="ar-SA"/>
    </w:rPr>
  </w:style>
  <w:style w:type="paragraph" w:customStyle="1" w:styleId="106">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07">
    <w:name w:val="reader-word-layer reader-word-s9-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8">
    <w:name w:val="List Paragraph1"/>
    <w:basedOn w:val="1"/>
    <w:autoRedefine/>
    <w:qFormat/>
    <w:uiPriority w:val="0"/>
    <w:pPr>
      <w:spacing w:line="240" w:lineRule="auto"/>
      <w:ind w:firstLine="420" w:firstLineChars="200"/>
    </w:pPr>
    <w:rPr>
      <w:szCs w:val="22"/>
    </w:rPr>
  </w:style>
  <w:style w:type="paragraph" w:customStyle="1" w:styleId="109">
    <w:name w:val="reader-word-layer reader-word-s8-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0">
    <w:name w:val="reader-word-layer reader-word-s18-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1">
    <w:name w:val="reader-word-layer reader-word-s19-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2">
    <w:name w:val="reader-word-layer reader-word-s18-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3">
    <w:name w:val="reader-word-layer reader-word-s18-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4">
    <w:name w:val="reader-word-layer reader-word-s19-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5">
    <w:name w:val="reader-word-layer reader-word-s19-15 reader-word-s19-19 reader-word-s19-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6">
    <w:name w:val="p0"/>
    <w:basedOn w:val="1"/>
    <w:autoRedefine/>
    <w:qFormat/>
    <w:uiPriority w:val="0"/>
    <w:pPr>
      <w:widowControl/>
    </w:pPr>
    <w:rPr>
      <w:kern w:val="0"/>
      <w:szCs w:val="20"/>
    </w:rPr>
  </w:style>
  <w:style w:type="paragraph" w:customStyle="1" w:styleId="117">
    <w:name w:val="大转播车"/>
    <w:basedOn w:val="1"/>
    <w:autoRedefine/>
    <w:qFormat/>
    <w:uiPriority w:val="0"/>
    <w:pPr>
      <w:shd w:val="clear" w:color="auto" w:fill="FFFFFF"/>
      <w:spacing w:line="300" w:lineRule="auto"/>
      <w:ind w:firstLine="485"/>
    </w:pPr>
    <w:rPr>
      <w:rFonts w:ascii="FangSong_GB2312" w:hAnsi="宋体" w:eastAsia="FangSong_GB2312"/>
      <w:sz w:val="24"/>
      <w:shd w:val="clear" w:color="auto" w:fill="FFFFFF"/>
    </w:rPr>
  </w:style>
  <w:style w:type="paragraph" w:customStyle="1" w:styleId="118">
    <w:name w:val="标书正文"/>
    <w:basedOn w:val="1"/>
    <w:autoRedefine/>
    <w:qFormat/>
    <w:uiPriority w:val="0"/>
    <w:pPr>
      <w:spacing w:line="360" w:lineRule="auto"/>
      <w:ind w:firstLine="480" w:firstLineChars="200"/>
    </w:pPr>
    <w:rPr>
      <w:rFonts w:ascii="宋体" w:cs="宋体"/>
      <w:sz w:val="24"/>
    </w:rPr>
  </w:style>
  <w:style w:type="paragraph" w:customStyle="1" w:styleId="119">
    <w:name w:val="reader-word-layer reader-word-s19-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0">
    <w:name w:val="reader-word-layer reader-word-s8-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2 Char Char Char"/>
    <w:basedOn w:val="1"/>
    <w:autoRedefine/>
    <w:qFormat/>
    <w:uiPriority w:val="0"/>
    <w:rPr>
      <w:rFonts w:ascii="FangSong_GB2312" w:eastAsia="FangSong_GB2312"/>
      <w:b/>
      <w:sz w:val="32"/>
      <w:szCs w:val="32"/>
    </w:rPr>
  </w:style>
  <w:style w:type="paragraph" w:customStyle="1" w:styleId="122">
    <w:name w:val="reader-word-layer reader-word-s18-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3">
    <w:name w:val="方案正文"/>
    <w:basedOn w:val="1"/>
    <w:autoRedefine/>
    <w:qFormat/>
    <w:uiPriority w:val="0"/>
    <w:pPr>
      <w:spacing w:line="360" w:lineRule="auto"/>
      <w:ind w:firstLine="200" w:firstLineChars="200"/>
    </w:pPr>
    <w:rPr>
      <w:sz w:val="24"/>
    </w:rPr>
  </w:style>
  <w:style w:type="paragraph" w:customStyle="1" w:styleId="124">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125">
    <w:name w:val="_Style 10"/>
    <w:basedOn w:val="16"/>
    <w:next w:val="31"/>
    <w:autoRedefine/>
    <w:qFormat/>
    <w:uiPriority w:val="0"/>
    <w:pPr>
      <w:ind w:firstLine="420" w:firstLineChars="100"/>
    </w:pPr>
    <w:rPr>
      <w:kern w:val="0"/>
      <w:sz w:val="20"/>
      <w:szCs w:val="21"/>
    </w:rPr>
  </w:style>
  <w:style w:type="paragraph" w:customStyle="1" w:styleId="126">
    <w:name w:val="reader-word-layer reader-word-s8-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reader-word-layer reader-word-s9-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8">
    <w:name w:val="正文01"/>
    <w:basedOn w:val="1"/>
    <w:autoRedefine/>
    <w:qFormat/>
    <w:uiPriority w:val="0"/>
    <w:pPr>
      <w:spacing w:line="560" w:lineRule="exact"/>
      <w:ind w:firstLine="200" w:firstLineChars="200"/>
    </w:pPr>
    <w:rPr>
      <w:rFonts w:eastAsia="FangSong_GB2312"/>
      <w:color w:val="000000"/>
      <w:sz w:val="32"/>
      <w:szCs w:val="32"/>
    </w:rPr>
  </w:style>
  <w:style w:type="paragraph" w:customStyle="1" w:styleId="129">
    <w:name w:val="默认段落字体 Para Char Char Char Char Char Char Char Char Char1 Char Char Char Char"/>
    <w:basedOn w:val="1"/>
    <w:autoRedefine/>
    <w:qFormat/>
    <w:uiPriority w:val="0"/>
    <w:rPr>
      <w:rFonts w:ascii="Tahoma" w:hAnsi="Tahoma"/>
      <w:sz w:val="24"/>
      <w:szCs w:val="20"/>
    </w:rPr>
  </w:style>
  <w:style w:type="paragraph" w:customStyle="1" w:styleId="130">
    <w:name w:val="reader-word-layer reader-word-s9-4 reader-word-s9-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32">
    <w:name w:val="reader-word-layer reader-word-s9-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3">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134">
    <w:name w:val="reader-word-layer reader-word-s9-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5">
    <w:name w:val="reader-word-layer reader-word-s8-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6">
    <w:name w:val="reader-word-layer reader-word-s8-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7">
    <w:name w:val="reader-word-layer reader-word-s8-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8">
    <w:name w:val="reader-word-layer reader-word-s8-8 reader-word-s8-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9">
    <w:name w:val="reader-word-layer reader-word-s19-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0">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1">
    <w:name w:val="reader-word-layer reader-word-s19-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2">
    <w:name w:val="reader-word-layer reader-word-s8-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3">
    <w:name w:val="reader-word-layer reader-word-s8-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4">
    <w:name w:val="正文段"/>
    <w:basedOn w:val="1"/>
    <w:autoRedefine/>
    <w:qFormat/>
    <w:uiPriority w:val="0"/>
    <w:pPr>
      <w:widowControl/>
      <w:snapToGrid w:val="0"/>
      <w:spacing w:afterLines="50"/>
      <w:ind w:firstLine="200" w:firstLineChars="200"/>
    </w:pPr>
    <w:rPr>
      <w:kern w:val="0"/>
      <w:sz w:val="24"/>
      <w:szCs w:val="20"/>
    </w:rPr>
  </w:style>
  <w:style w:type="paragraph" w:customStyle="1" w:styleId="145">
    <w:name w:val="Char Char Char Char Char Char"/>
    <w:basedOn w:val="1"/>
    <w:autoRedefine/>
    <w:qFormat/>
    <w:uiPriority w:val="0"/>
  </w:style>
  <w:style w:type="paragraph" w:customStyle="1" w:styleId="146">
    <w:name w:val="Default"/>
    <w:autoRedefine/>
    <w:qFormat/>
    <w:uiPriority w:val="0"/>
    <w:pPr>
      <w:widowControl w:val="0"/>
      <w:autoSpaceDE w:val="0"/>
      <w:autoSpaceDN w:val="0"/>
      <w:adjustRightInd w:val="0"/>
    </w:pPr>
    <w:rPr>
      <w:rFonts w:ascii="FangSong_GB2312" w:hAnsi="Calibri" w:eastAsia="FangSong_GB2312" w:cs="FangSong_GB2312"/>
      <w:color w:val="000000"/>
      <w:sz w:val="24"/>
      <w:szCs w:val="24"/>
      <w:lang w:val="en-US" w:eastAsia="zh-CN" w:bidi="ar-SA"/>
    </w:rPr>
  </w:style>
  <w:style w:type="paragraph" w:customStyle="1" w:styleId="147">
    <w:name w:val="af17cgridlangnp1033langf"/>
    <w:autoRedefine/>
    <w:qFormat/>
    <w:uiPriority w:val="0"/>
    <w:pPr>
      <w:widowControl w:val="0"/>
      <w:autoSpaceDE w:val="0"/>
      <w:autoSpaceDN w:val="0"/>
      <w:spacing w:before="156" w:line="360" w:lineRule="atLeast"/>
      <w:ind w:left="567" w:firstLine="510"/>
      <w:jc w:val="both"/>
    </w:pPr>
    <w:rPr>
      <w:rFonts w:hint="eastAsia" w:ascii="Calibri" w:hAnsi="Calibri" w:eastAsia="宋体" w:cs="Times New Roman"/>
      <w:lang w:val="en-US" w:eastAsia="zh-CN" w:bidi="ar-SA"/>
    </w:rPr>
  </w:style>
  <w:style w:type="paragraph" w:customStyle="1" w:styleId="148">
    <w:name w:val="reader-word-layer reader-word-s8-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9">
    <w:name w:val="reader-word-layer reader-word-s1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0">
    <w:name w:val="MM Topic 3"/>
    <w:basedOn w:val="5"/>
    <w:autoRedefine/>
    <w:qFormat/>
    <w:uiPriority w:val="0"/>
    <w:pPr>
      <w:widowControl/>
      <w:numPr>
        <w:ilvl w:val="0"/>
        <w:numId w:val="0"/>
      </w:numPr>
      <w:tabs>
        <w:tab w:val="left" w:pos="720"/>
      </w:tabs>
      <w:spacing w:beforeLines="50" w:afterLines="50"/>
      <w:ind w:left="720" w:hanging="720"/>
    </w:pPr>
    <w:rPr>
      <w:rFonts w:eastAsia="楷体_GB2312"/>
    </w:rPr>
  </w:style>
  <w:style w:type="paragraph" w:customStyle="1" w:styleId="151">
    <w:name w:val="reader-word-layer reader-word-s9-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2">
    <w:name w:val="Char Char6 Char Char Char Char"/>
    <w:basedOn w:val="1"/>
    <w:autoRedefine/>
    <w:qFormat/>
    <w:uiPriority w:val="0"/>
  </w:style>
  <w:style w:type="paragraph" w:customStyle="1" w:styleId="153">
    <w:name w:val="reader-word-layer reader-word-s9-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4">
    <w:name w:val="reader-word-layer"/>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55">
    <w:name w:val="reader-word-layer reader-word-s6-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6">
    <w:name w:val="reader-word-layer reader-word-s8-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7">
    <w:name w:val="Char Char Char1"/>
    <w:basedOn w:val="1"/>
    <w:autoRedefine/>
    <w:qFormat/>
    <w:uiPriority w:val="0"/>
    <w:rPr>
      <w:szCs w:val="21"/>
    </w:rPr>
  </w:style>
  <w:style w:type="paragraph" w:customStyle="1" w:styleId="158">
    <w:name w:val="Char"/>
    <w:basedOn w:val="1"/>
    <w:autoRedefine/>
    <w:qFormat/>
    <w:uiPriority w:val="0"/>
    <w:rPr>
      <w:szCs w:val="20"/>
    </w:rPr>
  </w:style>
  <w:style w:type="paragraph" w:customStyle="1" w:styleId="159">
    <w:name w:val="reader-word-layer reader-word-s19-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0">
    <w:name w:val="reader-word-layer reader-word-s9-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1">
    <w:name w:val="reader-word-layer reader-word-s19-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2">
    <w:name w:val="Char1"/>
    <w:basedOn w:val="1"/>
    <w:autoRedefine/>
    <w:qFormat/>
    <w:uiPriority w:val="0"/>
    <w:rPr>
      <w:szCs w:val="20"/>
    </w:rPr>
  </w:style>
  <w:style w:type="paragraph" w:customStyle="1" w:styleId="163">
    <w:name w:val="表内文字"/>
    <w:basedOn w:val="1"/>
    <w:autoRedefine/>
    <w:qFormat/>
    <w:uiPriority w:val="0"/>
    <w:pPr>
      <w:snapToGrid w:val="0"/>
      <w:spacing w:before="50" w:after="50"/>
      <w:jc w:val="center"/>
    </w:pPr>
    <w:rPr>
      <w:rFonts w:ascii="宋体" w:hAnsi="宋体"/>
      <w:sz w:val="24"/>
      <w:szCs w:val="20"/>
    </w:rPr>
  </w:style>
  <w:style w:type="paragraph" w:customStyle="1" w:styleId="164">
    <w:name w:val="reader-word-layer reader-word-s19-1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65">
    <w:name w:val="批注文字 Char1"/>
    <w:basedOn w:val="35"/>
    <w:autoRedefine/>
    <w:qFormat/>
    <w:uiPriority w:val="99"/>
    <w:rPr>
      <w:rFonts w:ascii="Times New Roman" w:hAnsi="Times New Roman" w:eastAsia="宋体" w:cs="Times New Roman"/>
      <w:szCs w:val="24"/>
    </w:rPr>
  </w:style>
  <w:style w:type="character" w:customStyle="1" w:styleId="166">
    <w:name w:val="标题 Char"/>
    <w:basedOn w:val="35"/>
    <w:link w:val="29"/>
    <w:autoRedefine/>
    <w:qFormat/>
    <w:uiPriority w:val="0"/>
    <w:rPr>
      <w:rFonts w:ascii="Arial" w:hAnsi="Arial" w:cs="Arial"/>
      <w:b/>
      <w:bCs/>
      <w:kern w:val="2"/>
      <w:sz w:val="28"/>
      <w:szCs w:val="32"/>
    </w:rPr>
  </w:style>
  <w:style w:type="character" w:customStyle="1" w:styleId="167">
    <w:name w:val="招标正文 字符"/>
    <w:link w:val="168"/>
    <w:autoRedefine/>
    <w:qFormat/>
    <w:uiPriority w:val="0"/>
    <w:rPr>
      <w:rFonts w:ascii="宋体" w:hAnsi="宋体"/>
      <w:color w:val="000000"/>
      <w:sz w:val="24"/>
      <w:szCs w:val="21"/>
    </w:rPr>
  </w:style>
  <w:style w:type="paragraph" w:customStyle="1" w:styleId="168">
    <w:name w:val="招标正文"/>
    <w:basedOn w:val="144"/>
    <w:link w:val="167"/>
    <w:autoRedefine/>
    <w:qFormat/>
    <w:uiPriority w:val="0"/>
    <w:pPr>
      <w:widowControl w:val="0"/>
      <w:adjustRightInd w:val="0"/>
      <w:spacing w:afterLines="0" w:line="360" w:lineRule="auto"/>
      <w:ind w:firstLine="480"/>
    </w:pPr>
    <w:rPr>
      <w:rFonts w:ascii="宋体" w:hAnsi="宋体"/>
      <w:color w:val="000000"/>
      <w:szCs w:val="21"/>
    </w:rPr>
  </w:style>
  <w:style w:type="character" w:customStyle="1" w:styleId="169">
    <w:name w:val="正文缩进 Char1"/>
    <w:autoRedefine/>
    <w:qFormat/>
    <w:locked/>
    <w:uiPriority w:val="0"/>
    <w:rPr>
      <w:kern w:val="2"/>
      <w:sz w:val="21"/>
      <w:szCs w:val="24"/>
      <w:lang w:val="en-US" w:eastAsia="zh-CN" w:bidi="ar-SA"/>
    </w:rPr>
  </w:style>
  <w:style w:type="paragraph" w:customStyle="1" w:styleId="170">
    <w:name w:val="Table Paragraph"/>
    <w:basedOn w:val="1"/>
    <w:autoRedefine/>
    <w:qFormat/>
    <w:uiPriority w:val="1"/>
    <w:pPr>
      <w:spacing w:line="240" w:lineRule="auto"/>
    </w:pPr>
    <w:rPr>
      <w:rFonts w:ascii="宋体" w:hAnsi="宋体" w:cs="宋体"/>
      <w:lang w:val="zh-CN" w:bidi="zh-CN"/>
    </w:rPr>
  </w:style>
  <w:style w:type="character" w:customStyle="1" w:styleId="171">
    <w:name w:val="正文首行缩进 2 Char"/>
    <w:basedOn w:val="51"/>
    <w:link w:val="32"/>
    <w:autoRedefine/>
    <w:qFormat/>
    <w:uiPriority w:val="99"/>
    <w:rPr>
      <w:rFonts w:ascii="Times New Roman" w:hAnsi="Times New Roman"/>
    </w:rPr>
  </w:style>
  <w:style w:type="paragraph" w:customStyle="1" w:styleId="172">
    <w:name w:val="纯文本_0_0"/>
    <w:basedOn w:val="1"/>
    <w:link w:val="173"/>
    <w:autoRedefine/>
    <w:unhideWhenUsed/>
    <w:qFormat/>
    <w:uiPriority w:val="0"/>
    <w:pPr>
      <w:spacing w:line="240" w:lineRule="auto"/>
    </w:pPr>
    <w:rPr>
      <w:rFonts w:ascii="宋体" w:hAnsi="Courier New"/>
      <w:szCs w:val="21"/>
    </w:rPr>
  </w:style>
  <w:style w:type="character" w:customStyle="1" w:styleId="173">
    <w:name w:val="纯文本 Char_0_0"/>
    <w:link w:val="172"/>
    <w:autoRedefine/>
    <w:qFormat/>
    <w:uiPriority w:val="0"/>
    <w:rPr>
      <w:rFonts w:ascii="宋体" w:hAnsi="Courier New"/>
      <w:kern w:val="2"/>
      <w:sz w:val="21"/>
      <w:szCs w:val="21"/>
    </w:rPr>
  </w:style>
  <w:style w:type="paragraph" w:customStyle="1" w:styleId="174">
    <w:name w:val="纯文本2"/>
    <w:basedOn w:val="1"/>
    <w:autoRedefine/>
    <w:qFormat/>
    <w:uiPriority w:val="0"/>
    <w:pPr>
      <w:adjustRightInd w:val="0"/>
      <w:spacing w:line="240" w:lineRule="auto"/>
      <w:textAlignment w:val="baseline"/>
    </w:pPr>
    <w:rPr>
      <w:rFonts w:ascii="宋体" w:hAnsi="Courier New" w:eastAsia="楷体_GB2312"/>
      <w:sz w:val="26"/>
      <w:szCs w:val="20"/>
    </w:rPr>
  </w:style>
  <w:style w:type="paragraph" w:customStyle="1" w:styleId="175">
    <w:name w:val="[Normal]"/>
    <w:autoRedefine/>
    <w:qFormat/>
    <w:uiPriority w:val="0"/>
    <w:rPr>
      <w:rFonts w:ascii="宋体" w:hAnsi="宋体" w:eastAsia="宋体" w:cs="Times New Roman"/>
      <w:sz w:val="24"/>
      <w:szCs w:val="22"/>
      <w:lang w:val="zh-CN" w:eastAsia="zh-CN" w:bidi="ar-SA"/>
    </w:rPr>
  </w:style>
  <w:style w:type="character" w:customStyle="1" w:styleId="176">
    <w:name w:val="页脚 Char1"/>
    <w:autoRedefine/>
    <w:qFormat/>
    <w:locked/>
    <w:uiPriority w:val="99"/>
    <w:rPr>
      <w:rFonts w:ascii="Times New Roman" w:hAnsi="Times New Roman" w:eastAsia="宋体" w:cs="Times New Roman"/>
      <w:sz w:val="18"/>
      <w:szCs w:val="18"/>
    </w:rPr>
  </w:style>
  <w:style w:type="character" w:customStyle="1" w:styleId="177">
    <w:name w:val="页脚 Char2"/>
    <w:autoRedefine/>
    <w:qFormat/>
    <w:locked/>
    <w:uiPriority w:val="99"/>
    <w:rPr>
      <w:kern w:val="2"/>
      <w:sz w:val="18"/>
      <w:szCs w:val="18"/>
    </w:rPr>
  </w:style>
  <w:style w:type="character" w:customStyle="1" w:styleId="178">
    <w:name w:val="页眉 Char"/>
    <w:link w:val="24"/>
    <w:autoRedefine/>
    <w:qFormat/>
    <w:uiPriority w:val="99"/>
    <w:rPr>
      <w:kern w:val="2"/>
      <w:sz w:val="18"/>
      <w:szCs w:val="18"/>
    </w:rPr>
  </w:style>
  <w:style w:type="paragraph" w:customStyle="1" w:styleId="179">
    <w:name w:val="索引 11"/>
    <w:basedOn w:val="1"/>
    <w:next w:val="1"/>
    <w:autoRedefine/>
    <w:qFormat/>
    <w:uiPriority w:val="99"/>
    <w:pPr>
      <w:spacing w:line="360" w:lineRule="auto"/>
    </w:pPr>
    <w:rPr>
      <w:rFonts w:ascii="FangSong_GB2312" w:hAnsi="Times New Roman" w:eastAsia="FangSong_GB2312"/>
      <w:sz w:val="24"/>
      <w:szCs w:val="20"/>
    </w:rPr>
  </w:style>
  <w:style w:type="paragraph" w:customStyle="1" w:styleId="180">
    <w:name w:val="正文缩进1"/>
    <w:basedOn w:val="1"/>
    <w:next w:val="25"/>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40</Pages>
  <Words>17658</Words>
  <Characters>2603</Characters>
  <Lines>21</Lines>
  <Paragraphs>40</Paragraphs>
  <TotalTime>19</TotalTime>
  <ScaleCrop>false</ScaleCrop>
  <LinksUpToDate>false</LinksUpToDate>
  <CharactersWithSpaces>20221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2021-05-10T08:06:00Z</dcterms:created>
  <dc:creator>业务管理系统</dc:creator>
  <cp:lastModifiedBy>子小口鸟先森</cp:lastModifiedBy>
  <cp:lastPrinted>2023-05-29T06:10:00Z</cp:lastPrinted>
  <dcterms:modified xsi:type="dcterms:W3CDTF">2024-02-04T02:09:10Z</dcterms:modified>
  <dc:title>桐庐县疾病预防控制中心</dc:title>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D5083078ECA642F88FC0D282EA9C1AB2_13</vt:lpwstr>
  </property>
</Properties>
</file>