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宋体" w:hAnsi="宋体" w:eastAsia="宋体" w:cs="Courier New"/>
          <w:b/>
          <w:color w:val="FF0000"/>
          <w:sz w:val="44"/>
          <w:szCs w:val="44"/>
          <w:lang w:eastAsia="zh-CN"/>
        </w:rPr>
      </w:pPr>
      <w:bookmarkStart w:id="0" w:name="_Hlt67893495"/>
      <w:bookmarkEnd w:id="0"/>
      <w:r>
        <w:rPr>
          <w:rFonts w:hint="eastAsia" w:ascii="宋体" w:hAnsi="宋体" w:cs="Courier New"/>
          <w:b/>
          <w:bCs/>
          <w:color w:val="000000"/>
          <w:sz w:val="44"/>
          <w:szCs w:val="44"/>
          <w:lang w:eastAsia="zh-CN"/>
        </w:rPr>
        <w:t>桐庐县“耕地智保”应用场景推广实施服务监控点位项目</w:t>
      </w:r>
    </w:p>
    <w:p>
      <w:pPr>
        <w:pStyle w:val="35"/>
        <w:spacing w:line="480" w:lineRule="auto"/>
        <w:jc w:val="center"/>
        <w:rPr>
          <w:rFonts w:hAnsi="宋体"/>
          <w:b/>
          <w:sz w:val="56"/>
          <w:szCs w:val="72"/>
        </w:rPr>
      </w:pPr>
      <w:r>
        <w:rPr>
          <w:rFonts w:hint="eastAsia" w:hAnsi="宋体"/>
          <w:b/>
          <w:sz w:val="56"/>
          <w:szCs w:val="72"/>
        </w:rPr>
        <w:t>招</w:t>
      </w:r>
      <w:r>
        <w:rPr>
          <w:rFonts w:hAnsi="宋体"/>
          <w:b/>
          <w:sz w:val="56"/>
          <w:szCs w:val="72"/>
        </w:rPr>
        <w:t xml:space="preserve"> </w:t>
      </w:r>
      <w:r>
        <w:rPr>
          <w:rFonts w:hint="eastAsia" w:hAnsi="宋体"/>
          <w:b/>
          <w:sz w:val="56"/>
          <w:szCs w:val="72"/>
        </w:rPr>
        <w:t>标</w:t>
      </w:r>
      <w:r>
        <w:rPr>
          <w:rFonts w:hAnsi="宋体"/>
          <w:b/>
          <w:sz w:val="56"/>
          <w:szCs w:val="72"/>
        </w:rPr>
        <w:t xml:space="preserve"> </w:t>
      </w:r>
      <w:r>
        <w:rPr>
          <w:rFonts w:hint="eastAsia" w:hAnsi="宋体"/>
          <w:b/>
          <w:sz w:val="56"/>
          <w:szCs w:val="72"/>
        </w:rPr>
        <w:t>文</w:t>
      </w:r>
      <w:r>
        <w:rPr>
          <w:rFonts w:hAnsi="宋体"/>
          <w:b/>
          <w:sz w:val="56"/>
          <w:szCs w:val="72"/>
        </w:rPr>
        <w:t xml:space="preserve"> </w:t>
      </w:r>
      <w:r>
        <w:rPr>
          <w:rFonts w:hint="eastAsia" w:hAnsi="宋体"/>
          <w:b/>
          <w:sz w:val="56"/>
          <w:szCs w:val="72"/>
        </w:rPr>
        <w:t>件</w:t>
      </w:r>
    </w:p>
    <w:p>
      <w:pPr>
        <w:pStyle w:val="35"/>
        <w:spacing w:line="480" w:lineRule="auto"/>
        <w:jc w:val="center"/>
        <w:rPr>
          <w:rFonts w:hAnsi="宋体" w:cs="Courier New"/>
          <w:b/>
          <w:bCs/>
          <w:color w:val="000000"/>
          <w:sz w:val="32"/>
          <w:szCs w:val="32"/>
        </w:rPr>
      </w:pPr>
      <w:r>
        <w:rPr>
          <w:rFonts w:hint="eastAsia" w:hAnsi="宋体" w:cs="Courier New"/>
          <w:b/>
          <w:bCs/>
          <w:color w:val="000000"/>
          <w:sz w:val="32"/>
          <w:szCs w:val="32"/>
          <w:lang w:eastAsia="zh-CN"/>
        </w:rPr>
        <w:t>（</w:t>
      </w:r>
      <w:r>
        <w:rPr>
          <w:rFonts w:hint="eastAsia" w:hAnsi="宋体" w:cs="Courier New"/>
          <w:b/>
          <w:bCs/>
          <w:color w:val="000000"/>
          <w:sz w:val="32"/>
          <w:szCs w:val="32"/>
        </w:rPr>
        <w:t>政府采购</w:t>
      </w:r>
      <w:r>
        <w:rPr>
          <w:rFonts w:hint="eastAsia" w:hAnsi="宋体" w:cs="Courier New"/>
          <w:b/>
          <w:bCs/>
          <w:color w:val="000000"/>
          <w:sz w:val="32"/>
          <w:szCs w:val="32"/>
          <w:lang w:eastAsia="zh-CN"/>
        </w:rPr>
        <w:t>）</w:t>
      </w:r>
    </w:p>
    <w:p>
      <w:pPr>
        <w:spacing w:line="480" w:lineRule="auto"/>
        <w:jc w:val="center"/>
        <w:rPr>
          <w:rFonts w:ascii="宋体" w:hAnsi="宋体"/>
          <w:szCs w:val="28"/>
        </w:rPr>
      </w:pPr>
      <w:r>
        <w:rPr>
          <w:rFonts w:hint="eastAsia" w:ascii="宋体" w:hAnsi="宋体"/>
          <w:szCs w:val="28"/>
        </w:rPr>
        <w:t>（编号：</w:t>
      </w:r>
      <w:r>
        <w:rPr>
          <w:rFonts w:hint="eastAsia" w:ascii="宋体" w:hAnsi="宋体"/>
          <w:szCs w:val="21"/>
          <w:lang w:eastAsia="zh-CN"/>
        </w:rPr>
        <w:t>TLHT-CG-2022-022</w:t>
      </w:r>
      <w:r>
        <w:rPr>
          <w:rFonts w:hint="eastAsia" w:ascii="宋体" w:hAnsi="宋体"/>
          <w:szCs w:val="28"/>
        </w:rPr>
        <w:t>）</w:t>
      </w:r>
    </w:p>
    <w:p>
      <w:pPr>
        <w:tabs>
          <w:tab w:val="left" w:pos="1980"/>
          <w:tab w:val="left" w:pos="3240"/>
          <w:tab w:val="left" w:pos="3420"/>
          <w:tab w:val="left" w:pos="3600"/>
          <w:tab w:val="left" w:pos="3780"/>
        </w:tabs>
        <w:spacing w:line="960" w:lineRule="auto"/>
        <w:rPr>
          <w:rFonts w:ascii="宋体" w:hAnsi="宋体" w:cs="宋体"/>
          <w:b/>
          <w:spacing w:val="-20"/>
          <w:kern w:val="10"/>
          <w:sz w:val="30"/>
          <w:szCs w:val="32"/>
          <w:u w:val="single"/>
        </w:rPr>
      </w:pPr>
      <w:r>
        <w:rPr>
          <w:rFonts w:hint="eastAsia" w:ascii="宋体" w:hAnsi="宋体" w:cs="宋体"/>
          <w:sz w:val="32"/>
        </w:rPr>
        <w:t>采购单位 ：</w:t>
      </w:r>
      <w:r>
        <w:rPr>
          <w:rFonts w:hint="eastAsia" w:ascii="宋体" w:hAnsi="宋体" w:cs="宋体"/>
          <w:sz w:val="32"/>
          <w:u w:val="single"/>
        </w:rPr>
        <w:t xml:space="preserve"> </w:t>
      </w:r>
      <w:r>
        <w:rPr>
          <w:rFonts w:hint="eastAsia" w:ascii="宋体" w:hAnsi="宋体" w:cs="宋体"/>
          <w:sz w:val="33"/>
          <w:szCs w:val="33"/>
          <w:u w:val="single"/>
        </w:rPr>
        <w:t xml:space="preserve">    </w:t>
      </w:r>
      <w:r>
        <w:rPr>
          <w:rFonts w:hint="eastAsia" w:ascii="宋体" w:hAnsi="宋体" w:cs="宋体"/>
          <w:sz w:val="33"/>
          <w:szCs w:val="33"/>
          <w:u w:val="single"/>
          <w:lang w:eastAsia="zh-CN"/>
        </w:rPr>
        <w:t>桐庐县规划和自然资源局</w:t>
      </w:r>
      <w:r>
        <w:rPr>
          <w:rFonts w:hint="eastAsia" w:ascii="宋体" w:hAnsi="宋体" w:cs="宋体"/>
          <w:sz w:val="33"/>
          <w:szCs w:val="33"/>
          <w:u w:val="single"/>
        </w:rPr>
        <w:t xml:space="preserve">    （盖章）</w:t>
      </w:r>
      <w:r>
        <w:rPr>
          <w:rFonts w:hint="eastAsia" w:ascii="宋体" w:hAnsi="宋体" w:cs="宋体"/>
          <w:b/>
          <w:spacing w:val="-20"/>
          <w:kern w:val="10"/>
          <w:sz w:val="30"/>
          <w:szCs w:val="32"/>
          <w:u w:val="single"/>
        </w:rPr>
        <w:t xml:space="preserve"> </w:t>
      </w:r>
    </w:p>
    <w:p>
      <w:pPr>
        <w:tabs>
          <w:tab w:val="left" w:pos="1980"/>
          <w:tab w:val="left" w:pos="3240"/>
          <w:tab w:val="left" w:pos="3420"/>
          <w:tab w:val="left" w:pos="3600"/>
          <w:tab w:val="left" w:pos="3780"/>
        </w:tabs>
        <w:spacing w:line="960" w:lineRule="auto"/>
        <w:rPr>
          <w:rFonts w:ascii="宋体" w:hAnsi="宋体" w:cs="宋体"/>
          <w:sz w:val="32"/>
          <w:u w:val="single"/>
        </w:rPr>
      </w:pPr>
      <w:r>
        <w:rPr>
          <w:rFonts w:hint="eastAsia" w:ascii="宋体" w:hAnsi="宋体" w:cs="宋体"/>
          <w:sz w:val="32"/>
        </w:rPr>
        <w:t>法定代表人或其委托代理人</w:t>
      </w:r>
      <w:r>
        <w:rPr>
          <w:rFonts w:hint="eastAsia" w:ascii="宋体" w:hAnsi="宋体" w:cs="宋体"/>
          <w:sz w:val="32"/>
          <w:lang w:eastAsia="zh-CN"/>
        </w:rPr>
        <w:t>：</w:t>
      </w:r>
      <w:r>
        <w:rPr>
          <w:rFonts w:hint="eastAsia" w:ascii="宋体" w:hAnsi="宋体" w:cs="宋体"/>
          <w:sz w:val="32"/>
          <w:u w:val="single"/>
        </w:rPr>
        <w:t xml:space="preserve">          </w:t>
      </w:r>
      <w:r>
        <w:rPr>
          <w:rFonts w:hint="eastAsia" w:ascii="宋体" w:hAnsi="宋体" w:cs="宋体"/>
          <w:sz w:val="32"/>
          <w:u w:val="single"/>
          <w:lang w:eastAsia="zh-CN"/>
        </w:rPr>
        <w:t>钱婷</w:t>
      </w:r>
      <w:r>
        <w:rPr>
          <w:rFonts w:hint="eastAsia" w:ascii="宋体" w:hAnsi="宋体" w:cs="宋体"/>
          <w:sz w:val="32"/>
          <w:u w:val="single"/>
        </w:rPr>
        <w:t xml:space="preserve">    </w:t>
      </w:r>
      <w:r>
        <w:rPr>
          <w:rFonts w:hint="eastAsia" w:ascii="宋体" w:hAnsi="宋体" w:cs="宋体"/>
          <w:sz w:val="33"/>
          <w:szCs w:val="33"/>
          <w:u w:val="single"/>
        </w:rPr>
        <w:t xml:space="preserve">        </w:t>
      </w:r>
    </w:p>
    <w:p>
      <w:pPr>
        <w:tabs>
          <w:tab w:val="left" w:pos="1620"/>
          <w:tab w:val="left" w:pos="1800"/>
          <w:tab w:val="left" w:pos="1980"/>
        </w:tabs>
        <w:spacing w:line="960" w:lineRule="auto"/>
        <w:rPr>
          <w:rFonts w:ascii="宋体" w:hAnsi="宋体" w:cs="宋体"/>
          <w:w w:val="90"/>
          <w:sz w:val="33"/>
          <w:szCs w:val="33"/>
          <w:u w:val="single"/>
        </w:rPr>
      </w:pPr>
      <w:r>
        <w:rPr>
          <w:rFonts w:hint="eastAsia" w:ascii="宋体" w:hAnsi="宋体" w:cs="宋体"/>
          <w:sz w:val="33"/>
          <w:szCs w:val="33"/>
        </w:rPr>
        <w:t>采购代理机构：</w:t>
      </w:r>
      <w:r>
        <w:rPr>
          <w:rFonts w:hint="eastAsia" w:ascii="宋体" w:hAnsi="宋体" w:cs="宋体"/>
          <w:sz w:val="33"/>
          <w:szCs w:val="33"/>
          <w:u w:val="single"/>
        </w:rPr>
        <w:t xml:space="preserve">    桐庐鸿泰工程咨询有限公司   （盖章）</w:t>
      </w:r>
    </w:p>
    <w:p>
      <w:pPr>
        <w:tabs>
          <w:tab w:val="left" w:pos="1980"/>
          <w:tab w:val="left" w:pos="3240"/>
          <w:tab w:val="left" w:pos="3420"/>
          <w:tab w:val="left" w:pos="3600"/>
          <w:tab w:val="left" w:pos="3780"/>
        </w:tabs>
        <w:spacing w:line="960" w:lineRule="auto"/>
        <w:rPr>
          <w:rFonts w:ascii="宋体" w:hAnsi="宋体" w:cs="宋体"/>
          <w:sz w:val="32"/>
          <w:u w:val="single"/>
        </w:rPr>
      </w:pPr>
      <w:r>
        <w:rPr>
          <w:rFonts w:hint="eastAsia" w:ascii="宋体" w:hAnsi="宋体" w:cs="宋体"/>
          <w:sz w:val="32"/>
        </w:rPr>
        <w:t>法定代表人或其委托代理人</w:t>
      </w:r>
      <w:r>
        <w:rPr>
          <w:rFonts w:hint="eastAsia" w:ascii="宋体" w:hAnsi="宋体" w:cs="宋体"/>
          <w:sz w:val="32"/>
          <w:lang w:eastAsia="zh-CN"/>
        </w:rPr>
        <w:t>：</w:t>
      </w:r>
      <w:r>
        <w:rPr>
          <w:rFonts w:hint="eastAsia" w:ascii="宋体" w:hAnsi="宋体" w:cs="宋体"/>
          <w:sz w:val="32"/>
          <w:u w:val="single"/>
        </w:rPr>
        <w:t xml:space="preserve">       </w:t>
      </w:r>
      <w:r>
        <w:rPr>
          <w:rFonts w:hint="eastAsia" w:ascii="宋体" w:hAnsi="宋体" w:cs="宋体"/>
          <w:sz w:val="33"/>
          <w:szCs w:val="33"/>
          <w:u w:val="single"/>
        </w:rPr>
        <w:t>叶   灵  　</w:t>
      </w:r>
      <w:r>
        <w:rPr>
          <w:rFonts w:hint="eastAsia" w:ascii="宋体" w:hAnsi="宋体" w:cs="宋体"/>
          <w:sz w:val="32"/>
          <w:u w:val="single"/>
        </w:rPr>
        <w:t xml:space="preserve">　     </w:t>
      </w:r>
    </w:p>
    <w:p>
      <w:pPr>
        <w:tabs>
          <w:tab w:val="left" w:pos="1620"/>
          <w:tab w:val="left" w:pos="1800"/>
          <w:tab w:val="left" w:pos="1980"/>
        </w:tabs>
        <w:spacing w:line="960" w:lineRule="auto"/>
        <w:jc w:val="center"/>
        <w:rPr>
          <w:rFonts w:ascii="宋体" w:hAnsi="宋体" w:cs="宋体"/>
          <w:sz w:val="33"/>
          <w:szCs w:val="33"/>
        </w:rPr>
      </w:pPr>
      <w:r>
        <w:rPr>
          <w:rFonts w:hint="eastAsia" w:ascii="宋体" w:hAnsi="宋体" w:cs="宋体"/>
          <w:sz w:val="33"/>
          <w:szCs w:val="33"/>
        </w:rPr>
        <w:t>2022年</w:t>
      </w:r>
      <w:r>
        <w:rPr>
          <w:rFonts w:hint="eastAsia" w:ascii="宋体" w:hAnsi="宋体" w:cs="宋体"/>
          <w:sz w:val="33"/>
          <w:szCs w:val="33"/>
          <w:lang w:val="en-US" w:eastAsia="zh-CN"/>
        </w:rPr>
        <w:t>12</w:t>
      </w:r>
      <w:r>
        <w:rPr>
          <w:rFonts w:hint="eastAsia" w:ascii="宋体" w:hAnsi="宋体" w:cs="宋体"/>
          <w:sz w:val="33"/>
          <w:szCs w:val="33"/>
        </w:rPr>
        <w:t>月</w:t>
      </w: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jc w:val="center"/>
        <w:rPr>
          <w:rFonts w:hint="eastAsia" w:ascii="仿宋" w:hAnsi="仿宋" w:eastAsia="仿宋" w:cs="仿宋_GB2312"/>
          <w:b/>
          <w:sz w:val="48"/>
          <w:szCs w:val="48"/>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cs="仿宋_GB2312"/>
          <w:sz w:val="24"/>
          <w:u w:val="single"/>
        </w:rPr>
        <w:t>（项目名称）</w:t>
      </w:r>
      <w:r>
        <w:rPr>
          <w:rFonts w:hint="eastAsia" w:ascii="仿宋_GB2312" w:hAnsi="仿宋" w:eastAsia="仿宋_GB2312"/>
          <w:sz w:val="24"/>
        </w:rPr>
        <w:t>招标项目的潜在投标人应在政采云平台（</w:t>
      </w:r>
      <w:r>
        <w:fldChar w:fldCharType="begin"/>
      </w:r>
      <w:r>
        <w:instrText xml:space="preserve"> HYPERLINK "https://www.zcygov.cn/）获取（下载）招标文件，并于2021年" </w:instrText>
      </w:r>
      <w:r>
        <w:fldChar w:fldCharType="separate"/>
      </w:r>
      <w:r>
        <w:rPr>
          <w:rStyle w:val="76"/>
          <w:rFonts w:ascii="仿宋_GB2312" w:hAnsi="仿宋" w:eastAsia="仿宋_GB2312" w:cs="Times New Roman"/>
          <w:snapToGrid/>
          <w:color w:val="auto"/>
          <w:kern w:val="2"/>
          <w:sz w:val="24"/>
          <w:szCs w:val="24"/>
        </w:rPr>
        <w:t>https://www.zcygov.cn/）获取（下载）招标文件，并于</w:t>
      </w:r>
      <w:r>
        <w:rPr>
          <w:rFonts w:hint="eastAsia" w:ascii="仿宋_GB2312" w:hAnsi="仿宋" w:eastAsia="仿宋_GB2312"/>
          <w:sz w:val="24"/>
          <w:u w:val="single"/>
          <w:lang w:eastAsia="zh-CN"/>
        </w:rPr>
        <w:t xml:space="preserve">  202</w:t>
      </w:r>
      <w:r>
        <w:rPr>
          <w:rFonts w:hint="eastAsia" w:ascii="仿宋_GB2312" w:hAnsi="仿宋" w:eastAsia="仿宋_GB2312"/>
          <w:sz w:val="24"/>
          <w:u w:val="single"/>
          <w:lang w:val="en-US" w:eastAsia="zh-CN"/>
        </w:rPr>
        <w:t>3</w:t>
      </w:r>
      <w:r>
        <w:rPr>
          <w:rFonts w:hint="eastAsia" w:ascii="仿宋_GB2312" w:hAnsi="仿宋" w:eastAsia="仿宋_GB2312"/>
          <w:sz w:val="24"/>
          <w:u w:val="single"/>
          <w:lang w:eastAsia="zh-CN"/>
        </w:rPr>
        <w:t>年</w:t>
      </w:r>
      <w:r>
        <w:rPr>
          <w:rFonts w:hint="eastAsia" w:ascii="仿宋_GB2312" w:hAnsi="仿宋" w:eastAsia="仿宋_GB2312"/>
          <w:sz w:val="24"/>
          <w:u w:val="single"/>
          <w:lang w:val="en-US" w:eastAsia="zh-CN"/>
        </w:rPr>
        <w:t>01</w:t>
      </w:r>
      <w:r>
        <w:rPr>
          <w:rFonts w:hint="eastAsia" w:ascii="仿宋_GB2312" w:hAnsi="仿宋" w:eastAsia="仿宋_GB2312"/>
          <w:sz w:val="24"/>
          <w:u w:val="single"/>
          <w:lang w:eastAsia="zh-CN"/>
        </w:rPr>
        <w:t>月</w:t>
      </w:r>
      <w:r>
        <w:rPr>
          <w:rFonts w:hint="eastAsia" w:ascii="仿宋_GB2312" w:hAnsi="仿宋" w:eastAsia="仿宋_GB2312"/>
          <w:sz w:val="24"/>
          <w:u w:val="single"/>
          <w:lang w:val="en-US" w:eastAsia="zh-CN"/>
        </w:rPr>
        <w:t>13</w:t>
      </w:r>
      <w:r>
        <w:rPr>
          <w:rFonts w:hint="eastAsia" w:ascii="仿宋_GB2312" w:hAnsi="仿宋" w:eastAsia="仿宋_GB2312"/>
          <w:sz w:val="24"/>
          <w:u w:val="single"/>
          <w:lang w:eastAsia="zh-CN"/>
        </w:rPr>
        <w:t>日</w:t>
      </w:r>
      <w:r>
        <w:rPr>
          <w:rFonts w:hint="eastAsia" w:ascii="仿宋_GB2312" w:hAnsi="仿宋" w:eastAsia="仿宋_GB2312"/>
          <w:sz w:val="24"/>
          <w:u w:val="single"/>
          <w:lang w:val="en-US" w:eastAsia="zh-CN"/>
        </w:rPr>
        <w:t>13</w:t>
      </w:r>
      <w:r>
        <w:rPr>
          <w:rFonts w:hint="eastAsia" w:ascii="仿宋_GB2312" w:hAnsi="仿宋" w:eastAsia="仿宋_GB2312"/>
          <w:sz w:val="24"/>
          <w:u w:val="single"/>
          <w:lang w:eastAsia="zh-CN"/>
        </w:rPr>
        <w:t>点</w:t>
      </w:r>
      <w:r>
        <w:rPr>
          <w:rFonts w:hint="eastAsia" w:ascii="仿宋_GB2312" w:hAnsi="仿宋" w:eastAsia="仿宋_GB2312"/>
          <w:sz w:val="24"/>
          <w:u w:val="single"/>
          <w:lang w:val="en-US" w:eastAsia="zh-CN"/>
        </w:rPr>
        <w:t>30</w:t>
      </w:r>
      <w:r>
        <w:rPr>
          <w:rFonts w:hint="eastAsia" w:ascii="仿宋_GB2312" w:hAnsi="仿宋" w:eastAsia="仿宋_GB2312"/>
          <w:sz w:val="24"/>
          <w:u w:val="single"/>
          <w:lang w:eastAsia="zh-CN"/>
        </w:rPr>
        <w:t>分00秒</w:t>
      </w:r>
      <w:r>
        <w:rPr>
          <w:rFonts w:hint="eastAsia" w:ascii="仿宋_GB2312" w:hAnsi="仿宋" w:eastAsia="仿宋_GB2312"/>
          <w:bCs/>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rPr>
          <w:rFonts w:hint="eastAsia" w:ascii="仿宋_GB2312" w:hAnsi="仿宋" w:eastAsia="仿宋_GB2312"/>
          <w:sz w:val="24"/>
          <w:lang w:eastAsia="zh-CN"/>
        </w:rPr>
      </w:pPr>
      <w:r>
        <w:rPr>
          <w:rFonts w:ascii="仿宋_GB2312" w:hAnsi="仿宋" w:eastAsia="仿宋_GB2312"/>
          <w:sz w:val="24"/>
        </w:rPr>
        <w:t xml:space="preserve">    </w:t>
      </w:r>
      <w:r>
        <w:rPr>
          <w:rFonts w:hint="eastAsia" w:ascii="仿宋_GB2312" w:hAnsi="仿宋" w:eastAsia="仿宋_GB2312"/>
          <w:b/>
          <w:sz w:val="24"/>
        </w:rPr>
        <w:t>项目编号：</w:t>
      </w:r>
      <w:r>
        <w:rPr>
          <w:rFonts w:hint="eastAsia" w:ascii="宋体" w:hAnsi="宋体" w:eastAsia="仿宋_GB2312"/>
          <w:szCs w:val="21"/>
          <w:lang w:eastAsia="zh-CN"/>
        </w:rPr>
        <w:t>TLHT-CG-2022-022</w:t>
      </w:r>
    </w:p>
    <w:p>
      <w:pPr>
        <w:spacing w:line="480" w:lineRule="auto"/>
        <w:ind w:firstLine="482" w:firstLineChars="200"/>
        <w:rPr>
          <w:rFonts w:hint="eastAsia" w:ascii="宋体" w:hAnsi="宋体" w:eastAsia="仿宋_GB2312"/>
          <w:szCs w:val="21"/>
          <w:lang w:eastAsia="zh-CN"/>
        </w:rPr>
      </w:pPr>
      <w:r>
        <w:rPr>
          <w:rFonts w:ascii="仿宋_GB2312" w:hAnsi="仿宋" w:eastAsia="仿宋_GB2312"/>
          <w:b/>
          <w:sz w:val="24"/>
        </w:rPr>
        <w:t>项目名称：</w:t>
      </w:r>
      <w:r>
        <w:rPr>
          <w:rFonts w:hint="eastAsia" w:ascii="宋体" w:hAnsi="宋体" w:eastAsia="仿宋_GB2312"/>
          <w:szCs w:val="21"/>
          <w:lang w:eastAsia="zh-CN"/>
        </w:rPr>
        <w:t>桐庐县“耕地智保”应用场景推广实施服务监控点位项目</w:t>
      </w:r>
    </w:p>
    <w:p>
      <w:pPr>
        <w:spacing w:line="480" w:lineRule="auto"/>
        <w:ind w:firstLine="482" w:firstLineChars="200"/>
        <w:rPr>
          <w:rFonts w:ascii="仿宋_GB2312" w:hAnsi="仿宋" w:eastAsia="仿宋_GB2312"/>
          <w:sz w:val="24"/>
        </w:rPr>
      </w:pPr>
      <w:r>
        <w:rPr>
          <w:rFonts w:ascii="仿宋_GB2312" w:hAnsi="仿宋" w:eastAsia="仿宋_GB2312"/>
          <w:b/>
          <w:sz w:val="24"/>
        </w:rPr>
        <w:t>预算金额（元）：</w:t>
      </w:r>
      <w:r>
        <w:rPr>
          <w:rFonts w:hint="eastAsia" w:ascii="宋体" w:hAnsi="宋体" w:eastAsia="仿宋_GB2312"/>
          <w:szCs w:val="21"/>
          <w:lang w:val="en-US" w:eastAsia="zh-CN"/>
        </w:rPr>
        <w:t>6316000</w:t>
      </w:r>
      <w:r>
        <w:rPr>
          <w:rFonts w:hint="eastAsia" w:ascii="宋体" w:hAnsi="宋体"/>
          <w:szCs w:val="21"/>
        </w:rPr>
        <w:t xml:space="preserve"> </w:t>
      </w:r>
      <w:r>
        <w:rPr>
          <w:rFonts w:hint="eastAsia" w:ascii="仿宋_GB2312" w:hAnsi="仿宋" w:eastAsia="仿宋_GB2312"/>
          <w:sz w:val="24"/>
        </w:rPr>
        <w:t xml:space="preserve"> </w:t>
      </w:r>
    </w:p>
    <w:p>
      <w:pPr>
        <w:spacing w:line="360" w:lineRule="auto"/>
        <w:ind w:firstLine="480"/>
        <w:rPr>
          <w:rFonts w:ascii="仿宋_GB2312" w:hAnsi="仿宋" w:eastAsia="仿宋_GB2312"/>
          <w:sz w:val="24"/>
        </w:rPr>
      </w:pPr>
      <w:r>
        <w:rPr>
          <w:rFonts w:hint="eastAsia" w:ascii="仿宋_GB2312" w:hAnsi="仿宋" w:eastAsia="仿宋_GB2312"/>
          <w:b/>
          <w:sz w:val="24"/>
        </w:rPr>
        <w:t>最高限价（元）：</w:t>
      </w:r>
      <w:r>
        <w:rPr>
          <w:rFonts w:hint="eastAsia" w:ascii="宋体" w:hAnsi="宋体" w:eastAsia="仿宋_GB2312"/>
          <w:szCs w:val="21"/>
          <w:lang w:val="en-US" w:eastAsia="zh-CN"/>
        </w:rPr>
        <w:t>6316000</w:t>
      </w:r>
      <w:r>
        <w:rPr>
          <w:rFonts w:hint="eastAsia" w:ascii="宋体" w:hAnsi="宋体"/>
          <w:szCs w:val="21"/>
        </w:rPr>
        <w:t xml:space="preserve"> </w:t>
      </w:r>
      <w:r>
        <w:rPr>
          <w:rFonts w:ascii="仿宋_GB2312" w:hAnsi="仿宋" w:eastAsia="仿宋_GB2312"/>
          <w:sz w:val="24"/>
        </w:rPr>
        <w:t xml:space="preserve"> </w:t>
      </w:r>
      <w:r>
        <w:rPr>
          <w:rFonts w:hint="eastAsia" w:ascii="仿宋_GB2312" w:hAnsi="仿宋" w:eastAsia="仿宋_GB2312"/>
          <w:sz w:val="24"/>
        </w:rPr>
        <w:t xml:space="preserve"> </w:t>
      </w:r>
    </w:p>
    <w:p>
      <w:pPr>
        <w:pStyle w:val="6"/>
        <w:spacing w:line="360" w:lineRule="auto"/>
        <w:ind w:firstLine="480"/>
        <w:rPr>
          <w:rFonts w:ascii="仿宋_GB2312" w:hAnsi="仿宋" w:eastAsia="仿宋_GB2312"/>
          <w:bCs/>
          <w:snapToGrid/>
          <w:color w:val="auto"/>
          <w:kern w:val="2"/>
          <w:sz w:val="24"/>
          <w:szCs w:val="24"/>
        </w:rPr>
      </w:pPr>
      <w:r>
        <w:rPr>
          <w:rFonts w:hint="eastAsia" w:ascii="仿宋_GB2312" w:hAnsi="仿宋" w:eastAsia="仿宋_GB2312"/>
          <w:b/>
          <w:color w:val="auto"/>
          <w:sz w:val="24"/>
        </w:rPr>
        <w:t>采购需求：</w:t>
      </w:r>
      <w:r>
        <w:rPr>
          <w:rFonts w:hint="eastAsia" w:hAnsi="宋体" w:eastAsia="仿宋_GB2312"/>
          <w:snapToGrid/>
          <w:color w:val="auto"/>
          <w:kern w:val="2"/>
          <w:sz w:val="21"/>
          <w:szCs w:val="21"/>
          <w:lang w:eastAsia="zh-CN"/>
        </w:rPr>
        <w:t>桐庐县“耕地智保”应用场景推广实施服务监控点位项目详见招标文件第三部分采购需求。</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default" w:ascii="仿宋_GB2312" w:hAnsi="仿宋" w:eastAsia="仿宋_GB2312" w:cs="Times New Roman"/>
          <w:b/>
          <w:snapToGrid w:val="0"/>
          <w:color w:val="auto"/>
          <w:kern w:val="28"/>
          <w:sz w:val="24"/>
          <w:szCs w:val="20"/>
          <w:lang w:val="en-US" w:eastAsia="zh-CN" w:bidi="ar-SA"/>
        </w:rPr>
      </w:pPr>
      <w:r>
        <w:rPr>
          <w:rFonts w:hint="eastAsia" w:ascii="仿宋_GB2312" w:hAnsi="仿宋" w:eastAsia="仿宋_GB2312" w:cs="Times New Roman"/>
          <w:b/>
          <w:snapToGrid w:val="0"/>
          <w:color w:val="auto"/>
          <w:kern w:val="28"/>
          <w:sz w:val="24"/>
          <w:szCs w:val="20"/>
          <w:lang w:val="en-US" w:eastAsia="zh-CN" w:bidi="ar-SA"/>
        </w:rPr>
        <w:t>合同履约期限：3年。</w:t>
      </w:r>
    </w:p>
    <w:p>
      <w:pPr>
        <w:pStyle w:val="6"/>
        <w:spacing w:line="360" w:lineRule="auto"/>
        <w:ind w:firstLine="480"/>
        <w:rPr>
          <w:rFonts w:ascii="仿宋_GB2312" w:hAnsi="仿宋" w:eastAsia="仿宋_GB2312"/>
          <w:b/>
          <w:sz w:val="24"/>
        </w:rPr>
      </w:pPr>
      <w:r>
        <w:rPr>
          <w:rFonts w:hint="eastAsia" w:ascii="仿宋_GB2312" w:hAnsi="仿宋" w:eastAsia="仿宋_GB2312"/>
          <w:b/>
          <w:color w:val="auto"/>
          <w:sz w:val="24"/>
        </w:rPr>
        <w:t>本项目接受联合体投标：</w:t>
      </w:r>
      <w:sdt>
        <w:sdtPr>
          <w:rPr>
            <w:rFonts w:hint="eastAsia" w:ascii="仿宋_GB2312" w:hAnsi="仿宋" w:eastAsia="仿宋_GB2312" w:cs="Arial"/>
            <w:color w:val="auto"/>
            <w:kern w:val="0"/>
            <w:sz w:val="24"/>
          </w:rPr>
          <w:id w:val="203545383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t>☐</w:t>
          </w:r>
        </w:sdtContent>
      </w:sdt>
      <w:r>
        <w:rPr>
          <w:rFonts w:hint="eastAsia" w:ascii="仿宋_GB2312" w:hAnsi="仿宋" w:eastAsia="仿宋_GB2312"/>
          <w:b/>
          <w:color w:val="auto"/>
          <w:sz w:val="24"/>
        </w:rPr>
        <w:t>是，</w:t>
      </w:r>
      <w:sdt>
        <w:sdtPr>
          <w:rPr>
            <w:rFonts w:hint="eastAsia" w:ascii="仿宋_GB2312" w:hAnsi="仿宋" w:eastAsia="仿宋_GB2312" w:cs="Arial"/>
            <w:color w:val="auto"/>
            <w:kern w:val="0"/>
            <w:sz w:val="24"/>
          </w:rPr>
          <w:id w:val="-176552672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MS Gothic" w:cs="Arial"/>
              <w:color w:val="auto"/>
              <w:kern w:val="0"/>
              <w:sz w:val="24"/>
            </w:rPr>
            <w:t></w:t>
          </w:r>
        </w:sdtContent>
      </w:sdt>
      <w:r>
        <w:rPr>
          <w:rFonts w:hint="eastAsia" w:ascii="仿宋_GB2312" w:hAnsi="仿宋" w:eastAsia="仿宋_GB2312"/>
          <w:b/>
          <w:color w:val="auto"/>
          <w:sz w:val="24"/>
        </w:rPr>
        <w:t>否</w:t>
      </w:r>
      <w:r>
        <w:rPr>
          <w:rFonts w:hint="eastAsia" w:cs="Arial" w:asciiTheme="minorEastAsia" w:hAnsiTheme="minorEastAsia" w:eastAsiaTheme="minorEastAsia"/>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 满足《中华人民共和国政府采购法》第二十二条规定；</w:t>
      </w:r>
      <w:r>
        <w:rPr>
          <w:rFonts w:hint="eastAsia" w:ascii="仿宋_GB2312" w:hAnsi="仿宋" w:eastAsia="仿宋_GB2312"/>
          <w:sz w:val="24"/>
          <w:lang w:eastAsia="zh-CN"/>
        </w:rPr>
        <w:t>（</w:t>
      </w:r>
      <w:r>
        <w:rPr>
          <w:rFonts w:hint="eastAsia" w:ascii="仿宋_GB2312" w:hAnsi="仿宋" w:eastAsia="仿宋_GB2312"/>
          <w:sz w:val="24"/>
        </w:rPr>
        <w:t>被“信</w:t>
      </w:r>
      <w:r>
        <w:rPr>
          <w:rFonts w:hint="eastAsia" w:ascii="仿宋_GB2312" w:hAnsi="仿宋" w:eastAsia="仿宋_GB2312"/>
          <w:sz w:val="24"/>
          <w:lang w:eastAsia="zh-CN"/>
        </w:rPr>
        <w:t>(</w:t>
      </w:r>
      <w:r>
        <w:rPr>
          <w:rFonts w:hint="eastAsia" w:ascii="仿宋_GB2312" w:hAnsi="仿宋" w:eastAsia="仿宋_GB2312"/>
          <w:sz w:val="24"/>
        </w:rPr>
        <w:t>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_GB2312" w:hAnsi="仿宋" w:eastAsia="仿宋_GB2312"/>
          <w:sz w:val="24"/>
        </w:rPr>
      </w:pPr>
      <w:r>
        <w:rPr>
          <w:rFonts w:ascii="仿宋_GB2312" w:hAnsi="仿宋" w:eastAsia="仿宋_GB2312"/>
          <w:sz w:val="24"/>
        </w:rPr>
        <w:t>2</w:t>
      </w:r>
      <w:r>
        <w:rPr>
          <w:rFonts w:hint="eastAsia" w:ascii="仿宋_GB2312" w:hAnsi="仿宋" w:eastAsia="仿宋_GB2312"/>
          <w:sz w:val="24"/>
        </w:rPr>
        <w:t>. 以联合体形式投标的，提供</w:t>
      </w:r>
      <w:r>
        <w:rPr>
          <w:rFonts w:hint="eastAsia" w:ascii="仿宋_GB2312" w:hAnsi="仿宋" w:eastAsia="仿宋_GB2312"/>
          <w:sz w:val="24"/>
          <w:lang w:eastAsia="zh-CN"/>
        </w:rPr>
        <w:t>（</w:t>
      </w:r>
      <w:r>
        <w:rPr>
          <w:rFonts w:hint="eastAsia" w:ascii="仿宋_GB2312" w:hAnsi="仿宋" w:eastAsia="仿宋_GB2312"/>
          <w:sz w:val="24"/>
        </w:rPr>
        <w:t>合协议(本项目不接受联合体投标或者投标人不以联合体形式投标的，则不</w:t>
      </w:r>
      <w:r>
        <w:rPr>
          <w:rFonts w:hint="eastAsia" w:ascii="仿宋_GB2312" w:hAnsi="仿宋" w:eastAsia="仿宋_GB2312"/>
          <w:sz w:val="24"/>
          <w:lang w:eastAsia="zh-CN"/>
        </w:rPr>
        <w:t>）</w:t>
      </w:r>
      <w:r>
        <w:rPr>
          <w:rFonts w:hint="eastAsia" w:ascii="仿宋_GB2312" w:hAnsi="仿宋" w:eastAsia="仿宋_GB2312"/>
          <w:sz w:val="24"/>
        </w:rPr>
        <w:t>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sz w:val="24"/>
        </w:rPr>
        <w:t>无；</w:t>
      </w:r>
    </w:p>
    <w:p>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rPr>
        <w:t>专</w:t>
      </w:r>
      <w:r>
        <w:rPr>
          <w:rFonts w:hint="eastAsia" w:ascii="宋体" w:hAnsi="宋体" w:cs="宋体"/>
          <w:sz w:val="24"/>
        </w:rPr>
        <w:t>门面向中小企业</w:t>
      </w:r>
    </w:p>
    <w:p>
      <w:pPr>
        <w:spacing w:line="360" w:lineRule="auto"/>
        <w:ind w:firstLine="897" w:firstLineChars="374"/>
        <w:rPr>
          <w:rFonts w:ascii="宋体" w:hAnsi="宋体" w:cs="宋体"/>
          <w:sz w:val="24"/>
        </w:rPr>
      </w:pPr>
      <w:sdt>
        <w:sdtPr>
          <w:rPr>
            <w:rFonts w:hint="eastAsia" w:ascii="宋体" w:hAnsi="宋体" w:cs="宋体"/>
            <w:kern w:val="0"/>
            <w:sz w:val="24"/>
          </w:rPr>
          <w:id w:val="-33368540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sz w:val="24"/>
        </w:rPr>
        <w:t>服务全部由符合政策要求的中小企业承接，提供中小企业声明函；</w:t>
      </w:r>
    </w:p>
    <w:p>
      <w:pPr>
        <w:spacing w:line="360" w:lineRule="auto"/>
        <w:ind w:firstLine="897" w:firstLineChars="374"/>
        <w:rPr>
          <w:rFonts w:ascii="宋体" w:hAnsi="宋体" w:cs="宋体"/>
          <w:sz w:val="24"/>
        </w:rPr>
      </w:pPr>
      <w:sdt>
        <w:sdtPr>
          <w:rPr>
            <w:rFonts w:hint="eastAsia" w:ascii="宋体" w:hAnsi="宋体" w:cs="宋体"/>
            <w:kern w:val="0"/>
            <w:sz w:val="24"/>
          </w:rPr>
          <w:id w:val="-214102535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服务全部由符合政策要求的小微企业承接，提供中小企业声明函；</w:t>
      </w:r>
    </w:p>
    <w:p>
      <w:pPr>
        <w:rPr>
          <w:rFonts w:ascii="宋体" w:hAnsi="宋体" w:cs="宋体"/>
        </w:rPr>
      </w:pPr>
    </w:p>
    <w:p>
      <w:pPr>
        <w:spacing w:line="360" w:lineRule="auto"/>
        <w:ind w:firstLine="480" w:firstLineChars="2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eastAsia="zh-CN"/>
        </w:rPr>
        <w:t>；</w:t>
      </w:r>
      <w:r>
        <w:rPr>
          <w:rFonts w:hint="eastAsia" w:ascii="宋体" w:hAnsi="宋体" w:cs="宋体"/>
          <w:sz w:val="24"/>
        </w:rPr>
        <w:t>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宋体" w:hAnsi="宋体" w:cs="宋体"/>
          <w:sz w:val="24"/>
        </w:rPr>
        <w:t>；</w:t>
      </w:r>
    </w:p>
    <w:p>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w:t>
      </w:r>
      <w:r>
        <w:rPr>
          <w:rFonts w:hint="eastAsia" w:ascii="宋体" w:hAnsi="宋体" w:cs="宋体"/>
          <w:sz w:val="24"/>
          <w:lang w:eastAsia="zh-CN"/>
        </w:rPr>
        <w:t>达到</w:t>
      </w:r>
      <w:r>
        <w:rPr>
          <w:rFonts w:hint="eastAsia" w:ascii="宋体" w:hAnsi="宋体" w:cs="宋体"/>
          <w:sz w:val="24"/>
        </w:rPr>
        <w:t>议中中小企业合同金额应当达到达到</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lang w:eastAsia="zh-CN"/>
        </w:rPr>
        <w:t>；</w:t>
      </w:r>
      <w:r>
        <w:rPr>
          <w:rFonts w:hint="eastAsia" w:ascii="宋体" w:hAnsi="宋体" w:cs="宋体"/>
          <w:sz w:val="24"/>
        </w:rPr>
        <w:t>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如果供应商本身提供所有标的均由中小企业制造、承建或承接，视同符合了资格条件，无需再向中小企业分包，无需提供分包意向协议</w:t>
      </w:r>
      <w:r>
        <w:rPr>
          <w:rFonts w:hint="eastAsia" w:ascii="宋体" w:hAnsi="宋体" w:cs="宋体"/>
          <w:sz w:val="24"/>
        </w:rPr>
        <w:t>；</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sz w:val="24"/>
          <w:lang w:val="en-US" w:eastAsia="zh-CN"/>
        </w:rPr>
        <w:t>4</w:t>
      </w:r>
      <w:r>
        <w:rPr>
          <w:rFonts w:hint="eastAsia" w:ascii="仿宋_GB2312" w:hAnsi="仿宋" w:eastAsia="仿宋_GB2312"/>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w:t>
      </w:r>
      <w:r>
        <w:rPr>
          <w:rFonts w:hint="eastAsia" w:ascii="仿宋_GB2312" w:hAnsi="仿宋" w:eastAsia="仿宋_GB2312"/>
          <w:sz w:val="24"/>
          <w:lang w:eastAsia="zh-CN"/>
        </w:rPr>
        <w:t>：</w:t>
      </w:r>
      <w:r>
        <w:rPr>
          <w:rFonts w:hint="eastAsia" w:ascii="仿宋_GB2312" w:hAnsi="仿宋" w:eastAsia="仿宋_GB2312"/>
          <w:sz w:val="24"/>
        </w:rPr>
        <w:t>。</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lang w:eastAsia="zh-CN"/>
        </w:rPr>
        <w:t>202</w:t>
      </w:r>
      <w:r>
        <w:rPr>
          <w:rFonts w:hint="eastAsia" w:ascii="仿宋_GB2312" w:hAnsi="仿宋" w:eastAsia="仿宋_GB2312"/>
          <w:sz w:val="24"/>
          <w:u w:val="single"/>
          <w:lang w:val="en-US" w:eastAsia="zh-CN"/>
        </w:rPr>
        <w:t>3</w:t>
      </w:r>
      <w:r>
        <w:rPr>
          <w:rFonts w:hint="eastAsia" w:ascii="仿宋_GB2312" w:hAnsi="仿宋" w:eastAsia="仿宋_GB2312"/>
          <w:sz w:val="24"/>
          <w:u w:val="single"/>
          <w:lang w:eastAsia="zh-CN"/>
        </w:rPr>
        <w:t>年</w:t>
      </w:r>
      <w:r>
        <w:rPr>
          <w:rFonts w:hint="eastAsia" w:ascii="仿宋_GB2312" w:hAnsi="仿宋" w:eastAsia="仿宋_GB2312"/>
          <w:sz w:val="24"/>
          <w:u w:val="single"/>
          <w:lang w:val="en-US" w:eastAsia="zh-CN"/>
        </w:rPr>
        <w:t>01</w:t>
      </w:r>
      <w:r>
        <w:rPr>
          <w:rFonts w:hint="eastAsia" w:ascii="仿宋_GB2312" w:hAnsi="仿宋" w:eastAsia="仿宋_GB2312"/>
          <w:sz w:val="24"/>
          <w:u w:val="single"/>
          <w:lang w:eastAsia="zh-CN"/>
        </w:rPr>
        <w:t>月</w:t>
      </w:r>
      <w:r>
        <w:rPr>
          <w:rFonts w:hint="eastAsia" w:ascii="仿宋_GB2312" w:hAnsi="仿宋" w:eastAsia="仿宋_GB2312"/>
          <w:sz w:val="24"/>
          <w:u w:val="single"/>
          <w:lang w:val="en-US" w:eastAsia="zh-CN"/>
        </w:rPr>
        <w:t>13</w:t>
      </w:r>
      <w:r>
        <w:rPr>
          <w:rFonts w:hint="eastAsia" w:ascii="仿宋_GB2312" w:hAnsi="仿宋" w:eastAsia="仿宋_GB2312"/>
          <w:sz w:val="24"/>
          <w:u w:val="single"/>
          <w:lang w:eastAsia="zh-CN"/>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hint="eastAsia" w:ascii="仿宋_GB2312" w:hAnsi="仿宋" w:eastAsia="仿宋_GB2312"/>
          <w:sz w:val="24"/>
          <w:u w:val="single"/>
          <w:lang w:eastAsia="zh-CN"/>
        </w:rPr>
        <w:t xml:space="preserve">   2023年01月13日13点30分</w:t>
      </w:r>
      <w:r>
        <w:rPr>
          <w:rFonts w:hint="eastAsia" w:ascii="仿宋_GB2312" w:hAnsi="仿宋" w:eastAsia="仿宋_GB2312"/>
          <w:bCs/>
          <w:sz w:val="24"/>
          <w:u w:val="single"/>
        </w:rPr>
        <w:t xml:space="preserve"> </w:t>
      </w:r>
      <w:r>
        <w:rPr>
          <w:rFonts w:hint="eastAsia" w:ascii="仿宋_GB2312" w:hAnsi="仿宋" w:eastAsia="仿宋_GB2312"/>
          <w:sz w:val="24"/>
        </w:rPr>
        <w:t>（北京时间）</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bCs/>
          <w:sz w:val="24"/>
          <w:u w:val="single"/>
        </w:rPr>
      </w:pPr>
      <w:r>
        <w:rPr>
          <w:rFonts w:hint="eastAsia" w:ascii="仿宋_GB2312" w:hAnsi="仿宋" w:eastAsia="仿宋_GB2312"/>
          <w:b/>
          <w:sz w:val="24"/>
        </w:rPr>
        <w:t>开标时间：</w:t>
      </w:r>
      <w:r>
        <w:rPr>
          <w:rFonts w:hint="eastAsia" w:ascii="仿宋_GB2312" w:hAnsi="仿宋" w:eastAsia="仿宋_GB2312"/>
          <w:sz w:val="24"/>
          <w:u w:val="single"/>
          <w:lang w:eastAsia="zh-CN"/>
        </w:rPr>
        <w:t xml:space="preserve">  2023年01月13日13点30分</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2.其他事项：（1）需要落实的政府采购政策：包括节约资源、保护环境、支持创新、促进中小企业发展等。详见招标文件的第二部分总则。（2）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w:t>
      </w:r>
      <w:r>
        <w:rPr>
          <w:rFonts w:hint="eastAsia" w:ascii="仿宋_GB2312" w:hAnsi="仿宋" w:eastAsia="仿宋_GB2312" w:cs="仿宋_GB2312"/>
          <w:sz w:val="24"/>
          <w:lang w:eastAsia="zh-CN"/>
        </w:rPr>
        <w:t>－</w:t>
      </w:r>
      <w:r>
        <w:rPr>
          <w:rFonts w:ascii="仿宋_GB2312" w:hAnsi="仿宋" w:eastAsia="仿宋_GB2312" w:cs="仿宋_GB2312"/>
          <w:sz w:val="24"/>
        </w:rPr>
        <w:t>-申领流程详见“浙江政府采购网-下载专区-电子交易客户端-CA驱动和申领流程”；安装“政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w:t>
      </w:r>
      <w:r>
        <w:rPr>
          <w:rFonts w:ascii="仿宋_GB2312" w:hAnsi="仿宋" w:eastAsia="仿宋_GB2312"/>
          <w:sz w:val="24"/>
        </w:rPr>
        <w:t xml:space="preserve"> </w:t>
      </w:r>
      <w:r>
        <w:rPr>
          <w:rFonts w:hint="eastAsia" w:ascii="仿宋_GB2312" w:hAnsi="仿宋" w:eastAsia="仿宋_GB2312"/>
          <w:sz w:val="24"/>
        </w:rPr>
        <w:t>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lang w:eastAsia="zh-CN"/>
        </w:rPr>
        <w:t>桐庐县规划和自然资源局</w:t>
      </w:r>
      <w:r>
        <w:rPr>
          <w:rFonts w:ascii="仿宋_GB2312" w:hAnsi="仿宋" w:eastAsia="仿宋_GB2312"/>
          <w:sz w:val="24"/>
        </w:rPr>
        <w:t xml:space="preserve"> </w:t>
      </w:r>
    </w:p>
    <w:p>
      <w:pPr>
        <w:spacing w:line="360" w:lineRule="auto"/>
        <w:ind w:firstLine="480"/>
        <w:rPr>
          <w:rFonts w:ascii="仿宋_GB2312" w:hAnsi="仿宋" w:eastAsia="仿宋"/>
          <w:sz w:val="24"/>
        </w:rPr>
      </w:pPr>
      <w:r>
        <w:rPr>
          <w:rFonts w:hint="eastAsia" w:ascii="仿宋_GB2312" w:hAnsi="仿宋" w:eastAsia="仿宋_GB2312"/>
          <w:sz w:val="24"/>
        </w:rPr>
        <w:t>项目联系人：</w:t>
      </w:r>
      <w:r>
        <w:rPr>
          <w:rFonts w:hint="eastAsia" w:ascii="仿宋_GB2312" w:hAnsi="仿宋" w:eastAsia="仿宋_GB2312"/>
          <w:sz w:val="24"/>
          <w:lang w:eastAsia="zh-CN"/>
        </w:rPr>
        <w:t xml:space="preserve">钱婷  </w:t>
      </w:r>
      <w:r>
        <w:rPr>
          <w:rFonts w:ascii="仿宋_GB2312" w:hAnsi="仿宋" w:eastAsia="仿宋_GB2312"/>
          <w:sz w:val="24"/>
        </w:rPr>
        <w:t xml:space="preserve"> </w:t>
      </w:r>
      <w:r>
        <w:rPr>
          <w:rFonts w:hint="eastAsia" w:ascii="仿宋" w:hAnsi="仿宋" w:eastAsia="仿宋"/>
          <w:sz w:val="24"/>
        </w:rPr>
        <w:t xml:space="preserve"> </w:t>
      </w:r>
    </w:p>
    <w:p>
      <w:pPr>
        <w:spacing w:line="360" w:lineRule="auto"/>
        <w:ind w:firstLine="480"/>
        <w:rPr>
          <w:rFonts w:hint="eastAsia" w:ascii="仿宋_GB2312" w:hAnsi="仿宋" w:eastAsia="仿宋_GB2312"/>
          <w:sz w:val="24"/>
          <w:lang w:val="en-US" w:eastAsia="zh-CN"/>
        </w:rPr>
      </w:pPr>
      <w:r>
        <w:rPr>
          <w:rFonts w:ascii="仿宋_GB2312" w:hAnsi="仿宋" w:eastAsia="仿宋_GB2312"/>
          <w:sz w:val="24"/>
        </w:rPr>
        <w:t>项目联系方式</w:t>
      </w:r>
      <w:r>
        <w:rPr>
          <w:rFonts w:hint="eastAsia" w:ascii="仿宋_GB2312" w:hAnsi="仿宋" w:eastAsia="仿宋_GB2312"/>
          <w:sz w:val="24"/>
        </w:rPr>
        <w:t>：18768128689</w:t>
      </w:r>
      <w:r>
        <w:rPr>
          <w:rFonts w:hint="eastAsia" w:ascii="仿宋_GB2312" w:hAnsi="仿宋" w:eastAsia="仿宋_GB2312"/>
          <w:sz w:val="24"/>
          <w:lang w:val="en-US" w:eastAsia="zh-CN"/>
        </w:rPr>
        <w:t xml:space="preserve"> </w:t>
      </w:r>
    </w:p>
    <w:p>
      <w:pPr>
        <w:spacing w:line="360" w:lineRule="auto"/>
        <w:rPr>
          <w:rFonts w:ascii="仿宋_GB2312" w:hAnsi="仿宋" w:eastAsia="仿宋_GB2312"/>
          <w:sz w:val="24"/>
        </w:rPr>
      </w:pPr>
      <w:r>
        <w:rPr>
          <w:rFonts w:ascii="仿宋_GB2312" w:hAnsi="仿宋" w:eastAsia="仿宋_GB2312"/>
          <w:sz w:val="24"/>
        </w:rPr>
        <w:t xml:space="preserve">    2.采购代理机构信息            </w:t>
      </w:r>
    </w:p>
    <w:p>
      <w:pPr>
        <w:spacing w:line="360" w:lineRule="auto"/>
        <w:ind w:firstLine="480"/>
        <w:rPr>
          <w:rFonts w:ascii="仿宋_GB2312" w:hAnsi="仿宋" w:eastAsia="仿宋_GB2312"/>
          <w:sz w:val="24"/>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称：桐庐鸿泰工程咨询有限公司</w:t>
      </w:r>
    </w:p>
    <w:p>
      <w:pPr>
        <w:spacing w:line="360" w:lineRule="auto"/>
        <w:ind w:firstLine="480"/>
        <w:rPr>
          <w:rFonts w:ascii="仿宋_GB2312" w:hAnsi="仿宋" w:eastAsia="仿宋_GB2312"/>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址：桐庐县迎春南路88号桦桐大厦20楼</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项目联系人：</w:t>
      </w:r>
      <w:r>
        <w:rPr>
          <w:rFonts w:hint="eastAsia" w:ascii="仿宋_GB2312" w:hAnsi="仿宋" w:eastAsia="仿宋_GB2312"/>
          <w:sz w:val="24"/>
        </w:rPr>
        <w:t>孙鸣</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ascii="仿宋" w:hAnsi="仿宋" w:eastAsia="仿宋"/>
          <w:sz w:val="24"/>
        </w:rPr>
      </w:pPr>
      <w:r>
        <w:rPr>
          <w:rFonts w:ascii="仿宋_GB2312" w:hAnsi="仿宋" w:eastAsia="仿宋_GB2312"/>
          <w:sz w:val="24"/>
        </w:rPr>
        <w:t xml:space="preserve">    项目联系方式：</w:t>
      </w:r>
      <w:r>
        <w:rPr>
          <w:rFonts w:hint="eastAsia" w:ascii="仿宋_GB2312" w:hAnsi="仿宋" w:eastAsia="仿宋_GB2312"/>
          <w:sz w:val="24"/>
        </w:rPr>
        <w:t xml:space="preserve"> 15168292397</w:t>
      </w:r>
      <w:r>
        <w:rPr>
          <w:rFonts w:hint="eastAsia" w:ascii="仿宋" w:hAnsi="仿宋" w:eastAsia="仿宋"/>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pPr>
        <w:spacing w:line="360" w:lineRule="auto"/>
        <w:rPr>
          <w:rFonts w:ascii="仿宋_GB2312" w:hAnsi="仿宋" w:eastAsia="仿宋_GB2312"/>
          <w:sz w:val="24"/>
        </w:rPr>
      </w:pPr>
      <w:r>
        <w:rPr>
          <w:rFonts w:ascii="仿宋_GB2312" w:hAnsi="仿宋" w:eastAsia="仿宋_GB2312"/>
          <w:sz w:val="24"/>
        </w:rPr>
        <w:t xml:space="preserve">    名    称：桐庐县财政局</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 xml:space="preserve">杭州市桐庐县春江路688号财税大楼 </w:t>
      </w:r>
    </w:p>
    <w:p>
      <w:pPr>
        <w:spacing w:line="360" w:lineRule="auto"/>
        <w:rPr>
          <w:rFonts w:ascii="仿宋_GB2312" w:hAnsi="仿宋" w:eastAsia="仿宋_GB2312"/>
          <w:sz w:val="24"/>
        </w:rPr>
      </w:pPr>
      <w:r>
        <w:rPr>
          <w:rFonts w:ascii="仿宋_GB2312" w:hAnsi="仿宋" w:eastAsia="仿宋_GB2312"/>
          <w:sz w:val="24"/>
        </w:rPr>
        <w:t xml:space="preserve">    联系人 ：</w:t>
      </w:r>
      <w:r>
        <w:rPr>
          <w:rFonts w:hint="eastAsia" w:ascii="仿宋_GB2312" w:hAnsi="仿宋" w:eastAsia="仿宋_GB2312"/>
          <w:sz w:val="24"/>
        </w:rPr>
        <w:t xml:space="preserve">方翔 </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监督投诉电话：</w:t>
      </w:r>
      <w:r>
        <w:rPr>
          <w:rFonts w:hint="eastAsia" w:ascii="仿宋_GB2312" w:hAnsi="仿宋" w:eastAsia="仿宋_GB2312"/>
          <w:sz w:val="24"/>
        </w:rPr>
        <w:t>0571-58507058</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5"/>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rPr>
          <w:rFonts w:ascii="仿宋" w:hAnsi="仿宋" w:eastAsia="仿宋" w:cs="仿宋_GB2312"/>
          <w:b/>
          <w:sz w:val="36"/>
          <w:szCs w:val="20"/>
        </w:rPr>
      </w:pPr>
    </w:p>
    <w:p>
      <w:pPr>
        <w:pStyle w:val="46"/>
        <w:rPr>
          <w:rFonts w:ascii="仿宋" w:hAnsi="仿宋" w:eastAsia="仿宋" w:cs="仿宋_GB2312"/>
          <w:b/>
          <w:sz w:val="36"/>
          <w:szCs w:val="20"/>
        </w:rPr>
      </w:pPr>
    </w:p>
    <w:p/>
    <w:p>
      <w:pPr>
        <w:pStyle w:val="61"/>
        <w:ind w:firstLine="420"/>
      </w:pPr>
    </w:p>
    <w:p/>
    <w:p>
      <w:pPr>
        <w:pStyle w:val="46"/>
      </w:pPr>
    </w:p>
    <w:p/>
    <w:p>
      <w:pPr>
        <w:pStyle w:val="46"/>
      </w:pPr>
    </w:p>
    <w:p/>
    <w:p>
      <w:pPr>
        <w:pStyle w:val="46"/>
      </w:pPr>
    </w:p>
    <w:p/>
    <w:p>
      <w:pPr>
        <w:pStyle w:val="46"/>
      </w:pPr>
    </w:p>
    <w:p/>
    <w:p>
      <w:pPr>
        <w:pStyle w:val="46"/>
      </w:pPr>
    </w:p>
    <w:p/>
    <w:p>
      <w:pPr>
        <w:pStyle w:val="46"/>
      </w:pPr>
    </w:p>
    <w:p/>
    <w:p>
      <w:pPr>
        <w:pStyle w:val="46"/>
      </w:pPr>
    </w:p>
    <w:p/>
    <w:p>
      <w:pPr>
        <w:pStyle w:val="46"/>
      </w:pPr>
    </w:p>
    <w:p/>
    <w:p>
      <w:pPr>
        <w:pStyle w:val="46"/>
      </w:pPr>
    </w:p>
    <w:p/>
    <w:p>
      <w:pPr>
        <w:pStyle w:val="46"/>
      </w:pPr>
    </w:p>
    <w:p/>
    <w:p>
      <w:pPr>
        <w:pStyle w:val="46"/>
      </w:pPr>
    </w:p>
    <w:p/>
    <w:p>
      <w:pPr>
        <w:pStyle w:val="46"/>
      </w:pPr>
    </w:p>
    <w:p/>
    <w:p>
      <w:pPr>
        <w:pStyle w:val="46"/>
      </w:pPr>
    </w:p>
    <w:p/>
    <w:p>
      <w:pPr>
        <w:pStyle w:val="46"/>
      </w:pPr>
    </w:p>
    <w:p/>
    <w:p/>
    <w:p>
      <w:pPr>
        <w:adjustRightInd/>
        <w:spacing w:line="360" w:lineRule="auto"/>
        <w:jc w:val="center"/>
        <w:outlineLvl w:val="0"/>
        <w:rPr>
          <w:rFonts w:ascii="仿宋" w:hAnsi="仿宋" w:eastAsia="仿宋" w:cs="仿宋_GB2312"/>
          <w:b/>
          <w:sz w:val="36"/>
          <w:szCs w:val="20"/>
        </w:rPr>
      </w:pP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both"/>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cs="宋体"/>
                <w:sz w:val="24"/>
              </w:rPr>
            </w:pPr>
          </w:p>
          <w:p>
            <w:r>
              <w:rPr>
                <w:rFonts w:hint="eastAsia" w:ascii="宋体" w:hAnsi="宋体" w:cs="宋体"/>
                <w:sz w:val="24"/>
                <w:lang w:eastAsia="zh-CN"/>
              </w:rPr>
              <w:t>服务类</w:t>
            </w:r>
            <w:r>
              <w:rPr>
                <w:rFonts w:hint="eastAsia" w:ascii="宋体" w:hAnsi="宋体" w:cs="宋体"/>
                <w:sz w:val="24"/>
              </w:rPr>
              <w:t>。</w:t>
            </w:r>
          </w:p>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（1）标的：</w:t>
            </w:r>
            <w:r>
              <w:rPr>
                <w:rFonts w:hint="eastAsia" w:ascii="宋体" w:hAnsi="宋体" w:cs="宋体"/>
                <w:kern w:val="0"/>
                <w:sz w:val="24"/>
                <w:u w:val="single"/>
                <w:lang w:eastAsia="zh-CN"/>
              </w:rPr>
              <w:t>桐庐县“耕地智保”应用场景推广实施服务监控点位项目</w:t>
            </w:r>
            <w:r>
              <w:rPr>
                <w:rFonts w:hint="eastAsia" w:ascii="宋体" w:hAnsi="宋体" w:cs="宋体"/>
                <w:kern w:val="0"/>
                <w:sz w:val="24"/>
              </w:rPr>
              <w:t>，属于</w:t>
            </w:r>
            <w:r>
              <w:rPr>
                <w:rFonts w:hint="eastAsia" w:ascii="宋体" w:hAnsi="宋体" w:cs="宋体"/>
                <w:kern w:val="0"/>
                <w:sz w:val="24"/>
                <w:u w:val="single"/>
                <w:lang w:eastAsia="zh-CN"/>
              </w:rPr>
              <w:t>服务</w:t>
            </w:r>
            <w:r>
              <w:rPr>
                <w:rFonts w:hint="eastAsia" w:ascii="宋体" w:hAnsi="宋体" w:cs="宋体"/>
                <w:kern w:val="0"/>
                <w:sz w:val="24"/>
              </w:rPr>
              <w:t>行业；</w:t>
            </w:r>
          </w:p>
          <w:p>
            <w:pPr>
              <w:pStyle w:val="4"/>
              <w:rPr>
                <w:rFonts w:ascii="宋体" w:hAnsi="宋体" w:eastAsia="宋体" w:cs="宋体"/>
                <w:lang w:val="en-US"/>
              </w:rPr>
            </w:pPr>
            <w:r>
              <w:rPr>
                <w:rFonts w:hint="eastAsia" w:ascii="宋体" w:hAnsi="宋体" w:eastAsia="宋体" w:cs="宋体"/>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开标一览表（报价表）是报价的唯一载体</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提醒：项目验收时产生的费用由甲方承担；若验收不合格该费用由乙方承担，不包含在投标总价中。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kern w:val="0"/>
                <w:sz w:val="24"/>
                <w:lang w:eastAsia="zh-CN"/>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ascii="宋体" w:hAnsi="宋体" w:cs="宋体"/>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宋体" w:hAnsi="宋体" w:cs="宋体"/>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u w:val="single"/>
                <w:lang w:eastAsia="zh-CN"/>
              </w:rPr>
              <w:t>桐庐县迎春南路</w:t>
            </w:r>
            <w:r>
              <w:rPr>
                <w:rFonts w:hint="eastAsia" w:hAnsi="宋体" w:cs="宋体"/>
                <w:sz w:val="24"/>
                <w:u w:val="single"/>
                <w:lang w:val="en-US" w:eastAsia="zh-CN"/>
              </w:rPr>
              <w:t>88号桦桐大厦20楼</w:t>
            </w:r>
            <w:r>
              <w:rPr>
                <w:rFonts w:hint="eastAsia" w:hAnsi="宋体" w:cs="宋体"/>
                <w:kern w:val="28"/>
                <w:sz w:val="24"/>
                <w:szCs w:val="24"/>
              </w:rPr>
              <w:t>；备份投标文件签收人员联系电话：</w:t>
            </w:r>
            <w:r>
              <w:rPr>
                <w:rFonts w:hint="eastAsia" w:hAnsi="宋体" w:cs="宋体"/>
                <w:sz w:val="24"/>
                <w:u w:val="single"/>
                <w:lang w:eastAsia="zh-CN"/>
              </w:rPr>
              <w:t>孙鸣收，</w:t>
            </w:r>
            <w:r>
              <w:rPr>
                <w:rFonts w:hint="eastAsia" w:hAnsi="宋体" w:cs="宋体"/>
                <w:sz w:val="24"/>
                <w:u w:val="single"/>
                <w:lang w:val="en-US" w:eastAsia="zh-CN"/>
              </w:rPr>
              <w:t>15168292397</w:t>
            </w:r>
            <w:r>
              <w:rPr>
                <w:rFonts w:hint="eastAsia" w:hAnsi="宋体" w:cs="宋体"/>
                <w:sz w:val="24"/>
                <w:szCs w:val="24"/>
              </w:rPr>
              <w:t>。</w:t>
            </w:r>
            <w:r>
              <w:rPr>
                <w:rFonts w:hint="eastAsia" w:hAnsi="宋体" w:cs="宋体"/>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其它说明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kern w:val="0"/>
                <w:sz w:val="24"/>
              </w:rPr>
              <w:t>。</w:t>
            </w:r>
          </w:p>
        </w:tc>
      </w:tr>
    </w:tbl>
    <w:p>
      <w:pPr>
        <w:snapToGrid w:val="0"/>
        <w:spacing w:line="360" w:lineRule="auto"/>
        <w:jc w:val="center"/>
        <w:rPr>
          <w:rFonts w:ascii="仿宋" w:hAnsi="仿宋" w:eastAsia="仿宋" w:cs="仿宋_GB2312"/>
          <w:b/>
          <w:sz w:val="32"/>
          <w:szCs w:val="20"/>
        </w:rPr>
      </w:pPr>
    </w:p>
    <w:bookmarkEnd w:id="10"/>
    <w:p>
      <w:pPr>
        <w:adjustRightInd/>
        <w:spacing w:line="360" w:lineRule="auto"/>
        <w:ind w:firstLine="3845" w:firstLineChars="1197"/>
        <w:outlineLvl w:val="0"/>
        <w:rPr>
          <w:rFonts w:ascii="仿宋_GB2312" w:hAnsi="仿宋" w:eastAsia="仿宋_GB2312" w:cs="仿宋_GB2312"/>
          <w:b/>
          <w:sz w:val="32"/>
          <w:szCs w:val="20"/>
        </w:rPr>
      </w:pPr>
      <w:bookmarkStart w:id="11" w:name="第三部分"/>
      <w:bookmarkStart w:id="12" w:name="_Toc164416483"/>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系指实质性要求条款，“★”系产品采购项目中单一产品或核心产品，“</w:t>
      </w:r>
      <w:sdt>
        <w:sdtPr>
          <w:rPr>
            <w:rFonts w:hint="eastAsia" w:ascii="仿宋_GB2312" w:hAnsi="仿宋" w:eastAsia="仿宋_GB2312" w:cs="Arial"/>
            <w:kern w:val="0"/>
            <w:sz w:val="24"/>
          </w:rPr>
          <w:id w:val="512970236"/>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sdt>
        <w:sdtPr>
          <w:rPr>
            <w:rFonts w:hint="eastAsia" w:ascii="仿宋_GB2312" w:hAnsi="仿宋" w:eastAsia="仿宋_GB2312" w:cs="Arial"/>
            <w:kern w:val="0"/>
            <w:sz w:val="24"/>
          </w:rPr>
          <w:id w:val="40488885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sz w:val="24"/>
          <w:lang w:val="en-US" w:eastAsia="zh-CN"/>
        </w:rPr>
        <w:t>20</w:t>
      </w:r>
      <w:r>
        <w:rPr>
          <w:rFonts w:ascii="仿宋_GB2312" w:hAnsi="仿宋" w:eastAsia="仿宋_GB2312"/>
          <w:sz w:val="24"/>
        </w:rPr>
        <w:t>%的扣除，用扣除后的价格参与评审。接受大中型企业与小微企业组成联合体或者允许大中型企业向一家或者多家小微企业分包的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lang w:val="en-US" w:eastAsia="zh-CN"/>
        </w:rPr>
        <w:t>6</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b/>
          <w:sz w:val="24"/>
        </w:rPr>
      </w:pPr>
      <w:r>
        <w:rPr>
          <w:rFonts w:ascii="仿宋_GB2312" w:hAnsi="仿宋" w:eastAsia="仿宋_GB2312"/>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rPr>
        <w:t>登录</w:t>
      </w:r>
      <w:r>
        <w:rPr>
          <w:rFonts w:ascii="仿宋_GB2312" w:hAnsi="仿宋" w:eastAsia="仿宋_GB2312"/>
          <w:sz w:val="24"/>
        </w:rPr>
        <w:t>杭州市政府采购网“中小企业信用融资”模块，查看信用融资政策文件及各相关银行服务方案。</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5"/>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35"/>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5"/>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5"/>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5"/>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5"/>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lang w:eastAsia="zh-CN"/>
        </w:rPr>
        <w:t>，</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128"/>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5"/>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5"/>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128"/>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5"/>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6"/>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r>
        <w:rPr>
          <w:rFonts w:hint="eastAsia" w:ascii="仿宋_GB2312" w:hAnsi="仿宋" w:eastAsia="仿宋_GB2312" w:cs="仿宋_GB2312"/>
          <w:sz w:val="24"/>
        </w:rPr>
        <w:t>（格式后附）</w:t>
      </w:r>
      <w:r>
        <w:rPr>
          <w:rFonts w:ascii="仿宋_GB2312" w:hAnsi="仿宋" w:eastAsia="仿宋_GB2312" w:cs="仿宋_GB2312"/>
          <w:sz w:val="24"/>
        </w:rPr>
        <w:t>；</w:t>
      </w:r>
    </w:p>
    <w:p>
      <w:pPr>
        <w:pStyle w:val="61"/>
        <w:ind w:firstLine="420"/>
        <w:rPr>
          <w:rFonts w:hint="eastAsia" w:ascii="仿宋_GB2312" w:hAnsi="仿宋" w:eastAsia="仿宋_GB2312" w:cs="仿宋_GB2312"/>
          <w:sz w:val="24"/>
        </w:rPr>
      </w:pPr>
      <w:r>
        <w:rPr>
          <w:rFonts w:hint="eastAsia"/>
        </w:rPr>
        <w:t xml:space="preserve"> </w:t>
      </w:r>
      <w:r>
        <w:rPr>
          <w:rFonts w:ascii="仿宋_GB2312" w:hAnsi="仿宋" w:eastAsia="仿宋_GB2312" w:cs="仿宋_GB2312"/>
          <w:sz w:val="24"/>
        </w:rPr>
        <w:t>11.1.2</w:t>
      </w:r>
      <w:r>
        <w:rPr>
          <w:rFonts w:hint="eastAsia" w:ascii="仿宋_GB2312" w:hAnsi="仿宋" w:eastAsia="仿宋_GB2312" w:cs="仿宋_GB2312"/>
          <w:sz w:val="24"/>
        </w:rPr>
        <w:t>投标人认为需要提交的其他资料。</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11.2.1投标函；</w:t>
      </w:r>
      <w:r>
        <w:rPr>
          <w:rFonts w:hint="eastAsia" w:ascii="仿宋_GB2312" w:hAnsi="仿宋" w:eastAsia="仿宋_GB2312" w:cs="仿宋_GB2312"/>
          <w:sz w:val="24"/>
        </w:rPr>
        <w:t>（格式后附）</w:t>
      </w:r>
      <w:r>
        <w:rPr>
          <w:rFonts w:ascii="仿宋_GB2312" w:hAnsi="仿宋" w:eastAsia="仿宋_GB2312" w:cs="仿宋_GB2312"/>
          <w:sz w:val="24"/>
          <w:lang w:val="zh-CN"/>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r>
        <w:rPr>
          <w:rFonts w:hint="eastAsia" w:ascii="仿宋_GB2312" w:hAnsi="仿宋" w:eastAsia="仿宋_GB2312" w:cs="仿宋_GB2312"/>
          <w:sz w:val="24"/>
          <w:lang w:eastAsia="zh-CN"/>
        </w:rPr>
        <w:t>（</w:t>
      </w:r>
      <w:r>
        <w:rPr>
          <w:rFonts w:hint="eastAsia" w:ascii="仿宋_GB2312" w:hAnsi="仿宋" w:eastAsia="仿宋_GB2312" w:cs="仿宋_GB2312"/>
          <w:sz w:val="24"/>
          <w:lang w:val="en-US" w:eastAsia="zh-CN"/>
        </w:rPr>
        <w:t>格式后附）</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11.2.3符合性审查资料；</w:t>
      </w:r>
      <w:r>
        <w:rPr>
          <w:rFonts w:hint="eastAsia" w:ascii="仿宋_GB2312" w:hAnsi="仿宋" w:eastAsia="仿宋_GB2312" w:cs="仿宋_GB2312"/>
          <w:sz w:val="24"/>
        </w:rPr>
        <w:t>（格式后附）</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11.2.4评标标准相应的商务技术资料；</w:t>
      </w:r>
    </w:p>
    <w:p>
      <w:pPr>
        <w:snapToGrid w:val="0"/>
        <w:spacing w:line="360" w:lineRule="auto"/>
        <w:ind w:firstLine="960" w:firstLineChars="400"/>
        <w:rPr>
          <w:rFonts w:hint="eastAsia"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lang w:val="en-US" w:eastAsia="zh-CN"/>
        </w:rPr>
        <w:t>5</w:t>
      </w:r>
      <w:r>
        <w:rPr>
          <w:rFonts w:hint="eastAsia" w:ascii="仿宋_GB2312" w:hAnsi="仿宋" w:eastAsia="仿宋_GB2312" w:cs="仿宋_GB2312"/>
          <w:sz w:val="24"/>
          <w:lang w:val="zh-CN"/>
        </w:rPr>
        <w:t>政府采购供应商廉洁自律承诺书；（格式后附）</w:t>
      </w:r>
    </w:p>
    <w:p>
      <w:pPr>
        <w:snapToGrid w:val="0"/>
        <w:spacing w:line="360" w:lineRule="auto"/>
        <w:ind w:firstLine="960" w:firstLineChars="400"/>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11.2.6偏离对照表（格式后附）</w:t>
      </w:r>
    </w:p>
    <w:p>
      <w:pPr>
        <w:snapToGrid w:val="0"/>
        <w:spacing w:line="360" w:lineRule="auto"/>
        <w:ind w:firstLine="960" w:firstLineChars="400"/>
        <w:rPr>
          <w:rFonts w:hint="default" w:ascii="仿宋_GB2312" w:hAnsi="仿宋" w:eastAsia="仿宋_GB2312" w:cs="仿宋_GB2312"/>
          <w:sz w:val="24"/>
          <w:lang w:val="en-US" w:eastAsia="zh-CN"/>
        </w:rPr>
      </w:pPr>
      <w:r>
        <w:rPr>
          <w:rFonts w:hint="eastAsia" w:ascii="仿宋_GB2312" w:hAnsi="仿宋" w:eastAsia="仿宋_GB2312" w:cs="仿宋_GB2312"/>
          <w:sz w:val="24"/>
          <w:lang w:val="zh-CN"/>
        </w:rPr>
        <w:t>1</w:t>
      </w:r>
      <w:r>
        <w:rPr>
          <w:rFonts w:ascii="仿宋_GB2312" w:hAnsi="仿宋" w:eastAsia="仿宋_GB2312" w:cs="仿宋_GB2312"/>
          <w:sz w:val="24"/>
          <w:lang w:val="zh-CN"/>
        </w:rPr>
        <w:t>1.2.</w:t>
      </w:r>
      <w:r>
        <w:rPr>
          <w:rFonts w:hint="eastAsia" w:ascii="仿宋_GB2312" w:hAnsi="仿宋" w:eastAsia="仿宋_GB2312" w:cs="仿宋_GB2312"/>
          <w:sz w:val="24"/>
          <w:lang w:val="en-US" w:eastAsia="zh-CN"/>
        </w:rPr>
        <w:t>7</w:t>
      </w:r>
      <w:r>
        <w:rPr>
          <w:rFonts w:hint="eastAsia" w:ascii="仿宋_GB2312" w:hAnsi="仿宋" w:eastAsia="仿宋_GB2312" w:cs="仿宋_GB2312"/>
          <w:sz w:val="24"/>
          <w:lang w:val="zh-CN"/>
        </w:rPr>
        <w:t>评分对应表（格式自拟）；</w:t>
      </w:r>
    </w:p>
    <w:p>
      <w:pPr>
        <w:snapToGrid w:val="0"/>
        <w:spacing w:line="360" w:lineRule="auto"/>
        <w:ind w:firstLine="960" w:firstLineChars="400"/>
        <w:rPr>
          <w:rFonts w:hint="eastAsia" w:ascii="仿宋_GB2312" w:hAnsi="仿宋" w:eastAsia="仿宋_GB2312" w:cs="仿宋_GB2312"/>
          <w:sz w:val="24"/>
          <w:lang w:val="zh-CN"/>
        </w:rPr>
      </w:pPr>
      <w:r>
        <w:rPr>
          <w:rFonts w:hint="eastAsia" w:ascii="仿宋_GB2312" w:hAnsi="仿宋" w:eastAsia="仿宋_GB2312" w:cs="仿宋_GB2312"/>
          <w:sz w:val="24"/>
          <w:lang w:val="zh-CN"/>
        </w:rPr>
        <w:t>1</w:t>
      </w:r>
      <w:r>
        <w:rPr>
          <w:rFonts w:ascii="仿宋_GB2312" w:hAnsi="仿宋" w:eastAsia="仿宋_GB2312" w:cs="仿宋_GB2312"/>
          <w:sz w:val="24"/>
          <w:lang w:val="zh-CN"/>
        </w:rPr>
        <w:t>1.2.</w:t>
      </w:r>
      <w:r>
        <w:rPr>
          <w:rFonts w:hint="eastAsia" w:ascii="仿宋_GB2312" w:hAnsi="仿宋" w:eastAsia="仿宋_GB2312" w:cs="仿宋_GB2312"/>
          <w:sz w:val="24"/>
          <w:lang w:val="en-US" w:eastAsia="zh-CN"/>
        </w:rPr>
        <w:t>8</w:t>
      </w:r>
      <w:r>
        <w:rPr>
          <w:rFonts w:hint="eastAsia" w:ascii="仿宋_GB2312" w:hAnsi="仿宋" w:eastAsia="仿宋_GB2312" w:cs="仿宋_GB2312"/>
          <w:sz w:val="24"/>
          <w:lang w:val="zh-CN"/>
        </w:rPr>
        <w:t>投标人认为需要提供的其他资料</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r>
        <w:rPr>
          <w:rFonts w:ascii="仿宋_GB2312" w:hAnsi="仿宋" w:eastAsia="仿宋_GB2312" w:cs="仿宋_GB2312"/>
          <w:sz w:val="24"/>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11.3.1开标一览表（报价表）；</w:t>
      </w:r>
      <w:r>
        <w:rPr>
          <w:rFonts w:hint="eastAsia" w:ascii="仿宋_GB2312" w:hAnsi="仿宋" w:eastAsia="仿宋_GB2312" w:cs="仿宋_GB2312"/>
          <w:sz w:val="24"/>
        </w:rPr>
        <w:t>（格式后附）</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11.3.2中小企业声明函</w:t>
      </w:r>
      <w:r>
        <w:rPr>
          <w:rFonts w:hint="eastAsia" w:ascii="仿宋_GB2312" w:hAnsi="仿宋" w:eastAsia="仿宋_GB2312" w:cs="仿宋_GB2312"/>
          <w:sz w:val="24"/>
        </w:rPr>
        <w:t>；（格式后附）</w:t>
      </w:r>
    </w:p>
    <w:p>
      <w:pPr>
        <w:snapToGrid w:val="0"/>
        <w:spacing w:line="360" w:lineRule="auto"/>
        <w:ind w:firstLine="960" w:firstLineChars="400"/>
        <w:rPr>
          <w:rFonts w:hint="eastAsia" w:ascii="仿宋_GB2312" w:hAnsi="仿宋" w:eastAsia="仿宋_GB2312" w:cs="仿宋_GB2312"/>
          <w:sz w:val="24"/>
          <w:lang w:val="zh-CN"/>
        </w:rPr>
      </w:pPr>
      <w:r>
        <w:rPr>
          <w:rFonts w:hint="eastAsia" w:ascii="仿宋_GB2312" w:hAnsi="仿宋" w:eastAsia="仿宋_GB2312" w:cs="仿宋_GB2312"/>
          <w:sz w:val="24"/>
          <w:lang w:val="zh-CN"/>
        </w:rPr>
        <w:t>1</w:t>
      </w:r>
      <w:r>
        <w:rPr>
          <w:rFonts w:ascii="仿宋_GB2312" w:hAnsi="仿宋" w:eastAsia="仿宋_GB2312" w:cs="仿宋_GB2312"/>
          <w:sz w:val="24"/>
          <w:lang w:val="zh-CN"/>
        </w:rPr>
        <w:t>1.3.3</w:t>
      </w:r>
      <w:r>
        <w:rPr>
          <w:rFonts w:hint="eastAsia" w:ascii="仿宋_GB2312" w:hAnsi="仿宋" w:eastAsia="仿宋_GB2312" w:cs="仿宋_GB2312"/>
          <w:sz w:val="24"/>
          <w:lang w:val="zh-CN"/>
        </w:rPr>
        <w:t>投标人认为需要提供的其他资料。</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128"/>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下载专区</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128"/>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128"/>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5"/>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35"/>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w:t>
      </w:r>
      <w:r>
        <w:rPr>
          <w:rFonts w:hint="eastAsia" w:ascii="仿宋_GB2312" w:hAnsi="仿宋" w:eastAsia="仿宋_GB2312" w:cs="仿宋_GB2312"/>
          <w:sz w:val="24"/>
          <w:szCs w:val="24"/>
        </w:rPr>
        <w:t>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5"/>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sz w:val="24"/>
          <w:szCs w:val="24"/>
        </w:rPr>
        <w:t>招标文件第二部分投标人须知前附表规定的备份投标文件送达地点；</w:t>
      </w:r>
      <w:r>
        <w:rPr>
          <w:rFonts w:hint="eastAsia" w:ascii="仿宋_GB2312" w:hAnsi="仿宋" w:eastAsia="仿宋_GB2312" w:cs="仿宋_GB2312"/>
          <w:sz w:val="24"/>
          <w:szCs w:val="24"/>
        </w:rPr>
        <w:t>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15.5投标人仅提交备份投标文件，没有在电子交易平台传输递交投标文件的，投标无效。</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7"/>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128"/>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128"/>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ascii="仿宋_GB2312" w:hAnsi="仿宋" w:eastAsia="仿宋_GB2312" w:cs="仿宋_GB2312"/>
          <w:b/>
          <w:sz w:val="32"/>
        </w:rPr>
      </w:pPr>
    </w:p>
    <w:p>
      <w:pPr>
        <w:pStyle w:val="128"/>
        <w:spacing w:before="0"/>
        <w:ind w:firstLine="643"/>
        <w:rPr>
          <w:rFonts w:ascii="仿宋_GB2312" w:hAnsi="仿宋" w:eastAsia="仿宋_GB2312" w:cs="仿宋_GB2312"/>
          <w:b/>
          <w:sz w:val="32"/>
        </w:rPr>
      </w:pPr>
    </w:p>
    <w:p>
      <w:pPr>
        <w:pStyle w:val="128"/>
        <w:spacing w:before="0"/>
        <w:ind w:firstLine="643"/>
        <w:rPr>
          <w:rFonts w:ascii="仿宋_GB2312" w:hAnsi="仿宋" w:eastAsia="仿宋_GB2312" w:cs="仿宋_GB2312"/>
          <w:b/>
          <w:sz w:val="32"/>
        </w:rPr>
      </w:pPr>
    </w:p>
    <w:p>
      <w:pPr>
        <w:pStyle w:val="128"/>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554"/>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554"/>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128"/>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128"/>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128"/>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128"/>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12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t>
      </w:r>
      <w:r>
        <w:rPr>
          <w:rFonts w:hint="eastAsia" w:ascii="仿宋_GB2312" w:hAnsi="仿宋" w:eastAsia="仿宋_GB2312" w:cs="Arial"/>
          <w:kern w:val="0"/>
          <w:szCs w:val="24"/>
          <w:lang w:eastAsia="zh-CN"/>
        </w:rPr>
        <w:t>（</w:t>
      </w:r>
      <w:r>
        <w:rPr>
          <w:rFonts w:ascii="仿宋_GB2312" w:hAnsi="仿宋" w:eastAsia="仿宋_GB2312" w:cs="Arial"/>
          <w:kern w:val="0"/>
          <w:szCs w:val="24"/>
        </w:rPr>
        <w:t>www.creditchina.gov.cn)、中国政府采购网</w:t>
      </w:r>
      <w:r>
        <w:rPr>
          <w:rFonts w:hint="eastAsia" w:ascii="仿宋_GB2312" w:hAnsi="仿宋" w:eastAsia="仿宋_GB2312" w:cs="Arial"/>
          <w:kern w:val="0"/>
          <w:szCs w:val="24"/>
          <w:lang w:eastAsia="zh-CN"/>
        </w:rPr>
        <w:t>（</w:t>
      </w:r>
      <w:r>
        <w:rPr>
          <w:rFonts w:ascii="仿宋_GB2312" w:hAnsi="仿宋" w:eastAsia="仿宋_GB2312" w:cs="Arial"/>
          <w:kern w:val="0"/>
          <w:szCs w:val="24"/>
        </w:rPr>
        <w:t>www.ccgp.gov.cn</w:t>
      </w:r>
      <w:r>
        <w:rPr>
          <w:rFonts w:hint="eastAsia" w:ascii="仿宋_GB2312" w:hAnsi="仿宋" w:eastAsia="仿宋_GB2312" w:cs="Arial"/>
          <w:kern w:val="0"/>
          <w:szCs w:val="24"/>
          <w:lang w:eastAsia="zh-CN"/>
        </w:rPr>
        <w:t>）</w:t>
      </w:r>
      <w:r>
        <w:rPr>
          <w:rFonts w:ascii="仿宋_GB2312" w:hAnsi="仿宋" w:eastAsia="仿宋_GB2312" w:cs="Arial"/>
          <w:kern w:val="0"/>
          <w:szCs w:val="24"/>
        </w:rPr>
        <w:t>渠道查询投标人投标截止时间当天的信用记录。</w:t>
      </w:r>
    </w:p>
    <w:p>
      <w:pPr>
        <w:pStyle w:val="12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128"/>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pStyle w:val="7"/>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128"/>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5个工作日内通过电子交易平台在评审报告推荐的中标候选人中按顺序确定中标供应商。</w:t>
      </w:r>
    </w:p>
    <w:p>
      <w:pPr>
        <w:pStyle w:val="128"/>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7"/>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7"/>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128"/>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7"/>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w:t>
      </w:r>
      <w:r>
        <w:rPr>
          <w:rFonts w:hint="eastAsia" w:ascii="仿宋_GB2312" w:hAnsi="仿宋" w:eastAsia="仿宋_GB2312"/>
          <w:sz w:val="24"/>
          <w:lang w:val="en-US" w:eastAsia="zh-CN"/>
        </w:rPr>
        <w:t>1</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tabs>
          <w:tab w:val="left" w:pos="0"/>
        </w:tabs>
        <w:spacing w:line="360" w:lineRule="auto"/>
        <w:ind w:firstLine="482"/>
        <w:rPr>
          <w:rFonts w:ascii="仿宋_GB2312" w:hAnsi="仿宋" w:eastAsia="仿宋_GB2312" w:cs="仿宋_GB2312"/>
          <w:sz w:val="24"/>
          <w:szCs w:val="20"/>
        </w:rPr>
      </w:pPr>
      <w:r>
        <w:rPr>
          <w:rFonts w:hint="eastAsia" w:ascii="仿宋_GB2312" w:hAnsi="仿宋" w:eastAsia="仿宋_GB2312" w:cs="仿宋_GB2312"/>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w:t>
      </w:r>
      <w:r>
        <w:rPr>
          <w:rFonts w:hint="eastAsia" w:ascii="仿宋_GB2312" w:hAnsi="仿宋" w:eastAsia="仿宋_GB2312" w:cs="仿宋_GB2312"/>
          <w:sz w:val="24"/>
          <w:szCs w:val="20"/>
          <w:lang w:val="en-US" w:eastAsia="zh-CN"/>
        </w:rPr>
        <w:t>1</w:t>
      </w:r>
      <w:r>
        <w:rPr>
          <w:rFonts w:hint="eastAsia" w:ascii="仿宋_GB2312" w:hAnsi="仿宋" w:eastAsia="仿宋_GB2312" w:cs="仿宋_GB2312"/>
          <w:sz w:val="24"/>
          <w:szCs w:val="20"/>
        </w:rPr>
        <w:t>%；评价总分在90分以下或者暂无评分的，收取履约保证金不得高于合同金额</w:t>
      </w:r>
      <w:r>
        <w:rPr>
          <w:rFonts w:hint="eastAsia" w:ascii="仿宋_GB2312" w:hAnsi="仿宋" w:eastAsia="仿宋_GB2312" w:cs="仿宋_GB2312"/>
          <w:sz w:val="24"/>
          <w:szCs w:val="20"/>
          <w:lang w:val="en-US" w:eastAsia="zh-CN"/>
        </w:rPr>
        <w:t>1</w:t>
      </w:r>
      <w:r>
        <w:rPr>
          <w:rFonts w:hint="eastAsia" w:ascii="仿宋_GB2312" w:hAnsi="仿宋" w:eastAsia="仿宋_GB2312" w:cs="仿宋_GB2312"/>
          <w:sz w:val="24"/>
          <w:szCs w:val="20"/>
        </w:rPr>
        <w:t>%。</w:t>
      </w:r>
    </w:p>
    <w:p>
      <w:pPr>
        <w:pStyle w:val="4"/>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w:t>
      </w:r>
      <w:r>
        <w:rPr>
          <w:rFonts w:hint="eastAsia"/>
          <w:b w:val="0"/>
          <w:bCs w:val="0"/>
          <w:snapToGrid w:val="0"/>
          <w:kern w:val="28"/>
          <w:sz w:val="24"/>
          <w:lang w:eastAsia="zh-CN"/>
        </w:rPr>
        <w:t>－</w:t>
      </w:r>
      <w:r>
        <w:rPr>
          <w:rFonts w:hint="eastAsia"/>
          <w:b w:val="0"/>
          <w:bCs w:val="0"/>
          <w:snapToGrid w:val="0"/>
          <w:kern w:val="28"/>
          <w:sz w:val="24"/>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128"/>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128"/>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7"/>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sectPr>
          <w:headerReference r:id="rId6" w:type="first"/>
          <w:footerReference r:id="rId9" w:type="first"/>
          <w:headerReference r:id="rId5" w:type="default"/>
          <w:footerReference r:id="rId7" w:type="default"/>
          <w:footerReference r:id="rId8"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4" w:name="_Hlt74714665"/>
      <w:bookmarkEnd w:id="14"/>
      <w:bookmarkStart w:id="15" w:name="_Hlt68057669"/>
      <w:bookmarkEnd w:id="15"/>
      <w:bookmarkStart w:id="16" w:name="_Hlt68403820"/>
      <w:bookmarkEnd w:id="16"/>
      <w:bookmarkStart w:id="17" w:name="_Hlt74707468"/>
      <w:bookmarkEnd w:id="17"/>
      <w:bookmarkStart w:id="18" w:name="_Hlt74730295"/>
      <w:bookmarkEnd w:id="18"/>
      <w:bookmarkStart w:id="19" w:name="_Hlt68072998"/>
      <w:bookmarkEnd w:id="19"/>
      <w:bookmarkStart w:id="20" w:name="_Hlt75236290"/>
      <w:bookmarkEnd w:id="20"/>
      <w:bookmarkStart w:id="21" w:name="_Hlt75236011"/>
      <w:bookmarkEnd w:id="21"/>
      <w:bookmarkStart w:id="22" w:name="_Hlt75236101"/>
      <w:bookmarkEnd w:id="22"/>
      <w:bookmarkStart w:id="23" w:name="_Hlt68072990"/>
      <w:bookmarkEnd w:id="23"/>
      <w:bookmarkStart w:id="24" w:name="_Hlt74729768"/>
      <w:bookmarkEnd w:id="24"/>
      <w:bookmarkStart w:id="25" w:name="_Hlt68073093"/>
      <w:bookmarkEnd w:id="25"/>
    </w:p>
    <w:bookmarkEnd w:id="11"/>
    <w:bookmarkEnd w:id="12"/>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numPr>
          <w:ilvl w:val="0"/>
          <w:numId w:val="1"/>
        </w:numPr>
        <w:jc w:val="left"/>
        <w:rPr>
          <w:rFonts w:hint="eastAsia"/>
          <w:b/>
          <w:bCs/>
          <w:sz w:val="28"/>
          <w:szCs w:val="28"/>
          <w:lang w:val="en-US" w:eastAsia="zh-CN"/>
        </w:rPr>
      </w:pPr>
      <w:r>
        <w:rPr>
          <w:rFonts w:hint="eastAsia"/>
          <w:b/>
          <w:bCs/>
          <w:sz w:val="28"/>
          <w:szCs w:val="28"/>
          <w:lang w:val="en-US" w:eastAsia="zh-CN"/>
        </w:rPr>
        <w:t>项目背景</w:t>
      </w:r>
    </w:p>
    <w:p>
      <w:pPr>
        <w:spacing w:line="560" w:lineRule="exact"/>
        <w:ind w:firstLine="560" w:firstLineChars="200"/>
        <w:rPr>
          <w:rFonts w:hint="eastAsia" w:ascii="仿宋" w:hAnsi="仿宋" w:eastAsia="仿宋"/>
          <w:sz w:val="28"/>
          <w:szCs w:val="28"/>
          <w:highlight w:val="none"/>
        </w:rPr>
      </w:pPr>
      <w:bookmarkStart w:id="27" w:name="_Toc25559"/>
      <w:r>
        <w:rPr>
          <w:rFonts w:hint="eastAsia" w:ascii="仿宋" w:hAnsi="仿宋" w:eastAsia="仿宋"/>
          <w:sz w:val="28"/>
          <w:szCs w:val="28"/>
          <w:highlight w:val="none"/>
        </w:rPr>
        <w:t>根据《浙江省自然资源厅关于开展“保好耕地一件事”场景推广工作的通知》（浙自然资厅函〔2021〕855号），“保护耕地一件事”场景已纳入数字政府“浙政粮安”重大应用，旨在全面动态掌握耕地资源数据，坚决遏制耕地“非农化”，同时畅通社会公众参与渠道，共同守好“饭碗田”</w:t>
      </w:r>
      <w:bookmarkEnd w:id="27"/>
      <w:r>
        <w:rPr>
          <w:rFonts w:hint="eastAsia" w:ascii="仿宋" w:hAnsi="仿宋" w:eastAsia="仿宋"/>
          <w:sz w:val="28"/>
          <w:szCs w:val="28"/>
          <w:highlight w:val="none"/>
        </w:rPr>
        <w:t>。</w:t>
      </w:r>
    </w:p>
    <w:p>
      <w:pPr>
        <w:spacing w:line="560" w:lineRule="exact"/>
        <w:ind w:firstLine="560" w:firstLineChars="200"/>
        <w:rPr>
          <w:rFonts w:hint="eastAsia" w:ascii="仿宋" w:hAnsi="仿宋" w:eastAsia="仿宋"/>
          <w:sz w:val="28"/>
          <w:szCs w:val="28"/>
          <w:highlight w:val="none"/>
        </w:rPr>
      </w:pPr>
      <w:bookmarkStart w:id="528" w:name="_GoBack"/>
      <w:bookmarkEnd w:id="528"/>
      <w:r>
        <w:rPr>
          <w:rFonts w:hint="eastAsia" w:ascii="仿宋" w:hAnsi="仿宋" w:eastAsia="仿宋"/>
          <w:sz w:val="28"/>
          <w:szCs w:val="28"/>
          <w:highlight w:val="none"/>
        </w:rPr>
        <w:t>2022年4月，省自然资源厅下发《浙江省自然资源厅关于做好省域空间治理数字化平台2.0“耕地智保”场景应用贯通工作的通知》（浙自然资厅函〔2022〕397号），文件进一步明确求“耕地智保”应用是省域空间治理数字化平台2.0的重要应用场景之一，是全面落实耕地保护，推行田长制的重要抓手。要求各地充分利用铁塔高位视频、电子围栏、智能算法等技术资源，通过利用存量资源和新增视频、业务服务贯通等工作，将“铁塔视联”应用于“耕地智保”场景，实时发现违法违规占用耕地行为。</w:t>
      </w:r>
    </w:p>
    <w:p>
      <w:pPr>
        <w:spacing w:line="56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中共浙江省委办公厅、浙江省人民政府办公厅于2022年4月印发《关于落实最严格的耕地保护制度全面推行田长制的意见的通知》（厅字〔2022〕15号），要求“全面推行耕地智保、天巡地查等应用场景，采用视频监控、遥感监测、卫片执法等数字化手段，全覆盖、无死角监督耕地变化”。</w:t>
      </w:r>
    </w:p>
    <w:p>
      <w:pPr>
        <w:spacing w:line="560" w:lineRule="exact"/>
        <w:ind w:firstLine="560" w:firstLineChars="200"/>
        <w:rPr>
          <w:rFonts w:hint="eastAsia" w:ascii="仿宋" w:hAnsi="仿宋" w:eastAsia="仿宋"/>
          <w:sz w:val="28"/>
          <w:szCs w:val="28"/>
          <w:highlight w:val="yellow"/>
        </w:rPr>
      </w:pPr>
    </w:p>
    <w:p>
      <w:pPr>
        <w:pStyle w:val="2"/>
        <w:rPr>
          <w:rFonts w:hint="eastAsia"/>
        </w:rPr>
      </w:pPr>
    </w:p>
    <w:p>
      <w:pPr>
        <w:numPr>
          <w:ilvl w:val="0"/>
          <w:numId w:val="0"/>
        </w:numPr>
        <w:jc w:val="left"/>
        <w:rPr>
          <w:rFonts w:hint="eastAsia" w:eastAsia="宋体" w:cs="Times New Roman"/>
          <w:b/>
          <w:bCs/>
          <w:sz w:val="28"/>
          <w:szCs w:val="28"/>
          <w:lang w:val="en-US" w:eastAsia="zh-CN"/>
        </w:rPr>
      </w:pPr>
      <w:r>
        <w:rPr>
          <w:rFonts w:hint="eastAsia" w:eastAsia="宋体" w:cs="Times New Roman"/>
          <w:b/>
          <w:bCs/>
          <w:sz w:val="28"/>
          <w:szCs w:val="28"/>
          <w:lang w:val="en-US" w:eastAsia="zh-CN"/>
        </w:rPr>
        <w:t>二、项目主要建设内容、预期目标</w:t>
      </w:r>
    </w:p>
    <w:p>
      <w:pPr>
        <w:pStyle w:val="2"/>
        <w:rPr>
          <w:rFonts w:hint="eastAsia"/>
          <w:lang w:val="en-US" w:eastAsia="zh-CN"/>
        </w:rPr>
      </w:pPr>
    </w:p>
    <w:p>
      <w:pPr>
        <w:spacing w:line="360" w:lineRule="auto"/>
        <w:ind w:firstLine="560" w:firstLineChars="200"/>
        <w:rPr>
          <w:rFonts w:ascii="仿宋" w:hAnsi="仿宋" w:eastAsia="仿宋"/>
          <w:sz w:val="28"/>
          <w:szCs w:val="28"/>
        </w:rPr>
      </w:pPr>
      <w:r>
        <w:rPr>
          <w:rFonts w:hint="eastAsia" w:ascii="仿宋" w:hAnsi="仿宋" w:eastAsia="仿宋"/>
          <w:sz w:val="28"/>
          <w:szCs w:val="28"/>
        </w:rPr>
        <w:t>本项目建设内容主要包括：</w:t>
      </w:r>
      <w:r>
        <w:rPr>
          <w:rFonts w:hint="eastAsia" w:ascii="仿宋" w:hAnsi="仿宋" w:eastAsia="仿宋"/>
          <w:sz w:val="28"/>
          <w:szCs w:val="28"/>
          <w:lang w:eastAsia="zh-CN"/>
        </w:rPr>
        <w:t>“</w:t>
      </w:r>
      <w:r>
        <w:rPr>
          <w:rFonts w:hint="eastAsia" w:ascii="仿宋" w:hAnsi="仿宋" w:eastAsia="仿宋"/>
          <w:sz w:val="28"/>
          <w:szCs w:val="28"/>
          <w:lang w:val="en-US" w:eastAsia="zh-CN"/>
        </w:rPr>
        <w:t>耕地智保</w:t>
      </w:r>
      <w:r>
        <w:rPr>
          <w:rFonts w:hint="eastAsia" w:ascii="仿宋" w:hAnsi="仿宋" w:eastAsia="仿宋"/>
          <w:sz w:val="28"/>
          <w:szCs w:val="28"/>
          <w:lang w:eastAsia="zh-CN"/>
        </w:rPr>
        <w:t>”</w:t>
      </w:r>
      <w:r>
        <w:rPr>
          <w:rFonts w:hint="eastAsia" w:ascii="仿宋" w:hAnsi="仿宋" w:eastAsia="仿宋"/>
          <w:sz w:val="28"/>
          <w:szCs w:val="28"/>
          <w:lang w:val="en-US" w:eastAsia="zh-CN"/>
        </w:rPr>
        <w:t>场景配套</w:t>
      </w:r>
      <w:r>
        <w:rPr>
          <w:rFonts w:hint="eastAsia" w:ascii="仿宋" w:hAnsi="仿宋" w:eastAsia="仿宋"/>
          <w:sz w:val="28"/>
          <w:szCs w:val="28"/>
        </w:rPr>
        <w:t>高位视频探头的布点设计、前</w:t>
      </w:r>
      <w:r>
        <w:rPr>
          <w:rFonts w:hint="eastAsia" w:ascii="仿宋" w:hAnsi="仿宋" w:eastAsia="仿宋"/>
          <w:sz w:val="28"/>
          <w:szCs w:val="28"/>
          <w:lang w:val="en-US" w:eastAsia="zh-CN"/>
        </w:rPr>
        <w:t>端</w:t>
      </w:r>
      <w:r>
        <w:rPr>
          <w:rFonts w:hint="eastAsia" w:ascii="仿宋" w:hAnsi="仿宋" w:eastAsia="仿宋"/>
          <w:sz w:val="28"/>
          <w:szCs w:val="28"/>
        </w:rPr>
        <w:t>安装调试以及“耕地智保”场景接入三个部分</w:t>
      </w:r>
      <w:r>
        <w:rPr>
          <w:rFonts w:hint="eastAsia" w:ascii="仿宋" w:hAnsi="仿宋" w:eastAsia="仿宋"/>
          <w:color w:val="auto"/>
          <w:sz w:val="24"/>
          <w:highlight w:val="none"/>
        </w:rPr>
        <w:t>。</w:t>
      </w:r>
      <w:r>
        <w:rPr>
          <w:rFonts w:hint="eastAsia" w:ascii="仿宋" w:hAnsi="仿宋" w:eastAsia="仿宋"/>
          <w:sz w:val="28"/>
          <w:szCs w:val="28"/>
          <w:highlight w:val="none"/>
          <w:lang w:val="en-US" w:eastAsia="zh-CN"/>
        </w:rPr>
        <w:t>其中</w:t>
      </w:r>
      <w:r>
        <w:rPr>
          <w:rFonts w:hint="eastAsia" w:ascii="仿宋" w:hAnsi="仿宋" w:eastAsia="仿宋"/>
          <w:sz w:val="28"/>
          <w:szCs w:val="28"/>
          <w:highlight w:val="none"/>
        </w:rPr>
        <w:t>铁塔建设</w:t>
      </w:r>
      <w:r>
        <w:rPr>
          <w:rFonts w:hint="eastAsia" w:ascii="仿宋" w:hAnsi="仿宋" w:eastAsia="仿宋"/>
          <w:sz w:val="28"/>
          <w:szCs w:val="28"/>
        </w:rPr>
        <w:t>部分包括摄像机的建设、安装、调试、运维及视频存储、汇聚传输等内容，系统采用物联网三层架构，由前端感知系统、网络传输和监控中心组成。</w:t>
      </w:r>
    </w:p>
    <w:p>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为更好适应耕地数量、质量、生态“三位一体”保护，坚守住耕地红线</w:t>
      </w:r>
      <w:r>
        <w:rPr>
          <w:rFonts w:hint="eastAsia" w:ascii="仿宋" w:hAnsi="仿宋" w:eastAsia="仿宋"/>
          <w:sz w:val="28"/>
          <w:szCs w:val="28"/>
          <w:highlight w:val="none"/>
        </w:rPr>
        <w:t>，通过建立</w:t>
      </w:r>
      <w:r>
        <w:rPr>
          <w:rFonts w:hint="eastAsia" w:ascii="仿宋" w:hAnsi="仿宋" w:eastAsia="仿宋"/>
          <w:sz w:val="28"/>
          <w:szCs w:val="28"/>
          <w:highlight w:val="none"/>
          <w:lang w:eastAsia="zh-CN"/>
        </w:rPr>
        <w:t>桐庐</w:t>
      </w:r>
      <w:r>
        <w:rPr>
          <w:rFonts w:hint="eastAsia" w:ascii="仿宋" w:hAnsi="仿宋" w:eastAsia="仿宋"/>
          <w:sz w:val="28"/>
          <w:szCs w:val="28"/>
          <w:highlight w:val="none"/>
        </w:rPr>
        <w:t>县“耕地智保”</w:t>
      </w:r>
      <w:r>
        <w:rPr>
          <w:rFonts w:hint="eastAsia" w:ascii="仿宋" w:hAnsi="仿宋" w:eastAsia="仿宋"/>
          <w:sz w:val="28"/>
          <w:szCs w:val="28"/>
          <w:highlight w:val="none"/>
          <w:lang w:val="en-US" w:eastAsia="zh-CN"/>
        </w:rPr>
        <w:t>场景配套高位视频探头以及铁塔视联平台</w:t>
      </w:r>
      <w:r>
        <w:rPr>
          <w:rFonts w:hint="eastAsia" w:ascii="仿宋" w:hAnsi="仿宋" w:eastAsia="仿宋"/>
          <w:sz w:val="28"/>
          <w:szCs w:val="28"/>
          <w:highlight w:val="none"/>
        </w:rPr>
        <w:t>，</w:t>
      </w:r>
      <w:r>
        <w:rPr>
          <w:rFonts w:hint="eastAsia" w:ascii="仿宋" w:hAnsi="仿宋" w:eastAsia="仿宋"/>
          <w:sz w:val="28"/>
          <w:szCs w:val="28"/>
        </w:rPr>
        <w:t>加强对</w:t>
      </w:r>
      <w:r>
        <w:rPr>
          <w:rFonts w:hint="eastAsia" w:ascii="仿宋" w:hAnsi="仿宋" w:eastAsia="仿宋"/>
          <w:sz w:val="28"/>
          <w:szCs w:val="28"/>
          <w:lang w:eastAsia="zh-CN"/>
        </w:rPr>
        <w:t>桐庐</w:t>
      </w:r>
      <w:r>
        <w:rPr>
          <w:rFonts w:hint="eastAsia" w:ascii="仿宋" w:hAnsi="仿宋" w:eastAsia="仿宋"/>
          <w:sz w:val="28"/>
          <w:szCs w:val="28"/>
        </w:rPr>
        <w:t>县全域耕地保护与利用情况的动态监测监管，同时采用高位视频监控、AI识别、GIS等信息技术，将耕地管理业务数据和前端摄像机视频感知数据进行有效融合，通过“人防+技防”，全面落实“田长制”，建立实施“早发现、早制止、早处置”机制，遏制新增耕地“非农化”、“非粮化”，确保耕地面积不减少、质量不降低、保障粮食安全的“新常态”。</w:t>
      </w:r>
    </w:p>
    <w:p>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充分融合视频数据、AI识别算法等核心资源优势，并全面推行“田长制”，形成“人防+技防”的工作机制，实现耕地用途监管全方位覆盖、全流程闭环，形成措施有力、执行顺畅、管理有效的耕地保护新格局。</w:t>
      </w:r>
    </w:p>
    <w:p>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桐庐县“耕地智保”工作要求，项目拟新建173路监控视频点位，桐庐县采用3年视频点位数据服务的形式，建设内容和建设规模如下：</w:t>
      </w:r>
    </w:p>
    <w:p>
      <w:pPr>
        <w:spacing w:line="560" w:lineRule="exact"/>
        <w:ind w:firstLine="560" w:firstLineChars="200"/>
        <w:rPr>
          <w:rFonts w:hint="eastAsia" w:ascii="仿宋" w:hAnsi="仿宋" w:eastAsia="仿宋"/>
          <w:sz w:val="28"/>
          <w:szCs w:val="28"/>
        </w:rPr>
      </w:pPr>
      <w:bookmarkStart w:id="28" w:name="_Toc21756"/>
      <w:r>
        <w:rPr>
          <w:rFonts w:hint="eastAsia" w:ascii="仿宋" w:hAnsi="仿宋" w:eastAsia="仿宋"/>
          <w:sz w:val="28"/>
          <w:szCs w:val="28"/>
        </w:rPr>
        <w:t>前端建设</w:t>
      </w:r>
      <w:bookmarkEnd w:id="28"/>
    </w:p>
    <w:p>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建设高清监控173路，具体点位清单、点位经纬度及要求如下：</w:t>
      </w:r>
    </w:p>
    <w:tbl>
      <w:tblPr>
        <w:tblStyle w:val="62"/>
        <w:tblW w:w="12581" w:type="dxa"/>
        <w:jc w:val="center"/>
        <w:tblLayout w:type="fixed"/>
        <w:tblCellMar>
          <w:top w:w="0" w:type="dxa"/>
          <w:left w:w="108" w:type="dxa"/>
          <w:bottom w:w="0" w:type="dxa"/>
          <w:right w:w="108" w:type="dxa"/>
        </w:tblCellMar>
      </w:tblPr>
      <w:tblGrid>
        <w:gridCol w:w="1481"/>
        <w:gridCol w:w="1514"/>
        <w:gridCol w:w="1380"/>
        <w:gridCol w:w="1437"/>
        <w:gridCol w:w="1356"/>
        <w:gridCol w:w="5413"/>
      </w:tblGrid>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C5D9F1"/>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地市</w:t>
            </w:r>
          </w:p>
        </w:tc>
        <w:tc>
          <w:tcPr>
            <w:tcW w:w="1514" w:type="dxa"/>
            <w:tcBorders>
              <w:top w:val="single" w:color="000000" w:sz="4" w:space="0"/>
              <w:left w:val="single" w:color="000000" w:sz="4" w:space="0"/>
              <w:bottom w:val="single" w:color="000000" w:sz="4" w:space="0"/>
              <w:right w:val="single" w:color="000000" w:sz="4" w:space="0"/>
            </w:tcBorders>
            <w:shd w:val="clear" w:color="auto" w:fill="C5D9F1"/>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区县</w:t>
            </w:r>
          </w:p>
        </w:tc>
        <w:tc>
          <w:tcPr>
            <w:tcW w:w="1380" w:type="dxa"/>
            <w:tcBorders>
              <w:top w:val="single" w:color="000000" w:sz="4" w:space="0"/>
              <w:left w:val="single" w:color="000000" w:sz="4" w:space="0"/>
              <w:bottom w:val="single" w:color="000000" w:sz="4" w:space="0"/>
              <w:right w:val="single" w:color="000000" w:sz="4" w:space="0"/>
            </w:tcBorders>
            <w:shd w:val="clear" w:color="auto" w:fill="C5D9F1"/>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乡镇（街道）</w:t>
            </w:r>
          </w:p>
        </w:tc>
        <w:tc>
          <w:tcPr>
            <w:tcW w:w="1437" w:type="dxa"/>
            <w:tcBorders>
              <w:top w:val="single" w:color="000000" w:sz="4" w:space="0"/>
              <w:left w:val="single" w:color="000000" w:sz="4" w:space="0"/>
              <w:bottom w:val="single" w:color="000000" w:sz="4" w:space="0"/>
              <w:right w:val="single" w:color="000000" w:sz="4" w:space="0"/>
            </w:tcBorders>
            <w:shd w:val="clear" w:color="auto" w:fill="C5D9F1"/>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经度</w:t>
            </w:r>
          </w:p>
        </w:tc>
        <w:tc>
          <w:tcPr>
            <w:tcW w:w="1356" w:type="dxa"/>
            <w:tcBorders>
              <w:top w:val="single" w:color="000000" w:sz="4" w:space="0"/>
              <w:left w:val="single" w:color="000000" w:sz="4" w:space="0"/>
              <w:bottom w:val="single" w:color="000000" w:sz="4" w:space="0"/>
              <w:right w:val="single" w:color="000000" w:sz="4" w:space="0"/>
            </w:tcBorders>
            <w:shd w:val="clear" w:color="auto" w:fill="C5D9F1"/>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纬度</w:t>
            </w:r>
          </w:p>
        </w:tc>
        <w:tc>
          <w:tcPr>
            <w:tcW w:w="5413" w:type="dxa"/>
            <w:tcBorders>
              <w:top w:val="single" w:color="000000" w:sz="4" w:space="0"/>
              <w:left w:val="single" w:color="000000" w:sz="4" w:space="0"/>
              <w:bottom w:val="single" w:color="000000" w:sz="4" w:space="0"/>
              <w:right w:val="single" w:color="000000" w:sz="4" w:space="0"/>
            </w:tcBorders>
            <w:shd w:val="clear" w:color="auto" w:fill="C5D9F1"/>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要求</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合村乡</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29.909059</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119.278295</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分水镇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119.46309</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30.06214</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城南街道</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119.636871</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29.766801</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横村镇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29.878401</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119.648001</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分水镇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119.496269</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29.977262</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横村镇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119.557343</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29.825207</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百江镇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119.382682</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29.863546</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分水镇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119.418542</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29.918157</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旧县街道</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119.6222201</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29.810153</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横村镇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119.522014</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29.827178</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钟山乡</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119.510585</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29.753875</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分水镇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119.422242</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29.894786</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旧县街道</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29.790601</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119.610386</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横村镇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29.827496</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119.608136</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分水镇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29.95471</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119.38449</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分水镇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119.352084</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29.959345</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桐君街道</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119.730891</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29.854311</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横村镇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119.641995</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29.898716</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瑶琳镇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119.533177</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29.970251</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分水镇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119.485001</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29.910701</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桐君街道</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29.847365</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119.662837</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瑶琳镇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119.592492</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29.928732</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合村乡</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119.303811</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29.931431</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钟山乡</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119.511985</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29.741139</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瑶琳镇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119.569438</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29.951404</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钟山乡</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29.760561</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119.508281</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分水镇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119.469821</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29.924441</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横村镇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29.864082</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119.625066</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瑶琳镇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119.511523</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29.868361</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百江镇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119.304821</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29.852591</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横村镇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119.659061</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29.887271</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江南镇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119.796421</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29.836261</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横村镇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119.602131</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29.864487</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横村镇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119.568868</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29.888598</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瑶琳镇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119.592675</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29.947016</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横村镇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119.580775</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29.837625</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钟山乡</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29.78265</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119.54575</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百江镇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119.334466</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29.808020</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分水镇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119.46349</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30.04609</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分水镇</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119.400551</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29.908671</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钟山乡</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29.756003</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119.536259</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横村镇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119.593448</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29.832089</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瑶琳镇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119.475522</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29.897643</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钟山乡</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119.525271</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29.779509</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江南镇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119.787001</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29.845001</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横村镇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119.668021</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29.894331</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分水镇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119.441218</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30.023346</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江南镇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119.860691</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29.839881</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分水镇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29.974465</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119.374569</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百江镇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119.346889</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29.832374</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钟山乡</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119.453951</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29.758699</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江南镇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119.820001</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29.831301</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分水镇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119.448169</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30.069274</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城南街道</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119.694561</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29.756966</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合村乡</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119.367427</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29.966543</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瑶琳镇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119.590037</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29.909961</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钟山乡</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29.764168</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119.534975</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横村镇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119.589960</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29.857852</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城南街道</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119.707571</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29.763901</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江南镇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119.788731</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29.868131</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横村镇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119.601239</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29.896370</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钟山乡</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119.478200</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29.746168</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分水镇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119.47389</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30.06389</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江南镇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119.76793</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29.870694</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横村镇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29.91306</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119.60826</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江南镇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119.805378</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29.851049</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富春江镇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119.632395</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29.728729</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瑶琳镇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119.532091</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29.915611</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横村镇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119.580649</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29.871701</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江南镇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119.796827</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29.823971</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桐君街道</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29.839005</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119.715931</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瑶琳镇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119.501042</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29.951953</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横村镇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119.613869</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29.851603</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百江镇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119.331990</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29.782628</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瑶琳镇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119.494901</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29.923331</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横村镇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119.576985</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29.832186</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城南街道</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119.654843</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29.755047</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桐君街道</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29.821187</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119.630969</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江南镇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119.808627</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29.825316</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江南镇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119.847791</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29.840191</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江南镇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119.837234</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29.849974</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江南镇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119.804261</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29.875931</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江南镇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119.813001</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29.843301</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江南镇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119.782321</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29.831553</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凤川街道</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119.767011</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29.822611</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城南街道</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119.744414</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29.802327</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城南街道</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119.735091</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29.788411</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城南街道</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119.722001</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29.782801</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城南街道</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119.666781</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29.769556</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城南街道</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119.681948</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29.757003</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城南街道</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119.661001</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29.732801</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富春江镇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119.632331</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29.752068</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富春江镇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119.605589</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29.702001</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富春江镇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119.591717</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29.743227</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富春江镇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119.610621</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29.724083</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富春江镇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119.621187</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29.713173</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桐君街道</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29.858046</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119.669463</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桐君街道</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29.82468</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119.645491</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桐君街道</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29.813387</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119.647205</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横村镇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29.844479</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119.621443</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瑶琳镇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119.580669</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29.891481</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横村镇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119.616408</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29.895023</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瑶琳镇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119.617218</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29.926621</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瑶琳镇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119.614312</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29.947935</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瑶琳镇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119.528744</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29.893259</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瑶琳镇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119.520085</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29.887426</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分水镇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29.93754</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119.46576</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分水镇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119.429703</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29.93016</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分水镇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119.458707</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29.926154</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分水镇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119.447291</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29.944211</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百江镇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119.373061</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29.876141</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百江镇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119.348821</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29.848291</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百江镇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119.363237</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29.857174</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百江镇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119.311173</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29.752136</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百江镇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119.277065</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29.848689</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合村乡</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119.253224</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29.901563</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合村乡</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119.270971</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29.914451</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合村乡</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119.312679</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29.943708</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合村乡</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119.326642</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29.947896</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分水镇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119.33332</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29.96894</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分水镇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119.398993</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29.960728</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分水镇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119.395776</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29.973089</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分水镇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119.442913</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29.994685</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分水镇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119.437791</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30.009251</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分水镇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30.01013</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119.46146</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分水镇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119.45461</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30.03349</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瑶琳镇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119.527527</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29.993776</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分水镇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29.96663</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119.48899</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横村镇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119.619914</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29.8255</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旧县街道</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119.609074</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29.801493</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横村镇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29.843711</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119.599814</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横村镇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119.558611</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29.849300</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新合乡</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119.919561</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29.675951</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新合乡</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119.929511</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29.693481</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新合乡</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119.932971</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29.706951</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新合乡</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119.922791</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29.684891</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凤川街道</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119.780651</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29.799781</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凤川街道</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119.772871</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29.806873</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凤川街道</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119.752297</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29.817481</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旧县街道</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29.779963</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119.573171</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旧县街道</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29.779721</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119.600611</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横村镇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119.604312</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29.816223</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横村镇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119.647889</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29.913628</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横村镇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119.503497</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29.816476</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钟山乡</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29.76995</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119.51963</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钟山乡</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119.500851</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29.767498</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钟山乡</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119.494338</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29.736865</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钟山乡</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29.755146</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119.471536</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分水镇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119.483429</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29.946289</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江南镇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119.839271</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29.842551</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江南镇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119.808001</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29.858601</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凤川街道</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119.756641</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29.806191</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富春江镇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119.630421</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29.737101</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旧县街道</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29.79927</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119.64551</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瑶琳镇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29.89926</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119.54458</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瑶琳镇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29.90448</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119.56139</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分水镇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30.05444</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119.49369</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分水镇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119.327535</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29.963269</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百江镇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29.865913</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119.359873</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分水镇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119.381151</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29.899470</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瑶琳镇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119.524516</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29.903477</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百江镇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119.330311</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29.848081</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百江镇</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119.342301</w:t>
            </w: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29.818211</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百江镇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119.349232</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29.808826</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百江镇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119.36425</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29.821126</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瑶琳镇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119.60722</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29.944677</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江南镇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119.830001</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29.852191</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百江镇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119.257571</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29.842451</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分水镇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119.393001</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29.895001</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钟山乡</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119.501936</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29.789565</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横村镇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119.582155</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29.815499</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江南镇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119.821011</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29.861211</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r>
        <w:tblPrEx>
          <w:tblCellMar>
            <w:top w:w="0" w:type="dxa"/>
            <w:left w:w="108" w:type="dxa"/>
            <w:bottom w:w="0" w:type="dxa"/>
            <w:right w:w="108" w:type="dxa"/>
          </w:tblCellMar>
        </w:tblPrEx>
        <w:trPr>
          <w:trHeight w:val="310" w:hRule="atLeast"/>
          <w:jc w:val="center"/>
        </w:trPr>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杭州</w:t>
            </w:r>
          </w:p>
        </w:tc>
        <w:tc>
          <w:tcPr>
            <w:tcW w:w="151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jc w:val="center"/>
              <w:textAlignment w:val="top"/>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桐庐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江南镇</w:t>
            </w:r>
          </w:p>
        </w:tc>
        <w:tc>
          <w:tcPr>
            <w:tcW w:w="143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119.818291</w:t>
            </w:r>
          </w:p>
        </w:tc>
        <w:tc>
          <w:tcPr>
            <w:tcW w:w="135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微软雅黑" w:hAnsi="微软雅黑" w:eastAsia="宋体" w:cs="微软雅黑"/>
                <w:color w:val="000000"/>
                <w:sz w:val="20"/>
                <w:szCs w:val="20"/>
              </w:rPr>
            </w:pPr>
            <w:r>
              <w:rPr>
                <w:rFonts w:hint="eastAsia" w:ascii="微软雅黑" w:hAnsi="微软雅黑" w:eastAsia="宋体" w:cs="微软雅黑"/>
                <w:color w:val="000000"/>
                <w:kern w:val="0"/>
                <w:sz w:val="20"/>
                <w:szCs w:val="20"/>
              </w:rPr>
              <w:t>29.871021</w:t>
            </w:r>
          </w:p>
        </w:tc>
        <w:tc>
          <w:tcPr>
            <w:tcW w:w="5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等线" w:hAnsi="等线" w:eastAsia="宋体" w:cs="等线"/>
                <w:color w:val="000000"/>
                <w:sz w:val="24"/>
              </w:rPr>
            </w:pPr>
            <w:r>
              <w:rPr>
                <w:rFonts w:hint="eastAsia" w:ascii="等线" w:hAnsi="等线" w:eastAsia="宋体" w:cs="等线"/>
                <w:color w:val="000000"/>
                <w:kern w:val="0"/>
                <w:sz w:val="24"/>
              </w:rPr>
              <w:t>具备电力、网络覆盖资源及30米以上高度</w:t>
            </w:r>
          </w:p>
        </w:tc>
      </w:tr>
    </w:tbl>
    <w:p>
      <w:pPr>
        <w:pStyle w:val="25"/>
        <w:tabs>
          <w:tab w:val="left" w:pos="208"/>
        </w:tabs>
        <w:spacing w:line="360" w:lineRule="auto"/>
        <w:rPr>
          <w:rFonts w:hint="default" w:eastAsia="宋体"/>
          <w:lang w:val="en-US" w:eastAsia="zh-CN"/>
        </w:rPr>
      </w:pPr>
      <w:r>
        <w:rPr>
          <w:rFonts w:hint="eastAsia"/>
          <w:lang w:val="en-US" w:eastAsia="zh-CN"/>
        </w:rPr>
        <w:t xml:space="preserve">      备注：项目所涉及的所有监控点位均按照30米以上高度进行方案规划，具体实施时需根据实际情况进行调节。</w:t>
      </w:r>
    </w:p>
    <w:p>
      <w:pPr>
        <w:pStyle w:val="26"/>
        <w:rPr>
          <w:rFonts w:hint="eastAsia" w:eastAsia="宋体"/>
          <w:lang w:val="en-US" w:eastAsia="zh-CN"/>
        </w:rPr>
      </w:pPr>
    </w:p>
    <w:p>
      <w:pPr>
        <w:pStyle w:val="27"/>
        <w:rPr>
          <w:rFonts w:hint="eastAsia" w:eastAsia="宋体"/>
          <w:lang w:val="en-US" w:eastAsia="zh-CN"/>
        </w:rPr>
      </w:pPr>
    </w:p>
    <w:p>
      <w:pPr>
        <w:rPr>
          <w:rFonts w:hint="eastAsia" w:eastAsia="宋体"/>
          <w:lang w:val="en-US" w:eastAsia="zh-CN"/>
        </w:rPr>
      </w:pPr>
    </w:p>
    <w:p>
      <w:pPr>
        <w:pStyle w:val="25"/>
        <w:rPr>
          <w:rFonts w:hint="eastAsia" w:eastAsia="宋体"/>
          <w:lang w:val="en-US" w:eastAsia="zh-CN"/>
        </w:rPr>
      </w:pPr>
    </w:p>
    <w:p>
      <w:pPr>
        <w:pStyle w:val="26"/>
        <w:rPr>
          <w:rFonts w:hint="eastAsia" w:eastAsia="宋体"/>
          <w:lang w:val="en-US" w:eastAsia="zh-CN"/>
        </w:rPr>
      </w:pPr>
    </w:p>
    <w:p>
      <w:pPr>
        <w:pStyle w:val="27"/>
        <w:rPr>
          <w:rFonts w:hint="eastAsia"/>
          <w:lang w:val="en-US" w:eastAsia="zh-CN"/>
        </w:rPr>
      </w:pPr>
    </w:p>
    <w:tbl>
      <w:tblPr>
        <w:tblStyle w:val="62"/>
        <w:tblW w:w="52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307"/>
        <w:gridCol w:w="8762"/>
        <w:gridCol w:w="1360"/>
        <w:gridCol w:w="1360"/>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54"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43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产品类别</w:t>
            </w:r>
          </w:p>
        </w:tc>
        <w:tc>
          <w:tcPr>
            <w:tcW w:w="2937" w:type="pc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422" w:firstLineChars="20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技术规格</w:t>
            </w:r>
          </w:p>
        </w:tc>
        <w:tc>
          <w:tcPr>
            <w:tcW w:w="456"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参考</w:t>
            </w:r>
          </w:p>
          <w:p>
            <w:pPr>
              <w:spacing w:line="24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品牌</w:t>
            </w:r>
          </w:p>
        </w:tc>
        <w:tc>
          <w:tcPr>
            <w:tcW w:w="456"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单位</w:t>
            </w:r>
          </w:p>
        </w:tc>
        <w:tc>
          <w:tcPr>
            <w:tcW w:w="456"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54"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43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前端高位监控视频服务</w:t>
            </w:r>
          </w:p>
        </w:tc>
        <w:tc>
          <w:tcPr>
            <w:tcW w:w="2937"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新建</w:t>
            </w:r>
            <w:r>
              <w:rPr>
                <w:rFonts w:hint="eastAsia" w:cs="仿宋"/>
                <w:color w:val="auto"/>
                <w:szCs w:val="21"/>
                <w:highlight w:val="none"/>
                <w:lang w:val="en-US" w:eastAsia="zh-CN"/>
              </w:rPr>
              <w:t>173</w:t>
            </w:r>
            <w:r>
              <w:rPr>
                <w:rFonts w:hint="eastAsia" w:ascii="仿宋" w:hAnsi="仿宋" w:eastAsia="仿宋" w:cs="仿宋"/>
                <w:color w:val="auto"/>
                <w:szCs w:val="21"/>
                <w:highlight w:val="none"/>
              </w:rPr>
              <w:t>路高位监控接入，具体位置高度满足前表所述。招标人租用专线接入，安装调试，电力引入，维护等；</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1、智能球形摄像机参数要求：</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（1）▲传感器类型 ：1/1.8''CMOS </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（2）▲像素：400 万（</w:t>
            </w:r>
            <w:r>
              <w:rPr>
                <w:rFonts w:hint="eastAsia" w:ascii="仿宋" w:hAnsi="仿宋" w:eastAsia="仿宋" w:cs="仿宋"/>
                <w:color w:val="auto"/>
                <w:szCs w:val="21"/>
                <w:highlight w:val="none"/>
                <w:lang w:val="en-US" w:eastAsia="zh-CN"/>
              </w:rPr>
              <w:t>不低于</w:t>
            </w:r>
            <w:r>
              <w:rPr>
                <w:rFonts w:hint="eastAsia" w:ascii="仿宋" w:hAnsi="仿宋" w:eastAsia="仿宋" w:cs="仿宋"/>
                <w:color w:val="auto"/>
                <w:szCs w:val="21"/>
                <w:highlight w:val="none"/>
              </w:rPr>
              <w:t>）</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Times New Roman" w:eastAsia="仿宋" w:cs="Times New Roman"/>
                <w:color w:val="auto"/>
                <w:sz w:val="21"/>
                <w:szCs w:val="21"/>
                <w:highlight w:val="none"/>
              </w:rPr>
              <w:t>▲</w:t>
            </w:r>
            <w:r>
              <w:rPr>
                <w:rFonts w:hint="eastAsia" w:ascii="仿宋" w:hAnsi="仿宋" w:eastAsia="仿宋" w:cs="仿宋"/>
                <w:color w:val="auto"/>
                <w:szCs w:val="21"/>
                <w:highlight w:val="none"/>
              </w:rPr>
              <w:t xml:space="preserve">最大分辨率：5.3MP@12fps ，4MP@25fps </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（5）电子快门：1/1s~1/30000s </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（6）最低照度：彩色：0.00049Lux@F1.19 黑白：0.00001Lux@F1.19 0Lux（红外灯开启） </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（7）最大补光距离：250m（红外） </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（8）补光灯控制：倍率优先/手动/SmartIR/关闭 </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（9）补光灯数量：6 颗（红外灯） </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（10）补光类型：红外 </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（11）镜头焦距：7.4mm~333mm </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（12）镜头光圈：F1.19-F4.5 </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（13）</w:t>
            </w:r>
            <w:r>
              <w:rPr>
                <w:rFonts w:hint="eastAsia" w:ascii="仿宋" w:hAnsi="Times New Roman" w:eastAsia="仿宋" w:cs="Times New Roman"/>
                <w:color w:val="auto"/>
                <w:sz w:val="21"/>
                <w:szCs w:val="21"/>
                <w:highlight w:val="none"/>
              </w:rPr>
              <w:t>▲</w:t>
            </w:r>
            <w:r>
              <w:rPr>
                <w:rFonts w:hint="eastAsia" w:ascii="仿宋" w:hAnsi="仿宋" w:eastAsia="仿宋" w:cs="仿宋"/>
                <w:color w:val="auto"/>
                <w:szCs w:val="21"/>
                <w:highlight w:val="none"/>
              </w:rPr>
              <w:t xml:space="preserve">光学变倍：45 倍 </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（14）聚焦模式：自动/半自动/手动 </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（15）近摄距：1.5-8m </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（16）变倍速度 ：约 6.0s </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（17）旋转范围：水平：0°~360°连续旋转 ；垂直：-30°~+90°自动翻转 180°后连续监视 </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（18）视频帧率：主码流（3072×1728@12fps），主码流（2560×1440@25fps），主码流（2048×1536@25fps），主码流（1920×1080@25fps），主码流（1280×960@25fps），主码流（1280×720@25fps） 辅码流 1（704× 576@25fps），辅码流 1（352×288@25fps） 辅码流 2（1920×1080@25fps），辅码流 2（1280×960@25fps），辅码流 2（1280×720@25fps） </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2、网络要求：20M互联网。</w:t>
            </w:r>
          </w:p>
        </w:tc>
        <w:tc>
          <w:tcPr>
            <w:tcW w:w="456"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国产</w:t>
            </w:r>
          </w:p>
        </w:tc>
        <w:tc>
          <w:tcPr>
            <w:tcW w:w="456"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点位</w:t>
            </w:r>
          </w:p>
        </w:tc>
        <w:tc>
          <w:tcPr>
            <w:tcW w:w="456"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 w:hAnsi="仿宋" w:eastAsia="仿宋" w:cs="仿宋"/>
                <w:color w:val="auto"/>
                <w:szCs w:val="21"/>
                <w:highlight w:val="none"/>
                <w:lang w:val="en-US" w:eastAsia="zh-CN"/>
              </w:rPr>
            </w:pPr>
            <w:r>
              <w:rPr>
                <w:rFonts w:hint="eastAsia" w:cs="仿宋"/>
                <w:color w:val="auto"/>
                <w:szCs w:val="21"/>
                <w:highlight w:val="none"/>
                <w:lang w:val="en-US" w:eastAsia="zh-CN"/>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254"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43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耕地智保平台服务</w:t>
            </w:r>
          </w:p>
        </w:tc>
        <w:tc>
          <w:tcPr>
            <w:tcW w:w="2937"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耕地智保应用场景主要功能描述如下：</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1、地图数据管理</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（1）支持在系统平台中对地图图层进行分组管理。地图图层以目录树的形式罗列，并且可以进行分组管理。地图图层的目录树中可以通过勾选的方式展示一个或叠加多个图层。</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（2）支持在系统平台中对影像地图或矢量地图等各专题数据图层进行管理。包括图层的导入，以及浏览、放大、缩小、平移等基础操作。</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（3）支持在系统平台中对地图图层的修改和删除管理。</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（4）支持在系统平台中对地图数据进行预览。</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（5）支持在系统平台中对地图样式进行修改。</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2、基础地理信息功能</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（1）支持在系统中对地图数据属性进行识别。在点击地图后，将地图中选取的点所归属的地块数据属性进行识别和展示。</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（2）支持在系统中进行地图数据查询。能够对地图图层按属性进行筛选和查询，支持字段查询。</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（3）支持在系统中进行多图比对。能够在同一屏幕中，将多个选定的地图图层进行展示比对。可以将不同年度（时相）的图层进行比对。</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（4）支持在系统中进行地图坐标拾取或定位。对于在地图中选定的点，显示该点的坐标。同时允许提取坐标信息。</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（5）支持在系统中地图数据分析。对于地图中选定的区域进行数据分析及展。</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3、视频管理功能</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（1）支持对视频按组织架构分组。视频监控能够以目录树的形式罗列，并且可以进行分组管理和显示。</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（2）支持按用户权限管理视频。具备用户权限分级功能，能够按照不同的用户权限显示相对应的视频设备。</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（3）支持视频实时浏览。能够查看视频监控实时内容，实现实时画面展示。</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（4）支持视频云台操作。视频监控角度能够360度旋转和俯仰，支持缩放功能。</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（5）支持多路视频播放。能够实现4路及以上多路视频同时播放，实现远程指挥调度。</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（6）支持视频抓拍。实现对视频监控的图像抓拍。</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4、智能告警</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（1）支持系统平台绘制视频电子围栏位置。能够在视频监控画面中绘制电子围栏，实现对电子围栏范围内的实时预警监测。</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（2）支持实时告警。对于电子围栏范围内的违法违规行为能够进行实时识别并在系统平台实时产生告警。</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（3）支持告警声音提示。系统平台产生实时告警时会进行响铃提示。告警响铃可设置开启和静音。</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（4）支持显示告警位置和时间。能够在地图中显示实时告警的位置，并且显示告警发生的时间。</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（5）支持告警审核。能够在系统平台对实时告警进行审核管理。</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5、算法仓库</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算法仓库清单包括：</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（1）乱石堆放；</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（2）土堆堆放；</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（3）在修建筑；</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（4）地面硬化；</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（5）红砖堆占；</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（6）水泥框架；</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（7）板房棚房；</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（8）脚手架；</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（9）建筑材料；</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（10）围挡；</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（11）起重机；</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（12）运输车辆；</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（13）施工车辆；</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（14）塔吊；</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（15）搅拌机；</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（16）搅拌车。</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6、视频与地图融合功能</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（1）支持在视频中叠加图斑。能够将图斑图层添加进视频监控实时画面中，在视频监控画面中显示图层边界范围。</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（2）支持视频中图斑属性预览。能够在视频监控画面中显示图斑图层的属性信息。</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（3）支持视频中用地分析。能够在视频监控画面中绘制选定区域并显示选定区域的用地数据及分析结果。</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（4）支持以地找视频。在地图中选取地点，能够显示以选点为中心，1.5公里为半径的范围内的视频监控。</w:t>
            </w:r>
          </w:p>
        </w:tc>
        <w:tc>
          <w:tcPr>
            <w:tcW w:w="456"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国产</w:t>
            </w:r>
          </w:p>
        </w:tc>
        <w:tc>
          <w:tcPr>
            <w:tcW w:w="456"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456"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r>
    </w:tbl>
    <w:p>
      <w:pPr>
        <w:widowControl/>
        <w:spacing w:line="360" w:lineRule="auto"/>
        <w:jc w:val="center"/>
        <w:textAlignment w:val="center"/>
        <w:rPr>
          <w:rFonts w:hint="eastAsia" w:ascii="微软雅黑" w:hAnsi="微软雅黑" w:eastAsia="宋体" w:cs="微软雅黑"/>
          <w:color w:val="000000"/>
          <w:kern w:val="0"/>
          <w:sz w:val="20"/>
          <w:szCs w:val="20"/>
          <w:lang w:eastAsia="zh-CN"/>
        </w:rPr>
      </w:pPr>
      <w:r>
        <w:rPr>
          <w:rFonts w:hint="eastAsia" w:ascii="微软雅黑" w:hAnsi="微软雅黑" w:cs="微软雅黑"/>
          <w:color w:val="000000"/>
          <w:kern w:val="0"/>
          <w:sz w:val="20"/>
          <w:szCs w:val="20"/>
          <w:lang w:eastAsia="zh-CN"/>
        </w:rPr>
        <w:t>（</w:t>
      </w:r>
      <w:r>
        <w:rPr>
          <w:rFonts w:hint="eastAsia" w:ascii="微软雅黑" w:hAnsi="微软雅黑" w:cs="微软雅黑"/>
          <w:color w:val="000000"/>
          <w:kern w:val="0"/>
          <w:sz w:val="20"/>
          <w:szCs w:val="20"/>
          <w:lang w:val="en-US" w:eastAsia="zh-CN"/>
        </w:rPr>
        <w:t>以上与评审方案要求进行核对</w:t>
      </w:r>
      <w:r>
        <w:rPr>
          <w:rFonts w:hint="eastAsia" w:ascii="微软雅黑" w:hAnsi="微软雅黑" w:cs="微软雅黑"/>
          <w:color w:val="000000"/>
          <w:kern w:val="0"/>
          <w:sz w:val="20"/>
          <w:szCs w:val="20"/>
          <w:lang w:eastAsia="zh-CN"/>
        </w:rPr>
        <w:t>）</w:t>
      </w:r>
    </w:p>
    <w:p>
      <w:pPr>
        <w:pStyle w:val="26"/>
        <w:tabs>
          <w:tab w:val="left" w:pos="208"/>
        </w:tabs>
        <w:ind w:left="0" w:leftChars="0" w:firstLine="0" w:firstLineChars="0"/>
        <w:rPr>
          <w:rFonts w:hint="eastAsia" w:ascii="仿宋" w:hAnsi="仿宋" w:eastAsia="仿宋" w:cs="Times New Roman"/>
          <w:kern w:val="2"/>
          <w:sz w:val="28"/>
          <w:szCs w:val="28"/>
          <w:lang w:val="en-US" w:eastAsia="zh-CN" w:bidi="ar-SA"/>
        </w:rPr>
      </w:pPr>
      <w:bookmarkStart w:id="29" w:name="_Toc25425"/>
      <w:r>
        <w:rPr>
          <w:rFonts w:hint="eastAsia" w:ascii="仿宋" w:hAnsi="仿宋" w:eastAsia="仿宋" w:cs="Times New Roman"/>
          <w:kern w:val="2"/>
          <w:sz w:val="28"/>
          <w:szCs w:val="28"/>
          <w:lang w:val="en-US" w:eastAsia="zh-CN" w:bidi="ar-SA"/>
        </w:rPr>
        <w:t>2、网络建设</w:t>
      </w:r>
      <w:bookmarkEnd w:id="29"/>
    </w:p>
    <w:p>
      <w:pPr>
        <w:pStyle w:val="26"/>
        <w:tabs>
          <w:tab w:val="left" w:pos="208"/>
        </w:tabs>
        <w:ind w:left="0" w:leftChars="0" w:firstLine="0" w:firstLineChars="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通过10M VPN专线接入汇聚至市局机房，通过市局机房链接至铁塔专有云，铁塔专有云通过专线实现与电子政务外网的互联互通。</w:t>
      </w:r>
    </w:p>
    <w:p>
      <w:pPr>
        <w:pStyle w:val="26"/>
        <w:tabs>
          <w:tab w:val="left" w:pos="208"/>
        </w:tabs>
        <w:ind w:left="0" w:leftChars="0" w:firstLine="0" w:firstLineChars="0"/>
        <w:rPr>
          <w:rFonts w:hint="eastAsia" w:ascii="仿宋" w:hAnsi="仿宋" w:eastAsia="仿宋" w:cs="Times New Roman"/>
          <w:kern w:val="2"/>
          <w:sz w:val="28"/>
          <w:szCs w:val="28"/>
          <w:lang w:val="en-US" w:eastAsia="zh-CN" w:bidi="ar-SA"/>
        </w:rPr>
      </w:pPr>
      <w:bookmarkStart w:id="30" w:name="_Toc18724"/>
      <w:r>
        <w:rPr>
          <w:rFonts w:hint="eastAsia" w:ascii="仿宋" w:hAnsi="仿宋" w:eastAsia="仿宋" w:cs="Times New Roman"/>
          <w:kern w:val="2"/>
          <w:sz w:val="28"/>
          <w:szCs w:val="28"/>
          <w:lang w:val="en-US" w:eastAsia="zh-CN" w:bidi="ar-SA"/>
        </w:rPr>
        <w:t>3、平台建设</w:t>
      </w:r>
      <w:bookmarkEnd w:id="30"/>
      <w:r>
        <w:rPr>
          <w:rFonts w:hint="eastAsia" w:ascii="仿宋" w:hAnsi="仿宋" w:eastAsia="仿宋" w:cs="Times New Roman"/>
          <w:kern w:val="2"/>
          <w:sz w:val="28"/>
          <w:szCs w:val="28"/>
          <w:lang w:val="en-US" w:eastAsia="zh-CN" w:bidi="ar-SA"/>
        </w:rPr>
        <w:t>（视联网）</w:t>
      </w:r>
    </w:p>
    <w:p>
      <w:pPr>
        <w:pStyle w:val="26"/>
        <w:tabs>
          <w:tab w:val="left" w:pos="208"/>
        </w:tabs>
        <w:ind w:left="0" w:leftChars="0" w:firstLine="0" w:firstLineChars="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新建视频服务平台和智慧国土平台。视频服务平台提供前端监控接入、汇聚与转发能力，实现视频流的多级调度。智慧国土平台通过智能AI算法识别耕地违法占用行为并报警。</w:t>
      </w:r>
    </w:p>
    <w:p>
      <w:pPr>
        <w:pStyle w:val="27"/>
        <w:numPr>
          <w:ilvl w:val="0"/>
          <w:numId w:val="2"/>
        </w:numPr>
        <w:ind w:left="0" w:leftChars="0" w:firstLine="0" w:firstLineChars="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运维服务</w:t>
      </w:r>
    </w:p>
    <w:p>
      <w:pPr>
        <w:numPr>
          <w:ilvl w:val="0"/>
          <w:numId w:val="0"/>
        </w:numPr>
        <w:rPr>
          <w:rFonts w:hint="default" w:ascii="仿宋" w:hAnsi="仿宋" w:eastAsia="仿宋" w:cs="Times New Roman"/>
          <w:snapToGrid/>
          <w:kern w:val="2"/>
          <w:sz w:val="28"/>
          <w:szCs w:val="28"/>
          <w:lang w:val="en-US" w:eastAsia="zh-CN" w:bidi="ar-SA"/>
        </w:rPr>
      </w:pPr>
      <w:r>
        <w:rPr>
          <w:rFonts w:hint="default" w:ascii="仿宋" w:hAnsi="仿宋" w:eastAsia="仿宋" w:cs="Times New Roman"/>
          <w:snapToGrid/>
          <w:kern w:val="2"/>
          <w:sz w:val="28"/>
          <w:szCs w:val="28"/>
          <w:lang w:val="en-US" w:eastAsia="zh-CN" w:bidi="ar-SA"/>
        </w:rPr>
        <w:t>中标</w:t>
      </w:r>
      <w:r>
        <w:rPr>
          <w:rFonts w:hint="eastAsia" w:ascii="仿宋" w:hAnsi="仿宋" w:eastAsia="仿宋" w:cs="Times New Roman"/>
          <w:snapToGrid/>
          <w:kern w:val="2"/>
          <w:sz w:val="28"/>
          <w:szCs w:val="28"/>
          <w:lang w:val="en-US" w:eastAsia="zh-CN" w:bidi="ar-SA"/>
        </w:rPr>
        <w:t>供应商须</w:t>
      </w:r>
      <w:r>
        <w:rPr>
          <w:rFonts w:hint="default" w:ascii="仿宋" w:hAnsi="仿宋" w:eastAsia="仿宋" w:cs="Times New Roman"/>
          <w:snapToGrid/>
          <w:kern w:val="2"/>
          <w:sz w:val="28"/>
          <w:szCs w:val="28"/>
          <w:lang w:val="en-US" w:eastAsia="zh-CN" w:bidi="ar-SA"/>
        </w:rPr>
        <w:t>做好服务期内运维保障各项工作</w:t>
      </w:r>
      <w:r>
        <w:rPr>
          <w:rFonts w:hint="eastAsia" w:ascii="仿宋" w:hAnsi="仿宋" w:eastAsia="仿宋" w:cs="Times New Roman"/>
          <w:snapToGrid/>
          <w:kern w:val="2"/>
          <w:sz w:val="28"/>
          <w:szCs w:val="28"/>
          <w:lang w:val="en-US" w:eastAsia="zh-CN" w:bidi="ar-SA"/>
        </w:rPr>
        <w:t>。</w:t>
      </w:r>
    </w:p>
    <w:p>
      <w:pPr>
        <w:pStyle w:val="962"/>
        <w:numPr>
          <w:ilvl w:val="0"/>
          <w:numId w:val="0"/>
        </w:numPr>
        <w:ind w:leftChars="0"/>
        <w:rPr>
          <w:rFonts w:hint="eastAsia"/>
          <w:kern w:val="0"/>
          <w:sz w:val="30"/>
          <w:szCs w:val="30"/>
        </w:rPr>
      </w:pPr>
      <w:bookmarkStart w:id="31" w:name="_Toc28263706"/>
      <w:bookmarkStart w:id="32" w:name="_Toc486423873"/>
      <w:bookmarkStart w:id="33" w:name="_Toc493956023"/>
      <w:bookmarkStart w:id="34" w:name="_Toc493957135"/>
      <w:bookmarkStart w:id="35" w:name="_Toc7905"/>
      <w:bookmarkStart w:id="36" w:name="_Toc13317"/>
      <w:r>
        <w:rPr>
          <w:rFonts w:hint="eastAsia"/>
          <w:kern w:val="0"/>
          <w:sz w:val="30"/>
          <w:szCs w:val="30"/>
          <w:lang w:eastAsia="zh-CN"/>
        </w:rPr>
        <w:t>三、技术</w:t>
      </w:r>
      <w:r>
        <w:rPr>
          <w:rFonts w:hint="eastAsia"/>
          <w:kern w:val="0"/>
          <w:sz w:val="30"/>
          <w:szCs w:val="30"/>
        </w:rPr>
        <w:t>要求</w:t>
      </w:r>
      <w:bookmarkEnd w:id="31"/>
      <w:bookmarkEnd w:id="32"/>
      <w:bookmarkEnd w:id="33"/>
      <w:bookmarkEnd w:id="34"/>
      <w:bookmarkEnd w:id="35"/>
      <w:bookmarkEnd w:id="36"/>
    </w:p>
    <w:p>
      <w:pPr>
        <w:pStyle w:val="962"/>
        <w:numPr>
          <w:ilvl w:val="0"/>
          <w:numId w:val="0"/>
        </w:numPr>
        <w:ind w:leftChars="0"/>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符合浙自然厅函【2022】397号文相关内容与要求。</w:t>
      </w:r>
    </w:p>
    <w:p>
      <w:pPr>
        <w:pStyle w:val="962"/>
        <w:numPr>
          <w:ilvl w:val="0"/>
          <w:numId w:val="0"/>
        </w:numPr>
        <w:ind w:leftChars="0"/>
        <w:rPr>
          <w:rFonts w:hint="eastAsia" w:eastAsia="宋体"/>
          <w:kern w:val="0"/>
          <w:sz w:val="30"/>
          <w:szCs w:val="30"/>
          <w:lang w:eastAsia="zh-CN"/>
        </w:rPr>
      </w:pPr>
      <w:r>
        <w:rPr>
          <w:rFonts w:hint="eastAsia"/>
          <w:kern w:val="0"/>
          <w:sz w:val="30"/>
          <w:szCs w:val="30"/>
          <w:lang w:eastAsia="zh-CN"/>
        </w:rPr>
        <w:t>四、</w:t>
      </w:r>
      <w:r>
        <w:rPr>
          <w:rFonts w:hint="eastAsia"/>
          <w:kern w:val="0"/>
          <w:sz w:val="30"/>
          <w:szCs w:val="30"/>
        </w:rPr>
        <w:t>商务要求</w:t>
      </w:r>
    </w:p>
    <w:p>
      <w:pPr>
        <w:pStyle w:val="26"/>
        <w:ind w:left="0" w:leftChars="0" w:firstLine="0" w:firstLineChars="0"/>
        <w:rPr>
          <w:rFonts w:hint="eastAsia" w:ascii="仿宋" w:hAnsi="仿宋" w:eastAsia="仿宋" w:cs="Times New Roman"/>
          <w:kern w:val="2"/>
          <w:sz w:val="28"/>
          <w:szCs w:val="28"/>
          <w:lang w:val="en-US" w:eastAsia="zh-CN" w:bidi="ar-SA"/>
        </w:rPr>
      </w:pPr>
      <w:bookmarkStart w:id="37" w:name="_Toc18869"/>
      <w:bookmarkStart w:id="38" w:name="_Toc5000"/>
      <w:r>
        <w:rPr>
          <w:rFonts w:hint="eastAsia" w:ascii="仿宋" w:hAnsi="仿宋" w:eastAsia="仿宋" w:cs="Times New Roman"/>
          <w:kern w:val="2"/>
          <w:sz w:val="28"/>
          <w:szCs w:val="28"/>
          <w:lang w:val="en-US" w:eastAsia="zh-CN" w:bidi="ar-SA"/>
        </w:rPr>
        <w:t>1、服务年限：</w:t>
      </w:r>
      <w:bookmarkEnd w:id="37"/>
      <w:bookmarkStart w:id="39" w:name="_Toc28263708"/>
      <w:bookmarkStart w:id="40" w:name="_Toc30961"/>
      <w:r>
        <w:rPr>
          <w:rFonts w:hint="eastAsia" w:ascii="仿宋" w:hAnsi="仿宋" w:eastAsia="仿宋" w:cs="Times New Roman"/>
          <w:kern w:val="2"/>
          <w:sz w:val="28"/>
          <w:szCs w:val="28"/>
          <w:lang w:val="en-US" w:eastAsia="zh-CN" w:bidi="ar-SA"/>
        </w:rPr>
        <w:t>自合同签订之日起三年。</w:t>
      </w:r>
      <w:bookmarkEnd w:id="38"/>
    </w:p>
    <w:bookmarkEnd w:id="39"/>
    <w:bookmarkEnd w:id="40"/>
    <w:p>
      <w:pPr>
        <w:pStyle w:val="963"/>
        <w:widowControl/>
        <w:snapToGrid/>
        <w:spacing w:before="0" w:beforeAutospacing="0" w:after="120" w:afterAutospacing="0" w:line="360" w:lineRule="auto"/>
        <w:ind w:left="0" w:leftChars="0" w:firstLine="0" w:firstLineChars="0"/>
        <w:jc w:val="both"/>
        <w:textAlignment w:val="baseline"/>
        <w:rPr>
          <w:rFonts w:hint="eastAsia" w:ascii="仿宋" w:hAnsi="仿宋" w:eastAsia="仿宋" w:cs="Times New Roman"/>
          <w:color w:val="auto"/>
          <w:kern w:val="2"/>
          <w:sz w:val="28"/>
          <w:szCs w:val="28"/>
          <w:lang w:val="en-US" w:eastAsia="zh-CN" w:bidi="ar-SA"/>
        </w:rPr>
      </w:pPr>
      <w:bookmarkStart w:id="41" w:name="_Toc22649"/>
      <w:r>
        <w:rPr>
          <w:rFonts w:hint="eastAsia" w:ascii="仿宋" w:hAnsi="仿宋" w:eastAsia="仿宋" w:cs="Times New Roman"/>
          <w:color w:val="auto"/>
          <w:kern w:val="2"/>
          <w:sz w:val="28"/>
          <w:szCs w:val="28"/>
          <w:lang w:val="en-US" w:eastAsia="zh-CN" w:bidi="ar-SA"/>
        </w:rPr>
        <w:t>2、</w:t>
      </w:r>
      <w:bookmarkEnd w:id="41"/>
      <w:r>
        <w:rPr>
          <w:rFonts w:hint="eastAsia" w:ascii="仿宋" w:hAnsi="仿宋" w:eastAsia="仿宋" w:cs="Times New Roman"/>
          <w:color w:val="auto"/>
          <w:kern w:val="2"/>
          <w:sz w:val="28"/>
          <w:szCs w:val="28"/>
          <w:lang w:val="en-US" w:eastAsia="zh-CN" w:bidi="ar-SA"/>
        </w:rPr>
        <w:t>付款方式：</w:t>
      </w:r>
    </w:p>
    <w:p>
      <w:pPr>
        <w:pStyle w:val="963"/>
        <w:widowControl/>
        <w:snapToGrid/>
        <w:spacing w:before="0" w:beforeAutospacing="0" w:after="120" w:afterAutospacing="0" w:line="360" w:lineRule="auto"/>
        <w:ind w:left="0" w:leftChars="0" w:firstLine="0" w:firstLineChars="0"/>
        <w:jc w:val="both"/>
        <w:textAlignment w:val="baseline"/>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（1）本次采购的服务项目，采用年度方式支付合同价款。</w:t>
      </w:r>
    </w:p>
    <w:p>
      <w:pPr>
        <w:pStyle w:val="963"/>
        <w:widowControl/>
        <w:snapToGrid/>
        <w:spacing w:before="0" w:beforeAutospacing="0" w:after="120" w:afterAutospacing="0" w:line="360" w:lineRule="auto"/>
        <w:ind w:left="0" w:leftChars="0" w:firstLine="0" w:firstLineChars="0"/>
        <w:jc w:val="both"/>
        <w:textAlignment w:val="baseline"/>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（2）合同生效以及具备实施条件后7日内支付合同金额的50%作为预付款（第一年合同金额的50%）。</w:t>
      </w:r>
    </w:p>
    <w:p>
      <w:pPr>
        <w:pStyle w:val="963"/>
        <w:widowControl/>
        <w:snapToGrid/>
        <w:spacing w:before="0" w:beforeAutospacing="0" w:after="120" w:afterAutospacing="0" w:line="360" w:lineRule="auto"/>
        <w:ind w:left="0" w:leftChars="0" w:firstLine="0" w:firstLineChars="0"/>
        <w:jc w:val="both"/>
        <w:textAlignment w:val="baseline"/>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（3）在双方组织的验收通过后且甲方收到乙方开具的增值税普通发票七个工作日后，甲方向乙方通过银行转账方式支付首年度服务费用。</w:t>
      </w:r>
    </w:p>
    <w:p>
      <w:pPr>
        <w:pStyle w:val="963"/>
        <w:widowControl/>
        <w:snapToGrid/>
        <w:spacing w:before="0" w:beforeAutospacing="0" w:after="120" w:afterAutospacing="0" w:line="360" w:lineRule="auto"/>
        <w:ind w:left="0" w:leftChars="0" w:firstLine="0" w:firstLineChars="0"/>
        <w:jc w:val="both"/>
        <w:textAlignment w:val="baseline"/>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（4）在第一年年度服务到期前甲方向乙方支付后一年度铁塔服务费用，后续年度服务费用按此方式支付至服务期满。</w:t>
      </w:r>
    </w:p>
    <w:p>
      <w:pPr>
        <w:pStyle w:val="962"/>
        <w:ind w:left="0" w:leftChars="0" w:firstLine="0" w:firstLineChars="0"/>
        <w:rPr>
          <w:rFonts w:hint="eastAsia"/>
          <w:kern w:val="0"/>
          <w:sz w:val="30"/>
          <w:szCs w:val="30"/>
          <w:lang w:val="en-US" w:eastAsia="zh-CN"/>
        </w:rPr>
      </w:pPr>
      <w:r>
        <w:rPr>
          <w:rFonts w:hint="eastAsia"/>
          <w:kern w:val="0"/>
          <w:sz w:val="30"/>
          <w:szCs w:val="30"/>
          <w:lang w:val="en-US" w:eastAsia="zh-CN"/>
        </w:rPr>
        <w:t>五、运维要求</w:t>
      </w:r>
    </w:p>
    <w:p>
      <w:pPr>
        <w:pStyle w:val="255"/>
        <w:ind w:left="0" w:leftChars="0" w:firstLine="560" w:firstLineChars="200"/>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运行维护包括人员驻场、前端设备维护、光纤线路、系统管理平台等维护服务，运维单位协助做好“田长制”巡查和反馈工作，做好系统的日常运维工作，确保系统正常运行，确保前端各点位完好、网络运行正常。</w:t>
      </w:r>
    </w:p>
    <w:p>
      <w:pPr>
        <w:pStyle w:val="255"/>
        <w:numPr>
          <w:ilvl w:val="0"/>
          <w:numId w:val="3"/>
        </w:numPr>
        <w:spacing w:line="240" w:lineRule="auto"/>
        <w:ind w:left="0" w:firstLine="560"/>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故障恢复时间：对一般性设备故障在1小时内响应，4小时以内到现场，8小时以内解决问题；不能当场修复的，必须采取提供备品、备件或备机等措施，前端系统24小时内保证系统投入正常使用，网络要求24小时内恢复。</w:t>
      </w:r>
    </w:p>
    <w:p>
      <w:pPr>
        <w:pStyle w:val="255"/>
        <w:numPr>
          <w:ilvl w:val="0"/>
          <w:numId w:val="3"/>
        </w:numPr>
        <w:spacing w:line="240" w:lineRule="auto"/>
        <w:ind w:left="0" w:firstLine="560"/>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建立专业运维团队。外场要求配备1组及以上日常巡检的维护队伍和相关设备，提供7*24小时服务。</w:t>
      </w:r>
    </w:p>
    <w:p>
      <w:pPr>
        <w:pStyle w:val="255"/>
        <w:numPr>
          <w:ilvl w:val="0"/>
          <w:numId w:val="3"/>
        </w:numPr>
        <w:spacing w:line="240" w:lineRule="auto"/>
        <w:ind w:left="0" w:firstLine="560"/>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本项目的所有软、硬件(如线缆、软件、硬件模块等，包括未列出而系统实施又必需的软件、硬件)需配齐以构成一套完整实用系统。</w:t>
      </w:r>
    </w:p>
    <w:p>
      <w:pPr>
        <w:pStyle w:val="255"/>
        <w:numPr>
          <w:ilvl w:val="0"/>
          <w:numId w:val="3"/>
        </w:numPr>
        <w:spacing w:line="240" w:lineRule="auto"/>
        <w:ind w:left="0" w:firstLine="560"/>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为确保日常运维，需配备一定数量的备品备件。</w:t>
      </w:r>
    </w:p>
    <w:p>
      <w:pPr>
        <w:pStyle w:val="255"/>
        <w:numPr>
          <w:ilvl w:val="0"/>
          <w:numId w:val="3"/>
        </w:numPr>
        <w:spacing w:line="240" w:lineRule="auto"/>
        <w:ind w:left="0" w:firstLine="560"/>
        <w:rPr>
          <w:rFonts w:hint="eastAsia" w:ascii="宋体" w:hAnsi="宋体" w:cs="宋体"/>
          <w:b/>
          <w:bCs/>
          <w:color w:val="000000"/>
          <w:kern w:val="0"/>
          <w:sz w:val="30"/>
          <w:szCs w:val="30"/>
          <w:lang w:val="en-US" w:eastAsia="zh-CN" w:bidi="ar"/>
        </w:rPr>
      </w:pPr>
      <w:r>
        <w:rPr>
          <w:rFonts w:hint="eastAsia" w:ascii="仿宋" w:hAnsi="仿宋" w:eastAsia="仿宋" w:cs="Times New Roman"/>
          <w:color w:val="auto"/>
          <w:kern w:val="2"/>
          <w:sz w:val="28"/>
          <w:szCs w:val="28"/>
          <w:lang w:val="en-US" w:eastAsia="zh-CN" w:bidi="ar-SA"/>
        </w:rPr>
        <w:t>工期：中标方按照省市要求部署到位。</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b/>
          <w:bCs/>
          <w:color w:val="000000"/>
          <w:kern w:val="0"/>
          <w:sz w:val="30"/>
          <w:szCs w:val="30"/>
          <w:lang w:val="en-US" w:eastAsia="zh-CN" w:bidi="ar"/>
        </w:rPr>
      </w:pPr>
      <w:r>
        <w:rPr>
          <w:rFonts w:hint="eastAsia" w:ascii="宋体" w:hAnsi="宋体" w:cs="宋体"/>
          <w:b/>
          <w:bCs/>
          <w:color w:val="000000"/>
          <w:kern w:val="0"/>
          <w:sz w:val="30"/>
          <w:szCs w:val="30"/>
          <w:lang w:val="en-US" w:eastAsia="zh-CN" w:bidi="ar"/>
        </w:rPr>
        <w:t>六、履约保证金</w:t>
      </w:r>
    </w:p>
    <w:p>
      <w:pPr>
        <w:ind w:left="0" w:leftChars="0" w:firstLine="420" w:firstLineChars="175"/>
        <w:rPr>
          <w:rFonts w:hint="eastAsia" w:ascii="仿宋_GB2312" w:hAnsi="仿宋" w:eastAsia="仿宋_GB2312" w:cs="Helvetica"/>
          <w:kern w:val="0"/>
          <w:sz w:val="24"/>
          <w:szCs w:val="24"/>
          <w:lang w:val="en-US" w:eastAsia="zh-CN" w:bidi="ar-SA"/>
        </w:rPr>
      </w:pPr>
      <w:r>
        <w:rPr>
          <w:rFonts w:hint="eastAsia" w:ascii="仿宋_GB2312" w:hAnsi="仿宋" w:eastAsia="仿宋_GB2312" w:cs="Helvetica"/>
          <w:kern w:val="0"/>
          <w:sz w:val="24"/>
          <w:szCs w:val="24"/>
          <w:lang w:val="en-US" w:eastAsia="zh-CN" w:bidi="ar-SA"/>
        </w:rPr>
        <w:t>签订合同前，中标人需向采购人指定的账号缴纳合同总价1%的金额，作为履约保证金。（履约保证金方式包括但不限于现金、各类保函等方式）</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lang w:val="en-US" w:eastAsia="zh-CN"/>
        </w:rPr>
      </w:pPr>
      <w:r>
        <w:rPr>
          <w:rFonts w:hint="eastAsia" w:ascii="宋体" w:hAnsi="宋体" w:cs="宋体"/>
          <w:b/>
          <w:bCs/>
          <w:color w:val="000000"/>
          <w:kern w:val="0"/>
          <w:sz w:val="30"/>
          <w:szCs w:val="30"/>
          <w:lang w:val="en-US" w:eastAsia="zh-CN" w:bidi="ar"/>
        </w:rPr>
        <w:t>七、</w:t>
      </w:r>
      <w:r>
        <w:rPr>
          <w:rFonts w:hint="eastAsia" w:ascii="宋体" w:hAnsi="宋体" w:eastAsia="宋体" w:cs="宋体"/>
          <w:b/>
          <w:bCs/>
          <w:color w:val="000000"/>
          <w:kern w:val="0"/>
          <w:sz w:val="30"/>
          <w:szCs w:val="30"/>
          <w:lang w:val="en-US" w:eastAsia="zh-CN" w:bidi="ar"/>
        </w:rPr>
        <w:t>代理服务费</w:t>
      </w:r>
    </w:p>
    <w:p>
      <w:pPr>
        <w:ind w:left="0" w:leftChars="0" w:firstLine="420" w:firstLineChars="175"/>
        <w:rPr>
          <w:rFonts w:hint="eastAsia" w:ascii="仿宋_GB2312" w:hAnsi="仿宋" w:eastAsia="仿宋_GB2312" w:cs="Helvetica"/>
          <w:kern w:val="0"/>
          <w:sz w:val="24"/>
          <w:szCs w:val="24"/>
          <w:lang w:val="en-US" w:eastAsia="zh-CN" w:bidi="ar-SA"/>
        </w:rPr>
      </w:pPr>
      <w:r>
        <w:rPr>
          <w:rFonts w:hint="eastAsia" w:ascii="仿宋_GB2312" w:hAnsi="仿宋" w:eastAsia="仿宋_GB2312" w:cs="Helvetica"/>
          <w:kern w:val="0"/>
          <w:sz w:val="24"/>
          <w:szCs w:val="24"/>
          <w:lang w:val="en-US" w:eastAsia="zh-CN" w:bidi="ar-SA"/>
        </w:rPr>
        <w:t>1本项目招标代理费：收费标准按桐庐县中介服务优选系统报价计取（7950.00元）；</w:t>
      </w:r>
    </w:p>
    <w:p>
      <w:pPr>
        <w:ind w:left="0" w:leftChars="0" w:firstLine="420" w:firstLineChars="175"/>
        <w:rPr>
          <w:rFonts w:hint="eastAsia" w:ascii="仿宋_GB2312" w:hAnsi="仿宋" w:eastAsia="仿宋_GB2312" w:cs="Helvetica"/>
          <w:kern w:val="0"/>
          <w:sz w:val="24"/>
          <w:szCs w:val="24"/>
          <w:lang w:val="en-US" w:eastAsia="zh-CN" w:bidi="ar-SA"/>
        </w:rPr>
      </w:pPr>
      <w:r>
        <w:rPr>
          <w:rFonts w:hint="eastAsia" w:ascii="仿宋_GB2312" w:hAnsi="仿宋" w:eastAsia="仿宋_GB2312" w:cs="Helvetica"/>
          <w:kern w:val="0"/>
          <w:sz w:val="24"/>
          <w:szCs w:val="24"/>
          <w:lang w:val="en-US" w:eastAsia="zh-CN" w:bidi="ar-SA"/>
        </w:rPr>
        <w:t>2、开标过程中产生的其他费用按实际支出收取；</w:t>
      </w:r>
    </w:p>
    <w:p>
      <w:pPr>
        <w:ind w:left="0" w:leftChars="0" w:firstLine="420" w:firstLineChars="175"/>
        <w:rPr>
          <w:rFonts w:hint="eastAsia" w:ascii="仿宋_GB2312" w:hAnsi="仿宋" w:eastAsia="仿宋_GB2312" w:cs="Helvetica"/>
          <w:kern w:val="0"/>
          <w:sz w:val="24"/>
          <w:szCs w:val="24"/>
          <w:lang w:val="en-US" w:eastAsia="zh-CN" w:bidi="ar-SA"/>
        </w:rPr>
      </w:pPr>
      <w:r>
        <w:rPr>
          <w:rFonts w:hint="eastAsia" w:ascii="仿宋_GB2312" w:hAnsi="仿宋" w:eastAsia="仿宋_GB2312" w:cs="Helvetica"/>
          <w:kern w:val="0"/>
          <w:sz w:val="24"/>
          <w:szCs w:val="24"/>
          <w:lang w:val="en-US" w:eastAsia="zh-CN" w:bidi="ar-SA"/>
        </w:rPr>
        <w:t>以上费用均由中标单位在领取中标通知书时，一次性支付给代理公司，上述两项费用应含在投标报价中（不得单独列项），投标人在投标报价让利中考虑上述费用。</w:t>
      </w:r>
    </w:p>
    <w:p>
      <w:pPr>
        <w:pStyle w:val="4"/>
        <w:rPr>
          <w:rFonts w:hint="eastAsia"/>
          <w:lang w:val="en-US" w:eastAsia="zh-CN"/>
        </w:rPr>
        <w:sectPr>
          <w:pgSz w:w="16840" w:h="11907" w:orient="landscape"/>
          <w:pgMar w:top="1814" w:right="1474" w:bottom="1814" w:left="1474" w:header="851" w:footer="851" w:gutter="0"/>
          <w:pgBorders>
            <w:top w:val="none" w:sz="0" w:space="0"/>
            <w:left w:val="none" w:sz="0" w:space="0"/>
            <w:bottom w:val="none" w:sz="0" w:space="0"/>
            <w:right w:val="none" w:sz="0" w:space="0"/>
          </w:pgBorders>
          <w:cols w:space="720" w:num="1"/>
        </w:sectPr>
      </w:pPr>
    </w:p>
    <w:p>
      <w:pPr>
        <w:pStyle w:val="4"/>
        <w:rPr>
          <w:rFonts w:hint="eastAsia"/>
          <w:lang w:val="en-US" w:eastAsia="zh-CN"/>
        </w:rPr>
      </w:pPr>
    </w:p>
    <w:p>
      <w:pPr>
        <w:jc w:val="center"/>
        <w:rPr>
          <w:rFonts w:ascii="仿宋" w:hAnsi="仿宋" w:eastAsia="仿宋" w:cs="仿宋_GB2312"/>
          <w:b/>
          <w:sz w:val="36"/>
          <w:szCs w:val="36"/>
        </w:rPr>
      </w:pP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42" w:name="_Toc184314428"/>
      <w:bookmarkEnd w:id="42"/>
      <w:bookmarkStart w:id="43" w:name="_Toc184313292"/>
      <w:bookmarkEnd w:id="43"/>
      <w:bookmarkStart w:id="44" w:name="_Toc184314457"/>
      <w:bookmarkEnd w:id="44"/>
      <w:bookmarkStart w:id="45" w:name="_Toc184310340"/>
      <w:bookmarkEnd w:id="45"/>
      <w:bookmarkStart w:id="46" w:name="_Toc184314473"/>
      <w:bookmarkEnd w:id="46"/>
      <w:bookmarkStart w:id="47" w:name="_Toc184312105"/>
      <w:bookmarkEnd w:id="47"/>
      <w:bookmarkStart w:id="48" w:name="_Toc184308103"/>
      <w:bookmarkEnd w:id="48"/>
      <w:bookmarkStart w:id="49" w:name="_Toc184308054"/>
      <w:bookmarkEnd w:id="49"/>
      <w:bookmarkStart w:id="50" w:name="_Toc184308053"/>
      <w:bookmarkEnd w:id="50"/>
      <w:bookmarkStart w:id="51" w:name="_Toc184308107"/>
      <w:bookmarkEnd w:id="51"/>
      <w:bookmarkStart w:id="52" w:name="_Toc184308076"/>
      <w:bookmarkEnd w:id="52"/>
      <w:bookmarkStart w:id="53" w:name="_Toc184313307"/>
      <w:bookmarkEnd w:id="53"/>
      <w:bookmarkStart w:id="54" w:name="_Toc184313278"/>
      <w:bookmarkEnd w:id="54"/>
      <w:bookmarkStart w:id="55" w:name="_Toc184310284"/>
      <w:bookmarkEnd w:id="55"/>
      <w:bookmarkStart w:id="56" w:name="_Toc184310301"/>
      <w:bookmarkEnd w:id="56"/>
      <w:bookmarkStart w:id="57" w:name="_Toc184314461"/>
      <w:bookmarkEnd w:id="57"/>
      <w:bookmarkStart w:id="58" w:name="_Toc184312075"/>
      <w:bookmarkEnd w:id="58"/>
      <w:bookmarkStart w:id="59" w:name="_Toc184313257"/>
      <w:bookmarkEnd w:id="59"/>
      <w:bookmarkStart w:id="60" w:name="_Toc184312101"/>
      <w:bookmarkEnd w:id="60"/>
      <w:bookmarkStart w:id="61" w:name="_Toc184314422"/>
      <w:bookmarkEnd w:id="61"/>
      <w:bookmarkStart w:id="62" w:name="_Toc184310338"/>
      <w:bookmarkEnd w:id="62"/>
      <w:bookmarkStart w:id="63" w:name="_Toc184312087"/>
      <w:bookmarkEnd w:id="63"/>
      <w:bookmarkStart w:id="64" w:name="_Toc184313284"/>
      <w:bookmarkEnd w:id="64"/>
      <w:bookmarkStart w:id="65" w:name="_Toc184314429"/>
      <w:bookmarkEnd w:id="65"/>
      <w:bookmarkStart w:id="66" w:name="_Toc184314450"/>
      <w:bookmarkEnd w:id="66"/>
      <w:bookmarkStart w:id="67" w:name="_Toc184313265"/>
      <w:bookmarkEnd w:id="67"/>
      <w:bookmarkStart w:id="68" w:name="_Toc184313276"/>
      <w:bookmarkEnd w:id="68"/>
      <w:bookmarkStart w:id="69" w:name="_Toc184308080"/>
      <w:bookmarkEnd w:id="69"/>
      <w:bookmarkStart w:id="70" w:name="_Toc184314481"/>
      <w:bookmarkEnd w:id="70"/>
      <w:bookmarkStart w:id="71" w:name="_Toc184314442"/>
      <w:bookmarkEnd w:id="71"/>
      <w:bookmarkStart w:id="72" w:name="_Toc184312135"/>
      <w:bookmarkEnd w:id="72"/>
      <w:bookmarkStart w:id="73" w:name="_Toc184310344"/>
      <w:bookmarkEnd w:id="73"/>
      <w:bookmarkStart w:id="74" w:name="_Toc184313270"/>
      <w:bookmarkEnd w:id="74"/>
      <w:bookmarkStart w:id="75" w:name="_Toc184310325"/>
      <w:bookmarkEnd w:id="75"/>
      <w:bookmarkStart w:id="76" w:name="_Toc184310293"/>
      <w:bookmarkEnd w:id="76"/>
      <w:bookmarkStart w:id="77" w:name="_Toc184310328"/>
      <w:bookmarkEnd w:id="77"/>
      <w:bookmarkStart w:id="78" w:name="_Toc184312136"/>
      <w:bookmarkEnd w:id="78"/>
      <w:bookmarkStart w:id="79" w:name="_Toc184312137"/>
      <w:bookmarkEnd w:id="79"/>
      <w:bookmarkStart w:id="80" w:name="_Toc184314453"/>
      <w:bookmarkEnd w:id="80"/>
      <w:bookmarkStart w:id="81" w:name="_Toc184308084"/>
      <w:bookmarkEnd w:id="81"/>
      <w:bookmarkStart w:id="82" w:name="_Toc184313249"/>
      <w:bookmarkEnd w:id="82"/>
      <w:bookmarkStart w:id="83" w:name="_Toc184310300"/>
      <w:bookmarkEnd w:id="83"/>
      <w:bookmarkStart w:id="84" w:name="_Toc184313271"/>
      <w:bookmarkEnd w:id="84"/>
      <w:bookmarkStart w:id="85" w:name="_Toc184313300"/>
      <w:bookmarkEnd w:id="85"/>
      <w:bookmarkStart w:id="86" w:name="_Toc184310316"/>
      <w:bookmarkEnd w:id="86"/>
      <w:bookmarkStart w:id="87" w:name="_Toc184313296"/>
      <w:bookmarkEnd w:id="87"/>
      <w:bookmarkStart w:id="88" w:name="_Toc184314426"/>
      <w:bookmarkEnd w:id="88"/>
      <w:bookmarkStart w:id="89" w:name="_Toc184312131"/>
      <w:bookmarkEnd w:id="89"/>
      <w:bookmarkStart w:id="90" w:name="_Toc184308069"/>
      <w:bookmarkEnd w:id="90"/>
      <w:bookmarkStart w:id="91" w:name="_Toc184308066"/>
      <w:bookmarkEnd w:id="91"/>
      <w:bookmarkStart w:id="92" w:name="_Toc184313299"/>
      <w:bookmarkEnd w:id="92"/>
      <w:bookmarkStart w:id="93" w:name="_Toc184314477"/>
      <w:bookmarkEnd w:id="93"/>
      <w:bookmarkStart w:id="94" w:name="_Toc184308086"/>
      <w:bookmarkEnd w:id="94"/>
      <w:bookmarkStart w:id="95" w:name="_Toc184308044"/>
      <w:bookmarkEnd w:id="95"/>
      <w:bookmarkStart w:id="96" w:name="_Toc184308071"/>
      <w:bookmarkEnd w:id="96"/>
      <w:bookmarkStart w:id="97" w:name="_Toc184308078"/>
      <w:bookmarkEnd w:id="97"/>
      <w:bookmarkStart w:id="98" w:name="_Toc184308050"/>
      <w:bookmarkEnd w:id="98"/>
      <w:bookmarkStart w:id="99" w:name="_Toc184314464"/>
      <w:bookmarkEnd w:id="99"/>
      <w:bookmarkStart w:id="100" w:name="_Toc184308051"/>
      <w:bookmarkEnd w:id="100"/>
      <w:bookmarkStart w:id="101" w:name="_Toc184310334"/>
      <w:bookmarkEnd w:id="101"/>
      <w:bookmarkStart w:id="102" w:name="_Toc184308073"/>
      <w:bookmarkEnd w:id="102"/>
      <w:bookmarkStart w:id="103" w:name="_Toc184314439"/>
      <w:bookmarkEnd w:id="103"/>
      <w:bookmarkStart w:id="104" w:name="_Toc184313255"/>
      <w:bookmarkEnd w:id="104"/>
      <w:bookmarkStart w:id="105" w:name="_Toc184313272"/>
      <w:bookmarkEnd w:id="105"/>
      <w:bookmarkStart w:id="106" w:name="_Toc184310310"/>
      <w:bookmarkEnd w:id="106"/>
      <w:bookmarkStart w:id="107" w:name="_Toc184310323"/>
      <w:bookmarkEnd w:id="107"/>
      <w:bookmarkStart w:id="108" w:name="_Toc184308045"/>
      <w:bookmarkEnd w:id="108"/>
      <w:bookmarkStart w:id="109" w:name="_Toc184314425"/>
      <w:bookmarkEnd w:id="109"/>
      <w:bookmarkStart w:id="110" w:name="_Toc184312110"/>
      <w:bookmarkEnd w:id="110"/>
      <w:bookmarkStart w:id="111" w:name="_Toc184308088"/>
      <w:bookmarkEnd w:id="111"/>
      <w:bookmarkStart w:id="112" w:name="_Toc184312138"/>
      <w:bookmarkEnd w:id="112"/>
      <w:bookmarkStart w:id="113" w:name="_Toc184312089"/>
      <w:bookmarkEnd w:id="113"/>
      <w:bookmarkStart w:id="114" w:name="_Toc184308096"/>
      <w:bookmarkEnd w:id="114"/>
      <w:bookmarkStart w:id="115" w:name="_Toc184313297"/>
      <w:bookmarkEnd w:id="115"/>
      <w:bookmarkStart w:id="116" w:name="_Toc184313263"/>
      <w:bookmarkEnd w:id="116"/>
      <w:bookmarkStart w:id="117" w:name="_Toc184310280"/>
      <w:bookmarkEnd w:id="117"/>
      <w:bookmarkStart w:id="118" w:name="_Toc184308081"/>
      <w:bookmarkEnd w:id="118"/>
      <w:bookmarkStart w:id="119" w:name="_Toc184313241"/>
      <w:bookmarkEnd w:id="119"/>
      <w:bookmarkStart w:id="120" w:name="_Toc184314447"/>
      <w:bookmarkEnd w:id="120"/>
      <w:bookmarkStart w:id="121" w:name="_Toc184314431"/>
      <w:bookmarkEnd w:id="121"/>
      <w:bookmarkStart w:id="122" w:name="_Toc184312068"/>
      <w:bookmarkEnd w:id="122"/>
      <w:bookmarkStart w:id="123" w:name="_Toc184310282"/>
      <w:bookmarkEnd w:id="123"/>
      <w:bookmarkStart w:id="124" w:name="_Toc184313281"/>
      <w:bookmarkEnd w:id="124"/>
      <w:bookmarkStart w:id="125" w:name="_Toc184314433"/>
      <w:bookmarkEnd w:id="125"/>
      <w:bookmarkStart w:id="126" w:name="_Toc184314449"/>
      <w:bookmarkEnd w:id="126"/>
      <w:bookmarkStart w:id="127" w:name="_Toc184310296"/>
      <w:bookmarkEnd w:id="127"/>
      <w:bookmarkStart w:id="128" w:name="_Toc184312102"/>
      <w:bookmarkEnd w:id="128"/>
      <w:bookmarkStart w:id="129" w:name="_Toc184312126"/>
      <w:bookmarkEnd w:id="129"/>
      <w:bookmarkStart w:id="130" w:name="_Toc184310311"/>
      <w:bookmarkEnd w:id="130"/>
      <w:bookmarkStart w:id="131" w:name="_Toc184310333"/>
      <w:bookmarkEnd w:id="131"/>
      <w:bookmarkStart w:id="132" w:name="_Toc184310299"/>
      <w:bookmarkEnd w:id="132"/>
      <w:bookmarkStart w:id="133" w:name="_Toc184313290"/>
      <w:bookmarkEnd w:id="133"/>
      <w:bookmarkStart w:id="134" w:name="_Toc184314437"/>
      <w:bookmarkEnd w:id="134"/>
      <w:bookmarkStart w:id="135" w:name="_Toc184314463"/>
      <w:bookmarkEnd w:id="135"/>
      <w:bookmarkStart w:id="136" w:name="_Toc184314446"/>
      <w:bookmarkEnd w:id="136"/>
      <w:bookmarkStart w:id="137" w:name="_Toc184314482"/>
      <w:bookmarkEnd w:id="137"/>
      <w:bookmarkStart w:id="138" w:name="_Toc184308058"/>
      <w:bookmarkEnd w:id="138"/>
      <w:bookmarkStart w:id="139" w:name="_Toc184314467"/>
      <w:bookmarkEnd w:id="139"/>
      <w:bookmarkStart w:id="140" w:name="_Toc184312085"/>
      <w:bookmarkEnd w:id="140"/>
      <w:bookmarkStart w:id="141" w:name="_Toc184312104"/>
      <w:bookmarkEnd w:id="141"/>
      <w:bookmarkStart w:id="142" w:name="_Toc184310304"/>
      <w:bookmarkEnd w:id="142"/>
      <w:bookmarkStart w:id="143" w:name="_Toc184313240"/>
      <w:bookmarkEnd w:id="143"/>
      <w:bookmarkStart w:id="144" w:name="_Toc184308062"/>
      <w:bookmarkEnd w:id="144"/>
      <w:bookmarkStart w:id="145" w:name="_Toc184310321"/>
      <w:bookmarkEnd w:id="145"/>
      <w:bookmarkStart w:id="146" w:name="_Toc184314445"/>
      <w:bookmarkEnd w:id="146"/>
      <w:bookmarkStart w:id="147" w:name="_Toc184312132"/>
      <w:bookmarkEnd w:id="147"/>
      <w:bookmarkStart w:id="148" w:name="_Toc184312092"/>
      <w:bookmarkEnd w:id="148"/>
      <w:bookmarkStart w:id="149" w:name="_Toc184312076"/>
      <w:bookmarkEnd w:id="149"/>
      <w:bookmarkStart w:id="150" w:name="_Toc184308108"/>
      <w:bookmarkEnd w:id="150"/>
      <w:bookmarkStart w:id="151" w:name="_Toc184308064"/>
      <w:bookmarkEnd w:id="151"/>
      <w:bookmarkStart w:id="152" w:name="_Toc184310318"/>
      <w:bookmarkEnd w:id="152"/>
      <w:bookmarkStart w:id="153" w:name="_Toc184313301"/>
      <w:bookmarkEnd w:id="153"/>
      <w:bookmarkStart w:id="154" w:name="_Toc184312125"/>
      <w:bookmarkEnd w:id="154"/>
      <w:bookmarkStart w:id="155" w:name="_Toc184310276"/>
      <w:bookmarkEnd w:id="155"/>
      <w:bookmarkStart w:id="156" w:name="_Toc184312072"/>
      <w:bookmarkEnd w:id="156"/>
      <w:bookmarkStart w:id="157" w:name="_Toc184314418"/>
      <w:bookmarkEnd w:id="157"/>
      <w:bookmarkStart w:id="158" w:name="_Toc184310272"/>
      <w:bookmarkEnd w:id="158"/>
      <w:bookmarkStart w:id="159" w:name="_Toc184312077"/>
      <w:bookmarkEnd w:id="159"/>
      <w:bookmarkStart w:id="160" w:name="_Toc184312113"/>
      <w:bookmarkEnd w:id="160"/>
      <w:bookmarkStart w:id="161" w:name="_Toc184308046"/>
      <w:bookmarkEnd w:id="161"/>
      <w:bookmarkStart w:id="162" w:name="_Toc184310288"/>
      <w:bookmarkEnd w:id="162"/>
      <w:bookmarkStart w:id="163" w:name="_Toc184308043"/>
      <w:bookmarkEnd w:id="163"/>
      <w:bookmarkStart w:id="164" w:name="_Toc184312082"/>
      <w:bookmarkEnd w:id="164"/>
      <w:bookmarkStart w:id="165" w:name="_Toc184310339"/>
      <w:bookmarkEnd w:id="165"/>
      <w:bookmarkStart w:id="166" w:name="_Toc184312074"/>
      <w:bookmarkEnd w:id="166"/>
      <w:bookmarkStart w:id="167" w:name="_Toc184312090"/>
      <w:bookmarkEnd w:id="167"/>
      <w:bookmarkStart w:id="168" w:name="_Toc184314424"/>
      <w:bookmarkEnd w:id="168"/>
      <w:bookmarkStart w:id="169" w:name="_Toc184313309"/>
      <w:bookmarkEnd w:id="169"/>
      <w:bookmarkStart w:id="170" w:name="_Toc184312069"/>
      <w:bookmarkEnd w:id="170"/>
      <w:bookmarkStart w:id="171" w:name="_Toc184310274"/>
      <w:bookmarkEnd w:id="171"/>
      <w:bookmarkStart w:id="172" w:name="_Toc184310342"/>
      <w:bookmarkEnd w:id="172"/>
      <w:bookmarkStart w:id="173" w:name="_Toc184310332"/>
      <w:bookmarkEnd w:id="173"/>
      <w:bookmarkStart w:id="174" w:name="_Toc184314415"/>
      <w:bookmarkEnd w:id="174"/>
      <w:bookmarkStart w:id="175" w:name="_Toc184308097"/>
      <w:bookmarkEnd w:id="175"/>
      <w:bookmarkStart w:id="176" w:name="_Toc184310335"/>
      <w:bookmarkEnd w:id="176"/>
      <w:bookmarkStart w:id="177" w:name="_Toc184308083"/>
      <w:bookmarkEnd w:id="177"/>
      <w:bookmarkStart w:id="178" w:name="_Toc184308104"/>
      <w:bookmarkEnd w:id="178"/>
      <w:bookmarkStart w:id="179" w:name="_Toc184308036"/>
      <w:bookmarkEnd w:id="179"/>
      <w:bookmarkStart w:id="180" w:name="_Toc184312108"/>
      <w:bookmarkEnd w:id="180"/>
      <w:bookmarkStart w:id="181" w:name="_Toc184313275"/>
      <w:bookmarkEnd w:id="181"/>
      <w:bookmarkStart w:id="182" w:name="_Toc184314435"/>
      <w:bookmarkEnd w:id="182"/>
      <w:bookmarkStart w:id="183" w:name="_Toc184313246"/>
      <w:bookmarkEnd w:id="183"/>
      <w:bookmarkStart w:id="184" w:name="_Toc184308077"/>
      <w:bookmarkEnd w:id="184"/>
      <w:bookmarkStart w:id="185" w:name="_Toc184308105"/>
      <w:bookmarkEnd w:id="185"/>
      <w:bookmarkStart w:id="186" w:name="_Toc184308075"/>
      <w:bookmarkEnd w:id="186"/>
      <w:bookmarkStart w:id="187" w:name="_Toc184313244"/>
      <w:bookmarkEnd w:id="187"/>
      <w:bookmarkStart w:id="188" w:name="_Toc184313285"/>
      <w:bookmarkEnd w:id="188"/>
      <w:bookmarkStart w:id="189" w:name="_Toc184308106"/>
      <w:bookmarkEnd w:id="189"/>
      <w:bookmarkStart w:id="190" w:name="_Toc184314414"/>
      <w:bookmarkEnd w:id="190"/>
      <w:bookmarkStart w:id="191" w:name="_Toc184310290"/>
      <w:bookmarkEnd w:id="191"/>
      <w:bookmarkStart w:id="192" w:name="_Toc184314448"/>
      <w:bookmarkEnd w:id="192"/>
      <w:bookmarkStart w:id="193" w:name="_Toc184308039"/>
      <w:bookmarkEnd w:id="193"/>
      <w:bookmarkStart w:id="194" w:name="_Toc184314468"/>
      <w:bookmarkEnd w:id="194"/>
      <w:bookmarkStart w:id="195" w:name="_Toc184313260"/>
      <w:bookmarkEnd w:id="195"/>
      <w:bookmarkStart w:id="196" w:name="_Toc184312123"/>
      <w:bookmarkEnd w:id="196"/>
      <w:bookmarkStart w:id="197" w:name="_Toc184310302"/>
      <w:bookmarkEnd w:id="197"/>
      <w:bookmarkStart w:id="198" w:name="_Toc184312117"/>
      <w:bookmarkEnd w:id="198"/>
      <w:bookmarkStart w:id="199" w:name="_Toc184310279"/>
      <w:bookmarkEnd w:id="199"/>
      <w:bookmarkStart w:id="200" w:name="_Toc184314443"/>
      <w:bookmarkEnd w:id="200"/>
      <w:bookmarkStart w:id="201" w:name="_Toc184314472"/>
      <w:bookmarkEnd w:id="201"/>
      <w:bookmarkStart w:id="202" w:name="_Toc184310320"/>
      <w:bookmarkEnd w:id="202"/>
      <w:bookmarkStart w:id="203" w:name="_Toc184314441"/>
      <w:bookmarkEnd w:id="203"/>
      <w:bookmarkStart w:id="204" w:name="_Toc184313262"/>
      <w:bookmarkEnd w:id="204"/>
      <w:bookmarkStart w:id="205" w:name="_Toc184312091"/>
      <w:bookmarkEnd w:id="205"/>
      <w:bookmarkStart w:id="206" w:name="_Toc184308038"/>
      <w:bookmarkEnd w:id="206"/>
      <w:bookmarkStart w:id="207" w:name="_Toc184313266"/>
      <w:bookmarkEnd w:id="207"/>
      <w:bookmarkStart w:id="208" w:name="_Toc184310286"/>
      <w:bookmarkEnd w:id="208"/>
      <w:bookmarkStart w:id="209" w:name="_Toc184314421"/>
      <w:bookmarkEnd w:id="209"/>
      <w:bookmarkStart w:id="210" w:name="_Toc184314438"/>
      <w:bookmarkEnd w:id="210"/>
      <w:bookmarkStart w:id="211" w:name="_Toc184312112"/>
      <w:bookmarkEnd w:id="211"/>
      <w:bookmarkStart w:id="212" w:name="_Toc184308059"/>
      <w:bookmarkEnd w:id="212"/>
      <w:bookmarkStart w:id="213" w:name="_Toc184313280"/>
      <w:bookmarkEnd w:id="213"/>
      <w:bookmarkStart w:id="214" w:name="_Toc184312111"/>
      <w:bookmarkEnd w:id="214"/>
      <w:bookmarkStart w:id="215" w:name="_Toc184312083"/>
      <w:bookmarkEnd w:id="215"/>
      <w:bookmarkStart w:id="216" w:name="_Toc184314451"/>
      <w:bookmarkEnd w:id="216"/>
      <w:bookmarkStart w:id="217" w:name="_Toc184308091"/>
      <w:bookmarkEnd w:id="217"/>
      <w:bookmarkStart w:id="218" w:name="_Toc184313277"/>
      <w:bookmarkEnd w:id="218"/>
      <w:bookmarkStart w:id="219" w:name="_Toc184313243"/>
      <w:bookmarkEnd w:id="219"/>
      <w:bookmarkStart w:id="220" w:name="_Toc184314419"/>
      <w:bookmarkEnd w:id="220"/>
      <w:bookmarkStart w:id="221" w:name="_Toc184312098"/>
      <w:bookmarkEnd w:id="221"/>
      <w:bookmarkStart w:id="222" w:name="_Toc184308060"/>
      <w:bookmarkEnd w:id="222"/>
      <w:bookmarkStart w:id="223" w:name="_Toc184314417"/>
      <w:bookmarkEnd w:id="223"/>
      <w:bookmarkStart w:id="224" w:name="_Toc184314427"/>
      <w:bookmarkEnd w:id="224"/>
      <w:bookmarkStart w:id="225" w:name="_Toc184308068"/>
      <w:bookmarkEnd w:id="225"/>
      <w:bookmarkStart w:id="226" w:name="_Toc184308041"/>
      <w:bookmarkEnd w:id="226"/>
      <w:bookmarkStart w:id="227" w:name="_Toc184312127"/>
      <w:bookmarkEnd w:id="227"/>
      <w:bookmarkStart w:id="228" w:name="_Toc184314469"/>
      <w:bookmarkEnd w:id="228"/>
      <w:bookmarkStart w:id="229" w:name="_Toc184312073"/>
      <w:bookmarkEnd w:id="229"/>
      <w:bookmarkStart w:id="230" w:name="_Toc184314412"/>
      <w:bookmarkEnd w:id="230"/>
      <w:bookmarkStart w:id="231" w:name="_Toc184308100"/>
      <w:bookmarkEnd w:id="231"/>
      <w:bookmarkStart w:id="232" w:name="_Toc184314411"/>
      <w:bookmarkEnd w:id="232"/>
      <w:bookmarkStart w:id="233" w:name="_Toc184314456"/>
      <w:bookmarkEnd w:id="233"/>
      <w:bookmarkStart w:id="234" w:name="_Toc184314465"/>
      <w:bookmarkEnd w:id="234"/>
      <w:bookmarkStart w:id="235" w:name="_Toc184310312"/>
      <w:bookmarkEnd w:id="235"/>
      <w:bookmarkStart w:id="236" w:name="_Toc184312129"/>
      <w:bookmarkEnd w:id="236"/>
      <w:bookmarkStart w:id="237" w:name="_Toc184310295"/>
      <w:bookmarkEnd w:id="237"/>
      <w:bookmarkStart w:id="238" w:name="_Toc184310278"/>
      <w:bookmarkEnd w:id="238"/>
      <w:bookmarkStart w:id="239" w:name="_Toc184313250"/>
      <w:bookmarkEnd w:id="239"/>
      <w:bookmarkStart w:id="240" w:name="_Toc184314444"/>
      <w:bookmarkEnd w:id="240"/>
      <w:bookmarkStart w:id="241" w:name="_Toc184312106"/>
      <w:bookmarkEnd w:id="241"/>
      <w:bookmarkStart w:id="242" w:name="_Toc184310308"/>
      <w:bookmarkEnd w:id="242"/>
      <w:bookmarkStart w:id="243" w:name="_Toc184308101"/>
      <w:bookmarkEnd w:id="243"/>
      <w:bookmarkStart w:id="244" w:name="_Toc184310285"/>
      <w:bookmarkEnd w:id="244"/>
      <w:bookmarkStart w:id="245" w:name="_Toc184310329"/>
      <w:bookmarkEnd w:id="245"/>
      <w:bookmarkStart w:id="246" w:name="_Toc184312071"/>
      <w:bookmarkEnd w:id="246"/>
      <w:bookmarkStart w:id="247" w:name="_Toc184314423"/>
      <w:bookmarkEnd w:id="247"/>
      <w:bookmarkStart w:id="248" w:name="_Toc184310273"/>
      <w:bookmarkEnd w:id="248"/>
      <w:bookmarkStart w:id="249" w:name="_Toc184308079"/>
      <w:bookmarkEnd w:id="249"/>
      <w:bookmarkStart w:id="250" w:name="_Toc184314479"/>
      <w:bookmarkEnd w:id="250"/>
      <w:bookmarkStart w:id="251" w:name="_Toc184312119"/>
      <w:bookmarkEnd w:id="251"/>
      <w:bookmarkStart w:id="252" w:name="_Toc184312109"/>
      <w:bookmarkEnd w:id="252"/>
      <w:bookmarkStart w:id="253" w:name="_Toc184313305"/>
      <w:bookmarkEnd w:id="253"/>
      <w:bookmarkStart w:id="254" w:name="_Toc184314471"/>
      <w:bookmarkEnd w:id="254"/>
      <w:bookmarkStart w:id="255" w:name="_Toc184310314"/>
      <w:bookmarkEnd w:id="255"/>
      <w:bookmarkStart w:id="256" w:name="_Toc184310306"/>
      <w:bookmarkEnd w:id="256"/>
      <w:bookmarkStart w:id="257" w:name="_Toc184310309"/>
      <w:bookmarkEnd w:id="257"/>
      <w:bookmarkStart w:id="258" w:name="_Toc184314434"/>
      <w:bookmarkEnd w:id="258"/>
      <w:bookmarkStart w:id="259" w:name="_Toc184308085"/>
      <w:bookmarkEnd w:id="259"/>
      <w:bookmarkStart w:id="260" w:name="_Toc184313279"/>
      <w:bookmarkEnd w:id="260"/>
      <w:bookmarkStart w:id="261" w:name="_Toc184308048"/>
      <w:bookmarkEnd w:id="261"/>
      <w:bookmarkStart w:id="262" w:name="_Toc184313261"/>
      <w:bookmarkEnd w:id="262"/>
      <w:bookmarkStart w:id="263" w:name="_Toc184312088"/>
      <w:bookmarkEnd w:id="263"/>
      <w:bookmarkStart w:id="264" w:name="_Toc184313259"/>
      <w:bookmarkEnd w:id="264"/>
      <w:bookmarkStart w:id="265" w:name="_Toc184314480"/>
      <w:bookmarkEnd w:id="265"/>
      <w:bookmarkStart w:id="266" w:name="_Toc184312080"/>
      <w:bookmarkEnd w:id="266"/>
      <w:bookmarkStart w:id="267" w:name="_Toc184314413"/>
      <w:bookmarkEnd w:id="267"/>
      <w:bookmarkStart w:id="268" w:name="_Toc184310326"/>
      <w:bookmarkEnd w:id="268"/>
      <w:bookmarkStart w:id="269" w:name="_Toc184313303"/>
      <w:bookmarkEnd w:id="269"/>
      <w:bookmarkStart w:id="270" w:name="_Toc184310283"/>
      <w:bookmarkEnd w:id="270"/>
      <w:bookmarkStart w:id="271" w:name="_Toc184314466"/>
      <w:bookmarkEnd w:id="271"/>
      <w:bookmarkStart w:id="272" w:name="_Toc184314470"/>
      <w:bookmarkEnd w:id="272"/>
      <w:bookmarkStart w:id="273" w:name="_Toc184310343"/>
      <w:bookmarkEnd w:id="273"/>
      <w:bookmarkStart w:id="274" w:name="_Toc184312095"/>
      <w:bookmarkEnd w:id="274"/>
      <w:bookmarkStart w:id="275" w:name="_Toc184310303"/>
      <w:bookmarkEnd w:id="275"/>
      <w:bookmarkStart w:id="276" w:name="_Toc184314454"/>
      <w:bookmarkEnd w:id="276"/>
      <w:bookmarkStart w:id="277" w:name="_Toc184312084"/>
      <w:bookmarkEnd w:id="277"/>
      <w:bookmarkStart w:id="278" w:name="_Toc184313302"/>
      <w:bookmarkEnd w:id="278"/>
      <w:bookmarkStart w:id="279" w:name="_Toc184310319"/>
      <w:bookmarkEnd w:id="279"/>
      <w:bookmarkStart w:id="280" w:name="_Toc184312081"/>
      <w:bookmarkEnd w:id="280"/>
      <w:bookmarkStart w:id="281" w:name="_Toc184313252"/>
      <w:bookmarkEnd w:id="281"/>
      <w:bookmarkStart w:id="282" w:name="_Toc184314430"/>
      <w:bookmarkEnd w:id="282"/>
      <w:bookmarkStart w:id="283" w:name="_Toc184314436"/>
      <w:bookmarkEnd w:id="283"/>
      <w:bookmarkStart w:id="284" w:name="_Toc184314452"/>
      <w:bookmarkEnd w:id="284"/>
      <w:bookmarkStart w:id="285" w:name="_Toc184313295"/>
      <w:bookmarkEnd w:id="285"/>
      <w:bookmarkStart w:id="286" w:name="_Toc184310281"/>
      <w:bookmarkEnd w:id="286"/>
      <w:bookmarkStart w:id="287" w:name="_Toc184308087"/>
      <w:bookmarkEnd w:id="287"/>
      <w:bookmarkStart w:id="288" w:name="_Toc184310322"/>
      <w:bookmarkEnd w:id="288"/>
      <w:bookmarkStart w:id="289" w:name="_Toc184314462"/>
      <w:bookmarkEnd w:id="289"/>
      <w:bookmarkStart w:id="290" w:name="_Toc184312128"/>
      <w:bookmarkEnd w:id="290"/>
      <w:bookmarkStart w:id="291" w:name="_Toc184313264"/>
      <w:bookmarkEnd w:id="291"/>
      <w:bookmarkStart w:id="292" w:name="_Toc184308094"/>
      <w:bookmarkEnd w:id="292"/>
      <w:bookmarkStart w:id="293" w:name="_Toc184313293"/>
      <w:bookmarkEnd w:id="293"/>
      <w:bookmarkStart w:id="294" w:name="_Toc184312096"/>
      <w:bookmarkEnd w:id="294"/>
      <w:bookmarkStart w:id="295" w:name="_Toc184314420"/>
      <w:bookmarkEnd w:id="295"/>
      <w:bookmarkStart w:id="296" w:name="_Toc184308057"/>
      <w:bookmarkEnd w:id="296"/>
      <w:bookmarkStart w:id="297" w:name="_Toc184313251"/>
      <w:bookmarkEnd w:id="297"/>
      <w:bookmarkStart w:id="298" w:name="_Toc184308099"/>
      <w:bookmarkEnd w:id="298"/>
      <w:bookmarkStart w:id="299" w:name="_Toc184312079"/>
      <w:bookmarkEnd w:id="299"/>
      <w:bookmarkStart w:id="300" w:name="_Toc184310315"/>
      <w:bookmarkEnd w:id="300"/>
      <w:bookmarkStart w:id="301" w:name="_Toc184313288"/>
      <w:bookmarkEnd w:id="301"/>
      <w:bookmarkStart w:id="302" w:name="_Toc184310337"/>
      <w:bookmarkEnd w:id="302"/>
      <w:bookmarkStart w:id="303" w:name="_Toc184308065"/>
      <w:bookmarkEnd w:id="303"/>
      <w:bookmarkStart w:id="304" w:name="_Toc184312121"/>
      <w:bookmarkEnd w:id="304"/>
      <w:bookmarkStart w:id="305" w:name="_Toc184312116"/>
      <w:bookmarkEnd w:id="305"/>
      <w:bookmarkStart w:id="306" w:name="_Toc184310298"/>
      <w:bookmarkEnd w:id="306"/>
      <w:bookmarkStart w:id="307" w:name="_Toc184313310"/>
      <w:bookmarkEnd w:id="307"/>
      <w:bookmarkStart w:id="308" w:name="_Toc184312107"/>
      <w:bookmarkEnd w:id="308"/>
      <w:bookmarkStart w:id="309" w:name="_Toc184308074"/>
      <w:bookmarkEnd w:id="309"/>
      <w:bookmarkStart w:id="310" w:name="_Toc184312070"/>
      <w:bookmarkEnd w:id="310"/>
      <w:bookmarkStart w:id="311" w:name="_Toc184310292"/>
      <w:bookmarkEnd w:id="311"/>
      <w:bookmarkStart w:id="312" w:name="_Toc184313239"/>
      <w:bookmarkEnd w:id="312"/>
      <w:bookmarkStart w:id="313" w:name="_Toc184314476"/>
      <w:bookmarkEnd w:id="313"/>
      <w:bookmarkStart w:id="314" w:name="_Toc184313291"/>
      <w:bookmarkEnd w:id="314"/>
      <w:bookmarkStart w:id="315" w:name="_Toc184308072"/>
      <w:bookmarkEnd w:id="315"/>
      <w:bookmarkStart w:id="316" w:name="_Toc184310297"/>
      <w:bookmarkEnd w:id="316"/>
      <w:bookmarkStart w:id="317" w:name="_Toc184314475"/>
      <w:bookmarkEnd w:id="317"/>
      <w:bookmarkStart w:id="318" w:name="_Toc184312093"/>
      <w:bookmarkEnd w:id="318"/>
      <w:bookmarkStart w:id="319" w:name="_Toc184308070"/>
      <w:bookmarkEnd w:id="319"/>
      <w:bookmarkStart w:id="320" w:name="_Toc184312118"/>
      <w:bookmarkEnd w:id="320"/>
      <w:bookmarkStart w:id="321" w:name="_Toc184314432"/>
      <w:bookmarkEnd w:id="321"/>
      <w:bookmarkStart w:id="322" w:name="_Toc184312078"/>
      <w:bookmarkEnd w:id="322"/>
      <w:bookmarkStart w:id="323" w:name="_Toc184312134"/>
      <w:bookmarkEnd w:id="323"/>
      <w:bookmarkStart w:id="324" w:name="_Toc184314455"/>
      <w:bookmarkEnd w:id="324"/>
      <w:bookmarkStart w:id="325" w:name="_Toc184314460"/>
      <w:bookmarkEnd w:id="325"/>
      <w:bookmarkStart w:id="326" w:name="_Toc184312139"/>
      <w:bookmarkEnd w:id="326"/>
      <w:bookmarkStart w:id="327" w:name="_Toc184313253"/>
      <w:bookmarkEnd w:id="327"/>
      <w:bookmarkStart w:id="328" w:name="_Toc184313294"/>
      <w:bookmarkEnd w:id="328"/>
      <w:bookmarkStart w:id="329" w:name="_Toc184313298"/>
      <w:bookmarkEnd w:id="329"/>
      <w:bookmarkStart w:id="330" w:name="_Toc184308090"/>
      <w:bookmarkEnd w:id="330"/>
      <w:bookmarkStart w:id="331" w:name="_Toc184310327"/>
      <w:bookmarkEnd w:id="331"/>
      <w:bookmarkStart w:id="332" w:name="_Toc184312120"/>
      <w:bookmarkEnd w:id="332"/>
      <w:bookmarkStart w:id="333" w:name="_Toc184314410"/>
      <w:bookmarkEnd w:id="333"/>
      <w:bookmarkStart w:id="334" w:name="_Toc184313238"/>
      <w:bookmarkEnd w:id="334"/>
      <w:bookmarkStart w:id="335" w:name="_Toc184314440"/>
      <w:bookmarkEnd w:id="335"/>
      <w:bookmarkStart w:id="336" w:name="_Toc184310341"/>
      <w:bookmarkEnd w:id="336"/>
      <w:bookmarkStart w:id="337" w:name="_Toc184312130"/>
      <w:bookmarkEnd w:id="337"/>
      <w:bookmarkStart w:id="338" w:name="_Toc184313258"/>
      <w:bookmarkEnd w:id="338"/>
      <w:bookmarkStart w:id="339" w:name="_Toc184313289"/>
      <w:bookmarkEnd w:id="339"/>
      <w:bookmarkStart w:id="340" w:name="_Toc184308042"/>
      <w:bookmarkEnd w:id="340"/>
      <w:bookmarkStart w:id="341" w:name="_Toc184308040"/>
      <w:bookmarkEnd w:id="341"/>
      <w:bookmarkStart w:id="342" w:name="_Toc184313304"/>
      <w:bookmarkEnd w:id="342"/>
      <w:bookmarkStart w:id="343" w:name="_Toc184312114"/>
      <w:bookmarkEnd w:id="343"/>
      <w:bookmarkStart w:id="344" w:name="_Toc184313247"/>
      <w:bookmarkEnd w:id="344"/>
      <w:bookmarkStart w:id="345" w:name="_Toc184312122"/>
      <w:bookmarkEnd w:id="345"/>
      <w:bookmarkStart w:id="346" w:name="_Toc184313269"/>
      <w:bookmarkEnd w:id="346"/>
      <w:bookmarkStart w:id="347" w:name="_Toc184308093"/>
      <w:bookmarkEnd w:id="347"/>
      <w:bookmarkStart w:id="348" w:name="_Toc184313254"/>
      <w:bookmarkEnd w:id="348"/>
      <w:bookmarkStart w:id="349" w:name="_Toc184308056"/>
      <w:bookmarkEnd w:id="349"/>
      <w:bookmarkStart w:id="350" w:name="_Toc184312115"/>
      <w:bookmarkEnd w:id="350"/>
      <w:bookmarkStart w:id="351" w:name="_Toc184310317"/>
      <w:bookmarkEnd w:id="351"/>
      <w:bookmarkStart w:id="352" w:name="_Toc184313306"/>
      <w:bookmarkEnd w:id="352"/>
      <w:bookmarkStart w:id="353" w:name="_Toc184312124"/>
      <w:bookmarkEnd w:id="353"/>
      <w:bookmarkStart w:id="354" w:name="_Toc184308089"/>
      <w:bookmarkEnd w:id="354"/>
      <w:bookmarkStart w:id="355" w:name="_Toc184308102"/>
      <w:bookmarkEnd w:id="355"/>
      <w:bookmarkStart w:id="356" w:name="_Toc184308049"/>
      <w:bookmarkEnd w:id="356"/>
      <w:bookmarkStart w:id="357" w:name="_Toc184308047"/>
      <w:bookmarkEnd w:id="357"/>
      <w:bookmarkStart w:id="358" w:name="_Toc184312097"/>
      <w:bookmarkEnd w:id="358"/>
      <w:bookmarkStart w:id="359" w:name="_Toc184314478"/>
      <w:bookmarkEnd w:id="359"/>
      <w:bookmarkStart w:id="360" w:name="_Toc184313286"/>
      <w:bookmarkEnd w:id="360"/>
      <w:bookmarkStart w:id="361" w:name="_Toc184310291"/>
      <w:bookmarkEnd w:id="361"/>
      <w:bookmarkStart w:id="362" w:name="_Toc184310336"/>
      <w:bookmarkEnd w:id="362"/>
      <w:bookmarkStart w:id="363" w:name="_Toc184314458"/>
      <w:bookmarkEnd w:id="363"/>
      <w:bookmarkStart w:id="364" w:name="_Toc184313242"/>
      <w:bookmarkEnd w:id="364"/>
      <w:bookmarkStart w:id="365" w:name="_Toc184314474"/>
      <w:bookmarkEnd w:id="365"/>
      <w:bookmarkStart w:id="366" w:name="_Toc184308098"/>
      <w:bookmarkEnd w:id="366"/>
      <w:bookmarkStart w:id="367" w:name="_Toc184312067"/>
      <w:bookmarkEnd w:id="367"/>
      <w:bookmarkStart w:id="368" w:name="_Toc184313267"/>
      <w:bookmarkEnd w:id="368"/>
      <w:bookmarkStart w:id="369" w:name="_Toc184310331"/>
      <w:bookmarkEnd w:id="369"/>
      <w:bookmarkStart w:id="370" w:name="_Toc184313268"/>
      <w:bookmarkEnd w:id="370"/>
      <w:bookmarkStart w:id="371" w:name="_Toc184312103"/>
      <w:bookmarkEnd w:id="371"/>
      <w:bookmarkStart w:id="372" w:name="_Toc184313308"/>
      <w:bookmarkEnd w:id="372"/>
      <w:bookmarkStart w:id="373" w:name="_Toc184310277"/>
      <w:bookmarkEnd w:id="373"/>
      <w:bookmarkStart w:id="374" w:name="_Toc184308082"/>
      <w:bookmarkEnd w:id="374"/>
      <w:bookmarkStart w:id="375" w:name="_Toc184308061"/>
      <w:bookmarkEnd w:id="375"/>
      <w:bookmarkStart w:id="376" w:name="_Toc184308067"/>
      <w:bookmarkEnd w:id="376"/>
      <w:bookmarkStart w:id="377" w:name="_Toc184310307"/>
      <w:bookmarkEnd w:id="377"/>
      <w:bookmarkStart w:id="378" w:name="_Toc184312099"/>
      <w:bookmarkEnd w:id="378"/>
      <w:bookmarkStart w:id="379" w:name="_Toc184308095"/>
      <w:bookmarkEnd w:id="379"/>
      <w:bookmarkStart w:id="380" w:name="_Toc184314416"/>
      <w:bookmarkEnd w:id="380"/>
      <w:bookmarkStart w:id="381" w:name="_Toc184310305"/>
      <w:bookmarkEnd w:id="381"/>
      <w:bookmarkStart w:id="382" w:name="_Toc184310294"/>
      <w:bookmarkEnd w:id="382"/>
      <w:bookmarkStart w:id="383" w:name="_Toc184313274"/>
      <w:bookmarkEnd w:id="383"/>
      <w:bookmarkStart w:id="384" w:name="_Toc184313256"/>
      <w:bookmarkEnd w:id="384"/>
      <w:bookmarkStart w:id="385" w:name="_Toc184308037"/>
      <w:bookmarkEnd w:id="385"/>
      <w:bookmarkStart w:id="386" w:name="_Toc184313273"/>
      <w:bookmarkEnd w:id="386"/>
      <w:bookmarkStart w:id="387" w:name="_Toc184312100"/>
      <w:bookmarkEnd w:id="387"/>
      <w:bookmarkStart w:id="388" w:name="_Toc184312133"/>
      <w:bookmarkEnd w:id="388"/>
      <w:bookmarkStart w:id="389" w:name="_Toc184310330"/>
      <w:bookmarkEnd w:id="389"/>
      <w:bookmarkStart w:id="390" w:name="_Toc184313248"/>
      <w:bookmarkEnd w:id="390"/>
      <w:bookmarkStart w:id="391" w:name="_Toc184313282"/>
      <w:bookmarkEnd w:id="391"/>
      <w:bookmarkStart w:id="392" w:name="_Toc184308055"/>
      <w:bookmarkEnd w:id="392"/>
      <w:bookmarkStart w:id="393" w:name="_Toc184308052"/>
      <w:bookmarkEnd w:id="393"/>
      <w:bookmarkStart w:id="394" w:name="_Toc184308092"/>
      <w:bookmarkEnd w:id="394"/>
      <w:bookmarkStart w:id="395" w:name="_Toc184308063"/>
      <w:bookmarkEnd w:id="395"/>
      <w:bookmarkStart w:id="396" w:name="_Toc184310313"/>
      <w:bookmarkEnd w:id="396"/>
      <w:bookmarkStart w:id="397" w:name="_Toc184313283"/>
      <w:bookmarkEnd w:id="397"/>
      <w:bookmarkStart w:id="398" w:name="_Toc184313287"/>
      <w:bookmarkEnd w:id="398"/>
      <w:bookmarkStart w:id="399" w:name="_Toc184310289"/>
      <w:bookmarkEnd w:id="399"/>
      <w:bookmarkStart w:id="400" w:name="_Toc184310324"/>
      <w:bookmarkEnd w:id="400"/>
      <w:bookmarkStart w:id="401" w:name="_Toc184310287"/>
      <w:bookmarkEnd w:id="401"/>
      <w:bookmarkStart w:id="402" w:name="_Toc184312094"/>
      <w:bookmarkEnd w:id="402"/>
      <w:bookmarkStart w:id="403" w:name="_Toc184313245"/>
      <w:bookmarkEnd w:id="403"/>
      <w:bookmarkStart w:id="404" w:name="_Toc184310275"/>
      <w:bookmarkEnd w:id="404"/>
      <w:bookmarkStart w:id="405" w:name="_Toc184314459"/>
      <w:bookmarkEnd w:id="405"/>
      <w:bookmarkStart w:id="406" w:name="_Toc184312086"/>
      <w:bookmarkEnd w:id="406"/>
      <w:r>
        <w:rPr>
          <w:rFonts w:hint="eastAsia" w:ascii="仿宋" w:hAnsi="仿宋" w:eastAsia="仿宋" w:cs="仿宋_GB2312"/>
          <w:b/>
          <w:sz w:val="36"/>
          <w:szCs w:val="36"/>
        </w:rPr>
        <w:t>评标办法</w:t>
      </w:r>
    </w:p>
    <w:p>
      <w:pPr>
        <w:snapToGrid w:val="0"/>
        <w:spacing w:line="360" w:lineRule="auto"/>
        <w:jc w:val="center"/>
        <w:rPr>
          <w:rFonts w:hint="eastAsia" w:ascii="仿宋" w:hAnsi="仿宋" w:eastAsia="仿宋" w:cs="仿宋_GB2312"/>
          <w:b/>
          <w:sz w:val="32"/>
          <w:szCs w:val="20"/>
        </w:rPr>
      </w:pPr>
      <w:r>
        <w:rPr>
          <w:rFonts w:hint="eastAsia" w:ascii="仿宋" w:hAnsi="仿宋" w:eastAsia="仿宋" w:cs="仿宋_GB2312"/>
          <w:b/>
          <w:sz w:val="32"/>
          <w:szCs w:val="20"/>
        </w:rPr>
        <w:t>评标办法前附表</w:t>
      </w:r>
    </w:p>
    <w:tbl>
      <w:tblPr>
        <w:tblStyle w:val="62"/>
        <w:tblpPr w:leftFromText="180" w:rightFromText="180" w:vertAnchor="text" w:horzAnchor="page" w:tblpX="934" w:tblpY="304"/>
        <w:tblOverlap w:val="never"/>
        <w:tblW w:w="59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2358"/>
        <w:gridCol w:w="762"/>
        <w:gridCol w:w="6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34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宋体" w:eastAsia="仿宋_GB2312"/>
                <w:b/>
                <w:bCs/>
                <w:color w:val="auto"/>
                <w:szCs w:val="21"/>
                <w:highlight w:val="none"/>
              </w:rPr>
            </w:pPr>
            <w:r>
              <w:rPr>
                <w:rFonts w:hint="eastAsia" w:ascii="仿宋_GB2312" w:hAnsi="宋体" w:eastAsia="仿宋_GB2312"/>
                <w:b/>
                <w:bCs/>
                <w:color w:val="auto"/>
                <w:szCs w:val="21"/>
                <w:highlight w:val="none"/>
              </w:rPr>
              <w:t>序号</w:t>
            </w:r>
          </w:p>
        </w:tc>
        <w:tc>
          <w:tcPr>
            <w:tcW w:w="116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宋体" w:eastAsia="仿宋_GB2312"/>
                <w:b/>
                <w:bCs/>
                <w:color w:val="auto"/>
                <w:szCs w:val="21"/>
                <w:highlight w:val="none"/>
              </w:rPr>
            </w:pPr>
            <w:r>
              <w:rPr>
                <w:rFonts w:hint="eastAsia" w:ascii="仿宋_GB2312" w:hAnsi="宋体" w:eastAsia="仿宋_GB2312"/>
                <w:b/>
                <w:bCs/>
                <w:color w:val="auto"/>
                <w:szCs w:val="21"/>
                <w:highlight w:val="none"/>
              </w:rPr>
              <w:t>评审内容</w:t>
            </w:r>
          </w:p>
        </w:tc>
        <w:tc>
          <w:tcPr>
            <w:tcW w:w="37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宋体" w:eastAsia="仿宋_GB2312"/>
                <w:b/>
                <w:bCs/>
                <w:color w:val="auto"/>
                <w:szCs w:val="21"/>
                <w:highlight w:val="none"/>
              </w:rPr>
            </w:pPr>
            <w:r>
              <w:rPr>
                <w:rFonts w:hint="eastAsia" w:ascii="仿宋_GB2312" w:hAnsi="宋体" w:eastAsia="仿宋_GB2312"/>
                <w:b/>
                <w:bCs/>
                <w:color w:val="auto"/>
                <w:szCs w:val="21"/>
                <w:highlight w:val="none"/>
              </w:rPr>
              <w:t>分值</w:t>
            </w:r>
          </w:p>
        </w:tc>
        <w:tc>
          <w:tcPr>
            <w:tcW w:w="311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宋体" w:eastAsia="仿宋_GB2312"/>
                <w:b/>
                <w:bCs/>
                <w:color w:val="auto"/>
                <w:szCs w:val="21"/>
                <w:highlight w:val="none"/>
              </w:rPr>
            </w:pPr>
            <w:r>
              <w:rPr>
                <w:rFonts w:hint="eastAsia" w:ascii="仿宋_GB2312" w:hAnsi="宋体" w:eastAsia="仿宋_GB2312"/>
                <w:b/>
                <w:bCs/>
                <w:color w:val="auto"/>
                <w:szCs w:val="21"/>
                <w:highlight w:val="none"/>
              </w:rPr>
              <w:t>评分内容及基本规则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宋体" w:eastAsia="仿宋_GB2312"/>
                <w:b w:val="0"/>
                <w:bCs w:val="0"/>
                <w:color w:val="auto"/>
                <w:szCs w:val="21"/>
                <w:highlight w:val="none"/>
                <w:lang w:val="en-US" w:eastAsia="zh-CN"/>
              </w:rPr>
            </w:pPr>
            <w:r>
              <w:rPr>
                <w:rFonts w:hint="eastAsia" w:ascii="仿宋_GB2312" w:hAnsi="宋体" w:eastAsia="仿宋_GB2312"/>
                <w:b w:val="0"/>
                <w:bCs w:val="0"/>
                <w:color w:val="auto"/>
                <w:szCs w:val="21"/>
                <w:highlight w:val="none"/>
                <w:lang w:val="en-US" w:eastAsia="zh-CN"/>
              </w:rPr>
              <w:t>1</w:t>
            </w:r>
          </w:p>
        </w:tc>
        <w:tc>
          <w:tcPr>
            <w:tcW w:w="116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宋体" w:eastAsia="仿宋_GB2312"/>
                <w:b w:val="0"/>
                <w:bCs w:val="0"/>
                <w:color w:val="auto"/>
                <w:szCs w:val="21"/>
                <w:highlight w:val="none"/>
                <w:lang w:eastAsia="zh-CN"/>
              </w:rPr>
            </w:pPr>
            <w:r>
              <w:rPr>
                <w:rFonts w:hint="eastAsia" w:ascii="仿宋" w:hAnsi="Times New Roman" w:eastAsia="仿宋" w:cs="Times New Roman"/>
                <w:color w:val="auto"/>
                <w:sz w:val="21"/>
                <w:szCs w:val="21"/>
                <w:highlight w:val="none"/>
              </w:rPr>
              <w:t>电力和通信的应急方案</w:t>
            </w:r>
          </w:p>
        </w:tc>
        <w:tc>
          <w:tcPr>
            <w:tcW w:w="37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仿宋_GB2312" w:hAnsi="宋体" w:eastAsia="仿宋_GB2312"/>
                <w:b w:val="0"/>
                <w:bCs w:val="0"/>
                <w:color w:val="auto"/>
                <w:szCs w:val="21"/>
                <w:highlight w:val="none"/>
                <w:lang w:val="en-US" w:eastAsia="zh-CN"/>
              </w:rPr>
            </w:pPr>
            <w:r>
              <w:rPr>
                <w:rFonts w:hint="eastAsia" w:ascii="仿宋_GB2312" w:hAnsi="宋体" w:eastAsia="仿宋_GB2312"/>
                <w:b w:val="0"/>
                <w:bCs w:val="0"/>
                <w:color w:val="auto"/>
                <w:szCs w:val="21"/>
                <w:highlight w:val="none"/>
                <w:lang w:val="en-US" w:eastAsia="zh-CN"/>
              </w:rPr>
              <w:t>5</w:t>
            </w:r>
          </w:p>
        </w:tc>
        <w:tc>
          <w:tcPr>
            <w:tcW w:w="311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 w:hAnsi="Times New Roman" w:eastAsia="仿宋" w:cs="Times New Roman"/>
                <w:color w:val="auto"/>
                <w:sz w:val="21"/>
                <w:szCs w:val="21"/>
                <w:highlight w:val="none"/>
              </w:rPr>
            </w:pPr>
            <w:r>
              <w:rPr>
                <w:rFonts w:hint="eastAsia" w:ascii="仿宋" w:hAnsi="Times New Roman" w:eastAsia="仿宋" w:cs="Times New Roman"/>
                <w:color w:val="auto"/>
                <w:sz w:val="21"/>
                <w:szCs w:val="21"/>
                <w:highlight w:val="none"/>
              </w:rPr>
              <w:t>根据投标人提供的电力和通信应急</w:t>
            </w:r>
            <w:r>
              <w:rPr>
                <w:rFonts w:hint="eastAsia" w:ascii="仿宋" w:hAnsi="Times New Roman" w:eastAsia="仿宋" w:cs="Times New Roman"/>
                <w:color w:val="auto"/>
                <w:sz w:val="21"/>
                <w:szCs w:val="21"/>
                <w:highlight w:val="none"/>
                <w:lang w:eastAsia="zh-CN"/>
              </w:rPr>
              <w:t>方案</w:t>
            </w:r>
            <w:r>
              <w:rPr>
                <w:rFonts w:hint="eastAsia" w:ascii="仿宋" w:hAnsi="Times New Roman" w:eastAsia="仿宋" w:cs="Times New Roman"/>
                <w:color w:val="auto"/>
                <w:sz w:val="21"/>
                <w:szCs w:val="21"/>
                <w:highlight w:val="none"/>
              </w:rPr>
              <w:t>进行综合打分。</w:t>
            </w:r>
          </w:p>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_GB2312" w:hAnsi="宋体" w:eastAsia="仿宋_GB2312"/>
                <w:b/>
                <w:bCs/>
                <w:color w:val="auto"/>
                <w:szCs w:val="21"/>
                <w:highlight w:val="none"/>
              </w:rPr>
            </w:pPr>
            <w:r>
              <w:rPr>
                <w:rFonts w:hint="eastAsia" w:ascii="仿宋" w:hAnsi="Times New Roman" w:eastAsia="仿宋" w:cs="Times New Roman"/>
                <w:color w:val="auto"/>
                <w:sz w:val="21"/>
                <w:szCs w:val="21"/>
                <w:highlight w:val="none"/>
              </w:rPr>
              <w:t>投标人专业维护团队人员数量多、技能强，提供</w:t>
            </w:r>
            <w:r>
              <w:rPr>
                <w:rFonts w:hint="eastAsia" w:ascii="仿宋" w:eastAsia="仿宋" w:cs="Times New Roman"/>
                <w:color w:val="auto"/>
                <w:sz w:val="21"/>
                <w:szCs w:val="21"/>
                <w:highlight w:val="none"/>
                <w:lang w:val="en-US" w:eastAsia="zh-CN"/>
              </w:rPr>
              <w:t>连</w:t>
            </w:r>
            <w:r>
              <w:rPr>
                <w:rFonts w:hint="eastAsia" w:ascii="仿宋" w:hAnsi="Times New Roman" w:eastAsia="仿宋" w:cs="Times New Roman"/>
                <w:color w:val="auto"/>
                <w:sz w:val="21"/>
                <w:szCs w:val="21"/>
                <w:highlight w:val="none"/>
              </w:rPr>
              <w:t>续稳定的24小时电力供应，提供便捷可靠的通讯条件得</w:t>
            </w:r>
            <w:commentRangeStart w:id="0"/>
            <w:r>
              <w:rPr>
                <w:rFonts w:hint="eastAsia" w:ascii="仿宋" w:hAnsi="Times New Roman" w:eastAsia="仿宋" w:cs="Times New Roman"/>
                <w:color w:val="auto"/>
                <w:sz w:val="21"/>
                <w:szCs w:val="21"/>
                <w:highlight w:val="none"/>
              </w:rPr>
              <w:t>优</w:t>
            </w:r>
            <w:r>
              <w:rPr>
                <w:rFonts w:hint="eastAsia" w:ascii="仿宋" w:eastAsia="仿宋" w:cs="Times New Roman"/>
                <w:color w:val="auto"/>
                <w:sz w:val="21"/>
                <w:szCs w:val="21"/>
                <w:highlight w:val="none"/>
                <w:lang w:val="en-US" w:eastAsia="zh-CN"/>
              </w:rPr>
              <w:t>5</w:t>
            </w:r>
            <w:r>
              <w:rPr>
                <w:rFonts w:hint="eastAsia" w:ascii="仿宋" w:hAnsi="Times New Roman" w:eastAsia="仿宋" w:cs="Times New Roman"/>
                <w:color w:val="auto"/>
                <w:sz w:val="21"/>
                <w:szCs w:val="21"/>
                <w:highlight w:val="none"/>
              </w:rPr>
              <w:t>-</w:t>
            </w:r>
            <w:r>
              <w:rPr>
                <w:rFonts w:hint="eastAsia" w:ascii="仿宋" w:eastAsia="仿宋" w:cs="Times New Roman"/>
                <w:color w:val="auto"/>
                <w:sz w:val="21"/>
                <w:szCs w:val="21"/>
                <w:highlight w:val="none"/>
                <w:lang w:val="en-US" w:eastAsia="zh-CN"/>
              </w:rPr>
              <w:t>4</w:t>
            </w:r>
            <w:r>
              <w:rPr>
                <w:rFonts w:hint="eastAsia" w:ascii="仿宋" w:hAnsi="Times New Roman" w:eastAsia="仿宋" w:cs="Times New Roman"/>
                <w:color w:val="auto"/>
                <w:sz w:val="21"/>
                <w:szCs w:val="21"/>
                <w:highlight w:val="none"/>
              </w:rPr>
              <w:t>分</w:t>
            </w:r>
            <w:commentRangeEnd w:id="0"/>
            <w:r>
              <w:commentReference w:id="0"/>
            </w:r>
            <w:r>
              <w:rPr>
                <w:rFonts w:hint="eastAsia" w:ascii="仿宋" w:hAnsi="Times New Roman" w:eastAsia="仿宋" w:cs="Times New Roman"/>
                <w:color w:val="auto"/>
                <w:sz w:val="21"/>
                <w:szCs w:val="21"/>
                <w:highlight w:val="none"/>
              </w:rPr>
              <w:t>，专业维护团队人员数量较多、技能较强，提供较稳定的24小时电力供应，提供较便捷可靠的通讯条件得良</w:t>
            </w:r>
            <w:r>
              <w:rPr>
                <w:rFonts w:hint="eastAsia" w:ascii="仿宋" w:eastAsia="仿宋" w:cs="Times New Roman"/>
                <w:color w:val="auto"/>
                <w:sz w:val="21"/>
                <w:szCs w:val="21"/>
                <w:highlight w:val="none"/>
                <w:lang w:val="en-US" w:eastAsia="zh-CN"/>
              </w:rPr>
              <w:t>3.9</w:t>
            </w:r>
            <w:r>
              <w:rPr>
                <w:rFonts w:hint="eastAsia" w:ascii="仿宋" w:hAnsi="Times New Roman" w:eastAsia="仿宋" w:cs="Times New Roman"/>
                <w:color w:val="auto"/>
                <w:sz w:val="21"/>
                <w:szCs w:val="21"/>
                <w:highlight w:val="none"/>
              </w:rPr>
              <w:t>-</w:t>
            </w:r>
            <w:r>
              <w:rPr>
                <w:rFonts w:hint="eastAsia" w:ascii="仿宋" w:eastAsia="仿宋" w:cs="Times New Roman"/>
                <w:color w:val="auto"/>
                <w:sz w:val="21"/>
                <w:szCs w:val="21"/>
                <w:highlight w:val="none"/>
                <w:lang w:val="en-US" w:eastAsia="zh-CN"/>
              </w:rPr>
              <w:t>2</w:t>
            </w:r>
            <w:r>
              <w:rPr>
                <w:rFonts w:hint="eastAsia" w:ascii="仿宋" w:hAnsi="Times New Roman" w:eastAsia="仿宋" w:cs="Times New Roman"/>
                <w:color w:val="auto"/>
                <w:sz w:val="21"/>
                <w:szCs w:val="21"/>
                <w:highlight w:val="none"/>
              </w:rPr>
              <w:t>分，提供得专业维护团队人员数量少、技能弱，提供不稳定的24小时电力供应，提供不便捷可靠的通讯条件得</w:t>
            </w:r>
            <w:r>
              <w:rPr>
                <w:rFonts w:hint="eastAsia" w:ascii="仿宋" w:hAnsi="Times New Roman" w:eastAsia="仿宋" w:cs="Times New Roman"/>
                <w:color w:val="auto"/>
                <w:sz w:val="21"/>
                <w:szCs w:val="21"/>
                <w:highlight w:val="none"/>
                <w:lang w:val="en-US" w:eastAsia="zh-CN"/>
              </w:rPr>
              <w:t>一般</w:t>
            </w:r>
            <w:r>
              <w:rPr>
                <w:rFonts w:hint="eastAsia" w:ascii="仿宋" w:eastAsia="仿宋" w:cs="Times New Roman"/>
                <w:color w:val="auto"/>
                <w:sz w:val="21"/>
                <w:szCs w:val="21"/>
                <w:highlight w:val="none"/>
                <w:lang w:val="en-US" w:eastAsia="zh-CN"/>
              </w:rPr>
              <w:t>1</w:t>
            </w:r>
            <w:r>
              <w:rPr>
                <w:rFonts w:hint="eastAsia" w:ascii="仿宋" w:hAnsi="Times New Roman" w:eastAsia="仿宋" w:cs="Times New Roman"/>
                <w:color w:val="auto"/>
                <w:sz w:val="21"/>
                <w:szCs w:val="21"/>
                <w:highlight w:val="none"/>
              </w:rPr>
              <w:t>.9-0分，没有不得分。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34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宋体" w:eastAsia="仿宋_GB2312" w:cs="Times New Roman"/>
                <w:b w:val="0"/>
                <w:bCs w:val="0"/>
                <w:color w:val="auto"/>
                <w:szCs w:val="21"/>
                <w:highlight w:val="none"/>
                <w:lang w:val="en-US" w:eastAsia="zh-CN"/>
              </w:rPr>
            </w:pPr>
            <w:r>
              <w:rPr>
                <w:rFonts w:hint="eastAsia" w:ascii="仿宋_GB2312" w:hAnsi="宋体" w:eastAsia="仿宋_GB2312" w:cs="Times New Roman"/>
                <w:b w:val="0"/>
                <w:bCs w:val="0"/>
                <w:color w:val="auto"/>
                <w:szCs w:val="21"/>
                <w:highlight w:val="none"/>
                <w:lang w:val="en-US" w:eastAsia="zh-CN"/>
              </w:rPr>
              <w:t>2</w:t>
            </w:r>
          </w:p>
        </w:tc>
        <w:tc>
          <w:tcPr>
            <w:tcW w:w="1164" w:type="pct"/>
            <w:noWrap w:val="0"/>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仿宋_GB2312" w:hAnsi="宋体" w:eastAsia="仿宋_GB2312" w:cs="Times New Roman"/>
                <w:color w:val="auto"/>
                <w:kern w:val="2"/>
                <w:sz w:val="21"/>
                <w:szCs w:val="21"/>
                <w:highlight w:val="none"/>
                <w:lang w:val="en-US" w:eastAsia="zh-CN" w:bidi="ar-SA"/>
              </w:rPr>
            </w:pPr>
            <w:r>
              <w:rPr>
                <w:rFonts w:hint="eastAsia" w:ascii="仿宋" w:hAnsi="Times New Roman" w:eastAsia="仿宋" w:cs="Times New Roman"/>
                <w:color w:val="auto"/>
                <w:sz w:val="21"/>
                <w:szCs w:val="21"/>
                <w:highlight w:val="none"/>
              </w:rPr>
              <w:t>同类业绩</w:t>
            </w:r>
          </w:p>
        </w:tc>
        <w:tc>
          <w:tcPr>
            <w:tcW w:w="376" w:type="pct"/>
            <w:noWrap w:val="0"/>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hint="default"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lang w:val="en-US" w:eastAsia="zh-CN" w:bidi="ar-SA"/>
              </w:rPr>
              <w:t>2</w:t>
            </w:r>
          </w:p>
        </w:tc>
        <w:tc>
          <w:tcPr>
            <w:tcW w:w="311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宋体" w:eastAsia="仿宋_GB2312"/>
                <w:b/>
                <w:bCs/>
                <w:color w:val="auto"/>
                <w:szCs w:val="21"/>
                <w:highlight w:val="none"/>
                <w:lang w:eastAsia="zh-CN"/>
              </w:rPr>
            </w:pPr>
            <w:commentRangeStart w:id="1"/>
            <w:r>
              <w:rPr>
                <w:rFonts w:hint="eastAsia" w:ascii="仿宋" w:hAnsi="Times New Roman" w:eastAsia="仿宋" w:cs="Times New Roman"/>
                <w:color w:val="auto"/>
                <w:sz w:val="21"/>
                <w:szCs w:val="21"/>
                <w:highlight w:val="none"/>
              </w:rPr>
              <w:t>201</w:t>
            </w:r>
            <w:r>
              <w:rPr>
                <w:rFonts w:hint="eastAsia" w:ascii="仿宋" w:eastAsia="仿宋" w:cs="Times New Roman"/>
                <w:color w:val="auto"/>
                <w:sz w:val="21"/>
                <w:szCs w:val="21"/>
                <w:highlight w:val="none"/>
                <w:lang w:val="en-US" w:eastAsia="zh-CN"/>
              </w:rPr>
              <w:t>9</w:t>
            </w:r>
            <w:r>
              <w:rPr>
                <w:rFonts w:hint="eastAsia" w:ascii="仿宋" w:hAnsi="Times New Roman" w:eastAsia="仿宋" w:cs="Times New Roman"/>
                <w:color w:val="auto"/>
                <w:sz w:val="21"/>
                <w:szCs w:val="21"/>
                <w:highlight w:val="none"/>
              </w:rPr>
              <w:t>年1月1日</w:t>
            </w:r>
            <w:commentRangeEnd w:id="1"/>
            <w:r>
              <w:commentReference w:id="1"/>
            </w:r>
            <w:r>
              <w:rPr>
                <w:rFonts w:hint="eastAsia" w:ascii="仿宋" w:hAnsi="Times New Roman" w:eastAsia="仿宋" w:cs="Times New Roman"/>
                <w:color w:val="auto"/>
                <w:sz w:val="21"/>
                <w:szCs w:val="21"/>
                <w:highlight w:val="none"/>
              </w:rPr>
              <w:t>（以合同签订时间为准）以来至今，投标人独立承担过类似业绩合同的每个得1分，最高可得</w:t>
            </w:r>
            <w:r>
              <w:rPr>
                <w:rFonts w:hint="eastAsia" w:ascii="仿宋" w:eastAsia="仿宋" w:cs="Times New Roman"/>
                <w:color w:val="auto"/>
                <w:sz w:val="21"/>
                <w:szCs w:val="21"/>
                <w:highlight w:val="none"/>
                <w:lang w:val="en-US" w:eastAsia="zh-CN"/>
              </w:rPr>
              <w:t>2</w:t>
            </w:r>
            <w:r>
              <w:rPr>
                <w:rFonts w:hint="eastAsia" w:ascii="仿宋" w:hAnsi="Times New Roman" w:eastAsia="仿宋" w:cs="Times New Roman"/>
                <w:color w:val="auto"/>
                <w:sz w:val="21"/>
                <w:szCs w:val="21"/>
                <w:highlight w:val="none"/>
              </w:rPr>
              <w:t>分。</w:t>
            </w:r>
            <w:r>
              <w:rPr>
                <w:rFonts w:hint="eastAsia" w:ascii="仿宋" w:hAnsi="Times New Roman" w:eastAsia="仿宋" w:cs="Times New Roman"/>
                <w:color w:val="auto"/>
                <w:sz w:val="21"/>
                <w:szCs w:val="21"/>
                <w:highlight w:val="none"/>
              </w:rPr>
              <w:br w:type="textWrapping"/>
            </w:r>
            <w:r>
              <w:rPr>
                <w:rFonts w:hint="eastAsia" w:ascii="仿宋" w:hAnsi="Times New Roman" w:eastAsia="仿宋" w:cs="Times New Roman"/>
                <w:color w:val="auto"/>
                <w:sz w:val="21"/>
                <w:szCs w:val="21"/>
                <w:highlight w:val="none"/>
              </w:rPr>
              <w:t>（需提供合同</w:t>
            </w:r>
            <w:r>
              <w:rPr>
                <w:rFonts w:hint="eastAsia" w:ascii="仿宋" w:hAnsi="Times New Roman" w:eastAsia="仿宋" w:cs="Times New Roman"/>
                <w:color w:val="auto"/>
                <w:sz w:val="21"/>
                <w:szCs w:val="21"/>
                <w:highlight w:val="none"/>
                <w:lang w:val="en-US" w:eastAsia="zh-CN"/>
              </w:rPr>
              <w:t>原件的</w:t>
            </w:r>
            <w:r>
              <w:rPr>
                <w:rFonts w:hint="eastAsia" w:ascii="仿宋" w:hAnsi="Times New Roman" w:eastAsia="仿宋" w:cs="Times New Roman"/>
                <w:color w:val="auto"/>
                <w:sz w:val="21"/>
                <w:szCs w:val="21"/>
                <w:highlight w:val="none"/>
              </w:rPr>
              <w:t>扫描件</w:t>
            </w:r>
            <w:r>
              <w:rPr>
                <w:rFonts w:hint="eastAsia" w:ascii="仿宋" w:hAnsi="Times New Roman" w:eastAsia="仿宋" w:cs="Times New Roman"/>
                <w:color w:val="auto"/>
                <w:sz w:val="21"/>
                <w:szCs w:val="21"/>
                <w:highlight w:val="none"/>
                <w:lang w:val="en-US" w:eastAsia="zh-CN"/>
              </w:rPr>
              <w:t>并</w:t>
            </w:r>
            <w:r>
              <w:rPr>
                <w:rFonts w:hint="eastAsia" w:ascii="仿宋" w:hAnsi="Times New Roman" w:eastAsia="仿宋" w:cs="Times New Roman"/>
                <w:color w:val="auto"/>
                <w:sz w:val="21"/>
                <w:szCs w:val="21"/>
                <w:highlight w:val="none"/>
              </w:rPr>
              <w:t>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34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宋体" w:eastAsia="仿宋_GB2312"/>
                <w:b/>
                <w:bCs/>
                <w:color w:val="auto"/>
                <w:szCs w:val="21"/>
                <w:highlight w:val="none"/>
                <w:lang w:val="en-US" w:eastAsia="zh-CN"/>
              </w:rPr>
            </w:pPr>
            <w:r>
              <w:rPr>
                <w:rFonts w:hint="eastAsia" w:ascii="仿宋_GB2312" w:hAnsi="宋体" w:eastAsia="仿宋_GB2312" w:cs="Times New Roman"/>
                <w:b w:val="0"/>
                <w:bCs w:val="0"/>
                <w:color w:val="auto"/>
                <w:szCs w:val="21"/>
                <w:highlight w:val="none"/>
                <w:lang w:val="en-US" w:eastAsia="zh-CN"/>
              </w:rPr>
              <w:t>3</w:t>
            </w:r>
          </w:p>
        </w:tc>
        <w:tc>
          <w:tcPr>
            <w:tcW w:w="116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宋体" w:eastAsia="仿宋_GB2312"/>
                <w:b/>
                <w:bCs/>
                <w:color w:val="auto"/>
                <w:szCs w:val="21"/>
                <w:highlight w:val="none"/>
                <w:lang w:eastAsia="zh-CN"/>
              </w:rPr>
            </w:pPr>
            <w:r>
              <w:rPr>
                <w:rFonts w:hint="eastAsia" w:ascii="仿宋" w:hAnsi="Times New Roman" w:eastAsia="仿宋" w:cs="Times New Roman"/>
                <w:color w:val="auto"/>
                <w:sz w:val="21"/>
                <w:szCs w:val="21"/>
                <w:highlight w:val="none"/>
              </w:rPr>
              <w:t>技术参数</w:t>
            </w:r>
          </w:p>
        </w:tc>
        <w:tc>
          <w:tcPr>
            <w:tcW w:w="376" w:type="pct"/>
            <w:noWrap w:val="0"/>
            <w:vAlign w:val="center"/>
          </w:tcPr>
          <w:p>
            <w:pPr>
              <w:spacing w:line="440" w:lineRule="exact"/>
              <w:jc w:val="center"/>
              <w:rPr>
                <w:rFonts w:hint="default" w:ascii="仿宋_GB2312" w:hAnsi="宋体" w:eastAsia="仿宋_GB2312"/>
                <w:b/>
                <w:bCs/>
                <w:color w:val="auto"/>
                <w:szCs w:val="21"/>
                <w:highlight w:val="none"/>
                <w:lang w:val="en-US" w:eastAsia="zh-CN"/>
              </w:rPr>
            </w:pPr>
            <w:r>
              <w:rPr>
                <w:rFonts w:hint="eastAsia" w:ascii="仿宋_GB2312" w:hAnsi="宋体" w:eastAsia="仿宋_GB2312" w:cs="宋体"/>
                <w:color w:val="auto"/>
                <w:kern w:val="0"/>
                <w:sz w:val="21"/>
                <w:szCs w:val="21"/>
                <w:highlight w:val="none"/>
                <w:lang w:val="en-US" w:eastAsia="zh-CN" w:bidi="ar-SA"/>
              </w:rPr>
              <w:t>14</w:t>
            </w:r>
          </w:p>
        </w:tc>
        <w:tc>
          <w:tcPr>
            <w:tcW w:w="3115" w:type="pct"/>
            <w:noWrap w:val="0"/>
            <w:vAlign w:val="center"/>
          </w:tcPr>
          <w:p>
            <w:pPr>
              <w:spacing w:line="440" w:lineRule="exact"/>
              <w:jc w:val="left"/>
              <w:rPr>
                <w:rFonts w:hint="eastAsia" w:ascii="仿宋_GB2312" w:hAnsi="宋体" w:eastAsia="仿宋_GB2312"/>
                <w:b/>
                <w:bCs/>
                <w:color w:val="auto"/>
                <w:szCs w:val="21"/>
                <w:highlight w:val="none"/>
              </w:rPr>
            </w:pPr>
            <w:r>
              <w:rPr>
                <w:rFonts w:hint="eastAsia" w:ascii="仿宋" w:hAnsi="Times New Roman" w:eastAsia="仿宋" w:cs="Times New Roman"/>
                <w:color w:val="auto"/>
                <w:sz w:val="21"/>
                <w:szCs w:val="21"/>
                <w:highlight w:val="none"/>
              </w:rPr>
              <w:t>投标产品可靠、先进、技术资料完整，设备配置等应符合招标文件要求，招标文件内含“▲”的为主要功能指标，对标▲指标有不符合每一项扣2分；其他指标每偏离一项，将被扣1分，扣完为止。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trPr>
        <w:tc>
          <w:tcPr>
            <w:tcW w:w="34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仿宋_GB2312" w:hAnsi="宋体" w:eastAsia="仿宋_GB2312" w:cs="Times New Roman"/>
                <w:b w:val="0"/>
                <w:bCs w:val="0"/>
                <w:color w:val="auto"/>
                <w:szCs w:val="21"/>
                <w:highlight w:val="none"/>
                <w:lang w:val="en-US" w:eastAsia="zh-CN"/>
              </w:rPr>
            </w:pPr>
            <w:r>
              <w:rPr>
                <w:rFonts w:hint="eastAsia" w:ascii="仿宋_GB2312" w:hAnsi="宋体" w:eastAsia="仿宋_GB2312" w:cs="Times New Roman"/>
                <w:b w:val="0"/>
                <w:bCs w:val="0"/>
                <w:color w:val="auto"/>
                <w:szCs w:val="21"/>
                <w:highlight w:val="none"/>
                <w:lang w:val="en-US" w:eastAsia="zh-CN"/>
              </w:rPr>
              <w:t>4</w:t>
            </w:r>
          </w:p>
        </w:tc>
        <w:tc>
          <w:tcPr>
            <w:tcW w:w="1164" w:type="pct"/>
            <w:noWrap w:val="0"/>
            <w:vAlign w:val="center"/>
          </w:tcPr>
          <w:p>
            <w:pPr>
              <w:adjustRightInd w:val="0"/>
              <w:snapToGrid w:val="0"/>
              <w:spacing w:line="440" w:lineRule="exact"/>
              <w:jc w:val="center"/>
              <w:rPr>
                <w:rFonts w:hint="eastAsia" w:ascii="仿宋_GB2312" w:hAnsi="宋体" w:eastAsia="仿宋_GB2312" w:cs="宋体"/>
                <w:color w:val="auto"/>
                <w:kern w:val="0"/>
                <w:szCs w:val="21"/>
                <w:highlight w:val="none"/>
                <w:lang w:eastAsia="zh-CN"/>
              </w:rPr>
            </w:pPr>
            <w:r>
              <w:rPr>
                <w:rFonts w:hint="eastAsia" w:ascii="仿宋" w:hAnsi="Times New Roman" w:eastAsia="仿宋" w:cs="Times New Roman"/>
                <w:color w:val="auto"/>
                <w:sz w:val="21"/>
                <w:szCs w:val="21"/>
                <w:highlight w:val="none"/>
              </w:rPr>
              <w:t>高位需求满足</w:t>
            </w:r>
          </w:p>
        </w:tc>
        <w:tc>
          <w:tcPr>
            <w:tcW w:w="376" w:type="pct"/>
            <w:noWrap w:val="0"/>
            <w:vAlign w:val="center"/>
          </w:tcPr>
          <w:p>
            <w:pPr>
              <w:spacing w:line="440" w:lineRule="exact"/>
              <w:jc w:val="center"/>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20</w:t>
            </w:r>
          </w:p>
        </w:tc>
        <w:tc>
          <w:tcPr>
            <w:tcW w:w="3115" w:type="pct"/>
            <w:noWrap w:val="0"/>
            <w:vAlign w:val="center"/>
          </w:tcPr>
          <w:p>
            <w:pPr>
              <w:spacing w:line="440" w:lineRule="exact"/>
              <w:jc w:val="left"/>
              <w:rPr>
                <w:rFonts w:hint="eastAsia" w:ascii="仿宋_GB2312" w:hAnsi="宋体" w:eastAsia="仿宋_GB2312" w:cs="宋体"/>
                <w:color w:val="auto"/>
                <w:kern w:val="0"/>
                <w:szCs w:val="21"/>
                <w:highlight w:val="none"/>
              </w:rPr>
            </w:pPr>
            <w:r>
              <w:rPr>
                <w:rFonts w:hint="eastAsia" w:ascii="仿宋" w:hAnsi="Times New Roman" w:eastAsia="仿宋" w:cs="Times New Roman"/>
                <w:color w:val="auto"/>
                <w:sz w:val="21"/>
                <w:szCs w:val="21"/>
                <w:highlight w:val="none"/>
              </w:rPr>
              <w:t>根据投标人高位需求满足能力进行综合打分，高位监控制高点拥有自有资产产权或</w:t>
            </w:r>
            <w:r>
              <w:rPr>
                <w:rFonts w:hint="eastAsia" w:ascii="仿宋" w:hAnsi="Times New Roman" w:eastAsia="仿宋" w:cs="Times New Roman"/>
                <w:color w:val="auto"/>
                <w:sz w:val="21"/>
                <w:szCs w:val="21"/>
                <w:highlight w:val="none"/>
                <w:lang w:val="en-US" w:eastAsia="zh-CN"/>
              </w:rPr>
              <w:t>获取产权方针对该项目的授权书</w:t>
            </w:r>
            <w:r>
              <w:rPr>
                <w:rFonts w:hint="eastAsia" w:ascii="仿宋" w:hAnsi="Times New Roman" w:eastAsia="仿宋" w:cs="Times New Roman"/>
                <w:color w:val="auto"/>
                <w:sz w:val="21"/>
                <w:szCs w:val="21"/>
                <w:highlight w:val="none"/>
              </w:rPr>
              <w:t>,且满足高度不低于30米，满足招标文件要求安装监控点位数量的得满分，不满足一个点位的扣1分，扣完为止。</w:t>
            </w:r>
            <w:r>
              <w:rPr>
                <w:rFonts w:hint="eastAsia" w:ascii="仿宋" w:hAnsi="Times New Roman" w:eastAsia="仿宋" w:cs="Times New Roman"/>
                <w:color w:val="auto"/>
                <w:sz w:val="21"/>
                <w:szCs w:val="21"/>
                <w:highlight w:val="none"/>
                <w:lang w:eastAsia="zh-CN"/>
              </w:rPr>
              <w:t>投标时</w:t>
            </w:r>
            <w:r>
              <w:rPr>
                <w:rFonts w:hint="eastAsia" w:ascii="仿宋" w:hAnsi="Times New Roman" w:eastAsia="仿宋" w:cs="Times New Roman"/>
                <w:color w:val="auto"/>
                <w:sz w:val="21"/>
                <w:szCs w:val="21"/>
                <w:highlight w:val="none"/>
                <w:lang w:val="en-US" w:eastAsia="zh-CN"/>
              </w:rPr>
              <w:t>提供</w:t>
            </w:r>
            <w:r>
              <w:rPr>
                <w:rFonts w:hint="eastAsia" w:ascii="仿宋" w:hAnsi="Times New Roman" w:eastAsia="仿宋" w:cs="Times New Roman"/>
                <w:color w:val="auto"/>
                <w:sz w:val="21"/>
                <w:szCs w:val="21"/>
                <w:highlight w:val="none"/>
              </w:rPr>
              <w:t>高位监控制高点自有资产产权</w:t>
            </w:r>
            <w:r>
              <w:rPr>
                <w:rFonts w:hint="eastAsia" w:ascii="仿宋" w:hAnsi="Times New Roman" w:eastAsia="仿宋" w:cs="Times New Roman"/>
                <w:color w:val="auto"/>
                <w:sz w:val="21"/>
                <w:szCs w:val="21"/>
                <w:highlight w:val="none"/>
                <w:lang w:eastAsia="zh-CN"/>
              </w:rPr>
              <w:t>材料</w:t>
            </w:r>
            <w:r>
              <w:rPr>
                <w:rFonts w:hint="eastAsia" w:ascii="仿宋" w:hAnsi="Times New Roman" w:eastAsia="仿宋" w:cs="Times New Roman"/>
                <w:color w:val="auto"/>
                <w:sz w:val="21"/>
                <w:szCs w:val="21"/>
                <w:highlight w:val="none"/>
              </w:rPr>
              <w:t>或</w:t>
            </w:r>
            <w:r>
              <w:rPr>
                <w:rFonts w:hint="eastAsia" w:ascii="仿宋" w:hAnsi="Times New Roman" w:eastAsia="仿宋" w:cs="Times New Roman"/>
                <w:color w:val="auto"/>
                <w:sz w:val="21"/>
                <w:szCs w:val="21"/>
                <w:highlight w:val="none"/>
                <w:lang w:val="en-US" w:eastAsia="zh-CN"/>
              </w:rPr>
              <w:t>针对该项目所获取的产权授权书等证明材料，没有不得分。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4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仿宋_GB2312" w:hAnsi="宋体" w:eastAsia="仿宋_GB2312" w:cs="Times New Roman"/>
                <w:b w:val="0"/>
                <w:bCs w:val="0"/>
                <w:color w:val="auto"/>
                <w:szCs w:val="21"/>
                <w:highlight w:val="none"/>
                <w:lang w:val="en-US" w:eastAsia="zh-CN"/>
              </w:rPr>
            </w:pPr>
            <w:r>
              <w:rPr>
                <w:rFonts w:hint="eastAsia" w:ascii="仿宋_GB2312" w:hAnsi="宋体" w:eastAsia="仿宋_GB2312" w:cs="Times New Roman"/>
                <w:b w:val="0"/>
                <w:bCs w:val="0"/>
                <w:color w:val="auto"/>
                <w:szCs w:val="21"/>
                <w:highlight w:val="none"/>
                <w:lang w:val="en-US" w:eastAsia="zh-CN"/>
              </w:rPr>
              <w:t>5</w:t>
            </w:r>
          </w:p>
        </w:tc>
        <w:tc>
          <w:tcPr>
            <w:tcW w:w="1164" w:type="pct"/>
            <w:noWrap w:val="0"/>
            <w:vAlign w:val="center"/>
          </w:tcPr>
          <w:p>
            <w:pPr>
              <w:adjustRightInd w:val="0"/>
              <w:snapToGrid w:val="0"/>
              <w:spacing w:line="440" w:lineRule="exact"/>
              <w:jc w:val="center"/>
              <w:rPr>
                <w:rFonts w:hint="eastAsia" w:ascii="仿宋_GB2312" w:hAnsi="宋体" w:eastAsia="仿宋_GB2312"/>
                <w:color w:val="auto"/>
                <w:szCs w:val="21"/>
                <w:highlight w:val="none"/>
                <w:lang w:eastAsia="zh-CN"/>
              </w:rPr>
            </w:pPr>
            <w:r>
              <w:rPr>
                <w:rFonts w:hint="eastAsia" w:ascii="仿宋" w:hAnsi="Times New Roman" w:eastAsia="仿宋" w:cs="Times New Roman"/>
                <w:color w:val="auto"/>
                <w:sz w:val="21"/>
                <w:szCs w:val="21"/>
                <w:highlight w:val="none"/>
              </w:rPr>
              <w:t>售后服务方案</w:t>
            </w:r>
          </w:p>
        </w:tc>
        <w:tc>
          <w:tcPr>
            <w:tcW w:w="376" w:type="pct"/>
            <w:noWrap w:val="0"/>
            <w:vAlign w:val="center"/>
          </w:tcPr>
          <w:p>
            <w:pPr>
              <w:spacing w:line="440" w:lineRule="exact"/>
              <w:jc w:val="center"/>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5</w:t>
            </w:r>
          </w:p>
        </w:tc>
        <w:tc>
          <w:tcPr>
            <w:tcW w:w="3115" w:type="pct"/>
            <w:noWrap w:val="0"/>
            <w:vAlign w:val="center"/>
          </w:tcPr>
          <w:p>
            <w:pPr>
              <w:spacing w:line="440" w:lineRule="exact"/>
              <w:jc w:val="both"/>
              <w:rPr>
                <w:rFonts w:hint="eastAsia" w:ascii="仿宋_GB2312" w:hAnsi="宋体" w:eastAsia="仿宋_GB2312" w:cs="宋体"/>
                <w:color w:val="auto"/>
                <w:kern w:val="0"/>
                <w:szCs w:val="21"/>
                <w:highlight w:val="none"/>
              </w:rPr>
            </w:pPr>
            <w:r>
              <w:rPr>
                <w:rFonts w:hint="eastAsia" w:ascii="仿宋" w:hAnsi="Times New Roman" w:eastAsia="仿宋" w:cs="Times New Roman"/>
                <w:color w:val="auto"/>
                <w:sz w:val="21"/>
                <w:szCs w:val="21"/>
                <w:highlight w:val="none"/>
              </w:rPr>
              <w:t>根据投标人提供的售后维护机构和人员情况，本地化服务能力，本地是否拥有常驻服务和技术支持机构，是否能提供快速的售后服务响应情况进行打分。评委根据投标人提供的售后维护机构和人员数量多，本地化服务能力强，有常驻服务和技术支持机构，能快速提供售后服务响应得优</w:t>
            </w:r>
            <w:r>
              <w:rPr>
                <w:rFonts w:hint="eastAsia" w:ascii="仿宋" w:eastAsia="仿宋" w:cs="Times New Roman"/>
                <w:color w:val="auto"/>
                <w:sz w:val="21"/>
                <w:szCs w:val="21"/>
                <w:highlight w:val="none"/>
                <w:lang w:val="en-US" w:eastAsia="zh-CN"/>
              </w:rPr>
              <w:t>5</w:t>
            </w:r>
            <w:commentRangeStart w:id="2"/>
            <w:r>
              <w:rPr>
                <w:rFonts w:hint="eastAsia" w:ascii="仿宋" w:hAnsi="Times New Roman" w:eastAsia="仿宋" w:cs="Times New Roman"/>
                <w:color w:val="auto"/>
                <w:sz w:val="21"/>
                <w:szCs w:val="21"/>
                <w:highlight w:val="none"/>
              </w:rPr>
              <w:t>-4分</w:t>
            </w:r>
            <w:commentRangeEnd w:id="2"/>
            <w:r>
              <w:commentReference w:id="2"/>
            </w:r>
            <w:r>
              <w:rPr>
                <w:rFonts w:hint="eastAsia" w:ascii="仿宋" w:hAnsi="Times New Roman" w:eastAsia="仿宋" w:cs="Times New Roman"/>
                <w:color w:val="auto"/>
                <w:sz w:val="21"/>
                <w:szCs w:val="21"/>
                <w:highlight w:val="none"/>
              </w:rPr>
              <w:t>，售后维护机构和人员数量较多，本地化服务能力较强，有常驻服务和技术支持机构，能较快速提供售后服务响应的，得3.9-2分，售后维护机构和人员数量一般，本地化服务能力弱，无常驻服务和技术支持机构，不能快速提供售后服务响应的，一般得1.9-0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仿宋_GB2312" w:hAnsi="宋体" w:eastAsia="仿宋_GB2312" w:cs="Times New Roman"/>
                <w:b w:val="0"/>
                <w:bCs w:val="0"/>
                <w:color w:val="auto"/>
                <w:szCs w:val="21"/>
                <w:highlight w:val="none"/>
                <w:lang w:val="en-US" w:eastAsia="zh-CN"/>
              </w:rPr>
            </w:pPr>
            <w:r>
              <w:rPr>
                <w:rFonts w:hint="eastAsia" w:ascii="仿宋_GB2312" w:hAnsi="宋体" w:eastAsia="仿宋_GB2312" w:cs="Times New Roman"/>
                <w:b w:val="0"/>
                <w:bCs w:val="0"/>
                <w:color w:val="auto"/>
                <w:szCs w:val="21"/>
                <w:highlight w:val="none"/>
                <w:lang w:val="en-US" w:eastAsia="zh-CN"/>
              </w:rPr>
              <w:t>6</w:t>
            </w:r>
          </w:p>
        </w:tc>
        <w:tc>
          <w:tcPr>
            <w:tcW w:w="1164" w:type="pct"/>
            <w:noWrap w:val="0"/>
            <w:vAlign w:val="center"/>
          </w:tcPr>
          <w:p>
            <w:pPr>
              <w:adjustRightInd w:val="0"/>
              <w:snapToGrid w:val="0"/>
              <w:spacing w:line="440" w:lineRule="exact"/>
              <w:jc w:val="center"/>
              <w:rPr>
                <w:rFonts w:hint="eastAsia" w:ascii="仿宋_GB2312" w:hAnsi="宋体" w:eastAsia="仿宋_GB2312"/>
                <w:color w:val="auto"/>
                <w:szCs w:val="21"/>
                <w:highlight w:val="none"/>
                <w:lang w:eastAsia="zh-CN"/>
              </w:rPr>
            </w:pPr>
            <w:r>
              <w:rPr>
                <w:rFonts w:hint="eastAsia" w:ascii="仿宋" w:hAnsi="Times New Roman" w:eastAsia="仿宋" w:cs="Times New Roman"/>
                <w:color w:val="auto"/>
                <w:sz w:val="21"/>
                <w:szCs w:val="21"/>
                <w:highlight w:val="none"/>
              </w:rPr>
              <w:t>备选高位监控站址方案</w:t>
            </w:r>
          </w:p>
        </w:tc>
        <w:tc>
          <w:tcPr>
            <w:tcW w:w="376" w:type="pct"/>
            <w:noWrap w:val="0"/>
            <w:vAlign w:val="center"/>
          </w:tcPr>
          <w:p>
            <w:pPr>
              <w:spacing w:line="440" w:lineRule="exact"/>
              <w:jc w:val="center"/>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5</w:t>
            </w:r>
          </w:p>
        </w:tc>
        <w:tc>
          <w:tcPr>
            <w:tcW w:w="3115" w:type="pct"/>
            <w:noWrap w:val="0"/>
            <w:vAlign w:val="center"/>
          </w:tcPr>
          <w:p>
            <w:pPr>
              <w:spacing w:line="440" w:lineRule="exact"/>
              <w:jc w:val="left"/>
              <w:rPr>
                <w:rFonts w:hint="eastAsia" w:ascii="仿宋_GB2312" w:hAnsi="宋体" w:eastAsia="仿宋_GB2312" w:cs="宋体"/>
                <w:color w:val="auto"/>
                <w:spacing w:val="14"/>
                <w:szCs w:val="21"/>
                <w:highlight w:val="none"/>
              </w:rPr>
            </w:pPr>
            <w:r>
              <w:rPr>
                <w:rFonts w:hint="eastAsia" w:ascii="仿宋" w:hAnsi="Times New Roman" w:eastAsia="仿宋" w:cs="Times New Roman"/>
                <w:color w:val="auto"/>
                <w:sz w:val="21"/>
                <w:szCs w:val="21"/>
                <w:highlight w:val="none"/>
              </w:rPr>
              <w:t>投标人提供高位监控服务期间，应适当考虑部分高位监控点位调整的可能性，投标人应当列举出相关的资源优势来满足及应对备选站址。评委根据投标人提供的资源的充足性打分，数量充足</w:t>
            </w:r>
            <w:r>
              <w:rPr>
                <w:rFonts w:hint="eastAsia" w:ascii="仿宋" w:hAnsi="Times New Roman" w:eastAsia="仿宋" w:cs="Times New Roman"/>
                <w:color w:val="auto"/>
                <w:sz w:val="21"/>
                <w:szCs w:val="21"/>
                <w:highlight w:val="none"/>
                <w:lang w:val="en-US" w:eastAsia="zh-CN"/>
              </w:rPr>
              <w:t>得</w:t>
            </w:r>
            <w:r>
              <w:rPr>
                <w:rFonts w:hint="eastAsia" w:ascii="仿宋" w:hAnsi="Times New Roman" w:eastAsia="仿宋" w:cs="Times New Roman"/>
                <w:color w:val="auto"/>
                <w:sz w:val="21"/>
                <w:szCs w:val="21"/>
                <w:highlight w:val="none"/>
              </w:rPr>
              <w:t>优5-4分，数量较充足得良3.9-2分，数量一般得1.9-0分，没有不得分。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仿宋_GB2312" w:hAnsi="宋体" w:eastAsia="仿宋_GB2312" w:cs="Times New Roman"/>
                <w:b w:val="0"/>
                <w:bCs w:val="0"/>
                <w:color w:val="auto"/>
                <w:szCs w:val="21"/>
                <w:highlight w:val="none"/>
                <w:lang w:val="en-US" w:eastAsia="zh-CN"/>
              </w:rPr>
            </w:pPr>
            <w:r>
              <w:rPr>
                <w:rFonts w:hint="eastAsia" w:ascii="仿宋_GB2312" w:hAnsi="宋体" w:eastAsia="仿宋_GB2312" w:cs="Times New Roman"/>
                <w:b w:val="0"/>
                <w:bCs w:val="0"/>
                <w:color w:val="auto"/>
                <w:szCs w:val="21"/>
                <w:highlight w:val="none"/>
                <w:lang w:val="en-US" w:eastAsia="zh-CN"/>
              </w:rPr>
              <w:t>7</w:t>
            </w:r>
          </w:p>
        </w:tc>
        <w:tc>
          <w:tcPr>
            <w:tcW w:w="1164" w:type="pct"/>
            <w:noWrap w:val="0"/>
            <w:vAlign w:val="center"/>
          </w:tcPr>
          <w:p>
            <w:pPr>
              <w:spacing w:line="440" w:lineRule="exact"/>
              <w:jc w:val="center"/>
              <w:rPr>
                <w:rFonts w:hint="eastAsia" w:ascii="仿宋_GB2312" w:hAnsi="宋体" w:eastAsia="仿宋_GB2312" w:cs="宋体"/>
                <w:color w:val="auto"/>
                <w:kern w:val="0"/>
                <w:sz w:val="21"/>
                <w:szCs w:val="21"/>
                <w:highlight w:val="none"/>
                <w:lang w:val="en-US" w:eastAsia="zh-CN" w:bidi="ar-SA"/>
              </w:rPr>
            </w:pPr>
            <w:r>
              <w:rPr>
                <w:rFonts w:hint="eastAsia" w:ascii="仿宋" w:hAnsi="Times New Roman" w:eastAsia="仿宋" w:cs="Times New Roman"/>
                <w:color w:val="auto"/>
                <w:sz w:val="21"/>
                <w:szCs w:val="21"/>
                <w:highlight w:val="none"/>
              </w:rPr>
              <w:t>系统设计方案</w:t>
            </w:r>
          </w:p>
        </w:tc>
        <w:tc>
          <w:tcPr>
            <w:tcW w:w="376" w:type="pct"/>
            <w:noWrap w:val="0"/>
            <w:vAlign w:val="center"/>
          </w:tcPr>
          <w:p>
            <w:pPr>
              <w:spacing w:line="440" w:lineRule="exact"/>
              <w:jc w:val="center"/>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5</w:t>
            </w:r>
            <w:commentRangeStart w:id="3"/>
          </w:p>
        </w:tc>
        <w:tc>
          <w:tcPr>
            <w:tcW w:w="3115" w:type="pct"/>
            <w:noWrap w:val="0"/>
            <w:vAlign w:val="center"/>
          </w:tcPr>
          <w:p>
            <w:pPr>
              <w:spacing w:line="440" w:lineRule="exact"/>
              <w:jc w:val="left"/>
              <w:rPr>
                <w:rFonts w:hint="eastAsia" w:ascii="仿宋_GB2312" w:hAnsi="宋体" w:eastAsia="仿宋_GB2312" w:cs="宋体"/>
                <w:color w:val="auto"/>
                <w:spacing w:val="14"/>
                <w:szCs w:val="21"/>
                <w:highlight w:val="none"/>
              </w:rPr>
            </w:pPr>
            <w:r>
              <w:rPr>
                <w:rFonts w:hint="eastAsia" w:ascii="仿宋" w:hAnsi="Times New Roman" w:eastAsia="仿宋" w:cs="Times New Roman"/>
                <w:color w:val="auto"/>
                <w:sz w:val="21"/>
                <w:szCs w:val="21"/>
                <w:highlight w:val="none"/>
              </w:rPr>
              <w:t>评委根据投标人提供的耕地智保失联AI预警模块系统设计方案优劣程度进行综合评分</w:t>
            </w:r>
            <w:r>
              <w:rPr>
                <w:rFonts w:hint="eastAsia" w:ascii="仿宋" w:hAnsi="Times New Roman" w:eastAsia="仿宋" w:cs="Times New Roman"/>
                <w:color w:val="auto"/>
                <w:sz w:val="21"/>
                <w:szCs w:val="21"/>
                <w:highlight w:val="none"/>
                <w:lang w:val="zh-CN"/>
              </w:rPr>
              <w:t>。</w:t>
            </w:r>
            <w:r>
              <w:rPr>
                <w:rFonts w:hint="eastAsia" w:ascii="仿宋" w:eastAsia="仿宋" w:cs="Times New Roman"/>
                <w:color w:val="auto"/>
                <w:sz w:val="21"/>
                <w:szCs w:val="21"/>
                <w:highlight w:val="none"/>
                <w:lang w:val="en-US" w:eastAsia="zh-CN"/>
              </w:rPr>
              <w:t>方案完善，可行度高得5-4分；方案较为完善，具有一定可行度得3.9-2分；方案一般，可行度一般得1.9-0分</w:t>
            </w:r>
            <w:commentRangeEnd w:id="3"/>
            <w:r>
              <w:commentReference w:id="3"/>
            </w:r>
            <w:r>
              <w:rPr>
                <w:rFonts w:hint="eastAsia" w:ascii="仿宋" w:eastAsia="仿宋"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4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仿宋_GB2312" w:hAnsi="宋体" w:eastAsia="仿宋_GB2312" w:cs="Times New Roman"/>
                <w:b w:val="0"/>
                <w:bCs w:val="0"/>
                <w:color w:val="auto"/>
                <w:szCs w:val="21"/>
                <w:highlight w:val="none"/>
                <w:lang w:val="en-US" w:eastAsia="zh-CN"/>
              </w:rPr>
            </w:pPr>
            <w:r>
              <w:rPr>
                <w:rFonts w:hint="eastAsia" w:ascii="仿宋_GB2312" w:hAnsi="宋体" w:eastAsia="仿宋_GB2312" w:cs="Times New Roman"/>
                <w:b w:val="0"/>
                <w:bCs w:val="0"/>
                <w:color w:val="auto"/>
                <w:szCs w:val="21"/>
                <w:highlight w:val="none"/>
                <w:lang w:val="en-US" w:eastAsia="zh-CN"/>
              </w:rPr>
              <w:t>8</w:t>
            </w:r>
          </w:p>
        </w:tc>
        <w:tc>
          <w:tcPr>
            <w:tcW w:w="1164" w:type="pct"/>
            <w:noWrap w:val="0"/>
            <w:vAlign w:val="center"/>
          </w:tcPr>
          <w:p>
            <w:pPr>
              <w:spacing w:line="440" w:lineRule="exact"/>
              <w:jc w:val="center"/>
              <w:rPr>
                <w:rFonts w:hint="eastAsia" w:ascii="仿宋_GB2312" w:hAnsi="宋体" w:eastAsia="仿宋_GB2312" w:cs="宋体"/>
                <w:color w:val="auto"/>
                <w:kern w:val="0"/>
                <w:sz w:val="21"/>
                <w:szCs w:val="21"/>
                <w:highlight w:val="none"/>
                <w:lang w:val="en-US" w:eastAsia="zh-CN" w:bidi="ar-SA"/>
              </w:rPr>
            </w:pPr>
            <w:r>
              <w:rPr>
                <w:rFonts w:hint="eastAsia" w:ascii="仿宋" w:hAnsi="Times New Roman" w:eastAsia="仿宋" w:cs="Times New Roman"/>
                <w:color w:val="auto"/>
                <w:sz w:val="21"/>
                <w:szCs w:val="21"/>
                <w:highlight w:val="none"/>
              </w:rPr>
              <w:t>运维培训方案</w:t>
            </w:r>
          </w:p>
        </w:tc>
        <w:tc>
          <w:tcPr>
            <w:tcW w:w="376" w:type="pct"/>
            <w:noWrap w:val="0"/>
            <w:vAlign w:val="center"/>
          </w:tcPr>
          <w:p>
            <w:pPr>
              <w:spacing w:line="440" w:lineRule="exact"/>
              <w:jc w:val="center"/>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5</w:t>
            </w:r>
          </w:p>
        </w:tc>
        <w:tc>
          <w:tcPr>
            <w:tcW w:w="3115" w:type="pct"/>
            <w:noWrap w:val="0"/>
            <w:vAlign w:val="center"/>
          </w:tcPr>
          <w:p>
            <w:pPr>
              <w:spacing w:line="440" w:lineRule="exact"/>
              <w:jc w:val="left"/>
              <w:rPr>
                <w:rFonts w:hint="default" w:ascii="仿宋_GB2312" w:hAnsi="宋体" w:eastAsia="仿宋" w:cs="宋体"/>
                <w:color w:val="auto"/>
                <w:spacing w:val="14"/>
                <w:szCs w:val="21"/>
                <w:highlight w:val="none"/>
                <w:lang w:val="en-US" w:eastAsia="zh-CN"/>
              </w:rPr>
            </w:pPr>
            <w:r>
              <w:rPr>
                <w:rFonts w:hint="eastAsia" w:ascii="仿宋" w:hAnsi="Times New Roman" w:eastAsia="仿宋" w:cs="Times New Roman"/>
                <w:color w:val="auto"/>
                <w:sz w:val="21"/>
                <w:szCs w:val="21"/>
                <w:highlight w:val="none"/>
              </w:rPr>
              <w:t>评委根据投标人提供的运维培训方案优劣程度进行综合评分</w:t>
            </w:r>
            <w:r>
              <w:rPr>
                <w:rFonts w:hint="eastAsia" w:ascii="仿宋" w:hAnsi="Times New Roman" w:eastAsia="仿宋" w:cs="Times New Roman"/>
                <w:color w:val="auto"/>
                <w:sz w:val="21"/>
                <w:szCs w:val="21"/>
                <w:highlight w:val="none"/>
                <w:lang w:val="zh-CN"/>
              </w:rPr>
              <w:t>，没得不得分</w:t>
            </w:r>
            <w:r>
              <w:rPr>
                <w:rFonts w:hint="eastAsia" w:ascii="仿宋" w:hAnsi="Times New Roman" w:eastAsia="仿宋" w:cs="Times New Roman"/>
                <w:color w:val="auto"/>
                <w:sz w:val="21"/>
                <w:szCs w:val="21"/>
                <w:highlight w:val="none"/>
              </w:rPr>
              <w:t>。</w:t>
            </w:r>
            <w:r>
              <w:rPr>
                <w:rFonts w:hint="eastAsia" w:ascii="仿宋" w:eastAsia="仿宋" w:cs="Times New Roman"/>
                <w:color w:val="auto"/>
                <w:sz w:val="21"/>
                <w:szCs w:val="21"/>
                <w:highlight w:val="none"/>
                <w:lang w:val="en-US" w:eastAsia="zh-CN"/>
              </w:rPr>
              <w:t>方案完善，可行度高得5-4分；方案较为完善，具有一定可行度得3.9-2分；方案一般，可行度一般得1.9-0分</w:t>
            </w:r>
            <w:r>
              <w:commentReference w:id="4"/>
            </w:r>
            <w:r>
              <w:rPr>
                <w:rFonts w:hint="eastAsia" w:ascii="仿宋" w:eastAsia="仿宋"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4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仿宋_GB2312" w:hAnsi="宋体" w:eastAsia="仿宋_GB2312" w:cs="Times New Roman"/>
                <w:b w:val="0"/>
                <w:bCs w:val="0"/>
                <w:color w:val="auto"/>
                <w:szCs w:val="21"/>
                <w:highlight w:val="none"/>
                <w:lang w:val="en-US" w:eastAsia="zh-CN"/>
              </w:rPr>
            </w:pPr>
            <w:r>
              <w:rPr>
                <w:rFonts w:hint="eastAsia" w:ascii="仿宋_GB2312" w:hAnsi="宋体" w:eastAsia="仿宋_GB2312" w:cs="Times New Roman"/>
                <w:b w:val="0"/>
                <w:bCs w:val="0"/>
                <w:color w:val="auto"/>
                <w:szCs w:val="21"/>
                <w:highlight w:val="none"/>
                <w:lang w:val="en-US" w:eastAsia="zh-CN"/>
              </w:rPr>
              <w:t>9</w:t>
            </w:r>
          </w:p>
        </w:tc>
        <w:tc>
          <w:tcPr>
            <w:tcW w:w="1164" w:type="pct"/>
            <w:noWrap w:val="0"/>
            <w:vAlign w:val="center"/>
          </w:tcPr>
          <w:p>
            <w:pPr>
              <w:spacing w:line="440" w:lineRule="exact"/>
              <w:jc w:val="center"/>
              <w:rPr>
                <w:rFonts w:hint="eastAsia" w:ascii="仿宋_GB2312" w:hAnsi="宋体" w:eastAsia="仿宋_GB2312" w:cs="宋体"/>
                <w:color w:val="auto"/>
                <w:kern w:val="0"/>
                <w:sz w:val="21"/>
                <w:szCs w:val="21"/>
                <w:highlight w:val="none"/>
                <w:lang w:val="en-US" w:eastAsia="zh-CN" w:bidi="ar-SA"/>
              </w:rPr>
            </w:pPr>
            <w:r>
              <w:rPr>
                <w:rFonts w:hint="eastAsia" w:ascii="仿宋" w:hAnsi="Times New Roman" w:eastAsia="仿宋" w:cs="Times New Roman"/>
                <w:color w:val="auto"/>
                <w:sz w:val="21"/>
                <w:szCs w:val="21"/>
                <w:highlight w:val="none"/>
              </w:rPr>
              <w:t>合理化建议</w:t>
            </w:r>
          </w:p>
        </w:tc>
        <w:tc>
          <w:tcPr>
            <w:tcW w:w="376" w:type="pct"/>
            <w:noWrap w:val="0"/>
            <w:vAlign w:val="center"/>
          </w:tcPr>
          <w:p>
            <w:pPr>
              <w:spacing w:line="440" w:lineRule="exact"/>
              <w:jc w:val="center"/>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4</w:t>
            </w:r>
          </w:p>
        </w:tc>
        <w:tc>
          <w:tcPr>
            <w:tcW w:w="3115" w:type="pct"/>
            <w:noWrap w:val="0"/>
            <w:vAlign w:val="center"/>
          </w:tcPr>
          <w:p>
            <w:pPr>
              <w:spacing w:line="440" w:lineRule="exact"/>
              <w:jc w:val="left"/>
              <w:rPr>
                <w:rFonts w:hint="eastAsia" w:ascii="仿宋_GB2312" w:hAnsi="宋体" w:eastAsia="仿宋" w:cs="宋体"/>
                <w:color w:val="auto"/>
                <w:spacing w:val="14"/>
                <w:szCs w:val="21"/>
                <w:highlight w:val="none"/>
                <w:lang w:eastAsia="zh-CN"/>
              </w:rPr>
            </w:pPr>
            <w:r>
              <w:rPr>
                <w:rFonts w:hint="eastAsia" w:ascii="仿宋" w:hAnsi="Times New Roman" w:eastAsia="仿宋" w:cs="Times New Roman"/>
                <w:color w:val="auto"/>
                <w:sz w:val="21"/>
                <w:szCs w:val="21"/>
                <w:highlight w:val="none"/>
              </w:rPr>
              <w:t>评委根据投标</w:t>
            </w:r>
            <w:r>
              <w:rPr>
                <w:rFonts w:hint="eastAsia" w:ascii="仿宋" w:eastAsia="仿宋" w:cs="Times New Roman"/>
                <w:color w:val="auto"/>
                <w:sz w:val="21"/>
                <w:szCs w:val="21"/>
                <w:highlight w:val="none"/>
                <w:lang w:eastAsia="zh-CN"/>
              </w:rPr>
              <w:t>人</w:t>
            </w:r>
            <w:r>
              <w:rPr>
                <w:rFonts w:hint="eastAsia" w:ascii="仿宋" w:hAnsi="Times New Roman" w:eastAsia="仿宋" w:cs="Times New Roman"/>
                <w:color w:val="auto"/>
                <w:sz w:val="21"/>
                <w:szCs w:val="21"/>
                <w:highlight w:val="none"/>
              </w:rPr>
              <w:t>合理化建议，包括重点难点分析并提供解决方案等综合评分</w:t>
            </w:r>
            <w:r>
              <w:rPr>
                <w:rFonts w:hint="eastAsia" w:ascii="仿宋" w:hAnsi="Times New Roman" w:eastAsia="仿宋" w:cs="Times New Roman"/>
                <w:color w:val="auto"/>
                <w:sz w:val="21"/>
                <w:szCs w:val="21"/>
                <w:highlight w:val="none"/>
                <w:lang w:val="zh-CN"/>
              </w:rPr>
              <w:t>，没得不得分</w:t>
            </w:r>
            <w:r>
              <w:rPr>
                <w:rFonts w:hint="eastAsia" w:ascii="仿宋" w:hAnsi="Times New Roman" w:eastAsia="仿宋" w:cs="Times New Roman"/>
                <w:color w:val="auto"/>
                <w:sz w:val="21"/>
                <w:szCs w:val="21"/>
                <w:highlight w:val="none"/>
              </w:rPr>
              <w:t>。</w:t>
            </w:r>
            <w:r>
              <w:rPr>
                <w:rFonts w:hint="eastAsia" w:ascii="仿宋" w:eastAsia="仿宋" w:cs="Times New Roman"/>
                <w:color w:val="auto"/>
                <w:sz w:val="21"/>
                <w:szCs w:val="21"/>
                <w:highlight w:val="none"/>
                <w:lang w:val="en-US" w:eastAsia="zh-CN"/>
              </w:rPr>
              <w:t>方案完善，可行度高得4-3分；方案较为完善，具有一定可行度得2.9-1分；方案一般，可行度一般得0.9-0分</w:t>
            </w:r>
            <w:r>
              <w:commentReference w:id="5"/>
            </w:r>
            <w:r>
              <w:rPr>
                <w:rFonts w:hint="eastAsia" w:ascii="仿宋" w:eastAsia="仿宋"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仿宋_GB2312" w:hAnsi="宋体" w:eastAsia="仿宋_GB2312" w:cs="Times New Roman"/>
                <w:b w:val="0"/>
                <w:bCs w:val="0"/>
                <w:color w:val="auto"/>
                <w:szCs w:val="21"/>
                <w:highlight w:val="none"/>
                <w:lang w:val="en-US" w:eastAsia="zh-CN"/>
              </w:rPr>
            </w:pPr>
            <w:r>
              <w:rPr>
                <w:rFonts w:hint="eastAsia" w:ascii="仿宋_GB2312" w:hAnsi="宋体" w:eastAsia="仿宋_GB2312" w:cs="Times New Roman"/>
                <w:b w:val="0"/>
                <w:bCs w:val="0"/>
                <w:color w:val="auto"/>
                <w:szCs w:val="21"/>
                <w:highlight w:val="none"/>
                <w:lang w:val="en-US" w:eastAsia="zh-CN"/>
              </w:rPr>
              <w:t>10</w:t>
            </w:r>
          </w:p>
        </w:tc>
        <w:tc>
          <w:tcPr>
            <w:tcW w:w="1164" w:type="pct"/>
            <w:noWrap w:val="0"/>
            <w:vAlign w:val="center"/>
          </w:tcPr>
          <w:p>
            <w:pPr>
              <w:spacing w:line="440" w:lineRule="exact"/>
              <w:jc w:val="center"/>
              <w:rPr>
                <w:rFonts w:hint="default" w:ascii="仿宋" w:hAnsi="Times New Roman" w:eastAsia="仿宋" w:cs="Times New Roman"/>
                <w:color w:val="auto"/>
                <w:sz w:val="21"/>
                <w:szCs w:val="21"/>
                <w:highlight w:val="none"/>
                <w:lang w:val="en-US" w:eastAsia="zh-CN"/>
              </w:rPr>
            </w:pPr>
            <w:r>
              <w:rPr>
                <w:rFonts w:hint="eastAsia" w:ascii="仿宋" w:hAnsi="Times New Roman" w:eastAsia="仿宋" w:cs="Times New Roman"/>
                <w:color w:val="auto"/>
                <w:sz w:val="21"/>
                <w:szCs w:val="21"/>
                <w:highlight w:val="none"/>
                <w:lang w:val="en-US" w:eastAsia="zh-CN"/>
              </w:rPr>
              <w:t>平台软件演示</w:t>
            </w:r>
          </w:p>
        </w:tc>
        <w:tc>
          <w:tcPr>
            <w:tcW w:w="376" w:type="pct"/>
            <w:noWrap w:val="0"/>
            <w:vAlign w:val="center"/>
          </w:tcPr>
          <w:p>
            <w:pPr>
              <w:spacing w:line="440" w:lineRule="exact"/>
              <w:jc w:val="center"/>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15</w:t>
            </w:r>
          </w:p>
        </w:tc>
        <w:tc>
          <w:tcPr>
            <w:tcW w:w="3115" w:type="pct"/>
            <w:noWrap w:val="0"/>
            <w:vAlign w:val="center"/>
          </w:tcPr>
          <w:p>
            <w:pPr>
              <w:spacing w:line="440" w:lineRule="exact"/>
              <w:jc w:val="left"/>
              <w:rPr>
                <w:rFonts w:hint="eastAsia"/>
                <w:lang w:val="en-US" w:eastAsia="zh-CN"/>
              </w:rPr>
            </w:pPr>
            <w:r>
              <w:rPr>
                <w:rFonts w:hint="eastAsia"/>
                <w:lang w:val="en-US" w:eastAsia="zh-CN"/>
              </w:rPr>
              <w:t>以下5项功能，通过录屏方式每一项</w:t>
            </w:r>
            <w:commentRangeStart w:id="6"/>
            <w:r>
              <w:rPr>
                <w:rFonts w:hint="eastAsia"/>
                <w:lang w:val="en-US" w:eastAsia="zh-CN"/>
              </w:rPr>
              <w:t>得3分</w:t>
            </w:r>
            <w:commentRangeEnd w:id="6"/>
            <w:r>
              <w:commentReference w:id="6"/>
            </w:r>
            <w:r>
              <w:rPr>
                <w:rFonts w:hint="eastAsia"/>
                <w:lang w:val="en-US" w:eastAsia="zh-CN"/>
              </w:rPr>
              <w:t>，没有不得分：</w:t>
            </w:r>
          </w:p>
          <w:p>
            <w:pPr>
              <w:spacing w:line="440" w:lineRule="exact"/>
              <w:jc w:val="left"/>
              <w:rPr>
                <w:rFonts w:hint="eastAsia"/>
                <w:lang w:val="en-US" w:eastAsia="zh-CN"/>
              </w:rPr>
            </w:pPr>
            <w:r>
              <w:rPr>
                <w:rFonts w:hint="eastAsia"/>
                <w:lang w:val="en-US" w:eastAsia="zh-CN"/>
              </w:rPr>
              <w:t>1）地图数据管理：能够在系统平台中对地图图层进行分组管理。能能够在系统平台中对地图数据进行预览。在系统中对地图数据属性进行识别，在点击地图后，将地图中选取的点所归属的地块数据属性进行识别和展示。</w:t>
            </w:r>
          </w:p>
          <w:p>
            <w:pPr>
              <w:spacing w:line="440" w:lineRule="exact"/>
              <w:jc w:val="left"/>
              <w:rPr>
                <w:rFonts w:hint="eastAsia"/>
                <w:lang w:val="en-US" w:eastAsia="zh-CN"/>
              </w:rPr>
            </w:pPr>
            <w:r>
              <w:rPr>
                <w:rFonts w:hint="eastAsia"/>
                <w:lang w:val="en-US" w:eastAsia="zh-CN"/>
              </w:rPr>
              <w:t>（2）视频管理功能：能够对视频按组织架构分组。视频监控能够以目录树的形式罗列，并且可以进行分组管理和显示；能够查看视频监控实时内容，实现实时画面展示；视频监控角度能够360度旋转和俯仰，支持缩放功能。</w:t>
            </w:r>
          </w:p>
          <w:p>
            <w:pPr>
              <w:spacing w:line="440" w:lineRule="exact"/>
              <w:jc w:val="left"/>
              <w:rPr>
                <w:rFonts w:hint="eastAsia"/>
                <w:lang w:val="en-US" w:eastAsia="zh-CN"/>
              </w:rPr>
            </w:pPr>
            <w:r>
              <w:rPr>
                <w:rFonts w:hint="eastAsia"/>
                <w:lang w:val="en-US" w:eastAsia="zh-CN"/>
              </w:rPr>
              <w:t>（3）智能告警：能够对乱石堆放、土堆堆放、在修建筑、地面硬化、机械车辆、新建板房等多种疑似违法违规行为能够进行实时识别并在系统平台实时产生预警，显示实时预警位置及时间。</w:t>
            </w:r>
          </w:p>
          <w:p>
            <w:pPr>
              <w:spacing w:line="440" w:lineRule="exact"/>
              <w:jc w:val="left"/>
              <w:rPr>
                <w:rFonts w:hint="eastAsia"/>
                <w:lang w:val="en-US" w:eastAsia="zh-CN"/>
              </w:rPr>
            </w:pPr>
            <w:r>
              <w:rPr>
                <w:rFonts w:hint="eastAsia"/>
                <w:lang w:val="en-US" w:eastAsia="zh-CN"/>
              </w:rPr>
              <w:t>（4）视频与地图融合功能：能够将图斑图层添加进视频监控实时画面中，在视频监控画面中显示图层边界范围；能够能够在视频监控画面中绘制选定区域并显示选定区域的用地数据及分析结果，具备地找视频、视频找地功能，摄像机能自动旋转至该区域。</w:t>
            </w:r>
          </w:p>
          <w:p>
            <w:pPr>
              <w:spacing w:line="440" w:lineRule="exact"/>
              <w:jc w:val="left"/>
              <w:rPr>
                <w:rFonts w:hint="eastAsia"/>
                <w:lang w:val="en-US" w:eastAsia="zh-CN"/>
              </w:rPr>
            </w:pPr>
            <w:r>
              <w:rPr>
                <w:rFonts w:hint="eastAsia"/>
                <w:lang w:val="en-US" w:eastAsia="zh-CN"/>
              </w:rPr>
              <w:t>（5）平台数据需具备打通并融合至省域空间治理系统耕地智保平台条件。（0-15）</w:t>
            </w:r>
          </w:p>
          <w:p>
            <w:pPr>
              <w:pStyle w:val="3"/>
              <w:tabs>
                <w:tab w:val="clear" w:pos="432"/>
              </w:tabs>
              <w:ind w:left="12" w:leftChars="0" w:hanging="12" w:firstLineChars="0"/>
              <w:jc w:val="both"/>
              <w:rPr>
                <w:rFonts w:hint="default"/>
                <w:lang w:val="en-US" w:eastAsia="zh-CN"/>
              </w:rPr>
            </w:pPr>
            <w:r>
              <w:rPr>
                <w:rFonts w:hint="eastAsia" w:ascii="Times New Roman" w:hAnsi="Times New Roman" w:eastAsia="宋体" w:cs="Times New Roman"/>
                <w:b w:val="0"/>
                <w:bCs w:val="0"/>
                <w:kern w:val="2"/>
                <w:sz w:val="21"/>
                <w:szCs w:val="24"/>
                <w:lang w:val="en-US" w:eastAsia="zh-CN" w:bidi="ar-SA"/>
              </w:rPr>
              <w:t>备注：（演示录屏通过U盘刻录的方式与备份文件一起邮寄至代理机构处。如遇开标截止时间前未送达、U盘损坏或视频文件无法打开等问题无法正常读取内容的 ，视同未提供。此类风险均由投标人自行承担。）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trPr>
        <w:tc>
          <w:tcPr>
            <w:tcW w:w="34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仿宋_GB2312" w:hAnsi="宋体" w:eastAsia="仿宋_GB2312" w:cs="Times New Roman"/>
                <w:b w:val="0"/>
                <w:bCs w:val="0"/>
                <w:color w:val="auto"/>
                <w:szCs w:val="21"/>
                <w:highlight w:val="none"/>
                <w:lang w:val="en-US" w:eastAsia="zh-CN"/>
              </w:rPr>
            </w:pPr>
            <w:r>
              <w:rPr>
                <w:rFonts w:hint="eastAsia" w:ascii="仿宋_GB2312" w:hAnsi="宋体" w:eastAsia="仿宋_GB2312" w:cs="Times New Roman"/>
                <w:b w:val="0"/>
                <w:bCs w:val="0"/>
                <w:color w:val="auto"/>
                <w:szCs w:val="21"/>
                <w:highlight w:val="none"/>
                <w:lang w:val="en-US" w:eastAsia="zh-CN"/>
              </w:rPr>
              <w:t>11</w:t>
            </w:r>
          </w:p>
        </w:tc>
        <w:tc>
          <w:tcPr>
            <w:tcW w:w="1164" w:type="pct"/>
            <w:noWrap w:val="0"/>
            <w:vAlign w:val="center"/>
          </w:tcPr>
          <w:p>
            <w:pPr>
              <w:spacing w:line="440" w:lineRule="exact"/>
              <w:jc w:val="center"/>
              <w:rPr>
                <w:rFonts w:hint="eastAsia" w:ascii="仿宋" w:hAnsi="Times New Roman" w:eastAsia="仿宋" w:cs="Times New Roman"/>
                <w:color w:val="auto"/>
                <w:sz w:val="21"/>
                <w:szCs w:val="21"/>
                <w:highlight w:val="none"/>
                <w:lang w:val="en-US" w:eastAsia="zh-CN"/>
              </w:rPr>
            </w:pPr>
          </w:p>
        </w:tc>
        <w:tc>
          <w:tcPr>
            <w:tcW w:w="376" w:type="pct"/>
            <w:noWrap w:val="0"/>
            <w:vAlign w:val="center"/>
          </w:tcPr>
          <w:p>
            <w:pPr>
              <w:spacing w:line="440" w:lineRule="exact"/>
              <w:jc w:val="center"/>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20</w:t>
            </w:r>
          </w:p>
        </w:tc>
        <w:tc>
          <w:tcPr>
            <w:tcW w:w="3115" w:type="pct"/>
            <w:noWrap w:val="0"/>
            <w:vAlign w:val="center"/>
          </w:tcPr>
          <w:p>
            <w:pPr>
              <w:spacing w:line="440" w:lineRule="exact"/>
              <w:jc w:val="left"/>
              <w:rPr>
                <w:rFonts w:hint="eastAsia" w:ascii="仿宋" w:hAnsi="Times New Roman" w:eastAsia="仿宋" w:cs="Times New Roman"/>
                <w:color w:val="auto"/>
                <w:sz w:val="21"/>
                <w:szCs w:val="21"/>
                <w:highlight w:val="none"/>
                <w:lang w:val="en-US" w:eastAsia="zh-CN"/>
              </w:rPr>
            </w:pPr>
            <w:r>
              <w:rPr>
                <w:rFonts w:hint="eastAsia" w:ascii="仿宋" w:hAnsi="Times New Roman" w:eastAsia="仿宋" w:cs="Times New Roman"/>
                <w:color w:val="auto"/>
                <w:sz w:val="21"/>
                <w:szCs w:val="21"/>
                <w:highlight w:val="none"/>
                <w:lang w:val="en-US" w:eastAsia="zh-CN"/>
              </w:rPr>
              <w:t>有效投标报价的最低价作为评标基准价，其最低报价为满分；按［投标报价得分=（评标基准价/投标报价）*20］的计算公式计算。</w:t>
            </w:r>
          </w:p>
          <w:p>
            <w:pPr>
              <w:spacing w:line="440" w:lineRule="exact"/>
              <w:jc w:val="left"/>
              <w:rPr>
                <w:rFonts w:hint="eastAsia" w:ascii="仿宋" w:hAnsi="Times New Roman" w:eastAsia="仿宋" w:cs="Times New Roman"/>
                <w:color w:val="auto"/>
                <w:sz w:val="21"/>
                <w:szCs w:val="21"/>
                <w:highlight w:val="none"/>
                <w:lang w:val="en-US" w:eastAsia="zh-CN"/>
              </w:rPr>
            </w:pPr>
            <w:r>
              <w:rPr>
                <w:rFonts w:hint="eastAsia" w:ascii="仿宋" w:hAnsi="Times New Roman" w:eastAsia="仿宋" w:cs="Times New Roman"/>
                <w:color w:val="auto"/>
                <w:sz w:val="21"/>
                <w:szCs w:val="21"/>
                <w:highlight w:val="none"/>
                <w:lang w:val="en-US" w:eastAsia="zh-CN"/>
              </w:rPr>
              <w:t>评标过程中，不得去掉报价中的最高报价和最低报价。</w:t>
            </w:r>
          </w:p>
          <w:p>
            <w:pPr>
              <w:spacing w:line="440" w:lineRule="exact"/>
              <w:jc w:val="left"/>
              <w:rPr>
                <w:rFonts w:hint="eastAsia" w:ascii="仿宋" w:hAnsi="Times New Roman" w:eastAsia="仿宋" w:cs="Times New Roman"/>
                <w:color w:val="auto"/>
                <w:sz w:val="21"/>
                <w:szCs w:val="21"/>
                <w:highlight w:val="none"/>
                <w:lang w:val="en-US" w:eastAsia="zh-CN"/>
              </w:rPr>
            </w:pPr>
            <w:r>
              <w:rPr>
                <w:rFonts w:hint="eastAsia" w:ascii="仿宋" w:hAnsi="Times New Roman" w:eastAsia="仿宋" w:cs="Times New Roman"/>
                <w:color w:val="auto"/>
                <w:sz w:val="21"/>
                <w:szCs w:val="21"/>
                <w:highlight w:val="none"/>
                <w:lang w:val="en-US" w:eastAsia="zh-CN"/>
              </w:rPr>
              <w:t>因落实政府采购政策需要进行价格调整的，以调整后的价格计算评标基准价和投标报价。</w:t>
            </w:r>
          </w:p>
        </w:tc>
      </w:tr>
    </w:tbl>
    <w:p>
      <w:pPr>
        <w:pStyle w:val="25"/>
      </w:pPr>
    </w:p>
    <w:p>
      <w:pPr>
        <w:snapToGrid w:val="0"/>
        <w:spacing w:line="360" w:lineRule="auto"/>
        <w:rPr>
          <w:rFonts w:ascii="仿宋" w:hAnsi="仿宋" w:eastAsia="仿宋" w:cs="仿宋_GB2312"/>
          <w:b/>
          <w:sz w:val="24"/>
        </w:rPr>
      </w:pPr>
      <w:r>
        <w:rPr>
          <w:rFonts w:ascii="Arial" w:hAnsi="Arial" w:cs="Arial"/>
          <w:sz w:val="20"/>
          <w:szCs w:val="20"/>
          <w:shd w:val="clear" w:color="auto" w:fill="FFFFFF"/>
        </w:rPr>
        <w:t> *</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仿宋" w:hAnsi="仿宋" w:eastAsia="仿宋" w:cs="仿宋_GB2312"/>
          <w:sz w:val="24"/>
        </w:rPr>
        <w:t> </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128"/>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128"/>
        <w:spacing w:before="0"/>
        <w:ind w:firstLine="480"/>
        <w:rPr>
          <w:rFonts w:ascii="仿宋" w:hAnsi="仿宋" w:eastAsia="仿宋" w:cs="仿宋"/>
          <w:kern w:val="0"/>
          <w:szCs w:val="24"/>
        </w:rPr>
      </w:pPr>
      <w:r>
        <w:rPr>
          <w:rFonts w:ascii="仿宋" w:hAnsi="仿宋" w:eastAsia="仿宋" w:cs="仿宋"/>
          <w:kern w:val="0"/>
          <w:szCs w:val="24"/>
        </w:rPr>
        <w:t>3.4.1.1投标文件中开标一览表</w:t>
      </w:r>
      <w:r>
        <w:rPr>
          <w:rFonts w:hint="eastAsia" w:ascii="仿宋" w:hAnsi="仿宋" w:eastAsia="仿宋" w:cs="仿宋"/>
          <w:kern w:val="0"/>
          <w:szCs w:val="24"/>
          <w:lang w:eastAsia="zh-CN"/>
        </w:rPr>
        <w:t>（</w:t>
      </w:r>
      <w:r>
        <w:rPr>
          <w:rFonts w:ascii="仿宋" w:hAnsi="仿宋" w:eastAsia="仿宋" w:cs="仿宋"/>
          <w:kern w:val="0"/>
          <w:szCs w:val="24"/>
        </w:rPr>
        <w:t>报价表</w:t>
      </w:r>
      <w:r>
        <w:rPr>
          <w:rFonts w:hint="eastAsia" w:ascii="仿宋" w:hAnsi="仿宋" w:eastAsia="仿宋" w:cs="仿宋"/>
          <w:kern w:val="0"/>
          <w:szCs w:val="24"/>
          <w:lang w:eastAsia="zh-CN"/>
        </w:rPr>
        <w:t>）</w:t>
      </w:r>
      <w:r>
        <w:rPr>
          <w:rFonts w:ascii="仿宋" w:hAnsi="仿宋" w:eastAsia="仿宋" w:cs="仿宋"/>
          <w:kern w:val="0"/>
          <w:szCs w:val="24"/>
        </w:rPr>
        <w:t>内容与投标文件中相应内容不一致的，以开标一览表</w:t>
      </w:r>
      <w:r>
        <w:rPr>
          <w:rFonts w:hint="eastAsia" w:ascii="仿宋" w:hAnsi="仿宋" w:eastAsia="仿宋" w:cs="仿宋"/>
          <w:kern w:val="0"/>
          <w:szCs w:val="24"/>
          <w:lang w:eastAsia="zh-CN"/>
        </w:rPr>
        <w:t>（</w:t>
      </w:r>
      <w:r>
        <w:rPr>
          <w:rFonts w:ascii="仿宋" w:hAnsi="仿宋" w:eastAsia="仿宋" w:cs="仿宋"/>
          <w:kern w:val="0"/>
          <w:szCs w:val="24"/>
        </w:rPr>
        <w:t>报价表</w:t>
      </w:r>
      <w:r>
        <w:rPr>
          <w:rFonts w:hint="eastAsia" w:ascii="仿宋" w:hAnsi="仿宋" w:eastAsia="仿宋" w:cs="仿宋"/>
          <w:kern w:val="0"/>
          <w:szCs w:val="24"/>
          <w:lang w:eastAsia="zh-CN"/>
        </w:rPr>
        <w:t>）</w:t>
      </w:r>
      <w:r>
        <w:rPr>
          <w:rFonts w:ascii="仿宋" w:hAnsi="仿宋" w:eastAsia="仿宋" w:cs="仿宋"/>
          <w:kern w:val="0"/>
          <w:szCs w:val="24"/>
        </w:rPr>
        <w:t>为准</w:t>
      </w:r>
      <w:r>
        <w:rPr>
          <w:rFonts w:hint="eastAsia" w:ascii="仿宋" w:hAnsi="仿宋" w:eastAsia="仿宋" w:cs="仿宋"/>
          <w:kern w:val="0"/>
          <w:szCs w:val="24"/>
          <w:lang w:eastAsia="zh-CN"/>
        </w:rPr>
        <w:t>；</w:t>
      </w:r>
    </w:p>
    <w:p>
      <w:pPr>
        <w:pStyle w:val="128"/>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r>
        <w:rPr>
          <w:rFonts w:hint="eastAsia" w:ascii="仿宋" w:hAnsi="仿宋" w:eastAsia="仿宋" w:cs="仿宋"/>
          <w:kern w:val="0"/>
          <w:szCs w:val="24"/>
          <w:lang w:eastAsia="zh-CN"/>
        </w:rPr>
        <w:t>；</w:t>
      </w:r>
    </w:p>
    <w:p>
      <w:pPr>
        <w:pStyle w:val="128"/>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r>
        <w:rPr>
          <w:rFonts w:hint="eastAsia" w:ascii="仿宋" w:hAnsi="仿宋" w:eastAsia="仿宋" w:cs="仿宋"/>
          <w:kern w:val="0"/>
          <w:szCs w:val="24"/>
          <w:lang w:eastAsia="zh-CN"/>
        </w:rPr>
        <w:t>；</w:t>
      </w:r>
    </w:p>
    <w:p>
      <w:pPr>
        <w:pStyle w:val="128"/>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128"/>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128"/>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hint="eastAsia" w:ascii="仿宋" w:hAnsi="仿宋" w:eastAsia="仿宋" w:cs="仿宋"/>
          <w:kern w:val="0"/>
          <w:szCs w:val="24"/>
          <w:lang w:eastAsia="zh-CN"/>
        </w:rPr>
        <w:t>；</w:t>
      </w:r>
      <w:r>
        <w:rPr>
          <w:rFonts w:ascii="仿宋" w:hAnsi="仿宋" w:eastAsia="仿宋" w:cs="仿宋"/>
          <w:kern w:val="0"/>
          <w:szCs w:val="24"/>
        </w:rPr>
        <w:t>投标人不能证明其报价合理性的，评标委员会应当将其作为无效投标处理。</w:t>
      </w:r>
    </w:p>
    <w:p>
      <w:pPr>
        <w:pStyle w:val="128"/>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Cs w:val="24"/>
          <w:lang w:val="en-US" w:eastAsia="zh-CN"/>
        </w:rPr>
        <w:t>20</w:t>
      </w:r>
      <w:r>
        <w:rPr>
          <w:rFonts w:ascii="仿宋" w:hAnsi="仿宋" w:eastAsia="仿宋" w:cs="仿宋"/>
          <w:kern w:val="0"/>
          <w:szCs w:val="24"/>
        </w:rPr>
        <w:t>%的扣除，用扣除后的价格参与评审。接受大中型企业与小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w:t>
      </w:r>
      <w:r>
        <w:rPr>
          <w:rFonts w:hint="eastAsia" w:ascii="仿宋" w:hAnsi="仿宋" w:eastAsia="仿宋" w:cs="仿宋"/>
          <w:kern w:val="0"/>
          <w:szCs w:val="24"/>
          <w:lang w:val="en-US" w:eastAsia="zh-CN"/>
        </w:rPr>
        <w:t>6</w:t>
      </w:r>
      <w:r>
        <w:rPr>
          <w:rFonts w:ascii="仿宋" w:hAnsi="仿宋" w:eastAsia="仿宋" w:cs="仿宋"/>
          <w:kern w:val="0"/>
          <w:szCs w:val="24"/>
        </w:rPr>
        <w:t>%的扣除，用扣除后的价格参加评审。组成联合体或者接受分包的小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128"/>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7"/>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r>
        <w:rPr>
          <w:rFonts w:hint="eastAsia" w:ascii="仿宋_GB2312" w:hAnsi="仿宋" w:eastAsia="仿宋_GB2312" w:cs="Arial"/>
          <w:kern w:val="0"/>
          <w:sz w:val="24"/>
          <w:lang w:eastAsia="zh-CN"/>
        </w:rPr>
        <w:t>；</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r>
        <w:rPr>
          <w:rFonts w:hint="eastAsia" w:ascii="仿宋_GB2312" w:hAnsi="仿宋" w:eastAsia="仿宋_GB2312" w:cs="Arial"/>
          <w:kern w:val="0"/>
          <w:sz w:val="24"/>
          <w:lang w:eastAsia="zh-CN"/>
        </w:rPr>
        <w:t>；</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r>
        <w:rPr>
          <w:rFonts w:hint="eastAsia" w:ascii="仿宋_GB2312" w:hAnsi="仿宋" w:eastAsia="仿宋_GB2312" w:cs="Arial"/>
          <w:kern w:val="0"/>
          <w:sz w:val="24"/>
          <w:lang w:eastAsia="zh-CN"/>
        </w:rPr>
        <w:t>；</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4"/>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w:t>
      </w:r>
      <w:r>
        <w:rPr>
          <w:rFonts w:hint="eastAsia" w:cs="Arial"/>
          <w:b w:val="0"/>
          <w:bCs w:val="0"/>
          <w:kern w:val="0"/>
          <w:sz w:val="24"/>
          <w:szCs w:val="24"/>
          <w:lang w:val="en-US" w:eastAsia="zh-CN"/>
        </w:rPr>
        <w:t>的其他</w:t>
      </w:r>
      <w:r>
        <w:rPr>
          <w:rFonts w:hint="eastAsia" w:cs="Arial"/>
          <w:b w:val="0"/>
          <w:bCs w:val="0"/>
          <w:kern w:val="0"/>
          <w:sz w:val="24"/>
          <w:szCs w:val="24"/>
          <w:lang w:val="en-US"/>
        </w:rPr>
        <w:t>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7"/>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7"/>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7"/>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7"/>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7"/>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7"/>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7"/>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7"/>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7"/>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7"/>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7"/>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7"/>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7"/>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pStyle w:val="7"/>
        <w:snapToGrid w:val="0"/>
        <w:spacing w:line="360" w:lineRule="auto"/>
        <w:ind w:firstLine="0" w:firstLineChars="0"/>
        <w:rPr>
          <w:rFonts w:ascii="仿宋_GB2312" w:hAnsi="仿宋" w:eastAsia="仿宋_GB2312" w:cs="仿宋_GB2312"/>
        </w:rPr>
      </w:pPr>
    </w:p>
    <w:bookmarkEnd w:id="26"/>
    <w:p>
      <w:pPr>
        <w:spacing w:line="360" w:lineRule="auto"/>
        <w:ind w:left="720" w:leftChars="343" w:firstLine="1084" w:firstLineChars="300"/>
        <w:outlineLvl w:val="0"/>
        <w:rPr>
          <w:rFonts w:ascii="仿宋_GB2312" w:hAnsi="仿宋" w:eastAsia="仿宋_GB2312" w:cs="仿宋_GB2312"/>
          <w:b/>
          <w:sz w:val="36"/>
          <w:szCs w:val="36"/>
        </w:rPr>
      </w:pPr>
      <w:bookmarkStart w:id="407" w:name="第五部分"/>
      <w:bookmarkStart w:id="408" w:name="_Toc86217003"/>
    </w:p>
    <w:p>
      <w:pPr>
        <w:spacing w:line="360" w:lineRule="auto"/>
        <w:ind w:left="720" w:leftChars="343" w:firstLine="1084" w:firstLineChars="300"/>
        <w:outlineLvl w:val="0"/>
        <w:rPr>
          <w:rFonts w:ascii="仿宋_GB2312" w:hAnsi="仿宋" w:eastAsia="仿宋_GB2312" w:cs="仿宋_GB2312"/>
          <w:b/>
          <w:sz w:val="36"/>
          <w:szCs w:val="36"/>
        </w:rPr>
      </w:pPr>
      <w:r>
        <w:rPr>
          <w:rFonts w:ascii="仿宋_GB2312" w:hAnsi="仿宋" w:eastAsia="仿宋_GB2312" w:cs="仿宋_GB2312"/>
          <w:b/>
          <w:sz w:val="36"/>
          <w:szCs w:val="36"/>
        </w:rPr>
        <w:t xml:space="preserve">    </w:t>
      </w: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pStyle w:val="61"/>
        <w:ind w:firstLine="723"/>
        <w:rPr>
          <w:rFonts w:ascii="仿宋_GB2312" w:hAnsi="仿宋" w:eastAsia="仿宋_GB2312" w:cs="仿宋_GB2312"/>
          <w:b/>
          <w:sz w:val="36"/>
          <w:szCs w:val="36"/>
        </w:rPr>
      </w:pPr>
    </w:p>
    <w:p>
      <w:pPr>
        <w:rPr>
          <w:rFonts w:ascii="仿宋_GB2312" w:hAnsi="仿宋" w:eastAsia="仿宋_GB2312" w:cs="仿宋_GB2312"/>
          <w:b/>
          <w:sz w:val="36"/>
          <w:szCs w:val="36"/>
        </w:rPr>
      </w:pPr>
    </w:p>
    <w:p>
      <w:pPr>
        <w:pStyle w:val="46"/>
        <w:rPr>
          <w:rFonts w:ascii="仿宋_GB2312" w:hAnsi="仿宋" w:eastAsia="仿宋_GB2312" w:cs="仿宋_GB2312"/>
          <w:b/>
          <w:sz w:val="36"/>
          <w:szCs w:val="36"/>
        </w:rPr>
      </w:pPr>
    </w:p>
    <w:p>
      <w:pPr>
        <w:rPr>
          <w:rFonts w:ascii="仿宋_GB2312" w:hAnsi="仿宋" w:eastAsia="仿宋_GB2312" w:cs="仿宋_GB2312"/>
          <w:b/>
          <w:sz w:val="36"/>
          <w:szCs w:val="36"/>
        </w:rPr>
      </w:pPr>
    </w:p>
    <w:p>
      <w:pPr>
        <w:pStyle w:val="3"/>
        <w:rPr>
          <w:rFonts w:ascii="仿宋_GB2312" w:hAnsi="仿宋" w:eastAsia="仿宋_GB2312" w:cs="仿宋_GB2312"/>
          <w:b/>
          <w:sz w:val="36"/>
          <w:szCs w:val="36"/>
        </w:rPr>
      </w:pPr>
    </w:p>
    <w:p>
      <w:pPr>
        <w:rPr>
          <w:rFonts w:ascii="仿宋_GB2312" w:hAnsi="仿宋" w:eastAsia="仿宋_GB2312" w:cs="仿宋_GB2312"/>
          <w:b/>
          <w:sz w:val="36"/>
          <w:szCs w:val="36"/>
        </w:rPr>
      </w:pPr>
    </w:p>
    <w:p>
      <w:pPr>
        <w:pStyle w:val="3"/>
        <w:rPr>
          <w:rFonts w:ascii="仿宋_GB2312" w:hAnsi="仿宋" w:eastAsia="仿宋_GB2312" w:cs="仿宋_GB2312"/>
          <w:b/>
          <w:sz w:val="36"/>
          <w:szCs w:val="36"/>
        </w:rPr>
      </w:pPr>
    </w:p>
    <w:p/>
    <w:p>
      <w:pPr>
        <w:rPr>
          <w:rFonts w:ascii="仿宋_GB2312" w:hAnsi="仿宋" w:eastAsia="仿宋_GB2312" w:cs="仿宋_GB2312"/>
          <w:b/>
          <w:sz w:val="36"/>
          <w:szCs w:val="36"/>
        </w:rPr>
      </w:pPr>
    </w:p>
    <w:p>
      <w:pPr>
        <w:spacing w:line="360" w:lineRule="auto"/>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699"/>
        <w:ind w:firstLine="2843" w:firstLineChars="1180"/>
        <w:rPr>
          <w:rFonts w:ascii="宋体" w:hAnsi="宋体" w:cs="宋体"/>
          <w:b/>
          <w:szCs w:val="24"/>
        </w:rPr>
      </w:pPr>
      <w:r>
        <w:rPr>
          <w:rFonts w:hint="eastAsia" w:ascii="宋体" w:hAnsi="宋体" w:cs="宋体"/>
          <w:b/>
          <w:szCs w:val="24"/>
        </w:rPr>
        <w:t>第一部分 合同书</w:t>
      </w:r>
    </w:p>
    <w:p>
      <w:pPr>
        <w:spacing w:before="120" w:line="22" w:lineRule="atLeast"/>
        <w:rPr>
          <w:rFonts w:ascii="宋体" w:hAnsi="宋体" w:cs="宋体"/>
          <w:sz w:val="24"/>
        </w:rPr>
      </w:pPr>
    </w:p>
    <w:p>
      <w:pPr>
        <w:pStyle w:val="4"/>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6"/>
        <w:spacing w:before="120" w:line="22" w:lineRule="atLeast"/>
        <w:rPr>
          <w:rFonts w:ascii="宋体" w:hAnsi="宋体" w:eastAsia="宋体" w:cs="宋体"/>
          <w:szCs w:val="24"/>
        </w:rPr>
      </w:pPr>
    </w:p>
    <w:p>
      <w:pPr>
        <w:pStyle w:val="596"/>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headerReference r:id="rId10" w:type="default"/>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年</w:t>
      </w: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月</w:t>
      </w: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日</w:t>
      </w:r>
      <w:r>
        <w:rPr>
          <w:rFonts w:hint="eastAsia" w:asciiTheme="minorEastAsia" w:hAnsiTheme="minorEastAsia" w:eastAsiaTheme="minorEastAsia"/>
          <w:sz w:val="24"/>
        </w:rPr>
        <w:t>，</w:t>
      </w:r>
      <w:r>
        <w:rPr>
          <w:rFonts w:asciiTheme="minorEastAsia" w:hAnsiTheme="minorEastAsia" w:eastAsiaTheme="minorEastAsia"/>
          <w:sz w:val="24"/>
          <w:u w:val="single"/>
        </w:rPr>
        <w:t xml:space="preserve">   （采购人名称）   </w:t>
      </w:r>
      <w:r>
        <w:rPr>
          <w:rFonts w:hint="eastAsia" w:asciiTheme="minorEastAsia" w:hAnsiTheme="minorEastAsia" w:eastAsiaTheme="minorEastAsia"/>
          <w:sz w:val="24"/>
        </w:rPr>
        <w:t>以</w:t>
      </w:r>
      <w:r>
        <w:rPr>
          <w:rFonts w:asciiTheme="minorEastAsia" w:hAnsiTheme="minorEastAsia" w:eastAsiaTheme="minorEastAsia"/>
          <w:sz w:val="24"/>
          <w:u w:val="single"/>
        </w:rPr>
        <w:t xml:space="preserve">   （政府采购方式）  </w:t>
      </w:r>
      <w:r>
        <w:rPr>
          <w:rFonts w:hint="eastAsia" w:asciiTheme="minorEastAsia" w:hAnsiTheme="minorEastAsia" w:eastAsiaTheme="minorEastAsia"/>
          <w:sz w:val="24"/>
        </w:rPr>
        <w:t>对</w:t>
      </w:r>
      <w:r>
        <w:rPr>
          <w:rFonts w:asciiTheme="minorEastAsia" w:hAnsiTheme="minorEastAsia" w:eastAsiaTheme="minorEastAsia"/>
          <w:sz w:val="24"/>
          <w:u w:val="single"/>
        </w:rPr>
        <w:t xml:space="preserve">   （同前</w:t>
      </w:r>
      <w:r>
        <w:rPr>
          <w:rFonts w:hint="eastAsia" w:asciiTheme="minorEastAsia" w:hAnsiTheme="minorEastAsia" w:eastAsiaTheme="minorEastAsia"/>
          <w:sz w:val="24"/>
          <w:u w:val="single"/>
        </w:rPr>
        <w:t>页项目名称）</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项目进行了采购。经</w:t>
      </w:r>
      <w:r>
        <w:rPr>
          <w:rFonts w:asciiTheme="minorEastAsia" w:hAnsiTheme="minorEastAsia" w:eastAsiaTheme="minorEastAsia"/>
          <w:sz w:val="24"/>
          <w:u w:val="single"/>
        </w:rPr>
        <w:t xml:space="preserve">   （相关评定主体名称）   </w:t>
      </w:r>
      <w:r>
        <w:rPr>
          <w:rFonts w:hint="eastAsia" w:asciiTheme="minorEastAsia" w:hAnsiTheme="minorEastAsia" w:eastAsiaTheme="minorEastAsia"/>
          <w:sz w:val="24"/>
        </w:rPr>
        <w:t>评定，</w:t>
      </w:r>
      <w:r>
        <w:rPr>
          <w:rFonts w:asciiTheme="minorEastAsia" w:hAnsiTheme="minorEastAsia" w:eastAsiaTheme="minorEastAsia"/>
          <w:sz w:val="24"/>
          <w:u w:val="single"/>
        </w:rPr>
        <w:t xml:space="preserve">   （中标供应商名称） </w:t>
      </w:r>
      <w:r>
        <w:rPr>
          <w:rFonts w:hint="eastAsia" w:asciiTheme="minorEastAsia" w:hAnsiTheme="minorEastAsia" w:eastAsiaTheme="minorEastAsia"/>
          <w:sz w:val="24"/>
        </w:rPr>
        <w:t>为该项目中标供应商。现于中标通知书发出之日起三十日内，按照采购文件确定的事项签订本合同。</w:t>
      </w:r>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zh-CN"/>
        </w:rPr>
        <w:t>根据《中华人民共和国民法典》《中华人民共和国政府采购法》等相关法律法规之规定，按照平等、自愿、公平和诚实信用的原则，经</w:t>
      </w:r>
      <w:r>
        <w:rPr>
          <w:rFonts w:asciiTheme="minorEastAsia" w:hAnsiTheme="minorEastAsia" w:eastAsiaTheme="minorEastAsia"/>
          <w:sz w:val="24"/>
          <w:u w:val="single"/>
        </w:rPr>
        <w:t xml:space="preserve">   （采购人名称）   </w:t>
      </w:r>
      <w:r>
        <w:rPr>
          <w:rFonts w:hint="eastAsia" w:asciiTheme="minorEastAsia" w:hAnsiTheme="minorEastAsia" w:eastAsiaTheme="minorEastAsia"/>
          <w:sz w:val="24"/>
          <w:u w:val="single"/>
          <w:lang w:eastAsia="zh-CN"/>
        </w:rPr>
        <w:t>（</w:t>
      </w:r>
      <w:r>
        <w:rPr>
          <w:rFonts w:asciiTheme="minorEastAsia" w:hAnsiTheme="minorEastAsia" w:eastAsiaTheme="minorEastAsia"/>
          <w:sz w:val="24"/>
          <w:lang w:val="zh-CN"/>
        </w:rPr>
        <w:t>以下简称：甲方</w:t>
      </w:r>
      <w:r>
        <w:rPr>
          <w:rFonts w:hint="eastAsia" w:asciiTheme="minorEastAsia" w:hAnsiTheme="minorEastAsia" w:eastAsiaTheme="minorEastAsia"/>
          <w:sz w:val="24"/>
          <w:lang w:val="zh-CN"/>
        </w:rPr>
        <w:t>）</w:t>
      </w:r>
      <w:r>
        <w:rPr>
          <w:rFonts w:asciiTheme="minorEastAsia" w:hAnsiTheme="minorEastAsia" w:eastAsiaTheme="minorEastAsia"/>
          <w:sz w:val="24"/>
          <w:lang w:val="zh-CN"/>
        </w:rPr>
        <w:t>和</w:t>
      </w:r>
      <w:r>
        <w:rPr>
          <w:rFonts w:asciiTheme="minorEastAsia" w:hAnsiTheme="minorEastAsia" w:eastAsiaTheme="minorEastAsia"/>
          <w:sz w:val="24"/>
          <w:u w:val="single"/>
        </w:rPr>
        <w:t xml:space="preserve">   （中标供应商名称）   </w:t>
      </w:r>
      <w:r>
        <w:rPr>
          <w:rFonts w:hint="eastAsia" w:asciiTheme="minorEastAsia" w:hAnsiTheme="minorEastAsia" w:eastAsiaTheme="minorEastAsia"/>
          <w:sz w:val="24"/>
          <w:u w:val="single"/>
          <w:lang w:eastAsia="zh-CN"/>
        </w:rPr>
        <w:t>（</w:t>
      </w:r>
      <w:r>
        <w:rPr>
          <w:rFonts w:asciiTheme="minorEastAsia" w:hAnsiTheme="minorEastAsia" w:eastAsiaTheme="minorEastAsia"/>
          <w:sz w:val="24"/>
          <w:lang w:val="zh-CN"/>
        </w:rPr>
        <w:t>以下简称：乙方</w:t>
      </w:r>
      <w:r>
        <w:rPr>
          <w:rFonts w:hint="eastAsia" w:asciiTheme="minorEastAsia" w:hAnsiTheme="minorEastAsia" w:eastAsiaTheme="minorEastAsia"/>
          <w:sz w:val="24"/>
          <w:lang w:val="zh-CN"/>
        </w:rPr>
        <w:t>）</w:t>
      </w:r>
      <w:r>
        <w:rPr>
          <w:rFonts w:asciiTheme="minorEastAsia" w:hAnsiTheme="minorEastAsia" w:eastAsiaTheme="minorEastAsia"/>
          <w:sz w:val="24"/>
          <w:lang w:val="zh-CN"/>
        </w:rPr>
        <w:t>协商一致，约定以下合同</w:t>
      </w:r>
      <w:r>
        <w:rPr>
          <w:rFonts w:hint="eastAsia" w:asciiTheme="minorEastAsia" w:hAnsiTheme="minorEastAsia" w:eastAsiaTheme="minorEastAsia"/>
          <w:sz w:val="24"/>
        </w:rPr>
        <w:t>条款，以兹共同遵守、全面履行。</w:t>
      </w:r>
    </w:p>
    <w:p>
      <w:pPr>
        <w:spacing w:line="560" w:lineRule="exact"/>
        <w:ind w:firstLine="482" w:firstLineChars="200"/>
        <w:outlineLvl w:val="0"/>
        <w:rPr>
          <w:rFonts w:asciiTheme="minorEastAsia" w:hAnsiTheme="minorEastAsia" w:eastAsiaTheme="minorEastAsia"/>
          <w:sz w:val="24"/>
        </w:rPr>
      </w:pPr>
      <w:bookmarkStart w:id="409" w:name="_Toc19273"/>
      <w:bookmarkStart w:id="410" w:name="_Toc22967"/>
      <w:bookmarkStart w:id="411" w:name="_Toc28855"/>
      <w:bookmarkStart w:id="412" w:name="_Toc20421"/>
      <w:bookmarkStart w:id="413" w:name="_Toc15367"/>
      <w:r>
        <w:rPr>
          <w:rFonts w:asciiTheme="minorEastAsia" w:hAnsiTheme="minorEastAsia" w:eastAsiaTheme="minorEastAsia"/>
          <w:b/>
          <w:sz w:val="24"/>
        </w:rPr>
        <w:t xml:space="preserve">1.1 </w:t>
      </w:r>
      <w:r>
        <w:rPr>
          <w:rFonts w:hint="eastAsia" w:asciiTheme="minorEastAsia" w:hAnsiTheme="minorEastAsia" w:eastAsiaTheme="minorEastAsia"/>
          <w:b/>
          <w:sz w:val="24"/>
        </w:rPr>
        <w:t>合同组成部分</w:t>
      </w:r>
      <w:bookmarkEnd w:id="409"/>
      <w:bookmarkEnd w:id="410"/>
      <w:bookmarkEnd w:id="411"/>
      <w:bookmarkEnd w:id="412"/>
      <w:bookmarkEnd w:id="413"/>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1.1.1 </w:t>
      </w:r>
      <w:r>
        <w:rPr>
          <w:rFonts w:hint="eastAsia" w:asciiTheme="minorEastAsia" w:hAnsiTheme="minorEastAsia" w:eastAsiaTheme="minorEastAsia"/>
          <w:sz w:val="24"/>
        </w:rPr>
        <w:t>本合同及其补充合同、变更协议；</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1.1.2 </w:t>
      </w:r>
      <w:r>
        <w:rPr>
          <w:rFonts w:hint="eastAsia" w:asciiTheme="minorEastAsia" w:hAnsiTheme="minorEastAsia" w:eastAsiaTheme="minorEastAsia"/>
          <w:sz w:val="24"/>
        </w:rPr>
        <w:t>中标通知书；</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1.1.3 </w:t>
      </w:r>
      <w:r>
        <w:rPr>
          <w:rFonts w:hint="eastAsia" w:asciiTheme="minorEastAsia" w:hAnsiTheme="minorEastAsia" w:eastAsiaTheme="minorEastAsia"/>
          <w:sz w:val="24"/>
        </w:rPr>
        <w:t>投标文件（含澄清或者说明文件）；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1.1.4 </w:t>
      </w:r>
      <w:r>
        <w:rPr>
          <w:rFonts w:hint="eastAsia" w:asciiTheme="minorEastAsia" w:hAnsiTheme="minorEastAsia" w:eastAsiaTheme="minorEastAsia"/>
          <w:sz w:val="24"/>
        </w:rPr>
        <w:t>招标文件（含澄清或者修改文件）；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1.1.5 </w:t>
      </w:r>
      <w:r>
        <w:rPr>
          <w:rFonts w:hint="eastAsia" w:asciiTheme="minorEastAsia" w:hAnsiTheme="minorEastAsia" w:eastAsiaTheme="minorEastAsia"/>
          <w:sz w:val="24"/>
        </w:rPr>
        <w:t>其他相关采购文件。</w:t>
      </w:r>
    </w:p>
    <w:p>
      <w:pPr>
        <w:spacing w:line="560" w:lineRule="exact"/>
        <w:ind w:firstLine="482" w:firstLineChars="200"/>
        <w:outlineLvl w:val="0"/>
        <w:rPr>
          <w:rFonts w:asciiTheme="minorEastAsia" w:hAnsiTheme="minorEastAsia" w:eastAsiaTheme="minorEastAsia"/>
          <w:b/>
          <w:sz w:val="24"/>
        </w:rPr>
      </w:pPr>
      <w:bookmarkStart w:id="414" w:name="_Toc18585"/>
      <w:bookmarkStart w:id="415" w:name="_Toc6311"/>
      <w:bookmarkStart w:id="416" w:name="_Toc6773"/>
      <w:bookmarkStart w:id="417" w:name="_Toc22185"/>
      <w:bookmarkStart w:id="418" w:name="_Toc2918"/>
      <w:r>
        <w:rPr>
          <w:rFonts w:asciiTheme="minorEastAsia" w:hAnsiTheme="minorEastAsia" w:eastAsiaTheme="minorEastAsia"/>
          <w:b/>
          <w:sz w:val="24"/>
        </w:rPr>
        <w:t xml:space="preserve">1.2 </w:t>
      </w:r>
      <w:r>
        <w:rPr>
          <w:rFonts w:hint="eastAsia" w:asciiTheme="minorEastAsia" w:hAnsiTheme="minorEastAsia" w:eastAsiaTheme="minorEastAsia"/>
          <w:b/>
          <w:sz w:val="24"/>
        </w:rPr>
        <w:t>标的</w:t>
      </w:r>
      <w:bookmarkEnd w:id="414"/>
      <w:bookmarkEnd w:id="415"/>
      <w:bookmarkEnd w:id="416"/>
      <w:bookmarkEnd w:id="417"/>
      <w:bookmarkEnd w:id="418"/>
    </w:p>
    <w:p>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1.2.1 </w:t>
      </w:r>
      <w:r>
        <w:rPr>
          <w:rFonts w:hint="eastAsia" w:asciiTheme="minorEastAsia" w:hAnsiTheme="minorEastAsia" w:eastAsiaTheme="minorEastAsia"/>
          <w:sz w:val="24"/>
        </w:rPr>
        <w:t>标的</w:t>
      </w:r>
      <w:r>
        <w:rPr>
          <w:rFonts w:asciiTheme="minorEastAsia" w:hAnsiTheme="minorEastAsia" w:eastAsiaTheme="minorEastAsia"/>
          <w:sz w:val="24"/>
        </w:rPr>
        <w:t>名称：</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1.2.2 </w:t>
      </w:r>
      <w:r>
        <w:rPr>
          <w:rFonts w:hint="eastAsia" w:asciiTheme="minorEastAsia" w:hAnsiTheme="minorEastAsia" w:eastAsiaTheme="minorEastAsia"/>
          <w:sz w:val="24"/>
        </w:rPr>
        <w:t>标的</w:t>
      </w:r>
      <w:r>
        <w:rPr>
          <w:rFonts w:asciiTheme="minorEastAsia" w:hAnsiTheme="minorEastAsia" w:eastAsiaTheme="minorEastAsia"/>
          <w:sz w:val="24"/>
        </w:rPr>
        <w:t>数量：</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1.2.3 </w:t>
      </w:r>
      <w:r>
        <w:rPr>
          <w:rFonts w:hint="eastAsia" w:asciiTheme="minorEastAsia" w:hAnsiTheme="minorEastAsia" w:eastAsiaTheme="minorEastAsia"/>
          <w:sz w:val="24"/>
        </w:rPr>
        <w:t>标的质量：</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pPr>
        <w:spacing w:line="560" w:lineRule="exact"/>
        <w:ind w:firstLine="482" w:firstLineChars="200"/>
        <w:outlineLvl w:val="0"/>
        <w:rPr>
          <w:rFonts w:asciiTheme="minorEastAsia" w:hAnsiTheme="minorEastAsia" w:eastAsiaTheme="minorEastAsia"/>
          <w:b/>
          <w:sz w:val="24"/>
        </w:rPr>
      </w:pPr>
      <w:bookmarkStart w:id="419" w:name="_Toc5635"/>
      <w:bookmarkStart w:id="420" w:name="_Toc13918"/>
      <w:bookmarkStart w:id="421" w:name="_Toc4929"/>
      <w:bookmarkStart w:id="422" w:name="_Toc21124"/>
      <w:bookmarkStart w:id="423" w:name="_Toc1386"/>
      <w:r>
        <w:rPr>
          <w:rFonts w:asciiTheme="minorEastAsia" w:hAnsiTheme="minorEastAsia" w:eastAsiaTheme="minorEastAsia"/>
          <w:b/>
          <w:sz w:val="24"/>
        </w:rPr>
        <w:t>1.3 价款</w:t>
      </w:r>
      <w:bookmarkEnd w:id="419"/>
      <w:bookmarkEnd w:id="420"/>
      <w:bookmarkEnd w:id="421"/>
      <w:bookmarkEnd w:id="422"/>
      <w:bookmarkEnd w:id="423"/>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本合同总价为</w:t>
      </w:r>
      <w:r>
        <w:rPr>
          <w:rFonts w:hint="eastAsia" w:asciiTheme="minorEastAsia" w:hAnsiTheme="minorEastAsia" w:eastAsiaTheme="minorEastAsia"/>
          <w:sz w:val="24"/>
        </w:rPr>
        <w:t>：￥</w:t>
      </w:r>
      <w:r>
        <w:rPr>
          <w:rFonts w:asciiTheme="minorEastAsia" w:hAnsiTheme="minorEastAsia" w:eastAsiaTheme="minorEastAsia"/>
          <w:sz w:val="24"/>
          <w:u w:val="single"/>
        </w:rPr>
        <w:t xml:space="preserve">           </w:t>
      </w:r>
      <w:r>
        <w:rPr>
          <w:rFonts w:asciiTheme="minorEastAsia" w:hAnsiTheme="minorEastAsia" w:eastAsiaTheme="minorEastAsia"/>
          <w:sz w:val="24"/>
        </w:rPr>
        <w:t>元</w:t>
      </w:r>
      <w:r>
        <w:rPr>
          <w:rFonts w:hint="eastAsia" w:asciiTheme="minorEastAsia" w:hAnsiTheme="minorEastAsia" w:eastAsiaTheme="minorEastAsia"/>
          <w:sz w:val="24"/>
        </w:rPr>
        <w:t>（大写：</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元人民币）</w:t>
      </w:r>
      <w:r>
        <w:rPr>
          <w:rFonts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3402" w:type="dxa"/>
            <w:vAlign w:val="center"/>
          </w:tcPr>
          <w:p>
            <w:pPr>
              <w:pStyle w:val="317"/>
              <w:spacing w:line="560" w:lineRule="exact"/>
              <w:ind w:firstLine="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分项名称</w:t>
            </w:r>
          </w:p>
        </w:tc>
        <w:tc>
          <w:tcPr>
            <w:tcW w:w="2552" w:type="dxa"/>
            <w:vAlign w:val="center"/>
          </w:tcPr>
          <w:p>
            <w:pPr>
              <w:pStyle w:val="317"/>
              <w:spacing w:line="5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Theme="minorEastAsia" w:hAnsiTheme="minorEastAsia" w:eastAsiaTheme="minorEastAsia"/>
                <w:sz w:val="24"/>
                <w:szCs w:val="24"/>
              </w:rPr>
            </w:pPr>
          </w:p>
        </w:tc>
        <w:tc>
          <w:tcPr>
            <w:tcW w:w="3402" w:type="dxa"/>
            <w:vAlign w:val="center"/>
          </w:tcPr>
          <w:p>
            <w:pPr>
              <w:pStyle w:val="317"/>
              <w:spacing w:line="560" w:lineRule="exact"/>
              <w:ind w:firstLine="200"/>
              <w:jc w:val="center"/>
              <w:rPr>
                <w:rFonts w:asciiTheme="minorEastAsia" w:hAnsiTheme="minorEastAsia" w:eastAsiaTheme="minorEastAsia"/>
                <w:sz w:val="24"/>
                <w:szCs w:val="24"/>
              </w:rPr>
            </w:pPr>
          </w:p>
        </w:tc>
        <w:tc>
          <w:tcPr>
            <w:tcW w:w="2552" w:type="dxa"/>
            <w:vAlign w:val="center"/>
          </w:tcPr>
          <w:p>
            <w:pPr>
              <w:pStyle w:val="317"/>
              <w:spacing w:line="560" w:lineRule="exact"/>
              <w:ind w:firstLine="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Theme="minorEastAsia" w:hAnsiTheme="minorEastAsia" w:eastAsiaTheme="minorEastAsia"/>
                <w:sz w:val="24"/>
                <w:szCs w:val="24"/>
              </w:rPr>
            </w:pPr>
          </w:p>
        </w:tc>
        <w:tc>
          <w:tcPr>
            <w:tcW w:w="3402" w:type="dxa"/>
            <w:vAlign w:val="center"/>
          </w:tcPr>
          <w:p>
            <w:pPr>
              <w:pStyle w:val="317"/>
              <w:spacing w:line="560" w:lineRule="exact"/>
              <w:ind w:firstLine="200"/>
              <w:jc w:val="center"/>
              <w:rPr>
                <w:rFonts w:asciiTheme="minorEastAsia" w:hAnsiTheme="minorEastAsia" w:eastAsiaTheme="minorEastAsia"/>
                <w:sz w:val="24"/>
                <w:szCs w:val="24"/>
              </w:rPr>
            </w:pPr>
          </w:p>
        </w:tc>
        <w:tc>
          <w:tcPr>
            <w:tcW w:w="2552" w:type="dxa"/>
            <w:vAlign w:val="center"/>
          </w:tcPr>
          <w:p>
            <w:pPr>
              <w:pStyle w:val="317"/>
              <w:spacing w:line="560" w:lineRule="exact"/>
              <w:ind w:firstLine="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Theme="minorEastAsia" w:hAnsiTheme="minorEastAsia" w:eastAsiaTheme="minorEastAsia"/>
                <w:sz w:val="24"/>
                <w:szCs w:val="24"/>
              </w:rPr>
            </w:pPr>
          </w:p>
        </w:tc>
        <w:tc>
          <w:tcPr>
            <w:tcW w:w="3402" w:type="dxa"/>
            <w:vAlign w:val="center"/>
          </w:tcPr>
          <w:p>
            <w:pPr>
              <w:pStyle w:val="317"/>
              <w:spacing w:line="560" w:lineRule="exact"/>
              <w:ind w:firstLine="200"/>
              <w:jc w:val="center"/>
              <w:rPr>
                <w:rFonts w:asciiTheme="minorEastAsia" w:hAnsiTheme="minorEastAsia" w:eastAsiaTheme="minorEastAsia"/>
                <w:sz w:val="24"/>
                <w:szCs w:val="24"/>
              </w:rPr>
            </w:pPr>
          </w:p>
        </w:tc>
        <w:tc>
          <w:tcPr>
            <w:tcW w:w="2552" w:type="dxa"/>
            <w:vAlign w:val="center"/>
          </w:tcPr>
          <w:p>
            <w:pPr>
              <w:pStyle w:val="317"/>
              <w:spacing w:line="560" w:lineRule="exact"/>
              <w:ind w:firstLine="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Theme="minorEastAsia" w:hAnsiTheme="minorEastAsia" w:eastAsiaTheme="minorEastAsia"/>
                <w:sz w:val="24"/>
                <w:szCs w:val="24"/>
              </w:rPr>
            </w:pPr>
          </w:p>
        </w:tc>
        <w:tc>
          <w:tcPr>
            <w:tcW w:w="3402" w:type="dxa"/>
            <w:vAlign w:val="center"/>
          </w:tcPr>
          <w:p>
            <w:pPr>
              <w:pStyle w:val="317"/>
              <w:spacing w:line="560" w:lineRule="exact"/>
              <w:ind w:firstLine="200"/>
              <w:jc w:val="center"/>
              <w:rPr>
                <w:rFonts w:asciiTheme="minorEastAsia" w:hAnsiTheme="minorEastAsia" w:eastAsiaTheme="minorEastAsia"/>
                <w:sz w:val="24"/>
                <w:szCs w:val="24"/>
              </w:rPr>
            </w:pPr>
          </w:p>
        </w:tc>
        <w:tc>
          <w:tcPr>
            <w:tcW w:w="2552" w:type="dxa"/>
            <w:vAlign w:val="center"/>
          </w:tcPr>
          <w:p>
            <w:pPr>
              <w:pStyle w:val="317"/>
              <w:spacing w:line="560" w:lineRule="exact"/>
              <w:ind w:firstLine="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7"/>
              <w:spacing w:line="560" w:lineRule="exact"/>
              <w:ind w:firstLine="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w:t>
            </w:r>
          </w:p>
        </w:tc>
        <w:tc>
          <w:tcPr>
            <w:tcW w:w="2552" w:type="dxa"/>
            <w:vAlign w:val="center"/>
          </w:tcPr>
          <w:p>
            <w:pPr>
              <w:pStyle w:val="317"/>
              <w:spacing w:line="560" w:lineRule="exact"/>
              <w:ind w:firstLine="200"/>
              <w:jc w:val="center"/>
              <w:rPr>
                <w:rFonts w:asciiTheme="minorEastAsia" w:hAnsiTheme="minorEastAsia" w:eastAsiaTheme="minorEastAsia"/>
                <w:sz w:val="24"/>
                <w:szCs w:val="24"/>
              </w:rPr>
            </w:pPr>
          </w:p>
        </w:tc>
      </w:tr>
    </w:tbl>
    <w:p>
      <w:pPr>
        <w:spacing w:line="560" w:lineRule="exact"/>
        <w:ind w:firstLine="482" w:firstLineChars="200"/>
        <w:outlineLvl w:val="0"/>
        <w:rPr>
          <w:rFonts w:asciiTheme="minorEastAsia" w:hAnsiTheme="minorEastAsia" w:eastAsiaTheme="minorEastAsia"/>
          <w:b/>
          <w:sz w:val="24"/>
        </w:rPr>
      </w:pPr>
      <w:bookmarkStart w:id="424" w:name="_Toc14993"/>
      <w:bookmarkStart w:id="425" w:name="_Toc30506"/>
      <w:bookmarkStart w:id="426" w:name="_Toc26916"/>
      <w:bookmarkStart w:id="427" w:name="_Toc3654"/>
      <w:bookmarkStart w:id="428" w:name="_Toc30158"/>
      <w:r>
        <w:rPr>
          <w:rFonts w:asciiTheme="minorEastAsia" w:hAnsiTheme="minorEastAsia" w:eastAsiaTheme="minorEastAsia"/>
          <w:b/>
          <w:sz w:val="24"/>
        </w:rPr>
        <w:t>1.4 付款方式和发票开具方式</w:t>
      </w:r>
      <w:bookmarkEnd w:id="424"/>
      <w:bookmarkEnd w:id="425"/>
      <w:bookmarkEnd w:id="426"/>
      <w:bookmarkEnd w:id="427"/>
      <w:bookmarkEnd w:id="428"/>
    </w:p>
    <w:p>
      <w:pPr>
        <w:pStyle w:val="957"/>
        <w:spacing w:before="0" w:beforeAutospacing="0" w:after="0" w:afterAutospacing="0" w:line="360" w:lineRule="auto"/>
        <w:ind w:firstLine="480"/>
        <w:rPr>
          <w:rFonts w:cs="Times New Roman" w:asciiTheme="minorEastAsia" w:hAnsiTheme="minorEastAsia" w:eastAsiaTheme="minorEastAsia"/>
        </w:rPr>
      </w:pPr>
      <w:r>
        <w:rPr>
          <w:rFonts w:cs="Times New Roman" w:asciiTheme="minorEastAsia" w:hAnsiTheme="minorEastAsia" w:eastAsiaTheme="minorEastAsia"/>
        </w:rPr>
        <w:t>1.4.1</w:t>
      </w:r>
      <w:r>
        <w:rPr>
          <w:rFonts w:hint="eastAsia" w:cs="Times New Roman" w:asciiTheme="minorEastAsia" w:hAnsiTheme="minorEastAsia" w:eastAsiaTheme="minorEastAsia"/>
        </w:rPr>
        <w:t>甲方应严格履行合同，及时组织验收，验收合格后及时将合同款支付完毕。对于满足合同约定支付条件的，甲方自收到发票后</w:t>
      </w:r>
      <w:r>
        <w:rPr>
          <w:rFonts w:cs="Times New Roman" w:asciiTheme="minorEastAsia" w:hAnsiTheme="minorEastAsia" w:eastAsiaTheme="minorEastAsia"/>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1.4.2 </w:t>
      </w:r>
      <w:r>
        <w:rPr>
          <w:rFonts w:hint="eastAsia" w:asciiTheme="minorEastAsia" w:hAnsiTheme="minorEastAsia" w:eastAsiaTheme="minorEastAsia"/>
          <w:sz w:val="24"/>
        </w:rPr>
        <w:t>合同预付款比例为合同金额的</w:t>
      </w:r>
      <w:r>
        <w:rPr>
          <w:rFonts w:hint="eastAsia" w:asciiTheme="minorEastAsia" w:hAnsiTheme="minorEastAsia" w:eastAsiaTheme="minorEastAsia"/>
          <w:sz w:val="24"/>
          <w:lang w:val="en-US" w:eastAsia="zh-CN"/>
        </w:rPr>
        <w:t>40</w:t>
      </w:r>
      <w:r>
        <w:rPr>
          <w:rFonts w:asciiTheme="minorEastAsia" w:hAnsiTheme="minorEastAsia" w:eastAsiaTheme="minorEastAsia"/>
          <w:sz w:val="24"/>
        </w:rPr>
        <w:t>％；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w:t>
      </w:r>
      <w:r>
        <w:rPr>
          <w:rFonts w:hint="eastAsia" w:asciiTheme="minorEastAsia" w:hAnsiTheme="minorEastAsia" w:eastAsiaTheme="minorEastAsia"/>
          <w:sz w:val="24"/>
        </w:rPr>
        <w:t>政府采购工程以及与工程建设有关的货物、服务，采用招标方式采购的，预付款从其相关规定。乙方可登录政采云前台大厅选择金融服务</w:t>
      </w:r>
      <w:r>
        <w:rPr>
          <w:rFonts w:asciiTheme="minorEastAsia" w:hAnsiTheme="minorEastAsia" w:eastAsiaTheme="minorEastAsia"/>
          <w:sz w:val="24"/>
        </w:rPr>
        <w:t xml:space="preserve"> - </w:t>
      </w:r>
      <w:r>
        <w:rPr>
          <w:rFonts w:hint="eastAsia" w:asciiTheme="minorEastAsia" w:hAnsiTheme="minorEastAsia" w:eastAsiaTheme="minorEastAsia"/>
          <w:sz w:val="24"/>
        </w:rPr>
        <w:t>【保函保险服务】出具预付款保函，具体步骤：选择产品—填写供应商信息—选择中标项目—确认信息—等待保险</w:t>
      </w:r>
      <w:r>
        <w:rPr>
          <w:rFonts w:asciiTheme="minorEastAsia" w:hAnsiTheme="minorEastAsia" w:eastAsiaTheme="minorEastAsia"/>
          <w:sz w:val="24"/>
        </w:rPr>
        <w:t>/保函受理—确认保单—支付保费—成功出单。政</w:t>
      </w:r>
      <w:r>
        <w:rPr>
          <w:rFonts w:hint="eastAsia" w:asciiTheme="minorEastAsia" w:hAnsiTheme="minorEastAsia" w:eastAsiaTheme="minorEastAsia"/>
          <w:sz w:val="24"/>
        </w:rPr>
        <w:t>采云金融专线</w:t>
      </w:r>
      <w:r>
        <w:rPr>
          <w:rFonts w:asciiTheme="minorEastAsia" w:hAnsiTheme="minorEastAsia" w:eastAsiaTheme="minorEastAsia"/>
          <w:sz w:val="24"/>
        </w:rPr>
        <w:t>400-903-9583。</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1.4.3</w:t>
      </w:r>
      <w:r>
        <w:rPr>
          <w:rFonts w:hint="eastAsia" w:asciiTheme="minorEastAsia" w:hAnsiTheme="minorEastAsia" w:eastAsiaTheme="minorEastAsia"/>
          <w:sz w:val="24"/>
        </w:rPr>
        <w:t>甲方迟延支付乙方款项的，向乙方支付逾期利息。双方可以在合同专用条款中约定逾期利率，约定利率不得低于合同订立时</w:t>
      </w:r>
      <w:r>
        <w:rPr>
          <w:rFonts w:asciiTheme="minorEastAsia" w:hAnsiTheme="minorEastAsia" w:eastAsiaTheme="minorEastAsia"/>
          <w:sz w:val="24"/>
        </w:rPr>
        <w:t>1年</w:t>
      </w:r>
      <w:r>
        <w:rPr>
          <w:rFonts w:hint="eastAsia" w:asciiTheme="minorEastAsia" w:hAnsiTheme="minorEastAsia" w:eastAsiaTheme="minorEastAsia"/>
          <w:sz w:val="24"/>
        </w:rPr>
        <w:t>期贷款市场报价利率；未作约定的，按照每日利率万分之五支付逾期利息。</w:t>
      </w:r>
    </w:p>
    <w:p>
      <w:pPr>
        <w:spacing w:line="560" w:lineRule="exact"/>
        <w:ind w:firstLine="480" w:firstLineChars="200"/>
        <w:outlineLvl w:val="0"/>
        <w:rPr>
          <w:rFonts w:asciiTheme="minorEastAsia" w:hAnsiTheme="minorEastAsia" w:eastAsiaTheme="minorEastAsia"/>
          <w:sz w:val="24"/>
        </w:rPr>
      </w:pPr>
      <w:r>
        <w:rPr>
          <w:rFonts w:asciiTheme="minorEastAsia" w:hAnsiTheme="minorEastAsia" w:eastAsiaTheme="minorEastAsia"/>
          <w:sz w:val="24"/>
        </w:rPr>
        <w:t>1.4.4资金支付的方式、时间和条件详见</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0" w:firstLineChars="200"/>
        <w:outlineLvl w:val="0"/>
        <w:rPr>
          <w:rFonts w:asciiTheme="minorEastAsia" w:hAnsiTheme="minorEastAsia" w:eastAsiaTheme="minorEastAsia"/>
          <w:sz w:val="24"/>
        </w:rPr>
      </w:pPr>
      <w:r>
        <w:rPr>
          <w:rFonts w:asciiTheme="minorEastAsia" w:hAnsiTheme="minorEastAsia" w:eastAsiaTheme="minorEastAsia"/>
          <w:sz w:val="24"/>
        </w:rPr>
        <w:t>1.4.5</w:t>
      </w:r>
      <w:r>
        <w:rPr>
          <w:rFonts w:hint="eastAsia" w:asciiTheme="minorEastAsia" w:hAnsiTheme="minorEastAsia" w:eastAsiaTheme="minorEastAsia"/>
          <w:sz w:val="24"/>
        </w:rPr>
        <w:t>乙方</w:t>
      </w:r>
      <w:r>
        <w:rPr>
          <w:rFonts w:asciiTheme="minorEastAsia" w:hAnsiTheme="minorEastAsia" w:eastAsiaTheme="minorEastAsia"/>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Theme="minorEastAsia" w:hAnsiTheme="minorEastAsia" w:eastAsiaTheme="minorEastAsia"/>
          <w:sz w:val="24"/>
        </w:rPr>
        <w:t>杭财采监〔</w:t>
      </w:r>
      <w:r>
        <w:rPr>
          <w:rFonts w:asciiTheme="minorEastAsia" w:hAnsiTheme="minorEastAsia" w:eastAsiaTheme="minorEastAsia"/>
          <w:sz w:val="24"/>
        </w:rPr>
        <w:t>2021〕17号）。</w:t>
      </w:r>
    </w:p>
    <w:p>
      <w:pPr>
        <w:spacing w:line="560" w:lineRule="exact"/>
        <w:ind w:firstLine="482" w:firstLineChars="200"/>
        <w:outlineLvl w:val="0"/>
        <w:rPr>
          <w:rFonts w:asciiTheme="minorEastAsia" w:hAnsiTheme="minorEastAsia" w:eastAsiaTheme="minorEastAsia"/>
          <w:b/>
          <w:sz w:val="24"/>
        </w:rPr>
      </w:pPr>
      <w:bookmarkStart w:id="429" w:name="_Toc11108"/>
      <w:bookmarkStart w:id="430" w:name="_Toc4760"/>
      <w:bookmarkStart w:id="431" w:name="_Toc8772"/>
      <w:bookmarkStart w:id="432" w:name="_Toc31421"/>
      <w:bookmarkStart w:id="433" w:name="_Toc3625"/>
      <w:r>
        <w:rPr>
          <w:rFonts w:asciiTheme="minorEastAsia" w:hAnsiTheme="minorEastAsia" w:eastAsiaTheme="minorEastAsia"/>
          <w:b/>
          <w:sz w:val="24"/>
        </w:rPr>
        <w:t>1.5 履行期限</w:t>
      </w:r>
      <w:r>
        <w:rPr>
          <w:rFonts w:hint="eastAsia" w:asciiTheme="minorEastAsia" w:hAnsiTheme="minorEastAsia" w:eastAsiaTheme="minorEastAsia"/>
          <w:b/>
          <w:sz w:val="24"/>
        </w:rPr>
        <w:t>、地点和方式</w:t>
      </w:r>
      <w:bookmarkEnd w:id="429"/>
      <w:bookmarkEnd w:id="430"/>
      <w:bookmarkEnd w:id="431"/>
      <w:bookmarkEnd w:id="432"/>
      <w:bookmarkEnd w:id="433"/>
    </w:p>
    <w:p>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1.5.1 </w:t>
      </w:r>
      <w:r>
        <w:rPr>
          <w:rFonts w:hint="eastAsia" w:asciiTheme="minorEastAsia" w:hAnsiTheme="minorEastAsia" w:eastAsiaTheme="minorEastAsia"/>
          <w:sz w:val="24"/>
        </w:rPr>
        <w:t>履行期限</w:t>
      </w:r>
      <w:r>
        <w:rPr>
          <w:rFonts w:asciiTheme="minorEastAsia" w:hAnsiTheme="minorEastAsia" w:eastAsiaTheme="minorEastAsia"/>
          <w:sz w:val="24"/>
        </w:rPr>
        <w:t>：</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1.5.2 </w:t>
      </w:r>
      <w:r>
        <w:rPr>
          <w:rFonts w:hint="eastAsia" w:asciiTheme="minorEastAsia" w:hAnsiTheme="minorEastAsia" w:eastAsiaTheme="minorEastAsia"/>
          <w:sz w:val="24"/>
        </w:rPr>
        <w:t>履行地点</w:t>
      </w:r>
      <w:r>
        <w:rPr>
          <w:rFonts w:asciiTheme="minorEastAsia" w:hAnsiTheme="minorEastAsia" w:eastAsiaTheme="minorEastAsia"/>
          <w:sz w:val="24"/>
        </w:rPr>
        <w:t>：</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1.5.3 </w:t>
      </w:r>
      <w:r>
        <w:rPr>
          <w:rFonts w:hint="eastAsia" w:asciiTheme="minorEastAsia" w:hAnsiTheme="minorEastAsia" w:eastAsiaTheme="minorEastAsia"/>
          <w:sz w:val="24"/>
        </w:rPr>
        <w:t>履行方式：</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2" w:firstLineChars="200"/>
        <w:outlineLvl w:val="0"/>
        <w:rPr>
          <w:rFonts w:asciiTheme="minorEastAsia" w:hAnsiTheme="minorEastAsia" w:eastAsiaTheme="minorEastAsia"/>
          <w:sz w:val="24"/>
          <w:u w:val="single"/>
        </w:rPr>
      </w:pPr>
      <w:bookmarkStart w:id="434" w:name="_Toc2375"/>
      <w:bookmarkStart w:id="435" w:name="_Toc24662"/>
      <w:bookmarkStart w:id="436" w:name="_Toc8586"/>
      <w:bookmarkStart w:id="437" w:name="_Toc5698"/>
      <w:bookmarkStart w:id="438" w:name="_Toc3079"/>
      <w:r>
        <w:rPr>
          <w:rFonts w:asciiTheme="minorEastAsia" w:hAnsiTheme="minorEastAsia" w:eastAsiaTheme="minorEastAsia"/>
          <w:b/>
          <w:sz w:val="24"/>
        </w:rPr>
        <w:t xml:space="preserve">1.6 </w:t>
      </w:r>
      <w:r>
        <w:rPr>
          <w:rFonts w:hint="eastAsia" w:asciiTheme="minorEastAsia" w:hAnsiTheme="minorEastAsia" w:eastAsiaTheme="minorEastAsia"/>
          <w:b/>
          <w:sz w:val="24"/>
        </w:rPr>
        <w:t>违约责任</w:t>
      </w:r>
      <w:bookmarkEnd w:id="434"/>
      <w:bookmarkEnd w:id="435"/>
      <w:bookmarkEnd w:id="436"/>
      <w:bookmarkEnd w:id="437"/>
      <w:bookmarkEnd w:id="438"/>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1.6.1 除不可抗力外，如果乙方没有按照本合同约定的期限</w:t>
      </w:r>
      <w:r>
        <w:rPr>
          <w:rFonts w:hint="eastAsia" w:asciiTheme="minorEastAsia" w:hAnsiTheme="minorEastAsia" w:eastAsiaTheme="minorEastAsia"/>
          <w:sz w:val="24"/>
        </w:rPr>
        <w:t>、</w:t>
      </w:r>
      <w:r>
        <w:rPr>
          <w:rFonts w:asciiTheme="minorEastAsia" w:hAnsiTheme="minorEastAsia" w:eastAsiaTheme="minorEastAsia"/>
          <w:sz w:val="24"/>
        </w:rPr>
        <w:t>地点和方式</w:t>
      </w:r>
      <w:r>
        <w:rPr>
          <w:rFonts w:hint="eastAsia" w:asciiTheme="minorEastAsia" w:hAnsiTheme="minorEastAsia" w:eastAsiaTheme="minorEastAsia"/>
          <w:sz w:val="24"/>
        </w:rPr>
        <w:t>履行</w:t>
      </w:r>
      <w:r>
        <w:rPr>
          <w:rFonts w:asciiTheme="minorEastAsia" w:hAnsiTheme="minorEastAsia" w:eastAsiaTheme="minorEastAsia"/>
          <w:sz w:val="24"/>
        </w:rPr>
        <w:t>，那么甲方可要求乙方支付违约金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w:t>
      </w:r>
      <w:r>
        <w:rPr>
          <w:rFonts w:hint="eastAsia" w:asciiTheme="minorEastAsia" w:hAnsiTheme="minorEastAsia" w:eastAsiaTheme="minorEastAsia"/>
          <w:sz w:val="24"/>
        </w:rPr>
        <w:t>履行</w:t>
      </w:r>
      <w:r>
        <w:rPr>
          <w:rFonts w:asciiTheme="minorEastAsia" w:hAnsiTheme="minorEastAsia" w:eastAsiaTheme="minorEastAsia"/>
          <w:sz w:val="24"/>
        </w:rPr>
        <w:t>一日的应提供而未</w:t>
      </w:r>
      <w:r>
        <w:rPr>
          <w:rFonts w:hint="eastAsia" w:asciiTheme="minorEastAsia" w:hAnsiTheme="minorEastAsia" w:eastAsiaTheme="minorEastAsia"/>
          <w:sz w:val="24"/>
        </w:rPr>
        <w:t>提供</w:t>
      </w:r>
      <w:r>
        <w:rPr>
          <w:rFonts w:asciiTheme="minorEastAsia" w:hAnsiTheme="minorEastAsia" w:eastAsiaTheme="minorEastAsia"/>
          <w:sz w:val="24"/>
        </w:rPr>
        <w:t>服务价格的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合同总价的</w:t>
      </w:r>
      <w:r>
        <w:rPr>
          <w:rFonts w:asciiTheme="minorEastAsia" w:hAnsiTheme="minorEastAsia" w:eastAsiaTheme="minorEastAsia"/>
          <w:sz w:val="24"/>
          <w:u w:val="single"/>
        </w:rPr>
        <w:t xml:space="preserve">  20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w:t>
      </w:r>
      <w:r>
        <w:rPr>
          <w:rFonts w:hint="eastAsia" w:asciiTheme="minorEastAsia" w:hAnsiTheme="minorEastAsia" w:eastAsiaTheme="minorEastAsia"/>
          <w:sz w:val="24"/>
        </w:rPr>
        <w:t>履行</w:t>
      </w:r>
      <w:r>
        <w:rPr>
          <w:rFonts w:asciiTheme="minorEastAsia" w:hAnsiTheme="minorEastAsia" w:eastAsiaTheme="minorEastAsia"/>
          <w:sz w:val="24"/>
        </w:rPr>
        <w:t>的违约金计算数额达到前述最高限额之日起</w:t>
      </w:r>
      <w:r>
        <w:rPr>
          <w:rFonts w:hint="eastAsia" w:asciiTheme="minorEastAsia" w:hAnsiTheme="minorEastAsia" w:eastAsiaTheme="minorEastAsia"/>
          <w:sz w:val="24"/>
        </w:rPr>
        <w:t>，</w:t>
      </w:r>
      <w:r>
        <w:rPr>
          <w:rFonts w:asciiTheme="minorEastAsia" w:hAnsiTheme="minorEastAsia" w:eastAsiaTheme="minorEastAsia"/>
          <w:sz w:val="24"/>
        </w:rPr>
        <w:t>甲方有权在要求乙方支付违约金的同时</w:t>
      </w:r>
      <w:r>
        <w:rPr>
          <w:rFonts w:hint="eastAsia" w:asciiTheme="minorEastAsia" w:hAnsiTheme="minorEastAsia" w:eastAsiaTheme="minorEastAsia"/>
          <w:sz w:val="24"/>
        </w:rPr>
        <w:t>，书面通知乙方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1.6.2 除不可抗力外，如果甲方没有按照本合同约定的付款方式付款，那么乙方可要求甲方支付违约金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w:t>
      </w:r>
      <w:r>
        <w:rPr>
          <w:rFonts w:hint="eastAsia" w:asciiTheme="minorEastAsia" w:hAnsiTheme="minorEastAsia" w:eastAsiaTheme="minorEastAsia"/>
          <w:sz w:val="24"/>
        </w:rPr>
        <w:t>付款</w:t>
      </w:r>
      <w:r>
        <w:rPr>
          <w:rFonts w:asciiTheme="minorEastAsia" w:hAnsiTheme="minorEastAsia" w:eastAsiaTheme="minorEastAsia"/>
          <w:sz w:val="24"/>
        </w:rPr>
        <w:t>一日的应付而未付款的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合同总价的</w:t>
      </w:r>
      <w:r>
        <w:rPr>
          <w:rFonts w:asciiTheme="minorEastAsia" w:hAnsiTheme="minorEastAsia" w:eastAsiaTheme="minorEastAsia"/>
          <w:sz w:val="24"/>
          <w:u w:val="single"/>
        </w:rPr>
        <w:t xml:space="preserve">  20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w:t>
      </w:r>
      <w:r>
        <w:rPr>
          <w:rFonts w:hint="eastAsia" w:asciiTheme="minorEastAsia" w:hAnsiTheme="minorEastAsia" w:eastAsiaTheme="minorEastAsia"/>
          <w:sz w:val="24"/>
        </w:rPr>
        <w:t>付款</w:t>
      </w:r>
      <w:r>
        <w:rPr>
          <w:rFonts w:asciiTheme="minorEastAsia" w:hAnsiTheme="minorEastAsia" w:eastAsiaTheme="minorEastAsia"/>
          <w:sz w:val="24"/>
        </w:rPr>
        <w:t>的违约金计算数额达到前述最高限额之日起</w:t>
      </w:r>
      <w:r>
        <w:rPr>
          <w:rFonts w:hint="eastAsia" w:asciiTheme="minorEastAsia" w:hAnsiTheme="minorEastAsia" w:eastAsiaTheme="minorEastAsia"/>
          <w:sz w:val="24"/>
        </w:rPr>
        <w:t>，乙</w:t>
      </w:r>
      <w:r>
        <w:rPr>
          <w:rFonts w:asciiTheme="minorEastAsia" w:hAnsiTheme="minorEastAsia" w:eastAsiaTheme="minorEastAsia"/>
          <w:sz w:val="24"/>
        </w:rPr>
        <w:t>方有权在要求甲方支付违约金的同时</w:t>
      </w:r>
      <w:r>
        <w:rPr>
          <w:rFonts w:hint="eastAsia" w:asciiTheme="minorEastAsia" w:hAnsiTheme="minorEastAsia" w:eastAsiaTheme="minorEastAsia"/>
          <w:sz w:val="24"/>
        </w:rPr>
        <w:t>，书面通知甲方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1.6.3 </w:t>
      </w:r>
      <w:r>
        <w:rPr>
          <w:rFonts w:hint="eastAsia" w:asciiTheme="minorEastAsia" w:hAnsiTheme="minorEastAsia" w:eastAsiaTheme="minor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1.6.4 </w:t>
      </w:r>
      <w:r>
        <w:rPr>
          <w:rFonts w:hint="eastAsia" w:asciiTheme="minorEastAsia" w:hAnsiTheme="minorEastAsia" w:eastAsiaTheme="minor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1.6.5 </w:t>
      </w:r>
      <w:r>
        <w:rPr>
          <w:rFonts w:hint="eastAsia" w:asciiTheme="minorEastAsia" w:hAnsiTheme="minorEastAsia" w:eastAsiaTheme="minor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1.6.6 </w:t>
      </w:r>
      <w:r>
        <w:rPr>
          <w:rFonts w:hint="eastAsia" w:asciiTheme="minorEastAsia" w:hAnsiTheme="minorEastAsia" w:eastAsiaTheme="minorEastAsia"/>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rFonts w:asciiTheme="minorEastAsia" w:hAnsiTheme="minorEastAsia" w:eastAsiaTheme="minorEastAsia"/>
        </w:rPr>
      </w:pPr>
      <w:r>
        <w:rPr>
          <w:rFonts w:asciiTheme="minorEastAsia" w:hAnsiTheme="minorEastAsia" w:eastAsiaTheme="minorEastAsia"/>
          <w:sz w:val="24"/>
        </w:rPr>
        <w:t>1.6.7违约责任</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另有约定的，从其约定。</w:t>
      </w:r>
    </w:p>
    <w:p>
      <w:pPr>
        <w:spacing w:line="560" w:lineRule="exact"/>
        <w:ind w:firstLine="482" w:firstLineChars="200"/>
        <w:outlineLvl w:val="0"/>
        <w:rPr>
          <w:rFonts w:asciiTheme="minorEastAsia" w:hAnsiTheme="minorEastAsia" w:eastAsiaTheme="minorEastAsia"/>
          <w:b/>
          <w:sz w:val="24"/>
        </w:rPr>
      </w:pPr>
      <w:bookmarkStart w:id="439" w:name="_Toc9497"/>
      <w:bookmarkStart w:id="440" w:name="_Toc26807"/>
      <w:bookmarkStart w:id="441" w:name="_Toc30329"/>
      <w:bookmarkStart w:id="442" w:name="_Toc32454"/>
      <w:bookmarkStart w:id="443" w:name="_Toc18683"/>
      <w:r>
        <w:rPr>
          <w:rFonts w:asciiTheme="minorEastAsia" w:hAnsiTheme="minorEastAsia" w:eastAsiaTheme="minorEastAsia"/>
          <w:b/>
          <w:sz w:val="24"/>
        </w:rPr>
        <w:t xml:space="preserve">1.7 </w:t>
      </w:r>
      <w:r>
        <w:rPr>
          <w:rFonts w:hint="eastAsia" w:asciiTheme="minorEastAsia" w:hAnsiTheme="minorEastAsia" w:eastAsiaTheme="minorEastAsia"/>
          <w:b/>
          <w:sz w:val="24"/>
        </w:rPr>
        <w:t>合同</w:t>
      </w:r>
      <w:r>
        <w:rPr>
          <w:rFonts w:asciiTheme="minorEastAsia" w:hAnsiTheme="minorEastAsia" w:eastAsiaTheme="minorEastAsia"/>
          <w:b/>
          <w:sz w:val="24"/>
        </w:rPr>
        <w:t>争议的解决</w:t>
      </w:r>
      <w:bookmarkEnd w:id="439"/>
      <w:bookmarkEnd w:id="440"/>
      <w:bookmarkEnd w:id="441"/>
      <w:bookmarkEnd w:id="442"/>
      <w:bookmarkEnd w:id="443"/>
    </w:p>
    <w:p>
      <w:pPr>
        <w:spacing w:line="560" w:lineRule="exact"/>
        <w:ind w:left="-61" w:leftChars="-29" w:right="-420" w:rightChars="-200" w:firstLine="240" w:firstLineChars="100"/>
        <w:rPr>
          <w:rFonts w:asciiTheme="minorEastAsia" w:hAnsiTheme="minorEastAsia" w:eastAsiaTheme="minorEastAsia"/>
          <w:sz w:val="24"/>
        </w:rPr>
      </w:pPr>
      <w:r>
        <w:rPr>
          <w:rFonts w:hint="eastAsia" w:asciiTheme="minorEastAsia" w:hAnsiTheme="minorEastAsia" w:eastAsiaTheme="minorEastAsia"/>
          <w:sz w:val="24"/>
        </w:rPr>
        <w:t>本合同履行过程中发生的任何争议，双方当事人均可通过和解或者调解解决；不愿和解、调解或者和解、调解不成的，可以选择以下第</w:t>
      </w:r>
      <w:r>
        <w:rPr>
          <w:rFonts w:asciiTheme="minorEastAsia" w:hAnsiTheme="minorEastAsia" w:eastAsiaTheme="minorEastAsia"/>
          <w:b/>
          <w:i/>
          <w:sz w:val="24"/>
          <w:u w:val="single"/>
        </w:rPr>
        <w:t xml:space="preserve"> 合同专用条款  </w:t>
      </w:r>
      <w:r>
        <w:rPr>
          <w:rFonts w:hint="eastAsia" w:asciiTheme="minorEastAsia" w:hAnsiTheme="minorEastAsia" w:eastAsiaTheme="minorEastAsia"/>
          <w:sz w:val="24"/>
        </w:rPr>
        <w:t>条款规定的方式解决：</w:t>
      </w:r>
    </w:p>
    <w:p>
      <w:pPr>
        <w:spacing w:line="560" w:lineRule="exact"/>
        <w:ind w:left="-420" w:leftChars="-200" w:right="-420" w:rightChars="-200" w:firstLine="600" w:firstLineChars="250"/>
        <w:rPr>
          <w:rFonts w:asciiTheme="minorEastAsia" w:hAnsiTheme="minorEastAsia" w:eastAsiaTheme="minorEastAsia"/>
          <w:sz w:val="24"/>
        </w:rPr>
      </w:pPr>
      <w:r>
        <w:rPr>
          <w:rFonts w:asciiTheme="minorEastAsia" w:hAnsiTheme="minorEastAsia" w:eastAsiaTheme="minorEastAsia"/>
          <w:sz w:val="24"/>
        </w:rPr>
        <w:t xml:space="preserve">1.7.1 </w:t>
      </w:r>
      <w:r>
        <w:rPr>
          <w:rFonts w:hint="eastAsia" w:asciiTheme="minorEastAsia" w:hAnsiTheme="minorEastAsia" w:eastAsiaTheme="minorEastAsia"/>
          <w:sz w:val="24"/>
        </w:rPr>
        <w:t>将争议提交</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仲裁委员会依申请仲裁时其现行有效的仲裁规则裁决；</w:t>
      </w:r>
    </w:p>
    <w:p>
      <w:pPr>
        <w:spacing w:line="560" w:lineRule="exact"/>
        <w:ind w:left="-420" w:leftChars="-200" w:right="-420" w:rightChars="-200" w:firstLine="600" w:firstLineChars="250"/>
        <w:rPr>
          <w:rFonts w:asciiTheme="minorEastAsia" w:hAnsiTheme="minorEastAsia" w:eastAsiaTheme="minorEastAsia"/>
          <w:sz w:val="24"/>
        </w:rPr>
      </w:pPr>
      <w:r>
        <w:rPr>
          <w:rFonts w:asciiTheme="minorEastAsia" w:hAnsiTheme="minorEastAsia" w:eastAsiaTheme="minorEastAsia"/>
          <w:sz w:val="24"/>
        </w:rPr>
        <w:t xml:space="preserve">1.7.2 </w:t>
      </w:r>
      <w:r>
        <w:rPr>
          <w:rFonts w:hint="eastAsia" w:asciiTheme="minorEastAsia" w:hAnsiTheme="minorEastAsia" w:eastAsiaTheme="minorEastAsia"/>
          <w:sz w:val="24"/>
        </w:rPr>
        <w:t>向</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人民法院起诉。</w:t>
      </w:r>
    </w:p>
    <w:p>
      <w:pPr>
        <w:spacing w:line="560" w:lineRule="exact"/>
        <w:ind w:firstLine="241" w:firstLineChars="100"/>
        <w:outlineLvl w:val="0"/>
        <w:rPr>
          <w:rFonts w:asciiTheme="minorEastAsia" w:hAnsiTheme="minorEastAsia" w:eastAsiaTheme="minorEastAsia"/>
          <w:b/>
          <w:sz w:val="24"/>
        </w:rPr>
      </w:pPr>
      <w:bookmarkStart w:id="444" w:name="_Toc26227"/>
      <w:bookmarkStart w:id="445" w:name="_Toc16417"/>
      <w:bookmarkStart w:id="446" w:name="_Toc15827"/>
      <w:bookmarkStart w:id="447" w:name="_Toc12273"/>
      <w:bookmarkStart w:id="448" w:name="_Toc23784"/>
      <w:r>
        <w:rPr>
          <w:rFonts w:asciiTheme="minorEastAsia" w:hAnsiTheme="minorEastAsia" w:eastAsiaTheme="minorEastAsia"/>
          <w:b/>
          <w:sz w:val="24"/>
        </w:rPr>
        <w:t>1.8 合同生效</w:t>
      </w:r>
      <w:bookmarkEnd w:id="444"/>
      <w:bookmarkEnd w:id="445"/>
      <w:bookmarkEnd w:id="446"/>
      <w:bookmarkEnd w:id="447"/>
      <w:bookmarkEnd w:id="448"/>
    </w:p>
    <w:p>
      <w:pPr>
        <w:spacing w:line="560" w:lineRule="exact"/>
        <w:ind w:firstLine="480" w:firstLineChars="200"/>
        <w:rPr>
          <w:rFonts w:asciiTheme="minorEastAsia" w:hAnsiTheme="minorEastAsia" w:eastAsiaTheme="minorEastAsia"/>
          <w:b/>
          <w:sz w:val="24"/>
        </w:rPr>
      </w:pPr>
      <w:r>
        <w:rPr>
          <w:rFonts w:asciiTheme="minorEastAsia" w:hAnsiTheme="minorEastAsia" w:eastAsiaTheme="minorEastAsia"/>
          <w:sz w:val="24"/>
        </w:rPr>
        <w:t>本合同自</w:t>
      </w:r>
      <w:r>
        <w:rPr>
          <w:rFonts w:hint="eastAsia" w:asciiTheme="minorEastAsia" w:hAnsiTheme="minorEastAsia" w:eastAsiaTheme="minorEastAsia"/>
          <w:sz w:val="24"/>
        </w:rPr>
        <w:t>双方当事人盖章或者签字时</w:t>
      </w:r>
      <w:r>
        <w:rPr>
          <w:rFonts w:asciiTheme="minorEastAsia" w:hAnsiTheme="minorEastAsia" w:eastAsiaTheme="minorEastAsia"/>
          <w:sz w:val="24"/>
        </w:rPr>
        <w:t>生效。</w:t>
      </w:r>
    </w:p>
    <w:p>
      <w:pPr>
        <w:autoSpaceDE w:val="0"/>
        <w:autoSpaceDN w:val="0"/>
        <w:spacing w:line="560" w:lineRule="exact"/>
        <w:rPr>
          <w:rFonts w:asciiTheme="minorEastAsia" w:hAnsiTheme="minorEastAsia" w:eastAsiaTheme="minorEastAsia"/>
          <w:sz w:val="24"/>
          <w:lang w:val="zh-CN"/>
        </w:rPr>
      </w:pP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b/>
          <w:sz w:val="24"/>
          <w:lang w:val="zh-CN"/>
        </w:rPr>
        <w:t>甲方</w:t>
      </w:r>
      <w:r>
        <w:rPr>
          <w:rFonts w:hint="eastAsia" w:asciiTheme="minorEastAsia" w:hAnsiTheme="minorEastAsia" w:eastAsiaTheme="minorEastAsia"/>
          <w:sz w:val="24"/>
          <w:lang w:val="zh-CN"/>
        </w:rPr>
        <w:t>：</w:t>
      </w:r>
      <w:r>
        <w:rPr>
          <w:rFonts w:asciiTheme="minorEastAsia" w:hAnsiTheme="minorEastAsia" w:eastAsiaTheme="minorEastAsia"/>
          <w:sz w:val="24"/>
          <w:lang w:val="zh-CN"/>
        </w:rPr>
        <w:t xml:space="preserve">                             </w:t>
      </w:r>
      <w:r>
        <w:rPr>
          <w:rFonts w:asciiTheme="minorEastAsia" w:hAnsiTheme="minorEastAsia" w:eastAsiaTheme="minorEastAsia"/>
          <w:b/>
          <w:sz w:val="24"/>
          <w:lang w:val="zh-CN"/>
        </w:rPr>
        <w:t xml:space="preserve">      乙方</w:t>
      </w:r>
      <w:r>
        <w:rPr>
          <w:rFonts w:hint="eastAsia" w:asciiTheme="minorEastAsia" w:hAnsiTheme="minorEastAsia" w:eastAsiaTheme="minorEastAsia"/>
          <w:sz w:val="24"/>
          <w:lang w:val="zh-CN"/>
        </w:rPr>
        <w:t>：</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统一社会信用代码：</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统一社会信用代码或身份证号码：</w:t>
      </w:r>
    </w:p>
    <w:p>
      <w:pPr>
        <w:autoSpaceDE w:val="0"/>
        <w:autoSpaceDN w:val="0"/>
        <w:spacing w:line="560" w:lineRule="exact"/>
        <w:rPr>
          <w:rFonts w:asciiTheme="minorEastAsia" w:hAnsiTheme="minorEastAsia" w:eastAsiaTheme="minorEastAsia"/>
          <w:sz w:val="24"/>
          <w:lang w:val="zh-CN"/>
        </w:rPr>
      </w:pP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住所：</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住所：</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法定代表人或</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法定代表人或</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授权代表（签字）：</w:t>
      </w:r>
      <w:r>
        <w:rPr>
          <w:rFonts w:asciiTheme="minorEastAsia" w:hAnsiTheme="minorEastAsia" w:eastAsiaTheme="minorEastAsia"/>
          <w:sz w:val="24"/>
          <w:lang w:val="zh-CN"/>
        </w:rPr>
        <w:t xml:space="preserve">                       授权代表（签字）: </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联系人：</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联系人：</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约定送达地址：</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约定送达地址：</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邮政编码：</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邮政编码：</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电话：</w:t>
      </w:r>
      <w:r>
        <w:rPr>
          <w:rFonts w:asciiTheme="minorEastAsia" w:hAnsiTheme="minorEastAsia" w:eastAsiaTheme="minorEastAsia"/>
          <w:sz w:val="24"/>
          <w:lang w:val="zh-CN"/>
        </w:rPr>
        <w:t xml:space="preserve">                                    电话</w:t>
      </w:r>
      <w:r>
        <w:rPr>
          <w:rFonts w:hint="eastAsia" w:asciiTheme="minorEastAsia" w:hAnsiTheme="minorEastAsia" w:eastAsiaTheme="minorEastAsia"/>
          <w:sz w:val="24"/>
          <w:lang w:val="zh-CN"/>
        </w:rPr>
        <w:t>：</w:t>
      </w:r>
      <w:r>
        <w:rPr>
          <w:rFonts w:asciiTheme="minorEastAsia" w:hAnsiTheme="minorEastAsia" w:eastAsiaTheme="minorEastAsia"/>
          <w:sz w:val="24"/>
          <w:lang w:val="zh-CN"/>
        </w:rPr>
        <w:t xml:space="preserve"> </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传真：</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传真：</w:t>
      </w:r>
    </w:p>
    <w:p>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lang w:val="zh-CN"/>
        </w:rPr>
        <w:t>电子邮箱：</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电子邮箱：</w:t>
      </w:r>
    </w:p>
    <w:p>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开户银行：</w:t>
      </w:r>
      <w:r>
        <w:rPr>
          <w:rFonts w:asciiTheme="minorEastAsia" w:hAnsiTheme="minorEastAsia" w:eastAsiaTheme="minorEastAsia"/>
          <w:sz w:val="24"/>
        </w:rPr>
        <w:t xml:space="preserve">                               开户银行： </w:t>
      </w:r>
    </w:p>
    <w:p>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开户名称：</w:t>
      </w:r>
      <w:r>
        <w:rPr>
          <w:rFonts w:asciiTheme="minorEastAsia" w:hAnsiTheme="minorEastAsia" w:eastAsiaTheme="minorEastAsia"/>
          <w:sz w:val="24"/>
        </w:rPr>
        <w:t xml:space="preserve">                               开户名称： </w:t>
      </w:r>
    </w:p>
    <w:p>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开户账号：</w:t>
      </w:r>
      <w:r>
        <w:rPr>
          <w:rFonts w:asciiTheme="minorEastAsia" w:hAnsiTheme="minorEastAsia" w:eastAsiaTheme="minorEastAsia"/>
          <w:sz w:val="24"/>
          <w:lang w:val="zh-CN"/>
        </w:rPr>
        <w:t xml:space="preserve">                               </w:t>
      </w:r>
      <w:r>
        <w:rPr>
          <w:rFonts w:hint="eastAsia" w:asciiTheme="minorEastAsia" w:hAnsiTheme="minorEastAsia" w:eastAsiaTheme="minorEastAsia"/>
          <w:sz w:val="24"/>
        </w:rPr>
        <w:t>开户账号：</w:t>
      </w:r>
    </w:p>
    <w:p>
      <w:pPr>
        <w:widowControl/>
        <w:spacing w:line="560" w:lineRule="exact"/>
        <w:jc w:val="left"/>
        <w:rPr>
          <w:rFonts w:asciiTheme="minorEastAsia" w:hAnsiTheme="minorEastAsia" w:eastAsiaTheme="minorEastAsia"/>
          <w:b/>
          <w:sz w:val="24"/>
        </w:rPr>
      </w:pPr>
    </w:p>
    <w:p>
      <w:pPr>
        <w:pStyle w:val="699"/>
        <w:spacing w:line="560" w:lineRule="exact"/>
        <w:ind w:firstLine="482"/>
        <w:jc w:val="center"/>
        <w:rPr>
          <w:rFonts w:asciiTheme="minorEastAsia" w:hAnsiTheme="minorEastAsia" w:eastAsiaTheme="minorEastAsia"/>
          <w:b/>
          <w:szCs w:val="24"/>
        </w:rPr>
      </w:pPr>
      <w:r>
        <w:rPr>
          <w:rFonts w:hint="eastAsia" w:asciiTheme="minorEastAsia" w:hAnsiTheme="minorEastAsia" w:eastAsiaTheme="minorEastAsia"/>
          <w:b/>
          <w:szCs w:val="24"/>
        </w:rPr>
        <w:t>第二部分</w:t>
      </w:r>
      <w:r>
        <w:rPr>
          <w:rFonts w:asciiTheme="minorEastAsia" w:hAnsiTheme="minorEastAsia" w:eastAsiaTheme="minorEastAsia"/>
          <w:b/>
          <w:szCs w:val="24"/>
        </w:rPr>
        <w:t xml:space="preserve"> </w:t>
      </w:r>
      <w:r>
        <w:rPr>
          <w:rFonts w:hint="eastAsia" w:asciiTheme="minorEastAsia" w:hAnsiTheme="minorEastAsia" w:eastAsiaTheme="minorEastAsia"/>
          <w:b/>
          <w:szCs w:val="24"/>
        </w:rPr>
        <w:t>合同一般条款</w:t>
      </w:r>
    </w:p>
    <w:p>
      <w:pPr>
        <w:spacing w:line="560" w:lineRule="exact"/>
        <w:ind w:firstLine="482" w:firstLineChars="200"/>
        <w:outlineLvl w:val="0"/>
        <w:rPr>
          <w:rFonts w:asciiTheme="minorEastAsia" w:hAnsiTheme="minorEastAsia" w:eastAsiaTheme="minorEastAsia"/>
          <w:b/>
          <w:sz w:val="24"/>
        </w:rPr>
      </w:pPr>
      <w:bookmarkStart w:id="449" w:name="_Toc19680"/>
      <w:bookmarkStart w:id="450" w:name="_Toc31297"/>
      <w:bookmarkStart w:id="451" w:name="_Toc14021"/>
      <w:bookmarkStart w:id="452" w:name="_Toc5228"/>
      <w:bookmarkStart w:id="453" w:name="_Toc25079"/>
      <w:r>
        <w:rPr>
          <w:rFonts w:asciiTheme="minorEastAsia" w:hAnsiTheme="minorEastAsia" w:eastAsiaTheme="minorEastAsia"/>
          <w:b/>
          <w:sz w:val="24"/>
        </w:rPr>
        <w:t>2.1 定义</w:t>
      </w:r>
      <w:bookmarkEnd w:id="449"/>
      <w:bookmarkEnd w:id="450"/>
      <w:bookmarkEnd w:id="451"/>
      <w:bookmarkEnd w:id="452"/>
      <w:bookmarkEnd w:id="453"/>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本合同中的下列</w:t>
      </w:r>
      <w:r>
        <w:rPr>
          <w:rFonts w:hint="eastAsia" w:asciiTheme="minorEastAsia" w:hAnsiTheme="minorEastAsia" w:eastAsiaTheme="minorEastAsia"/>
          <w:sz w:val="24"/>
        </w:rPr>
        <w:t>词</w:t>
      </w:r>
      <w:r>
        <w:rPr>
          <w:rFonts w:asciiTheme="minorEastAsia" w:hAnsiTheme="minorEastAsia" w:eastAsiaTheme="minorEastAsia"/>
          <w:sz w:val="24"/>
        </w:rPr>
        <w:t>语应</w:t>
      </w:r>
      <w:r>
        <w:rPr>
          <w:rFonts w:hint="eastAsia" w:asciiTheme="minorEastAsia" w:hAnsiTheme="minorEastAsia" w:eastAsiaTheme="minorEastAsia"/>
          <w:sz w:val="24"/>
        </w:rPr>
        <w:t>按以下内容进行</w:t>
      </w:r>
      <w:r>
        <w:rPr>
          <w:rFonts w:asciiTheme="minorEastAsia" w:hAnsiTheme="minorEastAsia" w:eastAsiaTheme="minorEastAsia"/>
          <w:sz w:val="24"/>
        </w:rPr>
        <w:t>解释：</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 “合同”系指采购人和中标供应商签订的载明双方当事人所达成的协议，并包括所有的附件、附录和构成合同的其他文件。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2.1.2 “合同价”系指根据合同约定，中标供应商在完全履行合同义务后</w:t>
      </w:r>
      <w:r>
        <w:rPr>
          <w:rFonts w:hint="eastAsia" w:asciiTheme="minorEastAsia" w:hAnsiTheme="minorEastAsia" w:eastAsiaTheme="minorEastAsia"/>
          <w:sz w:val="24"/>
        </w:rPr>
        <w:t>，</w:t>
      </w:r>
      <w:r>
        <w:rPr>
          <w:rFonts w:asciiTheme="minorEastAsia" w:hAnsiTheme="minorEastAsia" w:eastAsiaTheme="minorEastAsia"/>
          <w:sz w:val="24"/>
        </w:rPr>
        <w:t>采购人应支付给中标供应商的价格。</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2.1.3 “</w:t>
      </w:r>
      <w:r>
        <w:rPr>
          <w:rFonts w:hint="eastAsia" w:asciiTheme="minorEastAsia" w:hAnsiTheme="minorEastAsia" w:eastAsiaTheme="minorEastAsia"/>
          <w:sz w:val="24"/>
        </w:rPr>
        <w:t>服务</w:t>
      </w:r>
      <w:r>
        <w:rPr>
          <w:rFonts w:asciiTheme="minorEastAsia" w:hAnsiTheme="minorEastAsia" w:eastAsiaTheme="minorEastAsia"/>
          <w:sz w:val="24"/>
        </w:rPr>
        <w:t>”系指</w:t>
      </w:r>
      <w:r>
        <w:rPr>
          <w:rFonts w:hint="eastAsia" w:asciiTheme="minorEastAsia" w:hAnsiTheme="minorEastAsia" w:eastAsiaTheme="minorEastAsia"/>
          <w:sz w:val="24"/>
        </w:rPr>
        <w:t>中标供应商</w:t>
      </w:r>
      <w:r>
        <w:rPr>
          <w:rFonts w:asciiTheme="minorEastAsia" w:hAnsiTheme="minorEastAsia" w:eastAsiaTheme="minorEastAsia"/>
          <w:sz w:val="24"/>
        </w:rPr>
        <w:t>根据合同约定应向采购人</w:t>
      </w:r>
      <w:r>
        <w:rPr>
          <w:rFonts w:hint="eastAsia" w:asciiTheme="minorEastAsia" w:hAnsiTheme="minorEastAsia" w:eastAsiaTheme="minorEastAsia"/>
          <w:sz w:val="24"/>
        </w:rPr>
        <w:t>履行</w:t>
      </w:r>
      <w:r>
        <w:rPr>
          <w:rFonts w:asciiTheme="minorEastAsia" w:hAnsiTheme="minorEastAsia" w:eastAsiaTheme="minorEastAsia"/>
          <w:sz w:val="24"/>
        </w:rPr>
        <w:t>的</w:t>
      </w:r>
      <w:r>
        <w:rPr>
          <w:rFonts w:hint="eastAsia" w:asciiTheme="minorEastAsia" w:hAnsiTheme="minorEastAsia" w:eastAsiaTheme="minorEastAsia"/>
          <w:sz w:val="24"/>
        </w:rPr>
        <w:t>除货物和工程以外的其他政府采购对象，包括采购人自身需要的服务和向社会公众提供的公共服务。</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2.1.4 “</w:t>
      </w:r>
      <w:r>
        <w:rPr>
          <w:rFonts w:hint="eastAsia" w:asciiTheme="minorEastAsia" w:hAnsiTheme="minorEastAsia" w:eastAsiaTheme="minorEastAsia"/>
          <w:sz w:val="24"/>
        </w:rPr>
        <w:t>甲方</w:t>
      </w:r>
      <w:r>
        <w:rPr>
          <w:rFonts w:asciiTheme="minorEastAsia" w:hAnsiTheme="minorEastAsia" w:eastAsiaTheme="minorEastAsia"/>
          <w:sz w:val="24"/>
        </w:rPr>
        <w:t>”系指与</w:t>
      </w:r>
      <w:r>
        <w:rPr>
          <w:rFonts w:hint="eastAsia" w:asciiTheme="minorEastAsia" w:hAnsiTheme="minorEastAsia" w:eastAsiaTheme="minorEastAsia"/>
          <w:sz w:val="24"/>
        </w:rPr>
        <w:t>中标供应商</w:t>
      </w:r>
      <w:r>
        <w:rPr>
          <w:rFonts w:asciiTheme="minorEastAsia" w:hAnsiTheme="minorEastAsia" w:eastAsiaTheme="minorEastAsia"/>
          <w:sz w:val="24"/>
        </w:rPr>
        <w:t>签署合同的采购人</w:t>
      </w:r>
      <w:r>
        <w:rPr>
          <w:rFonts w:hint="eastAsia" w:asciiTheme="minorEastAsia" w:hAnsiTheme="minorEastAsia" w:eastAsiaTheme="minorEastAsia"/>
          <w:sz w:val="24"/>
        </w:rPr>
        <w:t>；采购人委托采购代理机构代表其与乙方签订合同的，采购人的授权委托书作为合同附件。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2.1.5 “乙方”系指根据合同约定提供服务的中标供应商</w:t>
      </w:r>
      <w:r>
        <w:rPr>
          <w:rFonts w:hint="eastAsia" w:asciiTheme="minorEastAsia" w:hAnsiTheme="minorEastAsia" w:eastAsiaTheme="minor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2.1.6 “现场”系指合同约定提供服务的地点。</w:t>
      </w:r>
    </w:p>
    <w:p>
      <w:pPr>
        <w:spacing w:line="560" w:lineRule="exact"/>
        <w:ind w:firstLine="482" w:firstLineChars="200"/>
        <w:outlineLvl w:val="0"/>
        <w:rPr>
          <w:rFonts w:asciiTheme="minorEastAsia" w:hAnsiTheme="minorEastAsia" w:eastAsiaTheme="minorEastAsia"/>
          <w:b/>
          <w:sz w:val="24"/>
        </w:rPr>
      </w:pPr>
      <w:bookmarkStart w:id="454" w:name="_Toc31402"/>
      <w:bookmarkStart w:id="455" w:name="_Toc16752"/>
      <w:bookmarkStart w:id="456" w:name="_Toc23289"/>
      <w:bookmarkStart w:id="457" w:name="_Toc3769"/>
      <w:bookmarkStart w:id="458" w:name="_Toc19539"/>
      <w:r>
        <w:rPr>
          <w:rFonts w:asciiTheme="minorEastAsia" w:hAnsiTheme="minorEastAsia" w:eastAsiaTheme="minorEastAsia"/>
          <w:b/>
          <w:sz w:val="24"/>
        </w:rPr>
        <w:t>2.2 技术规范</w:t>
      </w:r>
      <w:bookmarkEnd w:id="454"/>
      <w:bookmarkEnd w:id="455"/>
      <w:bookmarkEnd w:id="456"/>
      <w:bookmarkEnd w:id="457"/>
      <w:bookmarkEnd w:id="458"/>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服务</w:t>
      </w:r>
      <w:r>
        <w:rPr>
          <w:rFonts w:asciiTheme="minorEastAsia" w:hAnsiTheme="minorEastAsia" w:eastAsiaTheme="minorEastAsia"/>
          <w:sz w:val="24"/>
        </w:rPr>
        <w:t>所应遵守的技术规范应与采购文件规定的技术规范和技术规范附件</w:t>
      </w:r>
      <w:r>
        <w:rPr>
          <w:rFonts w:hint="eastAsia" w:asciiTheme="minorEastAsia" w:hAnsiTheme="minorEastAsia" w:eastAsiaTheme="minorEastAsia"/>
          <w:sz w:val="24"/>
          <w:lang w:eastAsia="zh-CN"/>
        </w:rPr>
        <w:t>（</w:t>
      </w:r>
      <w:r>
        <w:rPr>
          <w:rFonts w:asciiTheme="minorEastAsia" w:hAnsiTheme="minorEastAsia" w:eastAsiaTheme="minorEastAsia"/>
          <w:sz w:val="24"/>
        </w:rPr>
        <w:t>如果有的话</w:t>
      </w:r>
      <w:r>
        <w:rPr>
          <w:rFonts w:hint="eastAsia" w:asciiTheme="minorEastAsia" w:hAnsiTheme="minorEastAsia" w:eastAsiaTheme="minorEastAsia"/>
          <w:sz w:val="24"/>
          <w:lang w:eastAsia="zh-CN"/>
        </w:rPr>
        <w:t>）</w:t>
      </w:r>
      <w:r>
        <w:rPr>
          <w:rFonts w:asciiTheme="minorEastAsia" w:hAnsiTheme="minorEastAsia" w:eastAsiaTheme="minorEastAsia"/>
          <w:sz w:val="24"/>
        </w:rPr>
        <w:t>及其技术规范偏差表</w:t>
      </w:r>
      <w:r>
        <w:rPr>
          <w:rFonts w:hint="eastAsia" w:asciiTheme="minorEastAsia" w:hAnsiTheme="minorEastAsia" w:eastAsiaTheme="minorEastAsia"/>
          <w:sz w:val="24"/>
          <w:lang w:eastAsia="zh-CN"/>
        </w:rPr>
        <w:t>（</w:t>
      </w:r>
      <w:r>
        <w:rPr>
          <w:rFonts w:asciiTheme="minorEastAsia" w:hAnsiTheme="minorEastAsia" w:eastAsiaTheme="minorEastAsia"/>
          <w:sz w:val="24"/>
        </w:rPr>
        <w:t>如果被甲方接受的话</w:t>
      </w:r>
      <w:r>
        <w:rPr>
          <w:rFonts w:hint="eastAsia" w:asciiTheme="minorEastAsia" w:hAnsiTheme="minorEastAsia" w:eastAsiaTheme="minorEastAsia"/>
          <w:sz w:val="24"/>
          <w:lang w:eastAsia="zh-CN"/>
        </w:rPr>
        <w:t>）</w:t>
      </w:r>
      <w:r>
        <w:rPr>
          <w:rFonts w:asciiTheme="minorEastAsia" w:hAnsiTheme="minorEastAsia" w:eastAsiaTheme="minorEastAsia"/>
          <w:sz w:val="24"/>
        </w:rPr>
        <w:t>相一致</w:t>
      </w:r>
      <w:r>
        <w:rPr>
          <w:rFonts w:hint="eastAsia" w:asciiTheme="minorEastAsia" w:hAnsiTheme="minorEastAsia" w:eastAsiaTheme="minorEastAsia"/>
          <w:sz w:val="24"/>
        </w:rPr>
        <w:t>；</w:t>
      </w:r>
      <w:r>
        <w:rPr>
          <w:rFonts w:asciiTheme="minorEastAsia" w:hAnsiTheme="minorEastAsia" w:eastAsiaTheme="minorEastAsia"/>
          <w:sz w:val="24"/>
        </w:rPr>
        <w:t>如果采购文件中没有技术规范的相应说明，那么应以国家有关部门最新颁布的相应标准</w:t>
      </w:r>
      <w:r>
        <w:rPr>
          <w:rFonts w:hint="eastAsia" w:asciiTheme="minorEastAsia" w:hAnsiTheme="minorEastAsia" w:eastAsiaTheme="minorEastAsia"/>
          <w:sz w:val="24"/>
        </w:rPr>
        <w:t>和</w:t>
      </w:r>
      <w:r>
        <w:rPr>
          <w:rFonts w:asciiTheme="minorEastAsia" w:hAnsiTheme="minorEastAsia" w:eastAsiaTheme="minorEastAsia"/>
          <w:sz w:val="24"/>
        </w:rPr>
        <w:t>规范为准。</w:t>
      </w:r>
    </w:p>
    <w:p>
      <w:pPr>
        <w:spacing w:line="560" w:lineRule="exact"/>
        <w:ind w:firstLine="482" w:firstLineChars="200"/>
        <w:outlineLvl w:val="0"/>
        <w:rPr>
          <w:rFonts w:asciiTheme="minorEastAsia" w:hAnsiTheme="minorEastAsia" w:eastAsiaTheme="minorEastAsia"/>
          <w:b/>
          <w:sz w:val="24"/>
        </w:rPr>
      </w:pPr>
      <w:bookmarkStart w:id="459" w:name="_Toc13673"/>
      <w:bookmarkStart w:id="460" w:name="_Toc27945"/>
      <w:bookmarkStart w:id="461" w:name="_Toc4133"/>
      <w:bookmarkStart w:id="462" w:name="_Toc12412"/>
      <w:bookmarkStart w:id="463" w:name="_Toc9161"/>
      <w:r>
        <w:rPr>
          <w:rFonts w:asciiTheme="minorEastAsia" w:hAnsiTheme="minorEastAsia" w:eastAsiaTheme="minorEastAsia"/>
          <w:b/>
          <w:sz w:val="24"/>
        </w:rPr>
        <w:t>2.3 知识产权</w:t>
      </w:r>
      <w:bookmarkEnd w:id="459"/>
      <w:bookmarkEnd w:id="460"/>
      <w:bookmarkEnd w:id="461"/>
      <w:bookmarkEnd w:id="462"/>
      <w:bookmarkEnd w:id="463"/>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2.3.1 </w:t>
      </w:r>
      <w:r>
        <w:rPr>
          <w:rFonts w:hint="eastAsia" w:asciiTheme="minorEastAsia" w:hAnsiTheme="minorEastAsia" w:eastAsiaTheme="minorEastAsia"/>
          <w:sz w:val="24"/>
        </w:rPr>
        <w:t>乙</w:t>
      </w:r>
      <w:r>
        <w:rPr>
          <w:rFonts w:asciiTheme="minorEastAsia" w:hAnsiTheme="minorEastAsia" w:eastAsiaTheme="minorEastAsia"/>
          <w:sz w:val="24"/>
        </w:rPr>
        <w:t>方应保证</w:t>
      </w:r>
      <w:r>
        <w:rPr>
          <w:rFonts w:hint="eastAsia" w:asciiTheme="minorEastAsia" w:hAnsiTheme="minorEastAsia" w:eastAsiaTheme="minorEastAsia"/>
          <w:sz w:val="24"/>
        </w:rPr>
        <w:t>其提供的服务</w:t>
      </w:r>
      <w:r>
        <w:rPr>
          <w:rFonts w:asciiTheme="minorEastAsia" w:hAnsiTheme="minorEastAsia" w:eastAsiaTheme="minorEastAsia"/>
          <w:sz w:val="24"/>
        </w:rPr>
        <w:t>不受任何第三方提出的侵犯其著作权、商标权、专利权等知识产权方面的起诉</w:t>
      </w:r>
      <w:r>
        <w:rPr>
          <w:rFonts w:hint="eastAsia" w:asciiTheme="minorEastAsia" w:hAnsiTheme="minorEastAsia" w:eastAsiaTheme="minorEastAsia"/>
          <w:sz w:val="24"/>
        </w:rPr>
        <w:t>；</w:t>
      </w:r>
      <w:r>
        <w:rPr>
          <w:rFonts w:asciiTheme="minorEastAsia" w:hAnsiTheme="minorEastAsia" w:eastAsiaTheme="minorEastAsia"/>
          <w:sz w:val="24"/>
        </w:rPr>
        <w:t>如果任何第三方提出侵权</w:t>
      </w:r>
      <w:r>
        <w:rPr>
          <w:rFonts w:hint="eastAsia" w:asciiTheme="minorEastAsia" w:hAnsiTheme="minorEastAsia" w:eastAsiaTheme="minorEastAsia"/>
          <w:sz w:val="24"/>
        </w:rPr>
        <w:t>指控</w:t>
      </w:r>
      <w:r>
        <w:rPr>
          <w:rFonts w:asciiTheme="minorEastAsia" w:hAnsiTheme="minorEastAsia" w:eastAsiaTheme="minorEastAsia"/>
          <w:sz w:val="24"/>
        </w:rPr>
        <w:t>，那么乙方须与该第三方交涉并承担由此发生的一切责任、费用和赔偿</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2.3.2 </w:t>
      </w:r>
      <w:r>
        <w:rPr>
          <w:rFonts w:hint="eastAsia" w:asciiTheme="minorEastAsia" w:hAnsiTheme="minorEastAsia" w:eastAsiaTheme="minorEastAsia"/>
          <w:sz w:val="24"/>
        </w:rPr>
        <w:t>合同涉及技术成果的归属和收益的分成办法的，</w:t>
      </w: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pPr>
        <w:spacing w:line="560" w:lineRule="exact"/>
        <w:ind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2.4 </w:t>
      </w:r>
      <w:r>
        <w:rPr>
          <w:rFonts w:hint="eastAsia" w:asciiTheme="minorEastAsia" w:hAnsiTheme="minorEastAsia" w:eastAsiaTheme="minorEastAsia"/>
          <w:b/>
          <w:sz w:val="24"/>
        </w:rPr>
        <w:t>履约检查和问题反馈</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2.4.1甲方</w:t>
      </w:r>
      <w:r>
        <w:rPr>
          <w:rFonts w:hint="eastAsia" w:asciiTheme="minorEastAsia" w:hAnsiTheme="minorEastAsia" w:eastAsiaTheme="minorEastAsia"/>
          <w:sz w:val="24"/>
        </w:rPr>
        <w:t>有权</w:t>
      </w:r>
      <w:r>
        <w:rPr>
          <w:rFonts w:asciiTheme="minorEastAsia" w:hAnsiTheme="minorEastAsia" w:eastAsiaTheme="minorEastAsia"/>
          <w:sz w:val="24"/>
        </w:rPr>
        <w:t>在其认为必要时</w:t>
      </w:r>
      <w:r>
        <w:rPr>
          <w:rFonts w:hint="eastAsia" w:asciiTheme="minorEastAsia" w:hAnsiTheme="minorEastAsia" w:eastAsiaTheme="minorEastAsia"/>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2.4.2 </w:t>
      </w:r>
      <w:r>
        <w:rPr>
          <w:rFonts w:hint="eastAsia" w:asciiTheme="minorEastAsia" w:hAnsiTheme="minorEastAsia" w:eastAsiaTheme="minorEastAsia"/>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Theme="minorEastAsia" w:hAnsiTheme="minorEastAsia" w:eastAsiaTheme="minorEastAsia"/>
          <w:b/>
          <w:sz w:val="24"/>
        </w:rPr>
      </w:pPr>
      <w:bookmarkStart w:id="464" w:name="_Toc31233"/>
      <w:bookmarkStart w:id="465" w:name="_Toc15447"/>
      <w:bookmarkStart w:id="466" w:name="_Toc32670"/>
      <w:bookmarkStart w:id="467" w:name="_Toc26555"/>
      <w:bookmarkStart w:id="468" w:name="_Toc22011"/>
      <w:r>
        <w:rPr>
          <w:rFonts w:asciiTheme="minorEastAsia" w:hAnsiTheme="minorEastAsia" w:eastAsiaTheme="minorEastAsia"/>
          <w:b/>
          <w:sz w:val="24"/>
        </w:rPr>
        <w:t>2.5 结算方式和付款条件</w:t>
      </w:r>
      <w:bookmarkEnd w:id="464"/>
      <w:bookmarkEnd w:id="465"/>
      <w:bookmarkEnd w:id="466"/>
      <w:bookmarkEnd w:id="467"/>
      <w:bookmarkEnd w:id="468"/>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pPr>
        <w:spacing w:line="560" w:lineRule="exact"/>
        <w:ind w:firstLine="482" w:firstLineChars="200"/>
        <w:outlineLvl w:val="0"/>
        <w:rPr>
          <w:rFonts w:asciiTheme="minorEastAsia" w:hAnsiTheme="minorEastAsia" w:eastAsiaTheme="minorEastAsia"/>
          <w:b/>
          <w:sz w:val="24"/>
        </w:rPr>
      </w:pPr>
      <w:bookmarkStart w:id="469" w:name="_Toc13154"/>
      <w:bookmarkStart w:id="470" w:name="_Toc30507"/>
      <w:bookmarkStart w:id="471" w:name="_Toc16163"/>
      <w:bookmarkStart w:id="472" w:name="_Toc13467"/>
      <w:bookmarkStart w:id="473" w:name="_Toc18990"/>
      <w:r>
        <w:rPr>
          <w:rFonts w:asciiTheme="minorEastAsia" w:hAnsiTheme="minorEastAsia" w:eastAsiaTheme="minorEastAsia"/>
          <w:b/>
          <w:sz w:val="24"/>
        </w:rPr>
        <w:t>2.6 技术资料和保密义务</w:t>
      </w:r>
      <w:bookmarkEnd w:id="469"/>
      <w:bookmarkEnd w:id="470"/>
      <w:bookmarkEnd w:id="471"/>
      <w:bookmarkEnd w:id="472"/>
      <w:bookmarkEnd w:id="473"/>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2.6.1 乙方有权依据合同约定和项目需要，向甲方了解有关情况，调阅有关资料等，甲方应予积极配合；</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2.6.2 </w:t>
      </w:r>
      <w:r>
        <w:rPr>
          <w:rFonts w:hint="eastAsia" w:asciiTheme="minorEastAsia" w:hAnsiTheme="minorEastAsia" w:eastAsiaTheme="minorEastAsia"/>
          <w:sz w:val="24"/>
        </w:rPr>
        <w:t>乙方有义务妥善保管和保护由甲方提供的前款信息和资料等；</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2.6.3 </w:t>
      </w:r>
      <w:r>
        <w:rPr>
          <w:rFonts w:hint="eastAsia" w:asciiTheme="minorEastAsia" w:hAnsiTheme="minorEastAsia" w:eastAsiaTheme="minorEastAsia"/>
          <w:sz w:val="24"/>
        </w:rPr>
        <w:t>除非依照法律规定或者</w:t>
      </w:r>
      <w:r>
        <w:rPr>
          <w:rFonts w:hint="eastAsia" w:asciiTheme="minorEastAsia" w:hAnsiTheme="minorEastAsia" w:eastAsiaTheme="minorEastAsia"/>
          <w:sz w:val="24"/>
          <w:lang w:eastAsia="zh-CN"/>
        </w:rPr>
        <w:t>双方</w:t>
      </w:r>
      <w:r>
        <w:rPr>
          <w:rFonts w:hint="eastAsia" w:asciiTheme="minorEastAsia" w:hAnsiTheme="minorEastAsia" w:eastAsiaTheme="minorEastAsia"/>
          <w:sz w:val="24"/>
        </w:rPr>
        <w:t>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sz w:val="24"/>
        </w:rPr>
        <w:t>技术情报</w:t>
      </w:r>
      <w:r>
        <w:rPr>
          <w:rFonts w:hint="eastAsia" w:asciiTheme="minorEastAsia" w:hAnsiTheme="minorEastAsia" w:eastAsiaTheme="minorEastAsia"/>
          <w:sz w:val="24"/>
        </w:rPr>
        <w:t>、</w:t>
      </w:r>
      <w:r>
        <w:rPr>
          <w:rFonts w:asciiTheme="minorEastAsia" w:hAnsiTheme="minorEastAsia" w:eastAsiaTheme="minorEastAsia"/>
          <w:sz w:val="24"/>
        </w:rPr>
        <w:t>技术资料</w:t>
      </w:r>
      <w:r>
        <w:rPr>
          <w:rFonts w:hint="eastAsia" w:asciiTheme="minorEastAsia" w:hAnsiTheme="minorEastAsia" w:eastAsiaTheme="minorEastAsia"/>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Theme="minorEastAsia" w:hAnsiTheme="minorEastAsia" w:eastAsiaTheme="minorEastAsia"/>
          <w:b/>
          <w:sz w:val="24"/>
        </w:rPr>
      </w:pPr>
      <w:bookmarkStart w:id="474" w:name="_Toc19069"/>
      <w:r>
        <w:rPr>
          <w:rFonts w:asciiTheme="minorEastAsia" w:hAnsiTheme="minorEastAsia" w:eastAsiaTheme="minorEastAsia"/>
          <w:b/>
          <w:sz w:val="24"/>
        </w:rPr>
        <w:t xml:space="preserve">2.7 </w:t>
      </w:r>
      <w:r>
        <w:rPr>
          <w:rFonts w:hint="eastAsia" w:asciiTheme="minorEastAsia" w:hAnsiTheme="minorEastAsia" w:eastAsiaTheme="minorEastAsia"/>
          <w:b/>
          <w:sz w:val="24"/>
        </w:rPr>
        <w:t>质量保证</w:t>
      </w:r>
      <w:bookmarkEnd w:id="474"/>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2.7.1 </w:t>
      </w:r>
      <w:r>
        <w:rPr>
          <w:rFonts w:hint="eastAsia" w:asciiTheme="minorEastAsia" w:hAnsiTheme="minorEastAsia" w:eastAsiaTheme="minorEastAsia"/>
          <w:sz w:val="24"/>
        </w:rPr>
        <w:t>乙方应建立和完善履行合同的内部质量保证体系，并提供相关内部规章制度给甲方，以便甲方进行监督检查；</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2.7.2 </w:t>
      </w:r>
      <w:r>
        <w:rPr>
          <w:rFonts w:hint="eastAsia" w:asciiTheme="minorEastAsia" w:hAnsiTheme="minorEastAsia" w:eastAsiaTheme="minorEastAsia"/>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Theme="minorEastAsia" w:hAnsiTheme="minorEastAsia" w:eastAsiaTheme="minorEastAsia"/>
          <w:b/>
          <w:sz w:val="24"/>
        </w:rPr>
      </w:pPr>
      <w:bookmarkStart w:id="475" w:name="_Toc22267"/>
      <w:r>
        <w:rPr>
          <w:rFonts w:asciiTheme="minorEastAsia" w:hAnsiTheme="minorEastAsia" w:eastAsiaTheme="minorEastAsia"/>
          <w:b/>
          <w:sz w:val="24"/>
        </w:rPr>
        <w:t xml:space="preserve">2.8 </w:t>
      </w:r>
      <w:r>
        <w:rPr>
          <w:rFonts w:hint="eastAsia" w:asciiTheme="minorEastAsia" w:hAnsiTheme="minorEastAsia" w:eastAsiaTheme="minorEastAsia"/>
          <w:b/>
          <w:sz w:val="24"/>
        </w:rPr>
        <w:t>延迟履行</w:t>
      </w:r>
      <w:bookmarkEnd w:id="475"/>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在合同履行过程中，如果乙方遇到不能按时</w:t>
      </w:r>
      <w:r>
        <w:rPr>
          <w:rFonts w:hint="eastAsia" w:asciiTheme="minorEastAsia" w:hAnsiTheme="minorEastAsia" w:eastAsiaTheme="minorEastAsia"/>
          <w:sz w:val="24"/>
        </w:rPr>
        <w:t>提供服务</w:t>
      </w:r>
      <w:r>
        <w:rPr>
          <w:rFonts w:asciiTheme="minorEastAsia" w:hAnsiTheme="minorEastAsia" w:eastAsiaTheme="minorEastAsia"/>
          <w:sz w:val="24"/>
        </w:rPr>
        <w:t>的情况，应及时以书面形式将不能按时</w:t>
      </w:r>
      <w:r>
        <w:rPr>
          <w:rFonts w:hint="eastAsia" w:asciiTheme="minorEastAsia" w:hAnsiTheme="minorEastAsia" w:eastAsiaTheme="minorEastAsia"/>
          <w:sz w:val="24"/>
        </w:rPr>
        <w:t>提供服务</w:t>
      </w:r>
      <w:r>
        <w:rPr>
          <w:rFonts w:asciiTheme="minorEastAsia" w:hAnsiTheme="minorEastAsia" w:eastAsiaTheme="minorEastAsia"/>
          <w:sz w:val="24"/>
        </w:rPr>
        <w:t>的理由、预期延误时间通知甲方</w:t>
      </w:r>
      <w:r>
        <w:rPr>
          <w:rFonts w:hint="eastAsia" w:asciiTheme="minorEastAsia" w:hAnsiTheme="minorEastAsia" w:eastAsiaTheme="minorEastAsia"/>
          <w:sz w:val="24"/>
        </w:rPr>
        <w:t>；甲</w:t>
      </w:r>
      <w:r>
        <w:rPr>
          <w:rFonts w:asciiTheme="minorEastAsia" w:hAnsiTheme="minorEastAsia" w:eastAsiaTheme="minorEastAsia"/>
          <w:sz w:val="24"/>
        </w:rPr>
        <w:t>方收到乙方通知后，认为其理由正当的，可以书面形式酌情同意乙方可以延长</w:t>
      </w:r>
      <w:r>
        <w:rPr>
          <w:rFonts w:hint="eastAsia" w:asciiTheme="minorEastAsia" w:hAnsiTheme="minorEastAsia" w:eastAsiaTheme="minorEastAsia"/>
          <w:sz w:val="24"/>
        </w:rPr>
        <w:t>履行</w:t>
      </w:r>
      <w:r>
        <w:rPr>
          <w:rFonts w:asciiTheme="minorEastAsia" w:hAnsiTheme="minorEastAsia" w:eastAsiaTheme="minorEastAsia"/>
          <w:sz w:val="24"/>
        </w:rPr>
        <w:t>的具体时间。</w:t>
      </w:r>
    </w:p>
    <w:p>
      <w:pPr>
        <w:spacing w:line="560" w:lineRule="exact"/>
        <w:ind w:firstLine="482" w:firstLineChars="200"/>
        <w:outlineLvl w:val="0"/>
        <w:rPr>
          <w:rFonts w:asciiTheme="minorEastAsia" w:hAnsiTheme="minorEastAsia" w:eastAsiaTheme="minorEastAsia"/>
          <w:b/>
          <w:sz w:val="24"/>
        </w:rPr>
      </w:pPr>
      <w:bookmarkStart w:id="476" w:name="_Toc10611"/>
      <w:r>
        <w:rPr>
          <w:rFonts w:asciiTheme="minorEastAsia" w:hAnsiTheme="minorEastAsia" w:eastAsiaTheme="minorEastAsia"/>
          <w:b/>
          <w:sz w:val="24"/>
        </w:rPr>
        <w:t xml:space="preserve">2.9 </w:t>
      </w:r>
      <w:r>
        <w:rPr>
          <w:rFonts w:hint="eastAsia" w:asciiTheme="minorEastAsia" w:hAnsiTheme="minorEastAsia" w:eastAsiaTheme="minorEastAsia"/>
          <w:b/>
          <w:sz w:val="24"/>
        </w:rPr>
        <w:t>合同变更</w:t>
      </w:r>
      <w:bookmarkEnd w:id="476"/>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Theme="minorEastAsia" w:hAnsiTheme="minorEastAsia" w:eastAsiaTheme="minorEastAsia"/>
          <w:b/>
          <w:sz w:val="24"/>
        </w:rPr>
      </w:pPr>
      <w:bookmarkStart w:id="477" w:name="_Toc21830"/>
      <w:bookmarkStart w:id="478" w:name="_Toc26689"/>
      <w:bookmarkStart w:id="479" w:name="_Toc42"/>
      <w:bookmarkStart w:id="480" w:name="_Toc23368"/>
      <w:bookmarkStart w:id="481" w:name="_Toc10663"/>
      <w:r>
        <w:rPr>
          <w:rFonts w:asciiTheme="minorEastAsia" w:hAnsiTheme="minorEastAsia" w:eastAsiaTheme="minorEastAsia"/>
          <w:b/>
          <w:sz w:val="24"/>
        </w:rPr>
        <w:t>2.10 合同转让和分包</w:t>
      </w:r>
      <w:bookmarkEnd w:id="477"/>
      <w:bookmarkEnd w:id="478"/>
      <w:bookmarkEnd w:id="479"/>
      <w:bookmarkEnd w:id="480"/>
      <w:bookmarkEnd w:id="481"/>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合同的权利义务依法不</w:t>
      </w:r>
      <w:r>
        <w:rPr>
          <w:rFonts w:hint="eastAsia" w:asciiTheme="minorEastAsia" w:hAnsiTheme="minorEastAsia" w:eastAsiaTheme="minorEastAsia"/>
          <w:sz w:val="24"/>
        </w:rPr>
        <w:t>得</w:t>
      </w:r>
      <w:r>
        <w:rPr>
          <w:rFonts w:asciiTheme="minorEastAsia" w:hAnsiTheme="minorEastAsia" w:eastAsiaTheme="minorEastAsia"/>
          <w:sz w:val="24"/>
        </w:rPr>
        <w:t>转让</w:t>
      </w:r>
      <w:r>
        <w:rPr>
          <w:rFonts w:hint="eastAsia" w:asciiTheme="minorEastAsia" w:hAnsiTheme="minorEastAsia" w:eastAsiaTheme="minorEastAsia"/>
          <w:sz w:val="24"/>
        </w:rPr>
        <w:t>，</w:t>
      </w:r>
      <w:r>
        <w:rPr>
          <w:rFonts w:asciiTheme="minorEastAsia" w:hAnsiTheme="minorEastAsia" w:eastAsiaTheme="minorEastAsia"/>
          <w:sz w:val="24"/>
        </w:rPr>
        <w:t>但经甲方</w:t>
      </w:r>
      <w:r>
        <w:rPr>
          <w:rFonts w:hint="eastAsia" w:asciiTheme="minorEastAsia" w:hAnsiTheme="minorEastAsia" w:eastAsiaTheme="minorEastAsia"/>
          <w:sz w:val="24"/>
        </w:rPr>
        <w:t>同意，乙方可以依法采取分包方式履行合同，即：依法可以</w:t>
      </w:r>
      <w:r>
        <w:rPr>
          <w:rFonts w:asciiTheme="minorEastAsia" w:hAnsiTheme="minorEastAsia" w:eastAsiaTheme="minorEastAsia"/>
          <w:sz w:val="24"/>
        </w:rPr>
        <w:t>将合同项下的部分非主体、非关键性工作分包给他人完成</w:t>
      </w:r>
      <w:r>
        <w:rPr>
          <w:rFonts w:hint="eastAsia" w:asciiTheme="minorEastAsia" w:hAnsiTheme="minorEastAsia" w:eastAsiaTheme="minorEastAsia"/>
          <w:sz w:val="24"/>
        </w:rPr>
        <w:t>，</w:t>
      </w:r>
      <w:r>
        <w:rPr>
          <w:rFonts w:asciiTheme="minorEastAsia" w:hAnsiTheme="minorEastAsia" w:eastAsiaTheme="minorEastAsia"/>
          <w:sz w:val="24"/>
        </w:rPr>
        <w:t>接受分包的人应当具备相应的资格条件，并不得再次分包</w:t>
      </w:r>
      <w:r>
        <w:rPr>
          <w:rFonts w:hint="eastAsia" w:asciiTheme="minorEastAsia" w:hAnsiTheme="minorEastAsia" w:eastAsiaTheme="minorEastAsia"/>
          <w:sz w:val="24"/>
        </w:rPr>
        <w:t>，</w:t>
      </w:r>
      <w:r>
        <w:rPr>
          <w:rFonts w:asciiTheme="minorEastAsia" w:hAnsiTheme="minorEastAsia" w:eastAsiaTheme="minorEastAsia"/>
          <w:sz w:val="24"/>
        </w:rPr>
        <w:t>且乙方应就分包项目向甲方负责</w:t>
      </w:r>
      <w:r>
        <w:rPr>
          <w:rFonts w:hint="eastAsia" w:asciiTheme="minorEastAsia" w:hAnsiTheme="minorEastAsia" w:eastAsiaTheme="minorEastAsia"/>
          <w:sz w:val="24"/>
        </w:rPr>
        <w:t>，</w:t>
      </w:r>
      <w:r>
        <w:rPr>
          <w:rFonts w:asciiTheme="minorEastAsia" w:hAnsiTheme="minorEastAsia" w:eastAsiaTheme="minorEastAsia"/>
          <w:sz w:val="24"/>
        </w:rPr>
        <w:t>并</w:t>
      </w:r>
      <w:r>
        <w:rPr>
          <w:rFonts w:hint="eastAsia" w:asciiTheme="minorEastAsia" w:hAnsiTheme="minorEastAsia" w:eastAsiaTheme="minorEastAsia"/>
          <w:sz w:val="24"/>
        </w:rPr>
        <w:t>与分包供应商就分包项目向甲方承担连带责任。</w:t>
      </w:r>
    </w:p>
    <w:p>
      <w:pPr>
        <w:spacing w:line="560" w:lineRule="exact"/>
        <w:ind w:firstLine="482" w:firstLineChars="200"/>
        <w:outlineLvl w:val="0"/>
        <w:rPr>
          <w:rFonts w:asciiTheme="minorEastAsia" w:hAnsiTheme="minorEastAsia" w:eastAsiaTheme="minorEastAsia"/>
          <w:b/>
          <w:sz w:val="24"/>
        </w:rPr>
      </w:pPr>
      <w:bookmarkStart w:id="482" w:name="_Toc4720"/>
      <w:bookmarkStart w:id="483" w:name="_Toc26633"/>
      <w:bookmarkStart w:id="484" w:name="_Toc14371"/>
      <w:bookmarkStart w:id="485" w:name="_Toc25571"/>
      <w:bookmarkStart w:id="486" w:name="_Toc32494"/>
      <w:r>
        <w:rPr>
          <w:rFonts w:asciiTheme="minorEastAsia" w:hAnsiTheme="minorEastAsia" w:eastAsiaTheme="minorEastAsia"/>
          <w:b/>
          <w:sz w:val="24"/>
        </w:rPr>
        <w:t>2.11 不可抗力</w:t>
      </w:r>
      <w:bookmarkEnd w:id="482"/>
      <w:bookmarkEnd w:id="483"/>
      <w:bookmarkEnd w:id="484"/>
      <w:bookmarkEnd w:id="485"/>
      <w:bookmarkEnd w:id="486"/>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2.11.2 </w:t>
      </w:r>
      <w:r>
        <w:rPr>
          <w:rFonts w:hint="eastAsia" w:asciiTheme="minorEastAsia" w:hAnsiTheme="minorEastAsia" w:eastAsiaTheme="minorEastAsia"/>
          <w:sz w:val="24"/>
        </w:rPr>
        <w:t>因不可抗力致使不能实现合同目的的，当事人可以解除合同；</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2.11.3 </w:t>
      </w:r>
      <w:r>
        <w:rPr>
          <w:rFonts w:hint="eastAsia" w:asciiTheme="minorEastAsia" w:hAnsiTheme="minorEastAsia" w:eastAsiaTheme="minorEastAsia"/>
          <w:sz w:val="24"/>
        </w:rPr>
        <w:t>因</w:t>
      </w:r>
      <w:r>
        <w:rPr>
          <w:rFonts w:asciiTheme="minorEastAsia" w:hAnsiTheme="minorEastAsia" w:eastAsiaTheme="minorEastAsia"/>
          <w:sz w:val="24"/>
        </w:rPr>
        <w:t>不可抗力致使合同有变更必要的，双方当事人应在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约定时间内以书面形式变更合同</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2.11.4受</w:t>
      </w:r>
      <w:r>
        <w:rPr>
          <w:rFonts w:hint="eastAsia" w:asciiTheme="minorEastAsia" w:hAnsiTheme="minorEastAsia" w:eastAsiaTheme="minorEastAsia"/>
          <w:sz w:val="24"/>
        </w:rPr>
        <w:t>不可抗力</w:t>
      </w:r>
      <w:r>
        <w:rPr>
          <w:rFonts w:asciiTheme="minorEastAsia" w:hAnsiTheme="minorEastAsia" w:eastAsiaTheme="minorEastAsia"/>
          <w:sz w:val="24"/>
        </w:rPr>
        <w:t>影响的一方在不可抗力发生后</w:t>
      </w:r>
      <w:r>
        <w:rPr>
          <w:rFonts w:hint="eastAsia" w:asciiTheme="minorEastAsia" w:hAnsiTheme="minorEastAsia" w:eastAsiaTheme="minorEastAsia"/>
          <w:sz w:val="24"/>
        </w:rPr>
        <w:t>，</w:t>
      </w:r>
      <w:r>
        <w:rPr>
          <w:rFonts w:asciiTheme="minorEastAsia" w:hAnsiTheme="minorEastAsia" w:eastAsiaTheme="minorEastAsia"/>
          <w:sz w:val="24"/>
        </w:rPr>
        <w:t>应在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约定时间内以书面形式通知</w:t>
      </w:r>
      <w:r>
        <w:rPr>
          <w:rFonts w:hint="eastAsia" w:asciiTheme="minorEastAsia" w:hAnsiTheme="minorEastAsia" w:eastAsiaTheme="minorEastAsia"/>
          <w:sz w:val="24"/>
        </w:rPr>
        <w:t>对</w:t>
      </w:r>
      <w:r>
        <w:rPr>
          <w:rFonts w:asciiTheme="minorEastAsia" w:hAnsiTheme="minorEastAsia" w:eastAsiaTheme="minorEastAsia"/>
          <w:sz w:val="24"/>
        </w:rPr>
        <w:t>方当事人，并在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约定时间内，将有关部门出具的证明文件送达</w:t>
      </w:r>
      <w:r>
        <w:rPr>
          <w:rFonts w:hint="eastAsia" w:asciiTheme="minorEastAsia" w:hAnsiTheme="minorEastAsia" w:eastAsiaTheme="minorEastAsia"/>
          <w:sz w:val="24"/>
        </w:rPr>
        <w:t>对方当事人</w:t>
      </w:r>
      <w:r>
        <w:rPr>
          <w:rFonts w:asciiTheme="minorEastAsia" w:hAnsiTheme="minorEastAsia" w:eastAsiaTheme="minorEastAsia"/>
          <w:sz w:val="24"/>
        </w:rPr>
        <w:t>。</w:t>
      </w:r>
    </w:p>
    <w:p>
      <w:pPr>
        <w:spacing w:line="560" w:lineRule="exact"/>
        <w:ind w:firstLine="482" w:firstLineChars="200"/>
        <w:outlineLvl w:val="0"/>
        <w:rPr>
          <w:rFonts w:asciiTheme="minorEastAsia" w:hAnsiTheme="minorEastAsia" w:eastAsiaTheme="minorEastAsia"/>
          <w:b/>
          <w:sz w:val="24"/>
        </w:rPr>
      </w:pPr>
      <w:bookmarkStart w:id="487" w:name="_Toc14115"/>
      <w:bookmarkStart w:id="488" w:name="_Toc25783"/>
      <w:bookmarkStart w:id="489" w:name="_Toc3638"/>
      <w:bookmarkStart w:id="490" w:name="_Toc24465"/>
      <w:bookmarkStart w:id="491" w:name="_Toc23854"/>
      <w:r>
        <w:rPr>
          <w:rFonts w:asciiTheme="minorEastAsia" w:hAnsiTheme="minorEastAsia" w:eastAsiaTheme="minorEastAsia"/>
          <w:b/>
          <w:sz w:val="24"/>
        </w:rPr>
        <w:t>2.12 税费</w:t>
      </w:r>
      <w:bookmarkEnd w:id="487"/>
      <w:bookmarkEnd w:id="488"/>
      <w:bookmarkEnd w:id="489"/>
      <w:bookmarkEnd w:id="490"/>
      <w:bookmarkEnd w:id="491"/>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与合同有关的一切税费</w:t>
      </w:r>
      <w:r>
        <w:rPr>
          <w:rFonts w:hint="eastAsia" w:asciiTheme="minorEastAsia" w:hAnsiTheme="minorEastAsia" w:eastAsiaTheme="minorEastAsia"/>
          <w:sz w:val="24"/>
        </w:rPr>
        <w:t>，</w:t>
      </w:r>
      <w:r>
        <w:rPr>
          <w:rFonts w:asciiTheme="minorEastAsia" w:hAnsiTheme="minorEastAsia" w:eastAsiaTheme="minorEastAsia"/>
          <w:sz w:val="24"/>
        </w:rPr>
        <w:t>均按照中华人民共和国法律的相关规定缴纳。</w:t>
      </w:r>
    </w:p>
    <w:p>
      <w:pPr>
        <w:spacing w:line="560" w:lineRule="exact"/>
        <w:ind w:firstLine="482" w:firstLineChars="200"/>
        <w:outlineLvl w:val="0"/>
        <w:rPr>
          <w:rFonts w:asciiTheme="minorEastAsia" w:hAnsiTheme="minorEastAsia" w:eastAsiaTheme="minorEastAsia"/>
          <w:b/>
          <w:sz w:val="24"/>
        </w:rPr>
      </w:pPr>
      <w:bookmarkStart w:id="492" w:name="_Toc14814"/>
      <w:bookmarkStart w:id="493" w:name="_Toc30105"/>
      <w:bookmarkStart w:id="494" w:name="_Toc7315"/>
      <w:bookmarkStart w:id="495" w:name="_Toc25525"/>
      <w:bookmarkStart w:id="496" w:name="_Toc26883"/>
      <w:r>
        <w:rPr>
          <w:rFonts w:asciiTheme="minorEastAsia" w:hAnsiTheme="minorEastAsia" w:eastAsiaTheme="minorEastAsia"/>
          <w:b/>
          <w:sz w:val="24"/>
        </w:rPr>
        <w:t>2.13 乙方破产</w:t>
      </w:r>
      <w:bookmarkEnd w:id="492"/>
      <w:bookmarkEnd w:id="493"/>
      <w:bookmarkEnd w:id="494"/>
      <w:bookmarkEnd w:id="495"/>
      <w:bookmarkEnd w:id="496"/>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如果乙方破产导致合同无法履行时，甲方可以书面形式通知乙方终止合同且不给予乙方任何补偿和赔偿</w:t>
      </w:r>
      <w:r>
        <w:rPr>
          <w:rFonts w:hint="eastAsia" w:asciiTheme="minorEastAsia" w:hAnsiTheme="minorEastAsia" w:eastAsiaTheme="minorEastAsia"/>
          <w:sz w:val="24"/>
        </w:rPr>
        <w:t>，但合同的</w:t>
      </w:r>
      <w:r>
        <w:rPr>
          <w:rFonts w:asciiTheme="minorEastAsia" w:hAnsiTheme="minorEastAsia" w:eastAsiaTheme="minorEastAsia"/>
          <w:sz w:val="24"/>
        </w:rPr>
        <w:t>终止不损害或不影响甲方已经采取或将要采取的任何要求乙方支付违约金</w:t>
      </w:r>
      <w:r>
        <w:rPr>
          <w:rFonts w:hint="eastAsia" w:asciiTheme="minorEastAsia" w:hAnsiTheme="minorEastAsia" w:eastAsiaTheme="minorEastAsia"/>
          <w:sz w:val="24"/>
        </w:rPr>
        <w:t>、</w:t>
      </w:r>
      <w:r>
        <w:rPr>
          <w:rFonts w:asciiTheme="minorEastAsia" w:hAnsiTheme="minorEastAsia" w:eastAsiaTheme="minorEastAsia"/>
          <w:sz w:val="24"/>
        </w:rPr>
        <w:t>赔偿损失等的行动或补救措施的权利</w:t>
      </w:r>
      <w:r>
        <w:rPr>
          <w:rFonts w:hint="eastAsia" w:asciiTheme="minorEastAsia" w:hAnsiTheme="minorEastAsia" w:eastAsiaTheme="minorEastAsia"/>
          <w:sz w:val="24"/>
        </w:rPr>
        <w:t>。</w:t>
      </w:r>
    </w:p>
    <w:p>
      <w:pPr>
        <w:spacing w:line="560" w:lineRule="exact"/>
        <w:ind w:firstLine="482" w:firstLineChars="200"/>
        <w:outlineLvl w:val="0"/>
        <w:rPr>
          <w:rFonts w:asciiTheme="minorEastAsia" w:hAnsiTheme="minorEastAsia" w:eastAsiaTheme="minorEastAsia"/>
          <w:b/>
          <w:sz w:val="24"/>
        </w:rPr>
      </w:pPr>
      <w:bookmarkStart w:id="497" w:name="_Toc23323"/>
      <w:bookmarkStart w:id="498" w:name="_Toc2016"/>
      <w:bookmarkStart w:id="499" w:name="_Toc1123"/>
      <w:r>
        <w:rPr>
          <w:rFonts w:asciiTheme="minorEastAsia" w:hAnsiTheme="minorEastAsia" w:eastAsiaTheme="minorEastAsia"/>
          <w:b/>
          <w:sz w:val="24"/>
        </w:rPr>
        <w:t>2.14 合同中止、终止</w:t>
      </w:r>
      <w:bookmarkEnd w:id="497"/>
      <w:bookmarkEnd w:id="498"/>
      <w:bookmarkEnd w:id="499"/>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2.14.1 </w:t>
      </w:r>
      <w:r>
        <w:rPr>
          <w:rFonts w:hint="eastAsia" w:asciiTheme="minorEastAsia" w:hAnsiTheme="minorEastAsia" w:eastAsiaTheme="minorEastAsia"/>
          <w:sz w:val="24"/>
        </w:rPr>
        <w:t>双方当事人不得擅自中止或者终止合同；</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Theme="minorEastAsia" w:hAnsiTheme="minorEastAsia" w:eastAsiaTheme="minorEastAsia"/>
          <w:b/>
          <w:sz w:val="24"/>
        </w:rPr>
      </w:pPr>
      <w:bookmarkStart w:id="500" w:name="_Toc17363"/>
      <w:bookmarkStart w:id="501" w:name="_Toc14525"/>
      <w:bookmarkStart w:id="502" w:name="_Toc1969"/>
      <w:r>
        <w:rPr>
          <w:rFonts w:asciiTheme="minorEastAsia" w:hAnsiTheme="minorEastAsia" w:eastAsiaTheme="minorEastAsia"/>
          <w:b/>
          <w:sz w:val="24"/>
        </w:rPr>
        <w:t>2.15 检验和验收</w:t>
      </w:r>
      <w:bookmarkEnd w:id="500"/>
      <w:bookmarkEnd w:id="501"/>
      <w:bookmarkEnd w:id="502"/>
    </w:p>
    <w:p>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2.15.1 </w:t>
      </w:r>
      <w:r>
        <w:rPr>
          <w:rFonts w:hint="eastAsia" w:asciiTheme="minorEastAsia" w:hAnsiTheme="minorEastAsia" w:eastAsiaTheme="minorEastAsia"/>
          <w:sz w:val="24"/>
        </w:rPr>
        <w:t>乙方按照</w:t>
      </w:r>
      <w:r>
        <w:rPr>
          <w:rFonts w:asciiTheme="minorEastAsia" w:hAnsiTheme="minorEastAsia" w:eastAsiaTheme="minorEastAsia"/>
          <w:b/>
          <w:i/>
          <w:sz w:val="24"/>
          <w:u w:val="single"/>
        </w:rPr>
        <w:t>合同专用条款</w:t>
      </w:r>
      <w:r>
        <w:rPr>
          <w:rFonts w:asciiTheme="minorEastAsia" w:hAnsiTheme="minorEastAsia" w:eastAsiaTheme="minorEastAsia"/>
          <w:sz w:val="24"/>
        </w:rPr>
        <w:t>的约定</w:t>
      </w:r>
      <w:r>
        <w:rPr>
          <w:rFonts w:hint="eastAsia" w:asciiTheme="minorEastAsia" w:hAnsiTheme="minorEastAsia" w:eastAsiaTheme="minorEastAsia"/>
          <w:sz w:val="24"/>
        </w:rPr>
        <w:t>，</w:t>
      </w:r>
      <w:r>
        <w:rPr>
          <w:rFonts w:asciiTheme="minorEastAsia" w:hAnsiTheme="minorEastAsia" w:eastAsiaTheme="minorEastAsia"/>
          <w:sz w:val="24"/>
        </w:rPr>
        <w:t>定期提交服务报告</w:t>
      </w:r>
      <w:r>
        <w:rPr>
          <w:rFonts w:hint="eastAsia" w:asciiTheme="minorEastAsia" w:hAnsiTheme="minorEastAsia" w:eastAsiaTheme="minorEastAsia"/>
          <w:sz w:val="24"/>
        </w:rPr>
        <w:t>，甲方按照</w:t>
      </w:r>
      <w:r>
        <w:rPr>
          <w:rFonts w:asciiTheme="minorEastAsia" w:hAnsiTheme="minorEastAsia" w:eastAsiaTheme="minorEastAsia"/>
          <w:b/>
          <w:i/>
          <w:sz w:val="24"/>
          <w:u w:val="single"/>
        </w:rPr>
        <w:t>合同专用条款</w:t>
      </w:r>
      <w:r>
        <w:rPr>
          <w:rFonts w:asciiTheme="minorEastAsia" w:hAnsiTheme="minorEastAsia" w:eastAsiaTheme="minorEastAsia"/>
          <w:sz w:val="24"/>
        </w:rPr>
        <w:t>的约定进行定期验收</w:t>
      </w:r>
      <w:r>
        <w:rPr>
          <w:rFonts w:hint="eastAsia" w:asciiTheme="minorEastAsia" w:hAnsiTheme="minorEastAsia" w:eastAsiaTheme="minorEastAsia"/>
          <w:sz w:val="24"/>
        </w:rPr>
        <w:t>；</w:t>
      </w:r>
    </w:p>
    <w:p>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2.15.2 </w:t>
      </w:r>
      <w:r>
        <w:rPr>
          <w:rFonts w:hint="eastAsia" w:asciiTheme="minorEastAsia" w:hAnsiTheme="minorEastAsia" w:eastAsiaTheme="minor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2.15.3 </w:t>
      </w:r>
      <w:r>
        <w:rPr>
          <w:rFonts w:hint="eastAsia" w:asciiTheme="minorEastAsia" w:hAnsiTheme="minorEastAsia" w:eastAsiaTheme="minorEastAsia"/>
          <w:sz w:val="24"/>
        </w:rPr>
        <w:t>检验和验收标准、程序等具体内容以及前述验收书的效力详见</w:t>
      </w:r>
      <w:r>
        <w:rPr>
          <w:rFonts w:asciiTheme="minorEastAsia" w:hAnsiTheme="minorEastAsia" w:eastAsiaTheme="minorEastAsia"/>
          <w:b/>
          <w:i/>
          <w:sz w:val="24"/>
          <w:u w:val="single"/>
        </w:rPr>
        <w:t>合同专用条款</w:t>
      </w:r>
      <w:r>
        <w:rPr>
          <w:rFonts w:hint="eastAsia" w:asciiTheme="minorEastAsia" w:hAnsiTheme="minorEastAsia" w:eastAsiaTheme="minorEastAsia"/>
          <w:i/>
          <w:sz w:val="24"/>
        </w:rPr>
        <w:t>。</w:t>
      </w:r>
    </w:p>
    <w:p>
      <w:pPr>
        <w:spacing w:line="560" w:lineRule="exact"/>
        <w:ind w:firstLine="482" w:firstLineChars="200"/>
        <w:outlineLvl w:val="0"/>
        <w:rPr>
          <w:rFonts w:asciiTheme="minorEastAsia" w:hAnsiTheme="minorEastAsia" w:eastAsiaTheme="minorEastAsia"/>
          <w:b/>
          <w:sz w:val="24"/>
        </w:rPr>
      </w:pPr>
      <w:bookmarkStart w:id="503" w:name="_Toc9808"/>
      <w:bookmarkStart w:id="504" w:name="_Toc12666"/>
      <w:bookmarkStart w:id="505" w:name="_Toc31892"/>
      <w:bookmarkStart w:id="506" w:name="_Toc2308"/>
      <w:bookmarkStart w:id="507" w:name="_Toc25198"/>
      <w:r>
        <w:rPr>
          <w:rFonts w:asciiTheme="minorEastAsia" w:hAnsiTheme="minorEastAsia" w:eastAsiaTheme="minorEastAsia"/>
          <w:b/>
          <w:sz w:val="24"/>
        </w:rPr>
        <w:t>2.16 通知和送达</w:t>
      </w:r>
      <w:bookmarkEnd w:id="503"/>
      <w:bookmarkEnd w:id="504"/>
      <w:bookmarkEnd w:id="505"/>
      <w:bookmarkEnd w:id="506"/>
      <w:bookmarkEnd w:id="507"/>
    </w:p>
    <w:p>
      <w:pPr>
        <w:spacing w:line="560" w:lineRule="exact"/>
        <w:ind w:firstLine="480" w:firstLineChars="200"/>
        <w:rPr>
          <w:rFonts w:asciiTheme="minorEastAsia" w:hAnsiTheme="minorEastAsia" w:eastAsiaTheme="minorEastAsia"/>
          <w:sz w:val="24"/>
        </w:rPr>
      </w:pPr>
      <w:bookmarkStart w:id="508" w:name="_Toc18401"/>
      <w:bookmarkStart w:id="509" w:name="_Toc27674"/>
      <w:r>
        <w:rPr>
          <w:rFonts w:asciiTheme="minorEastAsia" w:hAnsiTheme="minorEastAsia" w:eastAsiaTheme="minorEastAsia"/>
          <w:sz w:val="24"/>
        </w:rPr>
        <w:t>2.17.1</w:t>
      </w:r>
      <w:r>
        <w:rPr>
          <w:rFonts w:hint="eastAsia" w:asciiTheme="minorEastAsia" w:hAnsiTheme="minorEastAsia" w:eastAsiaTheme="minorEastAsia"/>
          <w:sz w:val="24"/>
        </w:rPr>
        <w:t>任何一方因履行合同而以合同第一部分尾部所列明的传真或电子邮件</w:t>
      </w:r>
      <w:r>
        <w:rPr>
          <w:rFonts w:asciiTheme="minorEastAsia" w:hAnsiTheme="minorEastAsia" w:eastAsiaTheme="minorEastAsia"/>
          <w:sz w:val="24"/>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发出的所有通知、文件、材料，均视为已向对方当事人送达；任何一方变更上述送达方式或者地址的，应于</w:t>
      </w:r>
      <w:r>
        <w:rPr>
          <w:rFonts w:asciiTheme="minorEastAsia" w:hAnsiTheme="minorEastAsia" w:eastAsiaTheme="minorEastAsia"/>
          <w:sz w:val="24"/>
          <w:u w:val="single"/>
        </w:rPr>
        <w:t>3</w:t>
      </w:r>
      <w:r>
        <w:rPr>
          <w:rFonts w:hint="eastAsia" w:asciiTheme="minorEastAsia" w:hAnsiTheme="minorEastAsia" w:eastAsiaTheme="minorEastAsia"/>
          <w:sz w:val="24"/>
        </w:rPr>
        <w:t>个工作日内书面通知对方当事人，在对方当事人收到有关变更通知之前，变更前的约定送达方式或者地址仍视为有效。</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2.17.2以当面交付方式送达的，交付之时视为送达；以电子邮件方式送达的，发出电子邮件之时视为送达；以传真方式送达的，发出传真之时视为送达；以邮寄方式送达</w:t>
      </w:r>
      <w:r>
        <w:rPr>
          <w:rFonts w:hint="eastAsia" w:asciiTheme="minorEastAsia" w:hAnsiTheme="minorEastAsia" w:eastAsiaTheme="minorEastAsia"/>
          <w:sz w:val="24"/>
        </w:rPr>
        <w:t>的，邮件挂号寄出或者交邮之日之次日视为送达。</w:t>
      </w:r>
      <w:bookmarkEnd w:id="508"/>
      <w:bookmarkEnd w:id="509"/>
    </w:p>
    <w:p>
      <w:pPr>
        <w:spacing w:line="560" w:lineRule="exact"/>
        <w:ind w:firstLine="482" w:firstLineChars="200"/>
        <w:outlineLvl w:val="0"/>
        <w:rPr>
          <w:rFonts w:asciiTheme="minorEastAsia" w:hAnsiTheme="minorEastAsia" w:eastAsiaTheme="minorEastAsia"/>
          <w:b/>
          <w:sz w:val="24"/>
        </w:rPr>
      </w:pPr>
      <w:bookmarkStart w:id="510" w:name="_Toc20808"/>
      <w:bookmarkStart w:id="511" w:name="_Toc12254"/>
      <w:bookmarkStart w:id="512" w:name="_Toc28906"/>
      <w:bookmarkStart w:id="513" w:name="_Toc27644"/>
      <w:bookmarkStart w:id="514" w:name="_Toc5063"/>
      <w:r>
        <w:rPr>
          <w:rFonts w:asciiTheme="minorEastAsia" w:hAnsiTheme="minorEastAsia" w:eastAsiaTheme="minorEastAsia"/>
          <w:b/>
          <w:sz w:val="24"/>
        </w:rPr>
        <w:t xml:space="preserve">2.17 </w:t>
      </w:r>
      <w:r>
        <w:rPr>
          <w:rFonts w:hint="eastAsia" w:asciiTheme="minorEastAsia" w:hAnsiTheme="minorEastAsia" w:eastAsiaTheme="minorEastAsia"/>
          <w:b/>
          <w:sz w:val="24"/>
        </w:rPr>
        <w:t>合同使用的文字和</w:t>
      </w:r>
      <w:r>
        <w:rPr>
          <w:rFonts w:asciiTheme="minorEastAsia" w:hAnsiTheme="minorEastAsia" w:eastAsiaTheme="minorEastAsia"/>
          <w:b/>
          <w:sz w:val="24"/>
        </w:rPr>
        <w:t>适用的法律</w:t>
      </w:r>
      <w:bookmarkEnd w:id="510"/>
      <w:bookmarkEnd w:id="511"/>
      <w:bookmarkEnd w:id="512"/>
      <w:bookmarkEnd w:id="513"/>
      <w:bookmarkEnd w:id="514"/>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2.17.1 合同使用汉语书就</w:t>
      </w:r>
      <w:r>
        <w:rPr>
          <w:rFonts w:hint="eastAsia" w:asciiTheme="minorEastAsia" w:hAnsiTheme="minorEastAsia" w:eastAsiaTheme="minorEastAsia"/>
          <w:sz w:val="24"/>
        </w:rPr>
        <w:t>、</w:t>
      </w:r>
      <w:r>
        <w:rPr>
          <w:rFonts w:asciiTheme="minorEastAsia" w:hAnsiTheme="minorEastAsia" w:eastAsiaTheme="minorEastAsia"/>
          <w:sz w:val="24"/>
        </w:rPr>
        <w:t>变更和解释</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2.17.2 </w:t>
      </w:r>
      <w:r>
        <w:rPr>
          <w:rFonts w:hint="eastAsia" w:asciiTheme="minorEastAsia" w:hAnsiTheme="minorEastAsia" w:eastAsiaTheme="minorEastAsia"/>
          <w:sz w:val="24"/>
        </w:rPr>
        <w:t>合同适用</w:t>
      </w:r>
      <w:r>
        <w:rPr>
          <w:rFonts w:asciiTheme="minorEastAsia" w:hAnsiTheme="minorEastAsia" w:eastAsiaTheme="minorEastAsia"/>
          <w:sz w:val="24"/>
        </w:rPr>
        <w:t>中华人民共和国法律。</w:t>
      </w:r>
    </w:p>
    <w:p>
      <w:pPr>
        <w:spacing w:line="560" w:lineRule="exact"/>
        <w:ind w:firstLine="482" w:firstLineChars="200"/>
        <w:outlineLvl w:val="0"/>
        <w:rPr>
          <w:rFonts w:asciiTheme="minorEastAsia" w:hAnsiTheme="minorEastAsia" w:eastAsiaTheme="minorEastAsia"/>
          <w:b/>
          <w:sz w:val="24"/>
        </w:rPr>
      </w:pPr>
      <w:bookmarkStart w:id="515" w:name="_Toc27403"/>
      <w:bookmarkStart w:id="516" w:name="_Toc1492"/>
      <w:bookmarkStart w:id="517" w:name="_Toc30096"/>
      <w:bookmarkStart w:id="518" w:name="_Toc22266"/>
      <w:bookmarkStart w:id="519" w:name="_Toc27127"/>
      <w:r>
        <w:rPr>
          <w:rFonts w:asciiTheme="minorEastAsia" w:hAnsiTheme="minorEastAsia" w:eastAsiaTheme="minorEastAsia"/>
          <w:b/>
          <w:sz w:val="24"/>
        </w:rPr>
        <w:t>2.18 履约保证金</w:t>
      </w:r>
      <w:bookmarkEnd w:id="515"/>
      <w:bookmarkEnd w:id="516"/>
      <w:bookmarkEnd w:id="517"/>
      <w:bookmarkEnd w:id="518"/>
      <w:bookmarkEnd w:id="519"/>
    </w:p>
    <w:p>
      <w:pPr>
        <w:pStyle w:val="957"/>
        <w:spacing w:before="0" w:beforeAutospacing="0" w:after="0" w:afterAutospacing="0" w:line="360" w:lineRule="auto"/>
        <w:ind w:firstLine="420"/>
        <w:rPr>
          <w:rFonts w:asciiTheme="minorEastAsia" w:hAnsiTheme="minorEastAsia" w:eastAsiaTheme="minorEastAsia"/>
        </w:rPr>
      </w:pPr>
      <w:r>
        <w:rPr>
          <w:rFonts w:asciiTheme="minorEastAsia" w:hAnsiTheme="minorEastAsia" w:eastAsiaTheme="minorEastAsia"/>
        </w:rPr>
        <w:t xml:space="preserve">2.18.1 </w:t>
      </w:r>
      <w:r>
        <w:rPr>
          <w:rFonts w:hint="eastAsia" w:asciiTheme="minorEastAsia" w:hAnsiTheme="minorEastAsia" w:eastAsiaTheme="minorEastAsia"/>
        </w:rPr>
        <w:t>采购文件要求乙方提交履约保证金的，乙方应按</w:t>
      </w:r>
      <w:r>
        <w:rPr>
          <w:rFonts w:hint="eastAsia" w:asciiTheme="minorEastAsia" w:hAnsiTheme="minorEastAsia" w:eastAsiaTheme="minorEastAsia"/>
          <w:b/>
          <w:i/>
          <w:u w:val="single"/>
        </w:rPr>
        <w:t>合同专用条款</w:t>
      </w:r>
      <w:r>
        <w:rPr>
          <w:rFonts w:hint="eastAsia" w:asciiTheme="minorEastAsia" w:hAnsiTheme="minorEastAsia" w:eastAsiaTheme="minorEastAsia"/>
        </w:rPr>
        <w:t>约定的方式，以支票、汇票、本票或者金融机构、担保机构出具的保函等非现金形式，提交不超过合同金额</w:t>
      </w:r>
      <w:r>
        <w:rPr>
          <w:rFonts w:hint="eastAsia" w:asciiTheme="minorEastAsia" w:hAnsiTheme="minorEastAsia" w:eastAsiaTheme="minorEastAsia"/>
          <w:highlight w:val="none"/>
          <w:lang w:val="en-US" w:eastAsia="zh-CN"/>
        </w:rPr>
        <w:t>1</w:t>
      </w:r>
      <w:r>
        <w:rPr>
          <w:rFonts w:asciiTheme="minorEastAsia" w:hAnsiTheme="minorEastAsia" w:eastAsiaTheme="minorEastAsia"/>
          <w:highlight w:val="none"/>
        </w:rPr>
        <w:t>%</w:t>
      </w:r>
      <w:r>
        <w:rPr>
          <w:rFonts w:asciiTheme="minorEastAsia" w:hAnsiTheme="minorEastAsia" w:eastAsiaTheme="minorEastAsia"/>
        </w:rPr>
        <w:t>的履约保证金；鼓励和支持乙方以银行、保险公司出具的保函形式提供履约保证</w:t>
      </w:r>
      <w:r>
        <w:rPr>
          <w:rFonts w:hint="eastAsia" w:asciiTheme="minorEastAsia" w:hAnsiTheme="minorEastAsia" w:eastAsiaTheme="minorEastAsia"/>
        </w:rPr>
        <w:t>，</w:t>
      </w:r>
      <w:r>
        <w:rPr>
          <w:rFonts w:hint="eastAsia" w:asciiTheme="minorEastAsia" w:hAnsiTheme="minorEastAsia" w:eastAsiaTheme="minorEastAsia"/>
          <w:highlight w:val="none"/>
        </w:rPr>
        <w:t>乙方以银行、保险公司出具保函形式提交履约保证金的，甲方不得拒收。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2.18.2  </w:t>
      </w:r>
      <w:r>
        <w:rPr>
          <w:rFonts w:hint="eastAsia" w:asciiTheme="minorEastAsia" w:hAnsiTheme="minorEastAsia" w:eastAsiaTheme="minorEastAsia"/>
          <w:sz w:val="24"/>
          <w:highlight w:val="none"/>
        </w:rPr>
        <w:t>甲方在项目验收结束后及时退还履约保证金</w:t>
      </w:r>
      <w:r>
        <w:rPr>
          <w:rFonts w:hint="eastAsia" w:asciiTheme="minorEastAsia" w:hAnsiTheme="minorEastAsia" w:eastAsiaTheme="minorEastAsia"/>
          <w:sz w:val="24"/>
        </w:rPr>
        <w:t>。甲方在</w:t>
      </w:r>
      <w:r>
        <w:rPr>
          <w:rFonts w:hint="eastAsia" w:asciiTheme="minorEastAsia" w:hAnsiTheme="minorEastAsia" w:eastAsiaTheme="minorEastAsia"/>
          <w:sz w:val="24"/>
          <w:highlight w:val="none"/>
        </w:rPr>
        <w:t>项目通过验收</w:t>
      </w:r>
      <w:r>
        <w:rPr>
          <w:rFonts w:hint="eastAsia" w:asciiTheme="minorEastAsia" w:hAnsiTheme="minorEastAsia" w:eastAsiaTheme="minorEastAsia"/>
          <w:sz w:val="24"/>
        </w:rPr>
        <w:t>之日起</w:t>
      </w:r>
      <w:r>
        <w:rPr>
          <w:rFonts w:asciiTheme="minorEastAsia" w:hAnsiTheme="minorEastAsia" w:eastAsiaTheme="minorEastAsia"/>
          <w:sz w:val="24"/>
          <w:u w:val="single"/>
        </w:rPr>
        <w:t xml:space="preserve"> 5 </w:t>
      </w:r>
      <w:r>
        <w:rPr>
          <w:rFonts w:hint="eastAsia" w:asciiTheme="minorEastAsia" w:hAnsiTheme="minorEastAsia" w:eastAsiaTheme="minorEastAsia"/>
          <w:sz w:val="24"/>
        </w:rPr>
        <w:t>个工作日内，按</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约定的方式将履约保证金退还乙方，逾期退还的，乙方可要求甲方支付违约金，违约金按每迟延退还一日的应退还而未退还金额的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%计算，最高限额为本合同履约保证金的</w:t>
      </w:r>
      <w:r>
        <w:rPr>
          <w:rFonts w:asciiTheme="minorEastAsia" w:hAnsiTheme="minorEastAsia" w:eastAsiaTheme="minorEastAsia"/>
          <w:sz w:val="24"/>
          <w:u w:val="single"/>
        </w:rPr>
        <w:t xml:space="preserve">  20   </w:t>
      </w:r>
      <w:r>
        <w:rPr>
          <w:rFonts w:asciiTheme="minorEastAsia" w:hAnsiTheme="minorEastAsia" w:eastAsiaTheme="minorEastAsia"/>
          <w:sz w:val="24"/>
        </w:rPr>
        <w:t xml:space="preserve">%； </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2.18.3 </w:t>
      </w:r>
      <w:r>
        <w:rPr>
          <w:rFonts w:hint="eastAsia" w:asciiTheme="minorEastAsia" w:hAnsiTheme="minorEastAsia" w:eastAsiaTheme="minorEastAsia"/>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2.18.4</w:t>
      </w:r>
      <w:r>
        <w:rPr>
          <w:rFonts w:hint="eastAsia" w:asciiTheme="minorEastAsia" w:hAnsiTheme="minorEastAsia" w:eastAsiaTheme="minorEastAsia"/>
          <w:sz w:val="24"/>
        </w:rPr>
        <w:t> 甲方根据杭州市政府采购网公布的供应商履约评价情况减免履约保证金。乙方履约验收评价总分为</w:t>
      </w:r>
      <w:r>
        <w:rPr>
          <w:rFonts w:asciiTheme="minorEastAsia" w:hAnsiTheme="minorEastAsia" w:eastAsiaTheme="minorEastAsia"/>
          <w:sz w:val="24"/>
        </w:rPr>
        <w:t>100分的，甲方免收履约保证金；评价总分在90分以上的，收取履约保证金</w:t>
      </w:r>
      <w:r>
        <w:rPr>
          <w:rFonts w:hint="eastAsia" w:asciiTheme="minorEastAsia" w:hAnsiTheme="minorEastAsia" w:eastAsiaTheme="minorEastAsia"/>
          <w:sz w:val="24"/>
        </w:rPr>
        <w:t>为</w:t>
      </w:r>
      <w:r>
        <w:rPr>
          <w:rFonts w:asciiTheme="minorEastAsia" w:hAnsiTheme="minorEastAsia" w:eastAsiaTheme="minorEastAsia"/>
          <w:sz w:val="24"/>
        </w:rPr>
        <w:t>合同金额2%；评价总分在不满90分或者暂无评分的，收取履约保证金</w:t>
      </w:r>
      <w:r>
        <w:rPr>
          <w:rFonts w:hint="eastAsia" w:asciiTheme="minorEastAsia" w:hAnsiTheme="minorEastAsia" w:eastAsiaTheme="minorEastAsia"/>
          <w:sz w:val="24"/>
        </w:rPr>
        <w:t>为</w:t>
      </w:r>
      <w:r>
        <w:rPr>
          <w:rFonts w:asciiTheme="minorEastAsia" w:hAnsiTheme="minorEastAsia" w:eastAsiaTheme="minorEastAsia"/>
          <w:sz w:val="24"/>
        </w:rPr>
        <w:t>合同金额</w:t>
      </w:r>
      <w:r>
        <w:rPr>
          <w:rFonts w:hint="eastAsia" w:asciiTheme="minorEastAsia" w:hAnsiTheme="minorEastAsia" w:eastAsiaTheme="minorEastAsia"/>
          <w:sz w:val="24"/>
          <w:highlight w:val="none"/>
          <w:lang w:val="en-US" w:eastAsia="zh-CN"/>
        </w:rPr>
        <w:t>1</w:t>
      </w:r>
      <w:r>
        <w:rPr>
          <w:rFonts w:asciiTheme="minorEastAsia" w:hAnsiTheme="minorEastAsia" w:eastAsiaTheme="minorEastAsia"/>
          <w:sz w:val="24"/>
        </w:rPr>
        <w:t>%。</w:t>
      </w:r>
    </w:p>
    <w:p>
      <w:pPr>
        <w:spacing w:line="560" w:lineRule="exact"/>
        <w:ind w:firstLine="480" w:firstLineChars="200"/>
        <w:rPr>
          <w:rFonts w:asciiTheme="minorEastAsia" w:hAnsiTheme="minorEastAsia" w:eastAsiaTheme="minorEastAsia"/>
        </w:rPr>
      </w:pPr>
      <w:r>
        <w:rPr>
          <w:rFonts w:asciiTheme="minorEastAsia" w:hAnsiTheme="minorEastAsia" w:eastAsiaTheme="minorEastAsia"/>
          <w:sz w:val="24"/>
        </w:rPr>
        <w:t>2.18.5</w:t>
      </w:r>
      <w:r>
        <w:rPr>
          <w:rFonts w:hint="eastAsia" w:asciiTheme="minorEastAsia" w:hAnsiTheme="minorEastAsia" w:eastAsiaTheme="minorEastAsia"/>
          <w:sz w:val="24"/>
        </w:rPr>
        <w:t>甲方</w:t>
      </w:r>
      <w:r>
        <w:rPr>
          <w:rFonts w:asciiTheme="minorEastAsia" w:hAnsiTheme="minorEastAsia" w:eastAsiaTheme="minorEastAsia"/>
          <w:sz w:val="24"/>
        </w:rPr>
        <w:t>在</w:t>
      </w:r>
      <w:r>
        <w:rPr>
          <w:rFonts w:hint="eastAsia" w:asciiTheme="minorEastAsia" w:hAnsiTheme="minorEastAsia" w:eastAsiaTheme="minorEastAsia"/>
          <w:sz w:val="24"/>
        </w:rPr>
        <w:t>乙方</w:t>
      </w:r>
      <w:r>
        <w:rPr>
          <w:rFonts w:asciiTheme="minorEastAsia" w:hAnsiTheme="minorEastAsia" w:eastAsiaTheme="minorEastAsia"/>
          <w:sz w:val="24"/>
        </w:rPr>
        <w:t>履行完合同约定义务事项后及时退还，延迟退还的，应当按照合同约定和法律规定承担相应的赔偿责任。</w:t>
      </w:r>
    </w:p>
    <w:p>
      <w:pPr>
        <w:spacing w:line="560" w:lineRule="exact"/>
        <w:ind w:firstLine="482" w:firstLineChars="200"/>
        <w:rPr>
          <w:rFonts w:asciiTheme="minorEastAsia" w:hAnsiTheme="minorEastAsia" w:eastAsiaTheme="minorEastAsia"/>
          <w:sz w:val="24"/>
        </w:rPr>
      </w:pPr>
      <w:r>
        <w:rPr>
          <w:rFonts w:asciiTheme="minorEastAsia" w:hAnsiTheme="minorEastAsia" w:eastAsiaTheme="minorEastAsia"/>
          <w:b/>
          <w:bCs/>
          <w:sz w:val="24"/>
        </w:rPr>
        <w:t>2.19</w:t>
      </w:r>
      <w:r>
        <w:rPr>
          <w:rFonts w:asciiTheme="minorEastAsia" w:hAnsiTheme="minorEastAsia" w:eastAsiaTheme="minorEastAsia"/>
          <w:sz w:val="24"/>
        </w:rPr>
        <w:t>对于因甲方原因导致变更、中止或者终止政府采购合同的，甲方应当依照合同约定对供应商受到的损失予以赔偿或者补偿</w:t>
      </w:r>
      <w:r>
        <w:rPr>
          <w:rFonts w:hint="eastAsia" w:asciiTheme="minorEastAsia" w:hAnsiTheme="minorEastAsia" w:eastAsiaTheme="minorEastAsia"/>
          <w:sz w:val="24"/>
        </w:rPr>
        <w:t>。</w:t>
      </w:r>
    </w:p>
    <w:p>
      <w:pPr>
        <w:spacing w:line="560" w:lineRule="exact"/>
        <w:ind w:firstLine="482" w:firstLineChars="200"/>
        <w:rPr>
          <w:rFonts w:asciiTheme="minorEastAsia" w:hAnsiTheme="minorEastAsia" w:eastAsiaTheme="minorEastAsia"/>
          <w:b/>
          <w:sz w:val="24"/>
        </w:rPr>
      </w:pPr>
      <w:r>
        <w:rPr>
          <w:rFonts w:asciiTheme="minorEastAsia" w:hAnsiTheme="minorEastAsia" w:eastAsiaTheme="minorEastAsia"/>
          <w:b/>
          <w:sz w:val="24"/>
        </w:rPr>
        <w:t>2.20合同份数</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合同份数按</w:t>
      </w:r>
      <w:r>
        <w:rPr>
          <w:rFonts w:asciiTheme="minorEastAsia" w:hAnsiTheme="minorEastAsia" w:eastAsiaTheme="minorEastAsia"/>
          <w:b/>
          <w:i/>
          <w:sz w:val="24"/>
          <w:u w:val="single"/>
        </w:rPr>
        <w:t>合同专用条款</w:t>
      </w:r>
      <w:r>
        <w:rPr>
          <w:rFonts w:asciiTheme="minorEastAsia" w:hAnsiTheme="minorEastAsia" w:eastAsiaTheme="minorEastAsia"/>
          <w:sz w:val="24"/>
        </w:rPr>
        <w:t>规定</w:t>
      </w:r>
      <w:r>
        <w:rPr>
          <w:rFonts w:hint="eastAsia" w:asciiTheme="minorEastAsia" w:hAnsiTheme="minorEastAsia" w:eastAsiaTheme="minorEastAsia"/>
          <w:sz w:val="24"/>
        </w:rPr>
        <w:t>，</w:t>
      </w:r>
      <w:r>
        <w:rPr>
          <w:rFonts w:asciiTheme="minorEastAsia" w:hAnsiTheme="minorEastAsia" w:eastAsiaTheme="minorEastAsia"/>
          <w:sz w:val="24"/>
        </w:rPr>
        <w:t>每份均具有同等法律效力</w:t>
      </w:r>
      <w:r>
        <w:rPr>
          <w:rFonts w:hint="eastAsia" w:asciiTheme="minorEastAsia" w:hAnsiTheme="minorEastAsia" w:eastAsiaTheme="minorEastAsia"/>
          <w:sz w:val="24"/>
        </w:rPr>
        <w:t>。</w:t>
      </w:r>
    </w:p>
    <w:p>
      <w:pPr>
        <w:spacing w:line="560" w:lineRule="exact"/>
        <w:ind w:firstLine="480" w:firstLineChars="200"/>
        <w:rPr>
          <w:rFonts w:ascii="宋体" w:hAnsi="宋体" w:cs="宋体"/>
          <w:sz w:val="24"/>
        </w:rPr>
      </w:pPr>
      <w:r>
        <w:rPr>
          <w:rFonts w:hint="eastAsia" w:ascii="宋体" w:hAnsi="宋体" w:cs="宋体"/>
          <w:sz w:val="24"/>
        </w:rPr>
        <w:t>。</w:t>
      </w:r>
    </w:p>
    <w:p>
      <w:pPr>
        <w:pStyle w:val="699"/>
        <w:spacing w:line="560" w:lineRule="exact"/>
        <w:jc w:val="center"/>
        <w:rPr>
          <w:rFonts w:ascii="宋体" w:hAnsi="宋体" w:cs="宋体"/>
          <w:b/>
          <w:szCs w:val="24"/>
        </w:rPr>
      </w:pPr>
      <w:r>
        <w:rPr>
          <w:rFonts w:hint="eastAsia" w:ascii="宋体" w:hAnsi="宋体" w:cs="宋体"/>
          <w:kern w:val="0"/>
          <w:szCs w:val="24"/>
        </w:rPr>
        <w:br w:type="page"/>
      </w:r>
      <w:bookmarkStart w:id="520" w:name="_Toc331685784"/>
      <w:r>
        <w:rPr>
          <w:rFonts w:hint="eastAsia" w:ascii="宋体" w:hAnsi="宋体" w:cs="宋体"/>
          <w:b/>
          <w:szCs w:val="24"/>
        </w:rPr>
        <w:t xml:space="preserve"> </w:t>
      </w:r>
      <w:bookmarkEnd w:id="520"/>
      <w:r>
        <w:rPr>
          <w:rFonts w:hint="eastAsia" w:ascii="宋体" w:hAnsi="宋体" w:cs="宋体"/>
          <w:b/>
          <w:szCs w:val="24"/>
        </w:rPr>
        <w:t>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534"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1.4.4</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1.6.7</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53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53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534" w:type="pct"/>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w:t>
            </w:r>
            <w:r>
              <w:rPr>
                <w:rFonts w:ascii="宋体" w:hAnsi="宋体" w:cs="宋体"/>
                <w:sz w:val="24"/>
              </w:rPr>
              <w:t>8</w:t>
            </w:r>
            <w:r>
              <w:rPr>
                <w:rFonts w:hint="eastAsia" w:ascii="宋体" w:hAnsi="宋体" w:cs="宋体"/>
                <w:sz w:val="24"/>
              </w:rPr>
              <w:t>.1</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w:t>
            </w:r>
            <w:r>
              <w:rPr>
                <w:rFonts w:ascii="宋体" w:hAnsi="宋体" w:cs="宋体"/>
                <w:sz w:val="24"/>
              </w:rPr>
              <w:t>8</w:t>
            </w:r>
            <w:r>
              <w:rPr>
                <w:rFonts w:hint="eastAsia" w:ascii="宋体" w:hAnsi="宋体" w:cs="宋体"/>
                <w:sz w:val="24"/>
              </w:rPr>
              <w:t>.</w:t>
            </w:r>
            <w:r>
              <w:rPr>
                <w:rFonts w:ascii="宋体" w:hAnsi="宋体" w:cs="宋体"/>
                <w:sz w:val="24"/>
              </w:rPr>
              <w:t>2</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pPr>
              <w:spacing w:line="360" w:lineRule="auto"/>
              <w:rPr>
                <w:rFonts w:ascii="宋体" w:hAnsi="宋体" w:cs="宋体"/>
                <w:sz w:val="24"/>
              </w:rPr>
            </w:pPr>
            <w:r>
              <w:rPr>
                <w:rFonts w:hint="eastAsia" w:ascii="宋体" w:hAnsi="宋体" w:cs="宋体"/>
                <w:sz w:val="24"/>
              </w:rPr>
              <w:t>2.20</w:t>
            </w:r>
          </w:p>
        </w:tc>
        <w:tc>
          <w:tcPr>
            <w:tcW w:w="4534" w:type="pct"/>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rPr>
                <w:rFonts w:ascii="宋体" w:hAnsi="宋体" w:cs="宋体"/>
                <w:sz w:val="24"/>
              </w:rPr>
            </w:pP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sz w:val="24"/>
              </w:rPr>
            </w:pPr>
          </w:p>
        </w:tc>
        <w:tc>
          <w:tcPr>
            <w:tcW w:w="4534" w:type="pct"/>
            <w:vAlign w:val="center"/>
          </w:tcPr>
          <w:p>
            <w:pPr>
              <w:spacing w:line="360" w:lineRule="auto"/>
              <w:rPr>
                <w:rFonts w:ascii="宋体" w:hAnsi="宋体" w:cs="宋体"/>
                <w:sz w:val="24"/>
              </w:rPr>
            </w:pPr>
          </w:p>
        </w:tc>
      </w:tr>
    </w:tbl>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rPr>
          <w:rFonts w:ascii="仿宋" w:hAnsi="仿宋" w:eastAsia="仿宋"/>
          <w:sz w:val="24"/>
        </w:rPr>
      </w:pPr>
    </w:p>
    <w:p>
      <w:pPr>
        <w:spacing w:line="360" w:lineRule="auto"/>
        <w:ind w:left="-420" w:leftChars="-200" w:right="-420" w:rightChars="-200" w:firstLine="480" w:firstLineChars="200"/>
        <w:jc w:val="center"/>
        <w:outlineLvl w:val="0"/>
        <w:rPr>
          <w:rFonts w:ascii="仿宋" w:hAnsi="仿宋" w:eastAsia="仿宋"/>
          <w:sz w:val="24"/>
        </w:rPr>
      </w:pPr>
    </w:p>
    <w:p>
      <w:pPr>
        <w:spacing w:line="360" w:lineRule="auto"/>
        <w:ind w:left="-420" w:leftChars="-200" w:right="-420" w:rightChars="-200" w:firstLine="480" w:firstLineChars="200"/>
        <w:jc w:val="center"/>
        <w:outlineLvl w:val="0"/>
        <w:rPr>
          <w:rFonts w:ascii="仿宋" w:hAnsi="仿宋" w:eastAsia="仿宋"/>
          <w:sz w:val="24"/>
        </w:rPr>
      </w:pP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407"/>
      <w:r>
        <w:rPr>
          <w:rFonts w:ascii="仿宋" w:hAnsi="仿宋" w:eastAsia="仿宋" w:cs="仿宋_GB2312"/>
          <w:b/>
          <w:sz w:val="36"/>
          <w:szCs w:val="20"/>
        </w:rPr>
        <w:t xml:space="preserve"> </w:t>
      </w:r>
      <w:bookmarkEnd w:id="408"/>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w:t>
      </w:r>
      <w:r>
        <w:rPr>
          <w:rFonts w:hint="eastAsia" w:ascii="仿宋_GB2312" w:hAnsi="仿宋" w:eastAsia="仿宋_GB2312" w:cs="仿宋_GB2312"/>
          <w:sz w:val="24"/>
          <w:lang w:val="en-US" w:eastAsia="zh-CN"/>
        </w:rPr>
        <w:t>44</w:t>
      </w:r>
      <w:r>
        <w:rPr>
          <w:rFonts w:hint="eastAsia"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hint="eastAsia" w:ascii="仿宋_GB2312" w:hAnsi="仿宋" w:eastAsia="仿宋_GB2312"/>
          <w:sz w:val="24"/>
          <w:lang w:eastAsia="zh-CN"/>
        </w:rPr>
        <w:t>(</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w:t>
      </w:r>
      <w:r>
        <w:rPr>
          <w:rFonts w:hint="eastAsia" w:cs="仿宋_GB2312"/>
          <w:lang w:val="en-US" w:eastAsia="zh-CN"/>
        </w:rPr>
        <w:t>46</w:t>
      </w:r>
      <w:r>
        <w:rPr>
          <w:rFonts w:hint="eastAsia" w:cs="仿宋_GB2312"/>
        </w:rPr>
        <w:t>）</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w:t>
      </w:r>
      <w:r>
        <w:rPr>
          <w:rFonts w:hint="eastAsia" w:cs="仿宋_GB2312"/>
          <w:lang w:val="en-US" w:eastAsia="zh-CN"/>
        </w:rPr>
        <w:t>48</w:t>
      </w:r>
      <w:r>
        <w:rPr>
          <w:rFonts w:hint="eastAsia" w:cs="仿宋_GB2312"/>
        </w:rPr>
        <w:t>）</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3）符合性审查资料</w:t>
      </w:r>
      <w:r>
        <w:rPr>
          <w:rFonts w:hint="eastAsia" w:cs="仿宋_GB2312"/>
        </w:rPr>
        <w:t>………………………………………………………………………（</w:t>
      </w:r>
      <w:r>
        <w:rPr>
          <w:rFonts w:hint="eastAsia" w:cs="仿宋_GB2312"/>
          <w:lang w:val="en-US" w:eastAsia="zh-CN"/>
        </w:rPr>
        <w:t>50</w:t>
      </w:r>
      <w:r>
        <w:rPr>
          <w:rFonts w:hint="eastAsia" w:cs="仿宋_GB2312"/>
        </w:rPr>
        <w:t>）</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4）评标标准相应的商务技术资料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cs="仿宋_GB2312"/>
          <w:lang w:val="en-US" w:eastAsia="zh-CN"/>
        </w:rPr>
        <w:t xml:space="preserve"> </w:t>
      </w:r>
      <w:r>
        <w:rPr>
          <w:rFonts w:hint="eastAsia" w:cs="仿宋_GB2312"/>
        </w:rPr>
        <w:t>（</w:t>
      </w:r>
      <w:r>
        <w:rPr>
          <w:rFonts w:hint="eastAsia" w:cs="仿宋_GB2312"/>
          <w:lang w:val="en-US" w:eastAsia="zh-CN"/>
        </w:rPr>
        <w:t>51</w:t>
      </w:r>
      <w:r>
        <w:rPr>
          <w:rFonts w:hint="eastAsia" w:cs="仿宋_GB2312"/>
        </w:rPr>
        <w:t>）</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lang w:val="en-US" w:eastAsia="zh-CN"/>
        </w:rPr>
        <w:t>5</w:t>
      </w:r>
      <w:r>
        <w:rPr>
          <w:rFonts w:hint="eastAsia" w:ascii="仿宋_GB2312" w:hAnsi="仿宋" w:eastAsia="仿宋_GB2312" w:cs="仿宋_GB2312"/>
          <w:sz w:val="24"/>
          <w:lang w:val="zh-CN"/>
        </w:rPr>
        <w:t>）政府采购供应商廉洁自律承诺书</w:t>
      </w:r>
      <w:r>
        <w:rPr>
          <w:rFonts w:hint="eastAsia" w:cs="仿宋_GB2312"/>
        </w:rPr>
        <w:t>…………………………………………………（</w:t>
      </w:r>
      <w:r>
        <w:rPr>
          <w:rFonts w:hint="eastAsia" w:cs="仿宋_GB2312"/>
          <w:lang w:val="en-US" w:eastAsia="zh-CN"/>
        </w:rPr>
        <w:t>52</w:t>
      </w:r>
      <w:r>
        <w:rPr>
          <w:rFonts w:hint="eastAsia" w:cs="仿宋_GB2312"/>
        </w:rPr>
        <w:t>）</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lang w:val="en-US" w:eastAsia="zh-CN"/>
        </w:rPr>
        <w:t>6</w:t>
      </w:r>
      <w:r>
        <w:rPr>
          <w:rFonts w:hint="eastAsia" w:ascii="仿宋_GB2312" w:hAnsi="仿宋" w:eastAsia="仿宋_GB2312" w:cs="仿宋_GB2312"/>
          <w:sz w:val="24"/>
          <w:lang w:val="zh-CN"/>
        </w:rPr>
        <w:t>）评分对应表</w:t>
      </w:r>
      <w:r>
        <w:rPr>
          <w:rFonts w:hint="eastAsia" w:cs="仿宋_GB2312"/>
        </w:rPr>
        <w:t>……………………………………………………………………………（</w:t>
      </w:r>
      <w:r>
        <w:rPr>
          <w:rFonts w:hint="eastAsia" w:cs="仿宋_GB2312"/>
          <w:lang w:val="en-US" w:eastAsia="zh-CN"/>
        </w:rPr>
        <w:t>53</w:t>
      </w:r>
      <w:r>
        <w:rPr>
          <w:rFonts w:hint="eastAsia" w:cs="仿宋_GB2312"/>
        </w:rPr>
        <w:t>）</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pStyle w:val="61"/>
        <w:ind w:firstLine="420"/>
      </w:pPr>
    </w:p>
    <w:p>
      <w:pPr>
        <w:rPr>
          <w:rFonts w:hint="eastAsia"/>
        </w:rPr>
      </w:pPr>
    </w:p>
    <w:p>
      <w:pPr>
        <w:snapToGrid w:val="0"/>
        <w:spacing w:line="360" w:lineRule="auto"/>
        <w:jc w:val="center"/>
        <w:outlineLvl w:val="0"/>
        <w:rPr>
          <w:rFonts w:ascii="仿宋_GB2312" w:hAnsi="仿宋" w:eastAsia="仿宋_GB2312" w:cs="仿宋_GB2312"/>
          <w:b/>
          <w:kern w:val="0"/>
          <w:sz w:val="32"/>
          <w:szCs w:val="32"/>
        </w:rPr>
      </w:pPr>
    </w:p>
    <w:p>
      <w:pPr>
        <w:pStyle w:val="46"/>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hint="eastAsia" w:ascii="仿宋_GB2312" w:hAnsi="仿宋" w:eastAsia="仿宋_GB2312" w:cs="仿宋_GB2312"/>
          <w:sz w:val="24"/>
          <w:lang w:eastAsia="zh-CN"/>
        </w:rPr>
        <w:t>：</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pStyle w:val="61"/>
        <w:ind w:firstLine="420"/>
        <w:rPr>
          <w:rFonts w:hint="eastAsia"/>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电子签名</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kern w:val="0"/>
          <w:sz w:val="24"/>
          <w:lang w:val="zh-CN"/>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46"/>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146"/>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电子签名</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snapToGrid w:val="0"/>
        <w:spacing w:line="360" w:lineRule="auto"/>
        <w:ind w:right="480"/>
        <w:rPr>
          <w:rFonts w:ascii="仿宋_GB2312" w:hAnsi="仿宋" w:eastAsia="仿宋_GB2312" w:cs="仿宋_GB2312"/>
          <w:b/>
          <w:kern w:val="0"/>
          <w:sz w:val="32"/>
          <w:szCs w:val="32"/>
          <w:lang w:val="zh-CN"/>
        </w:rPr>
        <w:sectPr>
          <w:headerReference r:id="rId12" w:type="first"/>
          <w:footerReference r:id="rId14" w:type="first"/>
          <w:headerReference r:id="rId11" w:type="default"/>
          <w:footerReference r:id="rId13"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三、符合性审查资料</w:t>
      </w:r>
    </w:p>
    <w:p>
      <w:pPr>
        <w:jc w:val="center"/>
        <w:rPr>
          <w:rFonts w:ascii="仿宋_GB2312" w:hAnsi="仿宋" w:eastAsia="仿宋_GB2312" w:cs="仿宋_GB2312"/>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2551"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tcPr>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r>
              <w:rPr>
                <w:rFonts w:hint="eastAsia" w:ascii="仿宋" w:eastAsia="仿宋" w:cs="仿宋_GB2312"/>
                <w:sz w:val="24"/>
              </w:rPr>
              <w:t>第</w:t>
            </w:r>
            <w:r>
              <w:rPr>
                <w:rFonts w:ascii="仿宋" w:eastAsia="仿宋" w:cs="仿宋_GB2312"/>
                <w:sz w:val="24"/>
                <w:u w:val="single"/>
              </w:rPr>
              <w:t xml:space="preserve">  </w:t>
            </w:r>
            <w:r>
              <w:rPr>
                <w:rFonts w:hint="eastAsia" w:asci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rPr>
            </w:pPr>
            <w:r>
              <w:rPr>
                <w:rFonts w:hint="eastAsia" w:ascii="仿宋_GB2312" w:hAnsi="仿宋" w:eastAsia="仿宋_GB2312" w:cs="仿宋_GB2312"/>
                <w:sz w:val="24"/>
              </w:rPr>
              <w:t>节能产品认证证书（本项目</w:t>
            </w:r>
            <w:r>
              <w:rPr>
                <w:rFonts w:hint="eastAsia" w:ascii="仿宋_GB2312" w:hAnsi="仿宋" w:eastAsia="仿宋_GB2312"/>
                <w:sz w:val="24"/>
              </w:rPr>
              <w:t>拟采购的产品不属于政府强制采购的节能产品品目清单范围的</w:t>
            </w:r>
            <w:r>
              <w:rPr>
                <w:rFonts w:hint="eastAsia" w:ascii="仿宋_GB2312" w:hAnsi="仿宋" w:eastAsia="仿宋_GB2312" w:cs="仿宋_GB2312"/>
                <w:sz w:val="24"/>
              </w:rPr>
              <w:t>，无需提供）</w:t>
            </w:r>
          </w:p>
        </w:tc>
        <w:tc>
          <w:tcPr>
            <w:tcW w:w="1418" w:type="dxa"/>
          </w:tcPr>
          <w:p>
            <w:pPr>
              <w:rPr>
                <w:rFonts w:ascii="仿宋" w:hAnsi="仿宋" w:eastAsia="仿宋" w:cs="仿宋_GB2312"/>
                <w:sz w:val="24"/>
              </w:rPr>
            </w:pPr>
          </w:p>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pPr>
              <w:pStyle w:val="4"/>
              <w:rPr>
                <w:lang w:val="en-US"/>
              </w:rPr>
            </w:pPr>
            <w:r>
              <w:rPr>
                <w:rFonts w:hint="eastAsia" w:ascii="仿宋" w:eastAsia="仿宋" w:cs="仿宋_GB2312"/>
                <w:b w:val="0"/>
                <w:bCs w:val="0"/>
                <w:sz w:val="24"/>
                <w:szCs w:val="24"/>
                <w:lang w:val="en-US"/>
              </w:rPr>
              <w:t>第</w:t>
            </w:r>
            <w:r>
              <w:rPr>
                <w:rFonts w:ascii="仿宋" w:eastAsia="仿宋" w:cs="仿宋_GB2312"/>
                <w:b w:val="0"/>
                <w:bCs w:val="0"/>
                <w:sz w:val="24"/>
                <w:szCs w:val="24"/>
                <w:u w:val="single"/>
                <w:lang w:val="en-US"/>
              </w:rPr>
              <w:t xml:space="preserve">  </w:t>
            </w:r>
            <w:r>
              <w:rPr>
                <w:rFonts w:hint="eastAsia" w:ascii="仿宋" w:eastAsia="仿宋" w:cs="仿宋_GB2312"/>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sz w:val="24"/>
              </w:rPr>
              <w:t>投标文件中承诺的投标有效期不少于招标文件中载明的投标有效期。</w:t>
            </w:r>
          </w:p>
        </w:tc>
        <w:tc>
          <w:tcPr>
            <w:tcW w:w="2551" w:type="dxa"/>
            <w:vAlign w:val="center"/>
          </w:tcPr>
          <w:p>
            <w:pPr>
              <w:rPr>
                <w:rFonts w:ascii="仿宋" w:hAnsi="仿宋" w:eastAsia="仿宋"/>
                <w:sz w:val="24"/>
              </w:rPr>
            </w:pPr>
            <w:r>
              <w:rPr>
                <w:rFonts w:hint="eastAsia" w:ascii="仿宋" w:hAnsi="仿宋" w:eastAsia="仿宋"/>
                <w:sz w:val="24"/>
              </w:rPr>
              <w:t>投标函</w:t>
            </w:r>
          </w:p>
        </w:tc>
        <w:tc>
          <w:tcPr>
            <w:tcW w:w="1418" w:type="dxa"/>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投标文件满足招标文件</w:t>
            </w:r>
            <w:r>
              <w:rPr>
                <w:rFonts w:hint="eastAsia" w:ascii="仿宋_GB2312" w:hAnsi="仿宋" w:eastAsia="仿宋_GB2312"/>
                <w:sz w:val="24"/>
                <w:lang w:eastAsia="zh-CN"/>
              </w:rPr>
              <w:t>的其他</w:t>
            </w:r>
            <w:r>
              <w:rPr>
                <w:rFonts w:hint="eastAsia" w:ascii="仿宋_GB2312" w:hAnsi="仿宋" w:eastAsia="仿宋_GB2312"/>
                <w:sz w:val="24"/>
              </w:rPr>
              <w:t>实质性要求。</w:t>
            </w:r>
          </w:p>
        </w:tc>
        <w:tc>
          <w:tcPr>
            <w:tcW w:w="2551" w:type="dxa"/>
            <w:vAlign w:val="center"/>
          </w:tcPr>
          <w:p>
            <w:pPr>
              <w:rPr>
                <w:rFonts w:ascii="仿宋" w:hAnsi="仿宋" w:eastAsia="仿宋"/>
                <w:sz w:val="24"/>
              </w:rPr>
            </w:pPr>
            <w:r>
              <w:rPr>
                <w:rFonts w:hint="eastAsia" w:ascii="仿宋_GB2312" w:hAnsi="仿宋" w:eastAsia="仿宋_GB2312" w:cs="仿宋_GB2312"/>
                <w:kern w:val="0"/>
                <w:sz w:val="24"/>
              </w:rPr>
              <w:t>招标文件其它实质性要求相应的材料（“▲”</w:t>
            </w:r>
            <w:r>
              <w:rPr>
                <w:rFonts w:ascii="仿宋_GB2312" w:hAnsi="仿宋" w:eastAsia="仿宋_GB2312" w:cs="仿宋_GB2312"/>
                <w:kern w:val="0"/>
                <w:sz w:val="24"/>
              </w:rPr>
              <w:t xml:space="preserve"> </w:t>
            </w:r>
            <w:r>
              <w:rPr>
                <w:rFonts w:hint="eastAsia" w:ascii="仿宋_GB2312" w:hAnsi="仿宋" w:eastAsia="仿宋_GB2312" w:cs="仿宋_GB2312"/>
                <w:kern w:val="0"/>
                <w:sz w:val="24"/>
              </w:rPr>
              <w:t>系指实质性要求条款，招标文件</w:t>
            </w:r>
            <w:r>
              <w:rPr>
                <w:rFonts w:hint="eastAsia" w:ascii="仿宋_GB2312" w:hAnsi="仿宋" w:eastAsia="仿宋_GB2312" w:cs="仿宋_GB2312"/>
                <w:kern w:val="0"/>
                <w:sz w:val="24"/>
                <w:lang w:eastAsia="zh-CN"/>
              </w:rPr>
              <w:t>无其他</w:t>
            </w:r>
            <w:r>
              <w:rPr>
                <w:rFonts w:hint="eastAsia" w:ascii="仿宋_GB2312" w:hAnsi="仿宋" w:eastAsia="仿宋_GB2312" w:cs="仿宋_GB2312"/>
                <w:kern w:val="0"/>
                <w:sz w:val="24"/>
              </w:rPr>
              <w:t>实质性要求的，无需提供）</w:t>
            </w:r>
          </w:p>
        </w:tc>
        <w:tc>
          <w:tcPr>
            <w:tcW w:w="1418" w:type="dxa"/>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四、评标标准相应的商务技术资料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六、</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pPr>
    </w:p>
    <w:p>
      <w:pPr>
        <w:pStyle w:val="61"/>
        <w:ind w:firstLine="420"/>
      </w:pPr>
    </w:p>
    <w:p/>
    <w:p>
      <w:pPr>
        <w:pStyle w:val="61"/>
        <w:ind w:firstLine="420"/>
      </w:pPr>
    </w:p>
    <w:p/>
    <w:p>
      <w:pPr>
        <w:pStyle w:val="61"/>
        <w:ind w:firstLine="420"/>
      </w:pPr>
    </w:p>
    <w:p>
      <w:pPr>
        <w:pStyle w:val="61"/>
        <w:ind w:left="0" w:leftChars="0" w:firstLine="0" w:firstLineChars="0"/>
        <w:rPr>
          <w:rFonts w:ascii="Times New Roman" w:hAnsi="Times New Roman"/>
        </w:rPr>
      </w:pPr>
    </w:p>
    <w:p/>
    <w:p>
      <w:pPr>
        <w:pStyle w:val="61"/>
        <w:ind w:firstLine="643"/>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七、评分对应表</w:t>
      </w:r>
    </w:p>
    <w:p/>
    <w:tbl>
      <w:tblPr>
        <w:tblStyle w:val="63"/>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6"/>
        <w:gridCol w:w="2216"/>
        <w:gridCol w:w="2217"/>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21" w:type="dxa"/>
          </w:tcPr>
          <w:p>
            <w:pPr>
              <w:pStyle w:val="61"/>
              <w:ind w:left="0" w:leftChars="0" w:firstLine="0" w:firstLineChars="0"/>
              <w:jc w:val="center"/>
              <w:rPr>
                <w:rFonts w:hint="eastAsia"/>
              </w:rPr>
            </w:pPr>
            <w:r>
              <w:rPr>
                <w:rFonts w:hint="eastAsia"/>
              </w:rPr>
              <w:t>序号</w:t>
            </w:r>
          </w:p>
        </w:tc>
        <w:tc>
          <w:tcPr>
            <w:tcW w:w="2321" w:type="dxa"/>
          </w:tcPr>
          <w:p>
            <w:pPr>
              <w:pStyle w:val="61"/>
              <w:ind w:left="0" w:leftChars="0" w:firstLine="0" w:firstLineChars="0"/>
              <w:jc w:val="center"/>
              <w:rPr>
                <w:rFonts w:hint="eastAsia"/>
              </w:rPr>
            </w:pPr>
            <w:r>
              <w:rPr>
                <w:rFonts w:hint="eastAsia"/>
              </w:rPr>
              <w:t>评分条款</w:t>
            </w:r>
          </w:p>
        </w:tc>
        <w:tc>
          <w:tcPr>
            <w:tcW w:w="2322" w:type="dxa"/>
          </w:tcPr>
          <w:p>
            <w:pPr>
              <w:pStyle w:val="61"/>
              <w:ind w:left="0" w:leftChars="0" w:firstLine="0" w:firstLineChars="0"/>
              <w:jc w:val="center"/>
              <w:rPr>
                <w:rFonts w:hint="eastAsia"/>
              </w:rPr>
            </w:pPr>
            <w:r>
              <w:rPr>
                <w:rFonts w:hint="eastAsia"/>
              </w:rPr>
              <w:t>对应页码</w:t>
            </w:r>
          </w:p>
        </w:tc>
        <w:tc>
          <w:tcPr>
            <w:tcW w:w="2322" w:type="dxa"/>
          </w:tcPr>
          <w:p>
            <w:pPr>
              <w:pStyle w:val="61"/>
              <w:ind w:left="0" w:leftChars="0" w:firstLine="0" w:firstLineChars="0"/>
              <w:jc w:val="center"/>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pStyle w:val="61"/>
              <w:ind w:left="0" w:leftChars="0" w:firstLine="0" w:firstLineChars="0"/>
              <w:jc w:val="center"/>
              <w:rPr>
                <w:rFonts w:hint="eastAsia"/>
              </w:rPr>
            </w:pPr>
            <w:r>
              <w:rPr>
                <w:rFonts w:hint="eastAsia"/>
              </w:rPr>
              <w:t>1</w:t>
            </w:r>
          </w:p>
        </w:tc>
        <w:tc>
          <w:tcPr>
            <w:tcW w:w="2321" w:type="dxa"/>
          </w:tcPr>
          <w:p>
            <w:pPr>
              <w:pStyle w:val="61"/>
              <w:ind w:left="0" w:leftChars="0" w:firstLine="0" w:firstLineChars="0"/>
              <w:rPr>
                <w:rFonts w:hint="eastAsia"/>
              </w:rPr>
            </w:pPr>
          </w:p>
        </w:tc>
        <w:tc>
          <w:tcPr>
            <w:tcW w:w="2322" w:type="dxa"/>
          </w:tcPr>
          <w:p>
            <w:pPr>
              <w:pStyle w:val="61"/>
              <w:ind w:left="0" w:leftChars="0" w:firstLine="0" w:firstLineChars="0"/>
              <w:rPr>
                <w:rFonts w:hint="eastAsia"/>
              </w:rPr>
            </w:pPr>
          </w:p>
        </w:tc>
        <w:tc>
          <w:tcPr>
            <w:tcW w:w="2322" w:type="dxa"/>
          </w:tcPr>
          <w:p>
            <w:pPr>
              <w:pStyle w:val="61"/>
              <w:ind w:left="0" w:leftChars="0"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pStyle w:val="61"/>
              <w:ind w:left="0" w:leftChars="0" w:firstLine="0" w:firstLineChars="0"/>
              <w:jc w:val="center"/>
              <w:rPr>
                <w:rFonts w:hint="eastAsia"/>
              </w:rPr>
            </w:pPr>
            <w:r>
              <w:t>…</w:t>
            </w:r>
          </w:p>
        </w:tc>
        <w:tc>
          <w:tcPr>
            <w:tcW w:w="2321" w:type="dxa"/>
          </w:tcPr>
          <w:p>
            <w:pPr>
              <w:pStyle w:val="61"/>
              <w:ind w:left="0" w:leftChars="0" w:firstLine="0" w:firstLineChars="0"/>
              <w:rPr>
                <w:rFonts w:hint="eastAsia"/>
              </w:rPr>
            </w:pPr>
          </w:p>
        </w:tc>
        <w:tc>
          <w:tcPr>
            <w:tcW w:w="2322" w:type="dxa"/>
          </w:tcPr>
          <w:p>
            <w:pPr>
              <w:pStyle w:val="61"/>
              <w:ind w:left="0" w:leftChars="0" w:firstLine="0" w:firstLineChars="0"/>
              <w:rPr>
                <w:rFonts w:hint="eastAsia"/>
              </w:rPr>
            </w:pPr>
          </w:p>
        </w:tc>
        <w:tc>
          <w:tcPr>
            <w:tcW w:w="2322" w:type="dxa"/>
          </w:tcPr>
          <w:p>
            <w:pPr>
              <w:pStyle w:val="61"/>
              <w:ind w:left="0" w:leftChars="0" w:firstLine="0" w:firstLineChars="0"/>
              <w:rPr>
                <w:rFonts w:hint="eastAsia"/>
              </w:rPr>
            </w:pPr>
          </w:p>
        </w:tc>
      </w:tr>
    </w:tbl>
    <w:p>
      <w:pPr>
        <w:pStyle w:val="61"/>
        <w:ind w:firstLine="420"/>
        <w:rPr>
          <w:rFonts w:hint="eastAsia"/>
        </w:rPr>
      </w:pPr>
      <w:r>
        <w:rPr>
          <w:rFonts w:hint="eastAsia"/>
        </w:rPr>
        <w:t>注：本表仅做参考，具体格式可根据投标人实际需求进行编制。</w:t>
      </w: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61"/>
        <w:ind w:firstLine="643"/>
        <w:jc w:val="center"/>
        <w:rPr>
          <w:rFonts w:hint="eastAsia" w:ascii="仿宋_GB2312" w:hAnsi="仿宋" w:eastAsia="仿宋_GB2312" w:cs="仿宋_GB2312"/>
          <w:b/>
          <w:kern w:val="0"/>
          <w:sz w:val="32"/>
          <w:szCs w:val="32"/>
          <w:lang w:eastAsia="zh-CN"/>
        </w:rPr>
      </w:pPr>
      <w:r>
        <w:rPr>
          <w:rFonts w:hint="eastAsia" w:ascii="仿宋_GB2312" w:hAnsi="仿宋" w:eastAsia="仿宋_GB2312" w:cs="仿宋_GB2312"/>
          <w:b/>
          <w:kern w:val="0"/>
          <w:sz w:val="32"/>
          <w:szCs w:val="32"/>
          <w:lang w:eastAsia="zh-CN"/>
        </w:rPr>
        <w:t>八</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eastAsia="zh-CN"/>
        </w:rPr>
        <w:t>偏离对照表</w:t>
      </w:r>
    </w:p>
    <w:p>
      <w:pPr>
        <w:pStyle w:val="4"/>
        <w:rPr>
          <w:rFonts w:hint="eastAsia"/>
        </w:rPr>
      </w:pPr>
    </w:p>
    <w:tbl>
      <w:tblPr>
        <w:tblStyle w:val="63"/>
        <w:tblW w:w="8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
        <w:gridCol w:w="1157"/>
        <w:gridCol w:w="3637"/>
        <w:gridCol w:w="1449"/>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 w:type="dxa"/>
            <w:vAlign w:val="center"/>
          </w:tcPr>
          <w:p>
            <w:pPr>
              <w:pStyle w:val="61"/>
              <w:ind w:left="0" w:leftChars="0" w:firstLine="0" w:firstLineChars="0"/>
              <w:jc w:val="center"/>
              <w:rPr>
                <w:rFonts w:hint="eastAsia"/>
              </w:rPr>
            </w:pPr>
            <w:r>
              <w:rPr>
                <w:rFonts w:hint="eastAsia"/>
              </w:rPr>
              <w:t>序号</w:t>
            </w:r>
          </w:p>
        </w:tc>
        <w:tc>
          <w:tcPr>
            <w:tcW w:w="1157" w:type="dxa"/>
            <w:vAlign w:val="center"/>
          </w:tcPr>
          <w:p>
            <w:pPr>
              <w:pStyle w:val="61"/>
              <w:ind w:left="0" w:leftChars="0" w:firstLine="0" w:firstLineChars="0"/>
              <w:jc w:val="center"/>
              <w:rPr>
                <w:rFonts w:hint="eastAsia"/>
                <w:lang w:eastAsia="zh-CN"/>
              </w:rPr>
            </w:pPr>
            <w:r>
              <w:rPr>
                <w:rFonts w:hint="eastAsia"/>
                <w:lang w:eastAsia="zh-CN"/>
              </w:rPr>
              <w:t>对照内容</w:t>
            </w:r>
          </w:p>
        </w:tc>
        <w:tc>
          <w:tcPr>
            <w:tcW w:w="3637" w:type="dxa"/>
            <w:vAlign w:val="center"/>
          </w:tcPr>
          <w:p>
            <w:pPr>
              <w:pStyle w:val="61"/>
              <w:ind w:left="0" w:leftChars="0" w:firstLine="0" w:firstLineChars="0"/>
              <w:jc w:val="center"/>
              <w:rPr>
                <w:rFonts w:hint="eastAsia" w:eastAsia="宋体"/>
                <w:lang w:eastAsia="zh-CN"/>
              </w:rPr>
            </w:pPr>
            <w:r>
              <w:rPr>
                <w:rFonts w:hint="eastAsia"/>
                <w:lang w:eastAsia="zh-CN"/>
              </w:rPr>
              <w:t>采购文件要求</w:t>
            </w:r>
          </w:p>
        </w:tc>
        <w:tc>
          <w:tcPr>
            <w:tcW w:w="1449" w:type="dxa"/>
            <w:vAlign w:val="center"/>
          </w:tcPr>
          <w:p>
            <w:pPr>
              <w:pStyle w:val="61"/>
              <w:ind w:left="0" w:leftChars="0" w:firstLine="0" w:firstLineChars="0"/>
              <w:jc w:val="center"/>
              <w:rPr>
                <w:rFonts w:hint="eastAsia" w:eastAsia="宋体"/>
                <w:lang w:eastAsia="zh-CN"/>
              </w:rPr>
            </w:pPr>
            <w:r>
              <w:rPr>
                <w:rFonts w:hint="eastAsia"/>
                <w:lang w:eastAsia="zh-CN"/>
              </w:rPr>
              <w:t>实际情况</w:t>
            </w:r>
          </w:p>
        </w:tc>
        <w:tc>
          <w:tcPr>
            <w:tcW w:w="1846" w:type="dxa"/>
            <w:vAlign w:val="center"/>
          </w:tcPr>
          <w:p>
            <w:pPr>
              <w:pStyle w:val="61"/>
              <w:ind w:left="0" w:leftChars="0" w:firstLine="0" w:firstLineChars="0"/>
              <w:jc w:val="center"/>
              <w:rPr>
                <w:rFonts w:hint="eastAsia" w:eastAsia="宋体"/>
                <w:lang w:eastAsia="zh-CN"/>
              </w:rPr>
            </w:pPr>
            <w:r>
              <w:rPr>
                <w:rFonts w:hint="eastAsia"/>
                <w:lang w:eastAsia="zh-CN"/>
              </w:rPr>
              <w:t>有无偏离（正负）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 w:type="dxa"/>
            <w:vAlign w:val="center"/>
          </w:tcPr>
          <w:p>
            <w:pPr>
              <w:pStyle w:val="61"/>
              <w:ind w:left="0" w:leftChars="0" w:firstLine="0" w:firstLineChars="0"/>
              <w:jc w:val="center"/>
              <w:rPr>
                <w:rFonts w:hint="eastAsia"/>
              </w:rPr>
            </w:pPr>
            <w:r>
              <w:rPr>
                <w:rFonts w:hint="eastAsia"/>
              </w:rPr>
              <w:t>1</w:t>
            </w:r>
          </w:p>
        </w:tc>
        <w:tc>
          <w:tcPr>
            <w:tcW w:w="1157" w:type="dxa"/>
            <w:vAlign w:val="center"/>
          </w:tcPr>
          <w:p>
            <w:pPr>
              <w:pStyle w:val="61"/>
              <w:ind w:left="0" w:leftChars="0" w:firstLine="0" w:firstLineChars="0"/>
              <w:rPr>
                <w:rFonts w:hint="eastAsia"/>
              </w:rPr>
            </w:pPr>
            <w:r>
              <w:rPr>
                <w:rFonts w:hint="eastAsia" w:ascii="仿宋" w:hAnsi="仿宋" w:eastAsia="仿宋" w:cs="仿宋"/>
                <w:color w:val="auto"/>
                <w:szCs w:val="21"/>
                <w:highlight w:val="none"/>
              </w:rPr>
              <w:t>前端高位监控视频服务</w:t>
            </w:r>
          </w:p>
        </w:tc>
        <w:tc>
          <w:tcPr>
            <w:tcW w:w="3637" w:type="dxa"/>
            <w:vAlign w:val="center"/>
          </w:tcPr>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1、智能球形摄像机参数要求：</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（1）▲传感器类型 ：1/1.8''CMOS </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（2）▲像素：400 万（</w:t>
            </w:r>
            <w:r>
              <w:rPr>
                <w:rFonts w:hint="eastAsia" w:ascii="仿宋" w:hAnsi="仿宋" w:eastAsia="仿宋" w:cs="仿宋"/>
                <w:color w:val="auto"/>
                <w:szCs w:val="21"/>
                <w:highlight w:val="none"/>
                <w:lang w:val="en-US" w:eastAsia="zh-CN"/>
              </w:rPr>
              <w:t>不低于</w:t>
            </w:r>
            <w:r>
              <w:rPr>
                <w:rFonts w:hint="eastAsia" w:ascii="仿宋" w:hAnsi="仿宋" w:eastAsia="仿宋" w:cs="仿宋"/>
                <w:color w:val="auto"/>
                <w:szCs w:val="21"/>
                <w:highlight w:val="none"/>
              </w:rPr>
              <w:t>）</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Times New Roman" w:eastAsia="仿宋" w:cs="Times New Roman"/>
                <w:color w:val="auto"/>
                <w:sz w:val="21"/>
                <w:szCs w:val="21"/>
                <w:highlight w:val="none"/>
              </w:rPr>
              <w:t>▲</w:t>
            </w:r>
            <w:r>
              <w:rPr>
                <w:rFonts w:hint="eastAsia" w:ascii="仿宋" w:hAnsi="仿宋" w:eastAsia="仿宋" w:cs="仿宋"/>
                <w:color w:val="auto"/>
                <w:szCs w:val="21"/>
                <w:highlight w:val="none"/>
              </w:rPr>
              <w:t xml:space="preserve">最大分辨率：5.3MP@12fps ，4MP@25fps </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（5）电子快门：1/1s~1/30000s </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（6）最低照度：彩色：0.00049Lux@F1.19 黑白：0.00001Lux@F1.19 0Lux（红外灯开启） </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（7）最大补光距离：250m（红外） </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（8）补光灯控制：倍率优先/手动/SmartIR/关闭 </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（9）补光灯数量：6 颗（红外灯） </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（10）补光类型：红外 </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（11）镜头焦距：7.4mm~333mm </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（12）镜头光圈：F1.19-F4.5 </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（13）</w:t>
            </w:r>
            <w:r>
              <w:rPr>
                <w:rFonts w:hint="eastAsia" w:ascii="仿宋" w:hAnsi="Times New Roman" w:eastAsia="仿宋" w:cs="Times New Roman"/>
                <w:color w:val="auto"/>
                <w:sz w:val="21"/>
                <w:szCs w:val="21"/>
                <w:highlight w:val="none"/>
              </w:rPr>
              <w:t>▲</w:t>
            </w:r>
            <w:r>
              <w:rPr>
                <w:rFonts w:hint="eastAsia" w:ascii="仿宋" w:hAnsi="仿宋" w:eastAsia="仿宋" w:cs="仿宋"/>
                <w:color w:val="auto"/>
                <w:szCs w:val="21"/>
                <w:highlight w:val="none"/>
              </w:rPr>
              <w:t xml:space="preserve">光学变倍：45 倍 </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（14）聚焦模式：自动/半自动/手动 </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（15）近摄距：1.5-8m </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（16）变倍速度 ：约 6.0s </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（17）旋转范围：水平：0°~360°连续旋转 ；垂直：-30°~+90°自动翻转 180°后连续监视 </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（18）视频帧率：主码流（3072×1728@12fps），主码流（2560×1440@25fps），主码流（2048×1536@25fps），主码流（1920×1080@25fps），主码流（1280×960@25fps），主码流（1280×720@25fps） 辅码流 1（704× 576@25fps），辅码流 1（352×288@25fps） 辅码流 2（1920×1080@25fps），辅码流 2（1280×960@25fps），辅码流 2（1280×720@25fps） </w:t>
            </w:r>
          </w:p>
          <w:p>
            <w:pPr>
              <w:pStyle w:val="61"/>
              <w:ind w:left="0" w:leftChars="0" w:firstLine="0" w:firstLineChars="0"/>
              <w:rPr>
                <w:rFonts w:hint="eastAsia"/>
              </w:rPr>
            </w:pPr>
            <w:r>
              <w:rPr>
                <w:rFonts w:hint="eastAsia" w:ascii="仿宋" w:hAnsi="仿宋" w:eastAsia="仿宋" w:cs="仿宋"/>
                <w:color w:val="auto"/>
                <w:szCs w:val="21"/>
                <w:highlight w:val="none"/>
              </w:rPr>
              <w:t>2、网络要求：20M互联网。</w:t>
            </w:r>
          </w:p>
        </w:tc>
        <w:tc>
          <w:tcPr>
            <w:tcW w:w="1449" w:type="dxa"/>
            <w:vAlign w:val="center"/>
          </w:tcPr>
          <w:p>
            <w:pPr>
              <w:pStyle w:val="61"/>
              <w:ind w:left="0" w:leftChars="0" w:firstLine="0" w:firstLineChars="0"/>
              <w:rPr>
                <w:rFonts w:hint="eastAsia"/>
              </w:rPr>
            </w:pPr>
          </w:p>
        </w:tc>
        <w:tc>
          <w:tcPr>
            <w:tcW w:w="1846" w:type="dxa"/>
            <w:vAlign w:val="center"/>
          </w:tcPr>
          <w:p>
            <w:pPr>
              <w:pStyle w:val="61"/>
              <w:ind w:left="0" w:leftChars="0"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 w:type="dxa"/>
            <w:vAlign w:val="center"/>
          </w:tcPr>
          <w:p>
            <w:pPr>
              <w:pStyle w:val="61"/>
              <w:ind w:left="0" w:leftChars="0" w:firstLine="0" w:firstLineChars="0"/>
              <w:jc w:val="center"/>
              <w:rPr>
                <w:rFonts w:hint="default" w:eastAsia="宋体"/>
                <w:lang w:val="en-US" w:eastAsia="zh-CN"/>
              </w:rPr>
            </w:pPr>
            <w:r>
              <w:rPr>
                <w:rFonts w:hint="eastAsia"/>
                <w:lang w:val="en-US" w:eastAsia="zh-CN"/>
              </w:rPr>
              <w:t>2</w:t>
            </w:r>
          </w:p>
        </w:tc>
        <w:tc>
          <w:tcPr>
            <w:tcW w:w="1157" w:type="dxa"/>
            <w:vAlign w:val="center"/>
          </w:tcPr>
          <w:p>
            <w:pPr>
              <w:pStyle w:val="61"/>
              <w:ind w:left="0" w:leftChars="0" w:firstLine="0" w:firstLineChars="0"/>
              <w:rPr>
                <w:rFonts w:hint="default" w:eastAsia="宋体"/>
                <w:lang w:val="en-US" w:eastAsia="zh-CN"/>
              </w:rPr>
            </w:pPr>
            <w:r>
              <w:rPr>
                <w:rFonts w:hint="eastAsia" w:ascii="仿宋" w:hAnsi="仿宋" w:eastAsia="仿宋" w:cs="仿宋"/>
                <w:color w:val="auto"/>
                <w:szCs w:val="21"/>
                <w:highlight w:val="none"/>
              </w:rPr>
              <w:t>耕地智保平台服务</w:t>
            </w:r>
          </w:p>
        </w:tc>
        <w:tc>
          <w:tcPr>
            <w:tcW w:w="3637" w:type="dxa"/>
            <w:vAlign w:val="center"/>
          </w:tcPr>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1、地图数据管理</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（1）支持在系统平台中对地图图层进行分组管理。地图图层以目录树的形式罗列，并且可以进行分组管理。地图图层的目录树中可以通过勾选的方式展示一个或叠加多个图层。</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（2）支持在系统平台中对影像地图或矢量地图等各专题数据图层进行管理。包括图层的导入，以及浏览、放大、缩小、平移等基础操作。</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（3）支持在系统平台中对地图图层的修改和删除管理。</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（4）支持在系统平台中对地图数据进行预览。</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（5）支持在系统平台中对地图样式进行修改。</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2、基础地理信息功能</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（1）支持在系统中对地图数据属性进行识别。在点击地图后，将地图中选取的点所归属的地块数据属性进行识别和展示。</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（2）支持在系统中进行地图数据查询。能够对地图图层按属性进行筛选和查询，支持字段查询。</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（3）支持在系统中进行多图比对。能够在同一屏幕中，将多个选定的地图图层进行展示比对。可以将不同年度（时相）的图层进行比对。</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（4）支持在系统中进行地图坐标拾取或定位。对于在地图中选定的点，显示该点的坐标。同时允许提取坐标信息。</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（5）支持在系统中地图数据分析。对于地图中选定的区域进行数据分析及展。</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3、视频管理功能</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（1）支持对视频按组织架构分组。视频监控能够以目录树的形式罗列，并且可以进行分组管理和显示。</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（2）支持按用户权限管理视频。具备用户权限分级功能，能够按照不同的用户权限显示相对应的视频设备。</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（3）支持视频实时浏览。能够查看视频监控实时内容，实现实时画面展示。</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（4）支持视频云台操作。视频监控角度能够360度旋转和俯仰，支持缩放功能。</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（5）支持多路视频播放。能够实现4路及以上多路视频同时播放，实现远程指挥调度。</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（6）支持视频抓拍。实现对视频监控的图像抓拍。</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4、智能告警</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（1）支持系统平台绘制视频电子围栏位置。能够在视频监控画面中绘制电子围栏，实现对电子围栏范围内的实时预警监测。</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（2）支持实时告警。对于电子围栏范围内的违法违规行为能够进行实时识别并在系统平台实时产生告警。</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（3）支持告警声音提示。系统平台产生实时告警时会进行响铃提示。告警响铃可设置开启和静音。</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（4）支持显示告警位置和时间。能够在地图中显示实时告警的位置，并且显示告警发生的时间。</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（5）支持告警审核。能够在系统平台对实时告警进行审核管理。</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5、算法仓库</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算法仓库清单包括：</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（1）乱石堆放；</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（2）土堆堆放；</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（3）在修建筑；</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（4）地面硬化；</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（5）红砖堆占；</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（6）水泥框架；</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（7）板房棚房；</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（8）脚手架；</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（9）建筑材料；</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（10）围挡；</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（11）起重机；</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（12）运输车辆；</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（13）施工车辆；</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（14）塔吊；</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（15）搅拌机；</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（16）搅拌车。</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6、视频与地图融合功能</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（1）支持在视频中叠加图斑。能够将图斑图层添加进视频监控实时画面中，在视频监控画面中显示图层边界范围。</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（2）支持视频中图斑属性预览。能够在视频监控画面中显示图斑图层的属性信息。</w:t>
            </w:r>
          </w:p>
          <w:p>
            <w:pPr>
              <w:spacing w:line="24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（3）支持视频中用地分析。能够在视频监控画面中绘制选定区域并显示选定区域的用地数据及分析结果。</w:t>
            </w:r>
          </w:p>
          <w:p>
            <w:pPr>
              <w:pStyle w:val="61"/>
              <w:ind w:left="0" w:leftChars="0" w:firstLine="0" w:firstLineChars="0"/>
              <w:rPr>
                <w:rFonts w:hint="default" w:eastAsia="宋体"/>
                <w:lang w:val="en-US" w:eastAsia="zh-CN"/>
              </w:rPr>
            </w:pPr>
            <w:r>
              <w:rPr>
                <w:rFonts w:hint="eastAsia" w:ascii="仿宋" w:hAnsi="仿宋" w:eastAsia="仿宋" w:cs="仿宋"/>
                <w:color w:val="auto"/>
                <w:szCs w:val="21"/>
                <w:highlight w:val="none"/>
              </w:rPr>
              <w:t>（4）支持以地找视频。在地图中选取地点，能够显示以选点为中心，1.5公里为半径的范围内的视频监控。</w:t>
            </w:r>
          </w:p>
        </w:tc>
        <w:tc>
          <w:tcPr>
            <w:tcW w:w="1449" w:type="dxa"/>
            <w:vAlign w:val="center"/>
          </w:tcPr>
          <w:p>
            <w:pPr>
              <w:pStyle w:val="61"/>
              <w:ind w:left="0" w:leftChars="0" w:firstLine="0" w:firstLineChars="0"/>
              <w:rPr>
                <w:rFonts w:hint="default" w:eastAsia="宋体"/>
                <w:lang w:val="en-US" w:eastAsia="zh-CN"/>
              </w:rPr>
            </w:pPr>
          </w:p>
        </w:tc>
        <w:tc>
          <w:tcPr>
            <w:tcW w:w="1846" w:type="dxa"/>
            <w:vAlign w:val="center"/>
          </w:tcPr>
          <w:p>
            <w:pPr>
              <w:pStyle w:val="61"/>
              <w:ind w:left="0" w:leftChars="0"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 w:type="dxa"/>
            <w:vAlign w:val="center"/>
          </w:tcPr>
          <w:p>
            <w:pPr>
              <w:pStyle w:val="61"/>
              <w:ind w:left="0" w:leftChars="0" w:firstLine="0" w:firstLineChars="0"/>
              <w:jc w:val="center"/>
              <w:rPr>
                <w:rFonts w:hint="default"/>
                <w:lang w:val="en-US" w:eastAsia="zh-CN"/>
              </w:rPr>
            </w:pPr>
            <w:r>
              <w:rPr>
                <w:rFonts w:hint="eastAsia"/>
                <w:lang w:val="en-US" w:eastAsia="zh-CN"/>
              </w:rPr>
              <w:t>...</w:t>
            </w:r>
          </w:p>
        </w:tc>
        <w:tc>
          <w:tcPr>
            <w:tcW w:w="1157" w:type="dxa"/>
            <w:vAlign w:val="center"/>
          </w:tcPr>
          <w:p>
            <w:pPr>
              <w:pStyle w:val="61"/>
              <w:ind w:left="0" w:leftChars="0" w:firstLine="0" w:firstLineChars="0"/>
              <w:rPr>
                <w:rFonts w:hint="eastAsia" w:ascii="仿宋" w:hAnsi="仿宋" w:eastAsia="仿宋" w:cs="仿宋"/>
                <w:color w:val="auto"/>
                <w:szCs w:val="21"/>
                <w:highlight w:val="none"/>
              </w:rPr>
            </w:pPr>
          </w:p>
        </w:tc>
        <w:tc>
          <w:tcPr>
            <w:tcW w:w="3637" w:type="dxa"/>
            <w:vAlign w:val="center"/>
          </w:tcPr>
          <w:p>
            <w:pPr>
              <w:pStyle w:val="61"/>
              <w:ind w:left="0" w:leftChars="0" w:firstLine="0" w:firstLineChars="0"/>
              <w:rPr>
                <w:rFonts w:hint="eastAsia" w:ascii="仿宋" w:hAnsi="仿宋" w:eastAsia="仿宋" w:cs="仿宋"/>
                <w:color w:val="auto"/>
                <w:szCs w:val="21"/>
                <w:highlight w:val="none"/>
              </w:rPr>
            </w:pPr>
          </w:p>
        </w:tc>
        <w:tc>
          <w:tcPr>
            <w:tcW w:w="1449" w:type="dxa"/>
            <w:vAlign w:val="center"/>
          </w:tcPr>
          <w:p>
            <w:pPr>
              <w:pStyle w:val="61"/>
              <w:ind w:left="0" w:leftChars="0" w:firstLine="0" w:firstLineChars="0"/>
              <w:rPr>
                <w:rFonts w:hint="default" w:eastAsia="宋体"/>
                <w:lang w:val="en-US" w:eastAsia="zh-CN"/>
              </w:rPr>
            </w:pPr>
          </w:p>
        </w:tc>
        <w:tc>
          <w:tcPr>
            <w:tcW w:w="1846" w:type="dxa"/>
            <w:vAlign w:val="center"/>
          </w:tcPr>
          <w:p>
            <w:pPr>
              <w:pStyle w:val="61"/>
              <w:ind w:left="0" w:leftChars="0" w:firstLine="0" w:firstLineChars="0"/>
              <w:rPr>
                <w:rFonts w:hint="eastAsia"/>
              </w:rPr>
            </w:pPr>
          </w:p>
        </w:tc>
      </w:tr>
    </w:tbl>
    <w:p>
      <w:pPr>
        <w:pStyle w:val="61"/>
        <w:ind w:left="0" w:leftChars="0" w:firstLine="420" w:firstLineChars="200"/>
        <w:rPr>
          <w:rFonts w:hint="eastAsia"/>
        </w:rPr>
      </w:pPr>
    </w:p>
    <w:p>
      <w:pPr>
        <w:pStyle w:val="61"/>
        <w:ind w:left="0" w:leftChars="0" w:firstLine="420" w:firstLineChars="200"/>
        <w:rPr>
          <w:rFonts w:hint="eastAsia"/>
        </w:rPr>
        <w:sectPr>
          <w:headerReference r:id="rId16" w:type="first"/>
          <w:footerReference r:id="rId18" w:type="first"/>
          <w:headerReference r:id="rId15" w:type="default"/>
          <w:footerReference r:id="rId17"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rPr>
        <w:t>注：本表仅做参考，具体格式可根据投标人实际需求进行编制。</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w:t>
      </w:r>
      <w:r>
        <w:rPr>
          <w:rFonts w:hint="eastAsia" w:ascii="仿宋_GB2312" w:hAnsi="仿宋" w:eastAsia="仿宋_GB2312" w:cs="仿宋_GB2312"/>
          <w:sz w:val="24"/>
          <w:lang w:val="en-US" w:eastAsia="zh-CN"/>
        </w:rPr>
        <w:t>55</w:t>
      </w:r>
      <w:r>
        <w:rPr>
          <w:rFonts w:hint="eastAsia" w:ascii="仿宋_GB2312" w:hAnsi="仿宋" w:eastAsia="仿宋_GB2312" w:cs="仿宋_GB2312"/>
          <w:sz w:val="24"/>
        </w:rPr>
        <w:t>）</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w:t>
      </w:r>
      <w:r>
        <w:rPr>
          <w:rFonts w:hint="eastAsia" w:ascii="仿宋_GB2312" w:hAnsi="仿宋" w:eastAsia="仿宋_GB2312" w:cs="仿宋_GB2312"/>
          <w:sz w:val="24"/>
          <w:lang w:val="en-US" w:eastAsia="zh-CN"/>
        </w:rPr>
        <w:t>57</w:t>
      </w:r>
      <w:r>
        <w:rPr>
          <w:rFonts w:hint="eastAsia" w:ascii="仿宋_GB2312" w:hAnsi="仿宋" w:eastAsia="仿宋_GB2312" w:cs="仿宋_GB2312"/>
          <w:sz w:val="24"/>
        </w:rPr>
        <w:t>）</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20" w:type="first"/>
          <w:footerReference r:id="rId22" w:type="first"/>
          <w:headerReference r:id="rId19" w:type="default"/>
          <w:footerReference r:id="rId21"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【招标编号：</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r>
        <w:rPr>
          <w:rFonts w:hint="eastAsia" w:ascii="仿宋_GB2312" w:hAnsi="仿宋" w:eastAsia="仿宋_GB2312" w:cs="仿宋_GB2312"/>
          <w:b/>
          <w:kern w:val="0"/>
          <w:sz w:val="24"/>
          <w:lang w:val="zh-CN"/>
        </w:rPr>
        <w:t>）</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993"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pPr>
              <w:spacing w:line="360" w:lineRule="auto"/>
              <w:jc w:val="center"/>
              <w:rPr>
                <w:rFonts w:ascii="仿宋_GB2312" w:hAnsi="仿宋" w:eastAsia="仿宋_GB2312" w:cs="仿宋_GB2312"/>
                <w:sz w:val="24"/>
              </w:rPr>
            </w:pP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kern w:val="0"/>
          <w:sz w:val="24"/>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pStyle w:val="690"/>
        <w:keepNext w:val="0"/>
        <w:pageBreakBefore w:val="0"/>
        <w:tabs>
          <w:tab w:val="clear" w:pos="720"/>
        </w:tabs>
        <w:snapToGrid w:val="0"/>
        <w:spacing w:before="120" w:after="120"/>
        <w:ind w:firstLine="643"/>
        <w:outlineLvl w:val="9"/>
        <w:rPr>
          <w:rFonts w:ascii="仿宋_GB2312" w:hAnsi="宋体" w:eastAsia="仿宋_GB2312"/>
          <w:b w:val="0"/>
          <w:sz w:val="32"/>
          <w:szCs w:val="32"/>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4"/>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4"/>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521" w:name="_Toc465665161"/>
      <w:r>
        <w:rPr>
          <w:rFonts w:hint="eastAsia" w:ascii="仿宋_GB2312" w:hAnsi="仿宋" w:eastAsia="仿宋_GB2312"/>
        </w:rPr>
        <w:t>附件</w:t>
      </w:r>
      <w:bookmarkEnd w:id="521"/>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522" w:name="OLE_LINK13"/>
      <w:bookmarkStart w:id="523" w:name="OLE_LINK14"/>
      <w:r>
        <w:rPr>
          <w:rFonts w:hint="eastAsia" w:ascii="仿宋_GB2312" w:hAnsi="仿宋" w:eastAsia="仿宋_GB2312"/>
          <w:b/>
          <w:spacing w:val="6"/>
          <w:sz w:val="32"/>
          <w:szCs w:val="32"/>
        </w:rPr>
        <w:t>残疾人福利性单位声明函</w:t>
      </w:r>
    </w:p>
    <w:bookmarkEnd w:id="522"/>
    <w:bookmarkEnd w:id="523"/>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hint="eastAsia" w:ascii="仿宋_GB2312" w:hAnsi="仿宋" w:eastAsia="仿宋_GB2312"/>
          <w:sz w:val="24"/>
          <w:lang w:eastAsia="zh-CN"/>
        </w:rPr>
        <w:t>（</w:t>
      </w:r>
      <w:r>
        <w:rPr>
          <w:rFonts w:ascii="仿宋_GB2312" w:hAnsi="仿宋" w:eastAsia="仿宋_GB2312"/>
          <w:sz w:val="24"/>
        </w:rPr>
        <w:t>签章</w:t>
      </w:r>
      <w:r>
        <w:rPr>
          <w:rFonts w:hint="eastAsia" w:ascii="仿宋_GB2312" w:hAnsi="仿宋" w:eastAsia="仿宋_GB2312"/>
          <w:sz w:val="24"/>
          <w:lang w:eastAsia="zh-CN"/>
        </w:rPr>
        <w:t>）</w:t>
      </w:r>
      <w:r>
        <w:rPr>
          <w:rFonts w:ascii="仿宋_GB2312" w:hAnsi="仿宋" w:eastAsia="仿宋_GB2312"/>
          <w:sz w:val="24"/>
        </w:rPr>
        <w:t xml:space="preserve">：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hint="eastAsia" w:ascii="仿宋_GB2312" w:hAnsi="仿宋" w:eastAsia="仿宋_GB2312"/>
          <w:sz w:val="24"/>
          <w:lang w:eastAsia="zh-CN"/>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hint="eastAsia" w:ascii="仿宋_GB2312" w:hAnsi="仿宋" w:eastAsia="仿宋_GB2312"/>
          <w:sz w:val="24"/>
          <w:lang w:eastAsia="zh-CN"/>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hint="eastAsia" w:ascii="仿宋_GB2312" w:hAnsi="仿宋" w:eastAsia="仿宋_GB2312"/>
          <w:sz w:val="24"/>
          <w:lang w:eastAsia="zh-CN"/>
        </w:rPr>
        <w:t>，</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hint="eastAsia" w:ascii="仿宋_GB2312" w:hAnsi="仿宋" w:eastAsia="仿宋_GB2312"/>
          <w:sz w:val="24"/>
          <w:lang w:eastAsia="zh-CN"/>
        </w:rPr>
        <w:t>，</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hint="eastAsia" w:ascii="仿宋_GB2312" w:hAnsi="仿宋" w:eastAsia="仿宋_GB2312"/>
          <w:sz w:val="24"/>
          <w:lang w:eastAsia="zh-CN"/>
        </w:rPr>
        <w:t>（</w:t>
      </w:r>
      <w:r>
        <w:rPr>
          <w:rFonts w:ascii="仿宋_GB2312" w:hAnsi="仿宋" w:eastAsia="仿宋_GB2312"/>
          <w:sz w:val="24"/>
        </w:rPr>
        <w:t>签章</w:t>
      </w:r>
      <w:r>
        <w:rPr>
          <w:rFonts w:hint="eastAsia" w:ascii="仿宋_GB2312" w:hAnsi="仿宋" w:eastAsia="仿宋_GB2312"/>
          <w:sz w:val="24"/>
          <w:lang w:eastAsia="zh-CN"/>
        </w:rPr>
        <w:t>）</w:t>
      </w:r>
      <w:r>
        <w:rPr>
          <w:rFonts w:ascii="仿宋_GB2312" w:hAnsi="仿宋" w:eastAsia="仿宋_GB2312"/>
          <w:sz w:val="24"/>
        </w:rPr>
        <w:t xml:space="preserve">：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hint="eastAsia" w:ascii="仿宋" w:hAnsi="仿宋" w:eastAsia="仿宋" w:cs="仿宋_GB2312"/>
          <w:kern w:val="0"/>
          <w:sz w:val="24"/>
          <w:u w:val="single"/>
          <w:lang w:val="zh-CN"/>
        </w:rPr>
        <w:t>（</w:t>
      </w:r>
      <w:r>
        <w:rPr>
          <w:rFonts w:ascii="仿宋" w:hAnsi="仿宋" w:eastAsia="仿宋" w:cs="仿宋_GB2312"/>
          <w:sz w:val="24"/>
        </w:rPr>
        <w:t>投标人全称</w:t>
      </w:r>
      <w:r>
        <w:rPr>
          <w:rFonts w:hint="eastAsia" w:ascii="仿宋" w:hAnsi="仿宋" w:eastAsia="仿宋" w:cs="仿宋_GB2312"/>
          <w:sz w:val="24"/>
          <w:lang w:eastAsia="zh-CN"/>
        </w:rPr>
        <w:t>）</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w:t>
      </w:r>
      <w:r>
        <w:rPr>
          <w:rFonts w:hint="eastAsia" w:ascii="仿宋" w:hAnsi="仿宋" w:eastAsia="仿宋" w:cs="宋体"/>
          <w:bCs/>
          <w:sz w:val="24"/>
          <w:lang w:eastAsia="zh-CN"/>
        </w:rPr>
        <w:t>做如下</w:t>
      </w:r>
      <w:r>
        <w:rPr>
          <w:rFonts w:hint="eastAsia" w:ascii="仿宋" w:hAnsi="仿宋" w:eastAsia="仿宋" w:cs="宋体"/>
          <w:bCs/>
          <w:sz w:val="24"/>
        </w:rPr>
        <w:t>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lang w:val="en-US"/>
        </w:rPr>
      </w:pPr>
    </w:p>
    <w:p>
      <w:pPr>
        <w:spacing w:line="360" w:lineRule="auto"/>
        <w:ind w:right="420"/>
      </w:pPr>
    </w:p>
    <w:p>
      <w:pPr>
        <w:spacing w:line="360" w:lineRule="auto"/>
        <w:rPr>
          <w:rFonts w:ascii="仿宋" w:hAnsi="仿宋" w:eastAsia="仿宋"/>
          <w:bCs/>
          <w:sz w:val="24"/>
        </w:rPr>
        <w:sectPr>
          <w:headerReference r:id="rId24" w:type="first"/>
          <w:footerReference r:id="rId27" w:type="first"/>
          <w:headerReference r:id="rId23" w:type="default"/>
          <w:footerReference r:id="rId25" w:type="default"/>
          <w:footerReference r:id="rId26"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tbl>
      <w:tblPr>
        <w:tblStyle w:val="62"/>
        <w:tblpPr w:leftFromText="180" w:rightFromText="180" w:vertAnchor="text" w:horzAnchor="page" w:tblpX="870" w:tblpY="221"/>
        <w:tblOverlap w:val="never"/>
        <w:tblW w:w="15119" w:type="dxa"/>
        <w:tblInd w:w="0" w:type="dxa"/>
        <w:tblLayout w:type="fixed"/>
        <w:tblCellMar>
          <w:top w:w="0" w:type="dxa"/>
          <w:left w:w="108" w:type="dxa"/>
          <w:bottom w:w="0" w:type="dxa"/>
          <w:right w:w="108" w:type="dxa"/>
        </w:tblCellMar>
      </w:tblPr>
      <w:tblGrid>
        <w:gridCol w:w="1925"/>
        <w:gridCol w:w="1350"/>
        <w:gridCol w:w="2163"/>
        <w:gridCol w:w="1660"/>
        <w:gridCol w:w="1240"/>
        <w:gridCol w:w="1419"/>
        <w:gridCol w:w="1581"/>
        <w:gridCol w:w="1285"/>
        <w:gridCol w:w="1275"/>
        <w:gridCol w:w="1221"/>
      </w:tblGrid>
      <w:tr>
        <w:tblPrEx>
          <w:tblCellMar>
            <w:top w:w="0" w:type="dxa"/>
            <w:left w:w="108" w:type="dxa"/>
            <w:bottom w:w="0" w:type="dxa"/>
            <w:right w:w="108" w:type="dxa"/>
          </w:tblCellMar>
        </w:tblPrEx>
        <w:trPr>
          <w:trHeight w:val="90" w:hRule="atLeast"/>
        </w:trPr>
        <w:tc>
          <w:tcPr>
            <w:tcW w:w="15119" w:type="dxa"/>
            <w:gridSpan w:val="10"/>
            <w:tcBorders>
              <w:top w:val="nil"/>
              <w:left w:val="nil"/>
              <w:bottom w:val="nil"/>
              <w:right w:val="nil"/>
            </w:tcBorders>
            <w:noWrap/>
            <w:vAlign w:val="bottom"/>
          </w:tcPr>
          <w:p>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中小微行业划型标准规定（根据工信部联企业〔2011〕300号制定）</w:t>
            </w:r>
          </w:p>
        </w:tc>
      </w:tr>
      <w:tr>
        <w:tblPrEx>
          <w:tblCellMar>
            <w:top w:w="0" w:type="dxa"/>
            <w:left w:w="108" w:type="dxa"/>
            <w:bottom w:w="0" w:type="dxa"/>
            <w:right w:w="108" w:type="dxa"/>
          </w:tblCellMar>
        </w:tblPrEx>
        <w:trPr>
          <w:trHeight w:val="294" w:hRule="atLeast"/>
        </w:trPr>
        <w:tc>
          <w:tcPr>
            <w:tcW w:w="1925" w:type="dxa"/>
            <w:vMerge w:val="restart"/>
            <w:tcBorders>
              <w:top w:val="single" w:color="auto" w:sz="8" w:space="0"/>
              <w:left w:val="single" w:color="auto" w:sz="8" w:space="0"/>
              <w:bottom w:val="single" w:color="000000" w:sz="4" w:space="0"/>
              <w:right w:val="single" w:color="auto" w:sz="8" w:space="0"/>
            </w:tcBorders>
            <w:noWrap/>
            <w:vAlign w:val="center"/>
          </w:tcPr>
          <w:p>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行业</w:t>
            </w:r>
          </w:p>
        </w:tc>
        <w:tc>
          <w:tcPr>
            <w:tcW w:w="5173" w:type="dxa"/>
            <w:gridSpan w:val="3"/>
            <w:tcBorders>
              <w:top w:val="single" w:color="auto" w:sz="8" w:space="0"/>
              <w:left w:val="nil"/>
              <w:bottom w:val="single" w:color="auto" w:sz="4" w:space="0"/>
              <w:right w:val="single" w:color="000000" w:sz="8" w:space="0"/>
            </w:tcBorders>
            <w:noWrap/>
            <w:vAlign w:val="bottom"/>
          </w:tcPr>
          <w:p>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中型企业</w:t>
            </w:r>
          </w:p>
        </w:tc>
        <w:tc>
          <w:tcPr>
            <w:tcW w:w="4240" w:type="dxa"/>
            <w:gridSpan w:val="3"/>
            <w:tcBorders>
              <w:top w:val="single" w:color="auto" w:sz="8" w:space="0"/>
              <w:left w:val="nil"/>
              <w:bottom w:val="single" w:color="auto" w:sz="4" w:space="0"/>
              <w:right w:val="single" w:color="000000" w:sz="8" w:space="0"/>
            </w:tcBorders>
            <w:noWrap/>
            <w:vAlign w:val="bottom"/>
          </w:tcPr>
          <w:p>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小型企业</w:t>
            </w:r>
          </w:p>
        </w:tc>
        <w:tc>
          <w:tcPr>
            <w:tcW w:w="3781" w:type="dxa"/>
            <w:gridSpan w:val="3"/>
            <w:tcBorders>
              <w:top w:val="single" w:color="auto" w:sz="8" w:space="0"/>
              <w:left w:val="nil"/>
              <w:bottom w:val="single" w:color="auto" w:sz="4" w:space="0"/>
              <w:right w:val="single" w:color="000000" w:sz="8" w:space="0"/>
            </w:tcBorders>
            <w:noWrap/>
            <w:vAlign w:val="bottom"/>
          </w:tcPr>
          <w:p>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微型企业</w:t>
            </w:r>
          </w:p>
        </w:tc>
      </w:tr>
      <w:tr>
        <w:tblPrEx>
          <w:tblCellMar>
            <w:top w:w="0" w:type="dxa"/>
            <w:left w:w="108" w:type="dxa"/>
            <w:bottom w:w="0" w:type="dxa"/>
            <w:right w:w="108" w:type="dxa"/>
          </w:tblCellMar>
        </w:tblPrEx>
        <w:trPr>
          <w:trHeight w:val="663" w:hRule="atLeast"/>
        </w:trPr>
        <w:tc>
          <w:tcPr>
            <w:tcW w:w="1925" w:type="dxa"/>
            <w:vMerge w:val="continue"/>
            <w:tcBorders>
              <w:top w:val="single" w:color="auto" w:sz="8" w:space="0"/>
              <w:left w:val="single" w:color="auto" w:sz="8" w:space="0"/>
              <w:bottom w:val="single" w:color="000000" w:sz="4" w:space="0"/>
              <w:right w:val="single" w:color="auto" w:sz="8" w:space="0"/>
            </w:tcBorders>
            <w:noWrap/>
            <w:vAlign w:val="center"/>
          </w:tcPr>
          <w:p>
            <w:pPr>
              <w:widowControl/>
              <w:jc w:val="left"/>
              <w:rPr>
                <w:rFonts w:ascii="仿宋" w:hAnsi="仿宋" w:eastAsia="仿宋" w:cs="仿宋"/>
                <w:b/>
                <w:bCs/>
                <w:kern w:val="0"/>
                <w:sz w:val="18"/>
                <w:szCs w:val="18"/>
              </w:rPr>
            </w:pPr>
          </w:p>
        </w:tc>
        <w:tc>
          <w:tcPr>
            <w:tcW w:w="1350" w:type="dxa"/>
            <w:tcBorders>
              <w:top w:val="nil"/>
              <w:left w:val="nil"/>
              <w:bottom w:val="single" w:color="auto" w:sz="4" w:space="0"/>
              <w:right w:val="single" w:color="auto" w:sz="4" w:space="0"/>
            </w:tcBorders>
            <w:noWrap/>
            <w:vAlign w:val="bottom"/>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从业人员X（人）</w:t>
            </w:r>
          </w:p>
        </w:tc>
        <w:tc>
          <w:tcPr>
            <w:tcW w:w="2163" w:type="dxa"/>
            <w:tcBorders>
              <w:top w:val="nil"/>
              <w:left w:val="nil"/>
              <w:bottom w:val="single" w:color="auto" w:sz="4" w:space="0"/>
              <w:right w:val="single" w:color="auto" w:sz="4" w:space="0"/>
            </w:tcBorders>
            <w:noWrap/>
            <w:vAlign w:val="bottom"/>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营业收入Y</w:t>
            </w:r>
          </w:p>
          <w:p>
            <w:pPr>
              <w:widowControl/>
              <w:jc w:val="center"/>
              <w:rPr>
                <w:rFonts w:ascii="仿宋" w:hAnsi="仿宋" w:eastAsia="仿宋" w:cs="仿宋"/>
                <w:kern w:val="0"/>
                <w:sz w:val="18"/>
                <w:szCs w:val="18"/>
              </w:rPr>
            </w:pPr>
            <w:r>
              <w:rPr>
                <w:rFonts w:hint="eastAsia" w:ascii="仿宋" w:hAnsi="仿宋" w:eastAsia="仿宋" w:cs="仿宋"/>
                <w:kern w:val="0"/>
                <w:sz w:val="18"/>
                <w:szCs w:val="18"/>
              </w:rPr>
              <w:t>（万元）</w:t>
            </w:r>
          </w:p>
        </w:tc>
        <w:tc>
          <w:tcPr>
            <w:tcW w:w="1660" w:type="dxa"/>
            <w:tcBorders>
              <w:top w:val="nil"/>
              <w:left w:val="nil"/>
              <w:bottom w:val="single" w:color="auto" w:sz="4" w:space="0"/>
              <w:right w:val="single" w:color="auto" w:sz="8" w:space="0"/>
            </w:tcBorders>
            <w:noWrap/>
            <w:vAlign w:val="bottom"/>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资产总额Z</w:t>
            </w:r>
          </w:p>
          <w:p>
            <w:pPr>
              <w:widowControl/>
              <w:jc w:val="center"/>
              <w:rPr>
                <w:rFonts w:ascii="仿宋" w:hAnsi="仿宋" w:eastAsia="仿宋" w:cs="仿宋"/>
                <w:kern w:val="0"/>
                <w:sz w:val="18"/>
                <w:szCs w:val="18"/>
              </w:rPr>
            </w:pPr>
            <w:r>
              <w:rPr>
                <w:rFonts w:hint="eastAsia" w:ascii="仿宋" w:hAnsi="仿宋" w:eastAsia="仿宋" w:cs="仿宋"/>
                <w:kern w:val="0"/>
                <w:sz w:val="18"/>
                <w:szCs w:val="18"/>
              </w:rPr>
              <w:t>（万元）</w:t>
            </w:r>
          </w:p>
        </w:tc>
        <w:tc>
          <w:tcPr>
            <w:tcW w:w="1240" w:type="dxa"/>
            <w:tcBorders>
              <w:top w:val="nil"/>
              <w:left w:val="nil"/>
              <w:bottom w:val="single" w:color="auto" w:sz="4" w:space="0"/>
              <w:right w:val="single" w:color="auto" w:sz="4" w:space="0"/>
            </w:tcBorders>
            <w:noWrap/>
            <w:vAlign w:val="bottom"/>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从业人员X（人）</w:t>
            </w:r>
          </w:p>
        </w:tc>
        <w:tc>
          <w:tcPr>
            <w:tcW w:w="1419" w:type="dxa"/>
            <w:tcBorders>
              <w:top w:val="nil"/>
              <w:left w:val="nil"/>
              <w:bottom w:val="single" w:color="auto" w:sz="4" w:space="0"/>
              <w:right w:val="single" w:color="auto" w:sz="4" w:space="0"/>
            </w:tcBorders>
            <w:noWrap/>
            <w:vAlign w:val="bottom"/>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营业收入Y</w:t>
            </w:r>
          </w:p>
          <w:p>
            <w:pPr>
              <w:widowControl/>
              <w:jc w:val="center"/>
              <w:rPr>
                <w:rFonts w:ascii="仿宋" w:hAnsi="仿宋" w:eastAsia="仿宋" w:cs="仿宋"/>
                <w:kern w:val="0"/>
                <w:sz w:val="18"/>
                <w:szCs w:val="18"/>
              </w:rPr>
            </w:pPr>
            <w:r>
              <w:rPr>
                <w:rFonts w:hint="eastAsia" w:ascii="仿宋" w:hAnsi="仿宋" w:eastAsia="仿宋" w:cs="仿宋"/>
                <w:kern w:val="0"/>
                <w:sz w:val="18"/>
                <w:szCs w:val="18"/>
              </w:rPr>
              <w:t>（万元）</w:t>
            </w:r>
          </w:p>
        </w:tc>
        <w:tc>
          <w:tcPr>
            <w:tcW w:w="1581" w:type="dxa"/>
            <w:tcBorders>
              <w:top w:val="nil"/>
              <w:left w:val="nil"/>
              <w:bottom w:val="single" w:color="auto" w:sz="4" w:space="0"/>
              <w:right w:val="single" w:color="auto" w:sz="8" w:space="0"/>
            </w:tcBorders>
            <w:noWrap/>
            <w:vAlign w:val="bottom"/>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资产总额Z</w:t>
            </w:r>
          </w:p>
          <w:p>
            <w:pPr>
              <w:widowControl/>
              <w:jc w:val="center"/>
              <w:rPr>
                <w:rFonts w:ascii="仿宋" w:hAnsi="仿宋" w:eastAsia="仿宋" w:cs="仿宋"/>
                <w:kern w:val="0"/>
                <w:sz w:val="18"/>
                <w:szCs w:val="18"/>
              </w:rPr>
            </w:pPr>
            <w:r>
              <w:rPr>
                <w:rFonts w:hint="eastAsia" w:ascii="仿宋" w:hAnsi="仿宋" w:eastAsia="仿宋" w:cs="仿宋"/>
                <w:kern w:val="0"/>
                <w:sz w:val="18"/>
                <w:szCs w:val="18"/>
              </w:rPr>
              <w:t>（万元）</w:t>
            </w:r>
          </w:p>
        </w:tc>
        <w:tc>
          <w:tcPr>
            <w:tcW w:w="1285" w:type="dxa"/>
            <w:tcBorders>
              <w:top w:val="nil"/>
              <w:left w:val="nil"/>
              <w:bottom w:val="single" w:color="auto" w:sz="4" w:space="0"/>
              <w:right w:val="single" w:color="auto" w:sz="4" w:space="0"/>
            </w:tcBorders>
            <w:noWrap/>
            <w:vAlign w:val="bottom"/>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从业人员X（人）</w:t>
            </w:r>
          </w:p>
        </w:tc>
        <w:tc>
          <w:tcPr>
            <w:tcW w:w="1275" w:type="dxa"/>
            <w:tcBorders>
              <w:top w:val="nil"/>
              <w:left w:val="nil"/>
              <w:bottom w:val="single" w:color="auto" w:sz="4" w:space="0"/>
              <w:right w:val="single" w:color="auto" w:sz="4" w:space="0"/>
            </w:tcBorders>
            <w:noWrap/>
            <w:vAlign w:val="bottom"/>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营业收入Y（万元）</w:t>
            </w:r>
          </w:p>
        </w:tc>
        <w:tc>
          <w:tcPr>
            <w:tcW w:w="1221" w:type="dxa"/>
            <w:tcBorders>
              <w:top w:val="nil"/>
              <w:left w:val="nil"/>
              <w:bottom w:val="single" w:color="auto" w:sz="4" w:space="0"/>
              <w:right w:val="single" w:color="auto" w:sz="8" w:space="0"/>
            </w:tcBorders>
            <w:noWrap/>
            <w:vAlign w:val="bottom"/>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资产总额Z（万元）</w:t>
            </w:r>
          </w:p>
        </w:tc>
      </w:tr>
      <w:tr>
        <w:tblPrEx>
          <w:tblCellMar>
            <w:top w:w="0" w:type="dxa"/>
            <w:left w:w="108" w:type="dxa"/>
            <w:bottom w:w="0" w:type="dxa"/>
            <w:right w:w="108" w:type="dxa"/>
          </w:tblCellMar>
        </w:tblPrEx>
        <w:trPr>
          <w:trHeight w:val="360" w:hRule="atLeast"/>
        </w:trPr>
        <w:tc>
          <w:tcPr>
            <w:tcW w:w="1925" w:type="dxa"/>
            <w:tcBorders>
              <w:top w:val="nil"/>
              <w:left w:val="single" w:color="auto" w:sz="8" w:space="0"/>
              <w:bottom w:val="single" w:color="auto" w:sz="4" w:space="0"/>
              <w:right w:val="single" w:color="auto" w:sz="8" w:space="0"/>
            </w:tcBorders>
            <w:noWrap/>
            <w:vAlign w:val="center"/>
          </w:tcPr>
          <w:p>
            <w:pPr>
              <w:widowControl/>
              <w:rPr>
                <w:rFonts w:ascii="仿宋" w:hAnsi="仿宋" w:eastAsia="仿宋" w:cs="仿宋"/>
                <w:kern w:val="0"/>
                <w:sz w:val="18"/>
                <w:szCs w:val="18"/>
              </w:rPr>
            </w:pPr>
            <w:r>
              <w:rPr>
                <w:rFonts w:hint="eastAsia" w:ascii="仿宋" w:hAnsi="仿宋" w:eastAsia="仿宋" w:cs="仿宋"/>
                <w:kern w:val="0"/>
                <w:sz w:val="18"/>
                <w:szCs w:val="18"/>
              </w:rPr>
              <w:t>1、农林牧渔业</w:t>
            </w:r>
          </w:p>
        </w:tc>
        <w:tc>
          <w:tcPr>
            <w:tcW w:w="1350"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2163"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 xml:space="preserve"> 500≤Y＜20000</w:t>
            </w:r>
          </w:p>
        </w:tc>
        <w:tc>
          <w:tcPr>
            <w:tcW w:w="1660" w:type="dxa"/>
            <w:tcBorders>
              <w:top w:val="nil"/>
              <w:left w:val="nil"/>
              <w:bottom w:val="single" w:color="auto" w:sz="4" w:space="0"/>
              <w:right w:val="single" w:color="auto" w:sz="8"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240"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419"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 xml:space="preserve"> 50≤Y＜500</w:t>
            </w:r>
          </w:p>
        </w:tc>
        <w:tc>
          <w:tcPr>
            <w:tcW w:w="1581" w:type="dxa"/>
            <w:tcBorders>
              <w:top w:val="nil"/>
              <w:left w:val="nil"/>
              <w:bottom w:val="single" w:color="auto" w:sz="4" w:space="0"/>
              <w:right w:val="single" w:color="auto" w:sz="8"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285"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275"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Y＜50</w:t>
            </w:r>
          </w:p>
        </w:tc>
        <w:tc>
          <w:tcPr>
            <w:tcW w:w="1221" w:type="dxa"/>
            <w:tcBorders>
              <w:top w:val="nil"/>
              <w:left w:val="nil"/>
              <w:bottom w:val="single" w:color="auto" w:sz="4" w:space="0"/>
              <w:right w:val="single" w:color="auto" w:sz="8"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r>
      <w:tr>
        <w:tblPrEx>
          <w:tblCellMar>
            <w:top w:w="0" w:type="dxa"/>
            <w:left w:w="108" w:type="dxa"/>
            <w:bottom w:w="0" w:type="dxa"/>
            <w:right w:w="108" w:type="dxa"/>
          </w:tblCellMar>
        </w:tblPrEx>
        <w:trPr>
          <w:trHeight w:val="360" w:hRule="atLeast"/>
        </w:trPr>
        <w:tc>
          <w:tcPr>
            <w:tcW w:w="1925" w:type="dxa"/>
            <w:tcBorders>
              <w:top w:val="nil"/>
              <w:left w:val="single" w:color="auto" w:sz="8" w:space="0"/>
              <w:bottom w:val="single" w:color="auto" w:sz="4" w:space="0"/>
              <w:right w:val="single" w:color="auto" w:sz="8" w:space="0"/>
            </w:tcBorders>
            <w:noWrap/>
            <w:vAlign w:val="center"/>
          </w:tcPr>
          <w:p>
            <w:pPr>
              <w:widowControl/>
              <w:rPr>
                <w:rFonts w:ascii="仿宋" w:hAnsi="仿宋" w:eastAsia="仿宋" w:cs="仿宋"/>
                <w:kern w:val="0"/>
                <w:sz w:val="18"/>
                <w:szCs w:val="18"/>
              </w:rPr>
            </w:pPr>
            <w:r>
              <w:rPr>
                <w:rFonts w:hint="eastAsia" w:ascii="仿宋" w:hAnsi="仿宋" w:eastAsia="仿宋" w:cs="仿宋"/>
                <w:kern w:val="0"/>
                <w:sz w:val="18"/>
                <w:szCs w:val="18"/>
              </w:rPr>
              <w:t>2、工业</w:t>
            </w:r>
          </w:p>
        </w:tc>
        <w:tc>
          <w:tcPr>
            <w:tcW w:w="1350"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300≤X＜1000</w:t>
            </w:r>
          </w:p>
        </w:tc>
        <w:tc>
          <w:tcPr>
            <w:tcW w:w="2163"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2000≤Y＜40000</w:t>
            </w:r>
          </w:p>
        </w:tc>
        <w:tc>
          <w:tcPr>
            <w:tcW w:w="1660" w:type="dxa"/>
            <w:tcBorders>
              <w:top w:val="nil"/>
              <w:left w:val="nil"/>
              <w:bottom w:val="single" w:color="auto" w:sz="4" w:space="0"/>
              <w:right w:val="single" w:color="auto" w:sz="8"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240"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20≤X＜300</w:t>
            </w:r>
          </w:p>
        </w:tc>
        <w:tc>
          <w:tcPr>
            <w:tcW w:w="1419"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300≤Y＜2000</w:t>
            </w:r>
          </w:p>
        </w:tc>
        <w:tc>
          <w:tcPr>
            <w:tcW w:w="1581" w:type="dxa"/>
            <w:tcBorders>
              <w:top w:val="nil"/>
              <w:left w:val="nil"/>
              <w:bottom w:val="single" w:color="auto" w:sz="4" w:space="0"/>
              <w:right w:val="single" w:color="auto" w:sz="8"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285"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X＜20</w:t>
            </w:r>
          </w:p>
        </w:tc>
        <w:tc>
          <w:tcPr>
            <w:tcW w:w="1275"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Y＜300</w:t>
            </w:r>
          </w:p>
        </w:tc>
        <w:tc>
          <w:tcPr>
            <w:tcW w:w="1221" w:type="dxa"/>
            <w:tcBorders>
              <w:top w:val="nil"/>
              <w:left w:val="nil"/>
              <w:bottom w:val="single" w:color="auto" w:sz="4" w:space="0"/>
              <w:right w:val="single" w:color="auto" w:sz="8"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r>
      <w:tr>
        <w:tblPrEx>
          <w:tblCellMar>
            <w:top w:w="0" w:type="dxa"/>
            <w:left w:w="108" w:type="dxa"/>
            <w:bottom w:w="0" w:type="dxa"/>
            <w:right w:w="108" w:type="dxa"/>
          </w:tblCellMar>
        </w:tblPrEx>
        <w:trPr>
          <w:trHeight w:val="360" w:hRule="atLeast"/>
        </w:trPr>
        <w:tc>
          <w:tcPr>
            <w:tcW w:w="1925" w:type="dxa"/>
            <w:tcBorders>
              <w:top w:val="nil"/>
              <w:left w:val="single" w:color="auto" w:sz="8" w:space="0"/>
              <w:bottom w:val="single" w:color="auto" w:sz="4" w:space="0"/>
              <w:right w:val="single" w:color="auto" w:sz="8" w:space="0"/>
            </w:tcBorders>
            <w:noWrap/>
            <w:vAlign w:val="center"/>
          </w:tcPr>
          <w:p>
            <w:pPr>
              <w:widowControl/>
              <w:rPr>
                <w:rFonts w:ascii="仿宋" w:hAnsi="仿宋" w:eastAsia="仿宋" w:cs="仿宋"/>
                <w:kern w:val="0"/>
                <w:sz w:val="18"/>
                <w:szCs w:val="18"/>
              </w:rPr>
            </w:pPr>
            <w:r>
              <w:rPr>
                <w:rFonts w:hint="eastAsia" w:ascii="仿宋" w:hAnsi="仿宋" w:eastAsia="仿宋" w:cs="仿宋"/>
                <w:kern w:val="0"/>
                <w:sz w:val="18"/>
                <w:szCs w:val="18"/>
              </w:rPr>
              <w:t>3、建筑业</w:t>
            </w:r>
          </w:p>
        </w:tc>
        <w:tc>
          <w:tcPr>
            <w:tcW w:w="1350"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2163"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6000≤Y＜80000</w:t>
            </w:r>
          </w:p>
        </w:tc>
        <w:tc>
          <w:tcPr>
            <w:tcW w:w="1660" w:type="dxa"/>
            <w:tcBorders>
              <w:top w:val="nil"/>
              <w:left w:val="nil"/>
              <w:bottom w:val="single" w:color="auto" w:sz="4" w:space="0"/>
              <w:right w:val="single" w:color="auto" w:sz="8"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5000≤Z＜80000</w:t>
            </w:r>
          </w:p>
        </w:tc>
        <w:tc>
          <w:tcPr>
            <w:tcW w:w="1240"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419"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300≤Y＜6000</w:t>
            </w:r>
          </w:p>
        </w:tc>
        <w:tc>
          <w:tcPr>
            <w:tcW w:w="1581" w:type="dxa"/>
            <w:tcBorders>
              <w:top w:val="nil"/>
              <w:left w:val="nil"/>
              <w:bottom w:val="single" w:color="auto" w:sz="4" w:space="0"/>
              <w:right w:val="single" w:color="auto" w:sz="8"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 xml:space="preserve"> 300≤Z＜5000</w:t>
            </w:r>
          </w:p>
        </w:tc>
        <w:tc>
          <w:tcPr>
            <w:tcW w:w="1285"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275"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Y＜300</w:t>
            </w:r>
          </w:p>
        </w:tc>
        <w:tc>
          <w:tcPr>
            <w:tcW w:w="1221" w:type="dxa"/>
            <w:tcBorders>
              <w:top w:val="nil"/>
              <w:left w:val="nil"/>
              <w:bottom w:val="single" w:color="auto" w:sz="4" w:space="0"/>
              <w:right w:val="single" w:color="auto" w:sz="8"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Z＜300</w:t>
            </w:r>
          </w:p>
        </w:tc>
      </w:tr>
      <w:tr>
        <w:tblPrEx>
          <w:tblCellMar>
            <w:top w:w="0" w:type="dxa"/>
            <w:left w:w="108" w:type="dxa"/>
            <w:bottom w:w="0" w:type="dxa"/>
            <w:right w:w="108" w:type="dxa"/>
          </w:tblCellMar>
        </w:tblPrEx>
        <w:trPr>
          <w:trHeight w:val="360" w:hRule="atLeast"/>
        </w:trPr>
        <w:tc>
          <w:tcPr>
            <w:tcW w:w="1925" w:type="dxa"/>
            <w:tcBorders>
              <w:top w:val="nil"/>
              <w:left w:val="single" w:color="auto" w:sz="8" w:space="0"/>
              <w:bottom w:val="single" w:color="auto" w:sz="4" w:space="0"/>
              <w:right w:val="single" w:color="auto" w:sz="8" w:space="0"/>
            </w:tcBorders>
            <w:noWrap/>
            <w:vAlign w:val="center"/>
          </w:tcPr>
          <w:p>
            <w:pPr>
              <w:widowControl/>
              <w:rPr>
                <w:rFonts w:ascii="仿宋" w:hAnsi="仿宋" w:eastAsia="仿宋" w:cs="仿宋"/>
                <w:kern w:val="0"/>
                <w:sz w:val="18"/>
                <w:szCs w:val="18"/>
              </w:rPr>
            </w:pPr>
            <w:r>
              <w:rPr>
                <w:rFonts w:hint="eastAsia" w:ascii="仿宋" w:hAnsi="仿宋" w:eastAsia="仿宋" w:cs="仿宋"/>
                <w:kern w:val="0"/>
                <w:sz w:val="18"/>
                <w:szCs w:val="18"/>
              </w:rPr>
              <w:t>4、批发业</w:t>
            </w:r>
          </w:p>
        </w:tc>
        <w:tc>
          <w:tcPr>
            <w:tcW w:w="1350"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 xml:space="preserve"> 20≤X＜200</w:t>
            </w:r>
          </w:p>
        </w:tc>
        <w:tc>
          <w:tcPr>
            <w:tcW w:w="2163"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5000≤Y＜40000</w:t>
            </w:r>
          </w:p>
        </w:tc>
        <w:tc>
          <w:tcPr>
            <w:tcW w:w="1660" w:type="dxa"/>
            <w:tcBorders>
              <w:top w:val="nil"/>
              <w:left w:val="nil"/>
              <w:bottom w:val="single" w:color="auto" w:sz="4" w:space="0"/>
              <w:right w:val="single" w:color="auto" w:sz="8"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240"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 xml:space="preserve"> 5≤X＜20</w:t>
            </w:r>
          </w:p>
        </w:tc>
        <w:tc>
          <w:tcPr>
            <w:tcW w:w="1419"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1000≤Y＜5000</w:t>
            </w:r>
          </w:p>
        </w:tc>
        <w:tc>
          <w:tcPr>
            <w:tcW w:w="1581" w:type="dxa"/>
            <w:tcBorders>
              <w:top w:val="nil"/>
              <w:left w:val="nil"/>
              <w:bottom w:val="single" w:color="auto" w:sz="4" w:space="0"/>
              <w:right w:val="single" w:color="auto" w:sz="8"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285"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X＜5</w:t>
            </w:r>
          </w:p>
        </w:tc>
        <w:tc>
          <w:tcPr>
            <w:tcW w:w="1275"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Y＜1000</w:t>
            </w:r>
          </w:p>
        </w:tc>
        <w:tc>
          <w:tcPr>
            <w:tcW w:w="1221" w:type="dxa"/>
            <w:tcBorders>
              <w:top w:val="nil"/>
              <w:left w:val="nil"/>
              <w:bottom w:val="single" w:color="auto" w:sz="4" w:space="0"/>
              <w:right w:val="single" w:color="auto" w:sz="8"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r>
      <w:tr>
        <w:tblPrEx>
          <w:tblCellMar>
            <w:top w:w="0" w:type="dxa"/>
            <w:left w:w="108" w:type="dxa"/>
            <w:bottom w:w="0" w:type="dxa"/>
            <w:right w:w="108" w:type="dxa"/>
          </w:tblCellMar>
        </w:tblPrEx>
        <w:trPr>
          <w:trHeight w:val="360" w:hRule="atLeast"/>
        </w:trPr>
        <w:tc>
          <w:tcPr>
            <w:tcW w:w="1925" w:type="dxa"/>
            <w:tcBorders>
              <w:top w:val="nil"/>
              <w:left w:val="single" w:color="auto" w:sz="8" w:space="0"/>
              <w:bottom w:val="single" w:color="auto" w:sz="4" w:space="0"/>
              <w:right w:val="single" w:color="auto" w:sz="8" w:space="0"/>
            </w:tcBorders>
            <w:noWrap/>
            <w:vAlign w:val="center"/>
          </w:tcPr>
          <w:p>
            <w:pPr>
              <w:widowControl/>
              <w:rPr>
                <w:rFonts w:ascii="仿宋" w:hAnsi="仿宋" w:eastAsia="仿宋" w:cs="仿宋"/>
                <w:kern w:val="0"/>
                <w:sz w:val="18"/>
                <w:szCs w:val="18"/>
              </w:rPr>
            </w:pPr>
            <w:r>
              <w:rPr>
                <w:rFonts w:hint="eastAsia" w:ascii="仿宋" w:hAnsi="仿宋" w:eastAsia="仿宋" w:cs="仿宋"/>
                <w:kern w:val="0"/>
                <w:sz w:val="18"/>
                <w:szCs w:val="18"/>
              </w:rPr>
              <w:t>5、零售业</w:t>
            </w:r>
          </w:p>
        </w:tc>
        <w:tc>
          <w:tcPr>
            <w:tcW w:w="1350"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 xml:space="preserve"> 50≤X＜300</w:t>
            </w:r>
          </w:p>
        </w:tc>
        <w:tc>
          <w:tcPr>
            <w:tcW w:w="2163"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 xml:space="preserve"> 500≤Y＜20000</w:t>
            </w:r>
          </w:p>
        </w:tc>
        <w:tc>
          <w:tcPr>
            <w:tcW w:w="1660" w:type="dxa"/>
            <w:tcBorders>
              <w:top w:val="nil"/>
              <w:left w:val="nil"/>
              <w:bottom w:val="single" w:color="auto" w:sz="4" w:space="0"/>
              <w:right w:val="single" w:color="auto" w:sz="8"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240"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10≤X＜50</w:t>
            </w:r>
          </w:p>
        </w:tc>
        <w:tc>
          <w:tcPr>
            <w:tcW w:w="1419"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100≤Y＜500</w:t>
            </w:r>
          </w:p>
        </w:tc>
        <w:tc>
          <w:tcPr>
            <w:tcW w:w="1581" w:type="dxa"/>
            <w:tcBorders>
              <w:top w:val="nil"/>
              <w:left w:val="nil"/>
              <w:bottom w:val="single" w:color="auto" w:sz="4" w:space="0"/>
              <w:right w:val="single" w:color="auto" w:sz="8"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285"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X＜10</w:t>
            </w:r>
          </w:p>
        </w:tc>
        <w:tc>
          <w:tcPr>
            <w:tcW w:w="1275"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Y＜100</w:t>
            </w:r>
          </w:p>
        </w:tc>
        <w:tc>
          <w:tcPr>
            <w:tcW w:w="1221" w:type="dxa"/>
            <w:tcBorders>
              <w:top w:val="nil"/>
              <w:left w:val="nil"/>
              <w:bottom w:val="single" w:color="auto" w:sz="4" w:space="0"/>
              <w:right w:val="single" w:color="auto" w:sz="8"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r>
      <w:tr>
        <w:tblPrEx>
          <w:tblCellMar>
            <w:top w:w="0" w:type="dxa"/>
            <w:left w:w="108" w:type="dxa"/>
            <w:bottom w:w="0" w:type="dxa"/>
            <w:right w:w="108" w:type="dxa"/>
          </w:tblCellMar>
        </w:tblPrEx>
        <w:trPr>
          <w:trHeight w:val="360" w:hRule="atLeast"/>
        </w:trPr>
        <w:tc>
          <w:tcPr>
            <w:tcW w:w="1925" w:type="dxa"/>
            <w:tcBorders>
              <w:top w:val="nil"/>
              <w:left w:val="single" w:color="auto" w:sz="8" w:space="0"/>
              <w:bottom w:val="single" w:color="auto" w:sz="4" w:space="0"/>
              <w:right w:val="single" w:color="auto" w:sz="8" w:space="0"/>
            </w:tcBorders>
            <w:noWrap/>
            <w:vAlign w:val="center"/>
          </w:tcPr>
          <w:p>
            <w:pPr>
              <w:widowControl/>
              <w:rPr>
                <w:rFonts w:ascii="仿宋" w:hAnsi="仿宋" w:eastAsia="仿宋" w:cs="仿宋"/>
                <w:kern w:val="0"/>
                <w:sz w:val="18"/>
                <w:szCs w:val="18"/>
              </w:rPr>
            </w:pPr>
            <w:r>
              <w:rPr>
                <w:rFonts w:hint="eastAsia" w:ascii="仿宋" w:hAnsi="仿宋" w:eastAsia="仿宋" w:cs="仿宋"/>
                <w:kern w:val="0"/>
                <w:sz w:val="18"/>
                <w:szCs w:val="18"/>
              </w:rPr>
              <w:t>6、交通运输业</w:t>
            </w:r>
          </w:p>
        </w:tc>
        <w:tc>
          <w:tcPr>
            <w:tcW w:w="1350"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300≤X＜1000</w:t>
            </w:r>
          </w:p>
        </w:tc>
        <w:tc>
          <w:tcPr>
            <w:tcW w:w="2163"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3000≤Y＜30000</w:t>
            </w:r>
          </w:p>
        </w:tc>
        <w:tc>
          <w:tcPr>
            <w:tcW w:w="1660" w:type="dxa"/>
            <w:tcBorders>
              <w:top w:val="nil"/>
              <w:left w:val="nil"/>
              <w:bottom w:val="single" w:color="auto" w:sz="4" w:space="0"/>
              <w:right w:val="single" w:color="auto" w:sz="8"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240"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20≤X＜300</w:t>
            </w:r>
          </w:p>
        </w:tc>
        <w:tc>
          <w:tcPr>
            <w:tcW w:w="1419"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200≤Y＜3000</w:t>
            </w:r>
          </w:p>
        </w:tc>
        <w:tc>
          <w:tcPr>
            <w:tcW w:w="1581" w:type="dxa"/>
            <w:tcBorders>
              <w:top w:val="nil"/>
              <w:left w:val="nil"/>
              <w:bottom w:val="single" w:color="auto" w:sz="4" w:space="0"/>
              <w:right w:val="single" w:color="auto" w:sz="8"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285"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X＜20</w:t>
            </w:r>
          </w:p>
        </w:tc>
        <w:tc>
          <w:tcPr>
            <w:tcW w:w="1275"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V＜200</w:t>
            </w:r>
          </w:p>
        </w:tc>
        <w:tc>
          <w:tcPr>
            <w:tcW w:w="1221" w:type="dxa"/>
            <w:tcBorders>
              <w:top w:val="nil"/>
              <w:left w:val="nil"/>
              <w:bottom w:val="single" w:color="auto" w:sz="4" w:space="0"/>
              <w:right w:val="single" w:color="auto" w:sz="8"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r>
      <w:tr>
        <w:tblPrEx>
          <w:tblCellMar>
            <w:top w:w="0" w:type="dxa"/>
            <w:left w:w="108" w:type="dxa"/>
            <w:bottom w:w="0" w:type="dxa"/>
            <w:right w:w="108" w:type="dxa"/>
          </w:tblCellMar>
        </w:tblPrEx>
        <w:trPr>
          <w:trHeight w:val="360" w:hRule="atLeast"/>
        </w:trPr>
        <w:tc>
          <w:tcPr>
            <w:tcW w:w="1925" w:type="dxa"/>
            <w:tcBorders>
              <w:top w:val="nil"/>
              <w:left w:val="single" w:color="auto" w:sz="8" w:space="0"/>
              <w:bottom w:val="single" w:color="auto" w:sz="4" w:space="0"/>
              <w:right w:val="single" w:color="auto" w:sz="8" w:space="0"/>
            </w:tcBorders>
            <w:noWrap/>
            <w:vAlign w:val="center"/>
          </w:tcPr>
          <w:p>
            <w:pPr>
              <w:widowControl/>
              <w:rPr>
                <w:rFonts w:ascii="仿宋" w:hAnsi="仿宋" w:eastAsia="仿宋" w:cs="仿宋"/>
                <w:kern w:val="0"/>
                <w:sz w:val="18"/>
                <w:szCs w:val="18"/>
              </w:rPr>
            </w:pPr>
            <w:r>
              <w:rPr>
                <w:rFonts w:hint="eastAsia" w:ascii="仿宋" w:hAnsi="仿宋" w:eastAsia="仿宋" w:cs="仿宋"/>
                <w:kern w:val="0"/>
                <w:sz w:val="18"/>
                <w:szCs w:val="18"/>
              </w:rPr>
              <w:t>7、仓储业</w:t>
            </w:r>
          </w:p>
        </w:tc>
        <w:tc>
          <w:tcPr>
            <w:tcW w:w="1350"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100≤X＜200</w:t>
            </w:r>
          </w:p>
        </w:tc>
        <w:tc>
          <w:tcPr>
            <w:tcW w:w="2163"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1000≤Y＜30000</w:t>
            </w:r>
          </w:p>
        </w:tc>
        <w:tc>
          <w:tcPr>
            <w:tcW w:w="1660" w:type="dxa"/>
            <w:tcBorders>
              <w:top w:val="nil"/>
              <w:left w:val="nil"/>
              <w:bottom w:val="single" w:color="auto" w:sz="4" w:space="0"/>
              <w:right w:val="single" w:color="auto" w:sz="8"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240"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20≤X＜100</w:t>
            </w:r>
          </w:p>
        </w:tc>
        <w:tc>
          <w:tcPr>
            <w:tcW w:w="1419"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100≤Y＜1000</w:t>
            </w:r>
          </w:p>
        </w:tc>
        <w:tc>
          <w:tcPr>
            <w:tcW w:w="1581" w:type="dxa"/>
            <w:tcBorders>
              <w:top w:val="nil"/>
              <w:left w:val="nil"/>
              <w:bottom w:val="single" w:color="auto" w:sz="4" w:space="0"/>
              <w:right w:val="single" w:color="auto" w:sz="8"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285"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X＜20</w:t>
            </w:r>
          </w:p>
        </w:tc>
        <w:tc>
          <w:tcPr>
            <w:tcW w:w="1275"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Y＜100</w:t>
            </w:r>
          </w:p>
        </w:tc>
        <w:tc>
          <w:tcPr>
            <w:tcW w:w="1221" w:type="dxa"/>
            <w:tcBorders>
              <w:top w:val="nil"/>
              <w:left w:val="nil"/>
              <w:bottom w:val="single" w:color="auto" w:sz="4" w:space="0"/>
              <w:right w:val="single" w:color="auto" w:sz="8"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r>
      <w:tr>
        <w:tblPrEx>
          <w:tblCellMar>
            <w:top w:w="0" w:type="dxa"/>
            <w:left w:w="108" w:type="dxa"/>
            <w:bottom w:w="0" w:type="dxa"/>
            <w:right w:w="108" w:type="dxa"/>
          </w:tblCellMar>
        </w:tblPrEx>
        <w:trPr>
          <w:trHeight w:val="360" w:hRule="atLeast"/>
        </w:trPr>
        <w:tc>
          <w:tcPr>
            <w:tcW w:w="1925" w:type="dxa"/>
            <w:tcBorders>
              <w:top w:val="nil"/>
              <w:left w:val="single" w:color="auto" w:sz="8" w:space="0"/>
              <w:bottom w:val="single" w:color="auto" w:sz="4" w:space="0"/>
              <w:right w:val="single" w:color="auto" w:sz="8" w:space="0"/>
            </w:tcBorders>
            <w:noWrap/>
            <w:vAlign w:val="center"/>
          </w:tcPr>
          <w:p>
            <w:pPr>
              <w:widowControl/>
              <w:rPr>
                <w:rFonts w:ascii="仿宋" w:hAnsi="仿宋" w:eastAsia="仿宋" w:cs="仿宋"/>
                <w:kern w:val="0"/>
                <w:sz w:val="18"/>
                <w:szCs w:val="18"/>
              </w:rPr>
            </w:pPr>
            <w:r>
              <w:rPr>
                <w:rFonts w:hint="eastAsia" w:ascii="仿宋" w:hAnsi="仿宋" w:eastAsia="仿宋" w:cs="仿宋"/>
                <w:kern w:val="0"/>
                <w:sz w:val="18"/>
                <w:szCs w:val="18"/>
              </w:rPr>
              <w:t>8、邮政业</w:t>
            </w:r>
          </w:p>
        </w:tc>
        <w:tc>
          <w:tcPr>
            <w:tcW w:w="1350"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300≤X＜1000</w:t>
            </w:r>
          </w:p>
        </w:tc>
        <w:tc>
          <w:tcPr>
            <w:tcW w:w="2163"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2000≤Y＜30000</w:t>
            </w:r>
          </w:p>
        </w:tc>
        <w:tc>
          <w:tcPr>
            <w:tcW w:w="1660" w:type="dxa"/>
            <w:tcBorders>
              <w:top w:val="nil"/>
              <w:left w:val="nil"/>
              <w:bottom w:val="single" w:color="auto" w:sz="4" w:space="0"/>
              <w:right w:val="single" w:color="auto" w:sz="8"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240"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20≤X＜300</w:t>
            </w:r>
          </w:p>
        </w:tc>
        <w:tc>
          <w:tcPr>
            <w:tcW w:w="1419"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100≤Y＜2000</w:t>
            </w:r>
          </w:p>
        </w:tc>
        <w:tc>
          <w:tcPr>
            <w:tcW w:w="1581" w:type="dxa"/>
            <w:tcBorders>
              <w:top w:val="nil"/>
              <w:left w:val="nil"/>
              <w:bottom w:val="single" w:color="auto" w:sz="4" w:space="0"/>
              <w:right w:val="single" w:color="auto" w:sz="8"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285"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X＜20</w:t>
            </w:r>
          </w:p>
        </w:tc>
        <w:tc>
          <w:tcPr>
            <w:tcW w:w="1275"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Y＜100</w:t>
            </w:r>
          </w:p>
        </w:tc>
        <w:tc>
          <w:tcPr>
            <w:tcW w:w="1221" w:type="dxa"/>
            <w:tcBorders>
              <w:top w:val="nil"/>
              <w:left w:val="nil"/>
              <w:bottom w:val="single" w:color="auto" w:sz="4" w:space="0"/>
              <w:right w:val="single" w:color="auto" w:sz="8"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r>
      <w:tr>
        <w:tblPrEx>
          <w:tblCellMar>
            <w:top w:w="0" w:type="dxa"/>
            <w:left w:w="108" w:type="dxa"/>
            <w:bottom w:w="0" w:type="dxa"/>
            <w:right w:w="108" w:type="dxa"/>
          </w:tblCellMar>
        </w:tblPrEx>
        <w:trPr>
          <w:trHeight w:val="360" w:hRule="atLeast"/>
        </w:trPr>
        <w:tc>
          <w:tcPr>
            <w:tcW w:w="1925" w:type="dxa"/>
            <w:tcBorders>
              <w:top w:val="nil"/>
              <w:left w:val="single" w:color="auto" w:sz="8" w:space="0"/>
              <w:bottom w:val="single" w:color="auto" w:sz="4" w:space="0"/>
              <w:right w:val="single" w:color="auto" w:sz="8" w:space="0"/>
            </w:tcBorders>
            <w:noWrap/>
            <w:vAlign w:val="center"/>
          </w:tcPr>
          <w:p>
            <w:pPr>
              <w:widowControl/>
              <w:rPr>
                <w:rFonts w:ascii="仿宋" w:hAnsi="仿宋" w:eastAsia="仿宋" w:cs="仿宋"/>
                <w:kern w:val="0"/>
                <w:sz w:val="18"/>
                <w:szCs w:val="18"/>
              </w:rPr>
            </w:pPr>
            <w:r>
              <w:rPr>
                <w:rFonts w:hint="eastAsia" w:ascii="仿宋" w:hAnsi="仿宋" w:eastAsia="仿宋" w:cs="仿宋"/>
                <w:kern w:val="0"/>
                <w:sz w:val="18"/>
                <w:szCs w:val="18"/>
              </w:rPr>
              <w:t>9、住宿业</w:t>
            </w:r>
          </w:p>
        </w:tc>
        <w:tc>
          <w:tcPr>
            <w:tcW w:w="1350"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100≤X＜300</w:t>
            </w:r>
          </w:p>
        </w:tc>
        <w:tc>
          <w:tcPr>
            <w:tcW w:w="2163"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2000≤Y＜10000</w:t>
            </w:r>
          </w:p>
        </w:tc>
        <w:tc>
          <w:tcPr>
            <w:tcW w:w="1660" w:type="dxa"/>
            <w:tcBorders>
              <w:top w:val="nil"/>
              <w:left w:val="nil"/>
              <w:bottom w:val="single" w:color="auto" w:sz="4" w:space="0"/>
              <w:right w:val="single" w:color="auto" w:sz="8"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240"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10≤X＜100</w:t>
            </w:r>
          </w:p>
        </w:tc>
        <w:tc>
          <w:tcPr>
            <w:tcW w:w="1419"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100≤Y＜2000</w:t>
            </w:r>
          </w:p>
        </w:tc>
        <w:tc>
          <w:tcPr>
            <w:tcW w:w="1581" w:type="dxa"/>
            <w:tcBorders>
              <w:top w:val="nil"/>
              <w:left w:val="nil"/>
              <w:bottom w:val="single" w:color="auto" w:sz="4" w:space="0"/>
              <w:right w:val="single" w:color="auto" w:sz="8"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285"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X＜10</w:t>
            </w:r>
          </w:p>
        </w:tc>
        <w:tc>
          <w:tcPr>
            <w:tcW w:w="1275"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Y＜100</w:t>
            </w:r>
          </w:p>
        </w:tc>
        <w:tc>
          <w:tcPr>
            <w:tcW w:w="1221" w:type="dxa"/>
            <w:tcBorders>
              <w:top w:val="nil"/>
              <w:left w:val="nil"/>
              <w:bottom w:val="single" w:color="auto" w:sz="4" w:space="0"/>
              <w:right w:val="single" w:color="auto" w:sz="8"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r>
      <w:tr>
        <w:tblPrEx>
          <w:tblCellMar>
            <w:top w:w="0" w:type="dxa"/>
            <w:left w:w="108" w:type="dxa"/>
            <w:bottom w:w="0" w:type="dxa"/>
            <w:right w:w="108" w:type="dxa"/>
          </w:tblCellMar>
        </w:tblPrEx>
        <w:trPr>
          <w:trHeight w:val="360" w:hRule="atLeast"/>
        </w:trPr>
        <w:tc>
          <w:tcPr>
            <w:tcW w:w="1925" w:type="dxa"/>
            <w:tcBorders>
              <w:top w:val="nil"/>
              <w:left w:val="single" w:color="auto" w:sz="8" w:space="0"/>
              <w:bottom w:val="single" w:color="auto" w:sz="4" w:space="0"/>
              <w:right w:val="single" w:color="auto" w:sz="8" w:space="0"/>
            </w:tcBorders>
            <w:noWrap/>
            <w:vAlign w:val="center"/>
          </w:tcPr>
          <w:p>
            <w:pPr>
              <w:widowControl/>
              <w:rPr>
                <w:rFonts w:ascii="仿宋" w:hAnsi="仿宋" w:eastAsia="仿宋" w:cs="仿宋"/>
                <w:kern w:val="0"/>
                <w:sz w:val="18"/>
                <w:szCs w:val="18"/>
              </w:rPr>
            </w:pPr>
            <w:r>
              <w:rPr>
                <w:rFonts w:hint="eastAsia" w:ascii="仿宋" w:hAnsi="仿宋" w:eastAsia="仿宋" w:cs="仿宋"/>
                <w:kern w:val="0"/>
                <w:sz w:val="18"/>
                <w:szCs w:val="18"/>
              </w:rPr>
              <w:t>10、餐饮业</w:t>
            </w:r>
          </w:p>
        </w:tc>
        <w:tc>
          <w:tcPr>
            <w:tcW w:w="1350"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100≤X＜300</w:t>
            </w:r>
          </w:p>
        </w:tc>
        <w:tc>
          <w:tcPr>
            <w:tcW w:w="2163"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2000≤Y＜10000</w:t>
            </w:r>
          </w:p>
        </w:tc>
        <w:tc>
          <w:tcPr>
            <w:tcW w:w="1660" w:type="dxa"/>
            <w:tcBorders>
              <w:top w:val="nil"/>
              <w:left w:val="nil"/>
              <w:bottom w:val="single" w:color="auto" w:sz="4" w:space="0"/>
              <w:right w:val="single" w:color="auto" w:sz="8"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240"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10≤X＜100</w:t>
            </w:r>
          </w:p>
        </w:tc>
        <w:tc>
          <w:tcPr>
            <w:tcW w:w="1419"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100≤Y＜2000</w:t>
            </w:r>
          </w:p>
        </w:tc>
        <w:tc>
          <w:tcPr>
            <w:tcW w:w="1581" w:type="dxa"/>
            <w:tcBorders>
              <w:top w:val="nil"/>
              <w:left w:val="nil"/>
              <w:bottom w:val="single" w:color="auto" w:sz="4" w:space="0"/>
              <w:right w:val="single" w:color="auto" w:sz="8"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285"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X＜10</w:t>
            </w:r>
          </w:p>
        </w:tc>
        <w:tc>
          <w:tcPr>
            <w:tcW w:w="1275"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Y＜100</w:t>
            </w:r>
          </w:p>
        </w:tc>
        <w:tc>
          <w:tcPr>
            <w:tcW w:w="1221" w:type="dxa"/>
            <w:tcBorders>
              <w:top w:val="nil"/>
              <w:left w:val="nil"/>
              <w:bottom w:val="single" w:color="auto" w:sz="4" w:space="0"/>
              <w:right w:val="single" w:color="auto" w:sz="8"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r>
      <w:tr>
        <w:tblPrEx>
          <w:tblCellMar>
            <w:top w:w="0" w:type="dxa"/>
            <w:left w:w="108" w:type="dxa"/>
            <w:bottom w:w="0" w:type="dxa"/>
            <w:right w:w="108" w:type="dxa"/>
          </w:tblCellMar>
        </w:tblPrEx>
        <w:trPr>
          <w:trHeight w:val="360" w:hRule="atLeast"/>
        </w:trPr>
        <w:tc>
          <w:tcPr>
            <w:tcW w:w="1925" w:type="dxa"/>
            <w:tcBorders>
              <w:top w:val="nil"/>
              <w:left w:val="single" w:color="auto" w:sz="8" w:space="0"/>
              <w:bottom w:val="single" w:color="auto" w:sz="4" w:space="0"/>
              <w:right w:val="single" w:color="auto" w:sz="8" w:space="0"/>
            </w:tcBorders>
            <w:noWrap/>
            <w:vAlign w:val="center"/>
          </w:tcPr>
          <w:p>
            <w:pPr>
              <w:widowControl/>
              <w:rPr>
                <w:rFonts w:ascii="仿宋" w:hAnsi="仿宋" w:eastAsia="仿宋" w:cs="仿宋"/>
                <w:kern w:val="0"/>
                <w:sz w:val="18"/>
                <w:szCs w:val="18"/>
              </w:rPr>
            </w:pPr>
            <w:r>
              <w:rPr>
                <w:rFonts w:hint="eastAsia" w:ascii="仿宋" w:hAnsi="仿宋" w:eastAsia="仿宋" w:cs="仿宋"/>
                <w:kern w:val="0"/>
                <w:sz w:val="18"/>
                <w:szCs w:val="18"/>
              </w:rPr>
              <w:t>11、信息传输业</w:t>
            </w:r>
          </w:p>
        </w:tc>
        <w:tc>
          <w:tcPr>
            <w:tcW w:w="1350"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100≤X＜2000</w:t>
            </w:r>
          </w:p>
        </w:tc>
        <w:tc>
          <w:tcPr>
            <w:tcW w:w="2163"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1000≤Y＜100000</w:t>
            </w:r>
          </w:p>
        </w:tc>
        <w:tc>
          <w:tcPr>
            <w:tcW w:w="1660" w:type="dxa"/>
            <w:tcBorders>
              <w:top w:val="nil"/>
              <w:left w:val="nil"/>
              <w:bottom w:val="single" w:color="auto" w:sz="4" w:space="0"/>
              <w:right w:val="single" w:color="auto" w:sz="8"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240"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10≤X＜100</w:t>
            </w:r>
          </w:p>
        </w:tc>
        <w:tc>
          <w:tcPr>
            <w:tcW w:w="1419"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100≤Y＜1000</w:t>
            </w:r>
          </w:p>
        </w:tc>
        <w:tc>
          <w:tcPr>
            <w:tcW w:w="1581" w:type="dxa"/>
            <w:tcBorders>
              <w:top w:val="nil"/>
              <w:left w:val="nil"/>
              <w:bottom w:val="single" w:color="auto" w:sz="4" w:space="0"/>
              <w:right w:val="single" w:color="auto" w:sz="8"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285"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X＜10</w:t>
            </w:r>
          </w:p>
        </w:tc>
        <w:tc>
          <w:tcPr>
            <w:tcW w:w="1275"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Y＜100</w:t>
            </w:r>
          </w:p>
        </w:tc>
        <w:tc>
          <w:tcPr>
            <w:tcW w:w="1221" w:type="dxa"/>
            <w:tcBorders>
              <w:top w:val="nil"/>
              <w:left w:val="nil"/>
              <w:bottom w:val="single" w:color="auto" w:sz="4" w:space="0"/>
              <w:right w:val="single" w:color="auto" w:sz="8"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r>
      <w:tr>
        <w:tblPrEx>
          <w:tblCellMar>
            <w:top w:w="0" w:type="dxa"/>
            <w:left w:w="108" w:type="dxa"/>
            <w:bottom w:w="0" w:type="dxa"/>
            <w:right w:w="108" w:type="dxa"/>
          </w:tblCellMar>
        </w:tblPrEx>
        <w:trPr>
          <w:trHeight w:val="360" w:hRule="atLeast"/>
        </w:trPr>
        <w:tc>
          <w:tcPr>
            <w:tcW w:w="1925" w:type="dxa"/>
            <w:tcBorders>
              <w:top w:val="nil"/>
              <w:left w:val="single" w:color="auto" w:sz="8" w:space="0"/>
              <w:bottom w:val="single" w:color="auto" w:sz="4" w:space="0"/>
              <w:right w:val="single" w:color="auto" w:sz="8" w:space="0"/>
            </w:tcBorders>
            <w:noWrap/>
            <w:vAlign w:val="center"/>
          </w:tcPr>
          <w:p>
            <w:pPr>
              <w:widowControl/>
              <w:rPr>
                <w:rFonts w:ascii="仿宋" w:hAnsi="仿宋" w:eastAsia="仿宋" w:cs="仿宋"/>
                <w:kern w:val="0"/>
                <w:sz w:val="18"/>
                <w:szCs w:val="18"/>
              </w:rPr>
            </w:pPr>
            <w:r>
              <w:rPr>
                <w:rFonts w:hint="eastAsia" w:ascii="仿宋" w:hAnsi="仿宋" w:eastAsia="仿宋" w:cs="仿宋"/>
                <w:kern w:val="0"/>
                <w:sz w:val="18"/>
                <w:szCs w:val="18"/>
              </w:rPr>
              <w:t>12、软件和信息技术服务业</w:t>
            </w:r>
          </w:p>
        </w:tc>
        <w:tc>
          <w:tcPr>
            <w:tcW w:w="1350"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100≤X＜300</w:t>
            </w:r>
          </w:p>
        </w:tc>
        <w:tc>
          <w:tcPr>
            <w:tcW w:w="2163"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1000≤Y＜10000</w:t>
            </w:r>
          </w:p>
        </w:tc>
        <w:tc>
          <w:tcPr>
            <w:tcW w:w="1660" w:type="dxa"/>
            <w:tcBorders>
              <w:top w:val="nil"/>
              <w:left w:val="nil"/>
              <w:bottom w:val="single" w:color="auto" w:sz="4" w:space="0"/>
              <w:right w:val="single" w:color="auto" w:sz="8"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240"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10≤X＜100</w:t>
            </w:r>
          </w:p>
        </w:tc>
        <w:tc>
          <w:tcPr>
            <w:tcW w:w="1419"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 xml:space="preserve"> 50≤Y＜1000</w:t>
            </w:r>
          </w:p>
        </w:tc>
        <w:tc>
          <w:tcPr>
            <w:tcW w:w="1581" w:type="dxa"/>
            <w:tcBorders>
              <w:top w:val="nil"/>
              <w:left w:val="nil"/>
              <w:bottom w:val="single" w:color="auto" w:sz="4" w:space="0"/>
              <w:right w:val="single" w:color="auto" w:sz="8"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285"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X＜10</w:t>
            </w:r>
          </w:p>
        </w:tc>
        <w:tc>
          <w:tcPr>
            <w:tcW w:w="1275"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Y＜50</w:t>
            </w:r>
          </w:p>
        </w:tc>
        <w:tc>
          <w:tcPr>
            <w:tcW w:w="1221" w:type="dxa"/>
            <w:tcBorders>
              <w:top w:val="nil"/>
              <w:left w:val="nil"/>
              <w:bottom w:val="single" w:color="auto" w:sz="4" w:space="0"/>
              <w:right w:val="single" w:color="auto" w:sz="8"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r>
      <w:tr>
        <w:tblPrEx>
          <w:tblCellMar>
            <w:top w:w="0" w:type="dxa"/>
            <w:left w:w="108" w:type="dxa"/>
            <w:bottom w:w="0" w:type="dxa"/>
            <w:right w:w="108" w:type="dxa"/>
          </w:tblCellMar>
        </w:tblPrEx>
        <w:trPr>
          <w:trHeight w:val="360" w:hRule="atLeast"/>
        </w:trPr>
        <w:tc>
          <w:tcPr>
            <w:tcW w:w="1925" w:type="dxa"/>
            <w:tcBorders>
              <w:top w:val="nil"/>
              <w:left w:val="single" w:color="auto" w:sz="8" w:space="0"/>
              <w:bottom w:val="single" w:color="auto" w:sz="4" w:space="0"/>
              <w:right w:val="single" w:color="auto" w:sz="8" w:space="0"/>
            </w:tcBorders>
            <w:noWrap/>
            <w:vAlign w:val="center"/>
          </w:tcPr>
          <w:p>
            <w:pPr>
              <w:widowControl/>
              <w:rPr>
                <w:rFonts w:ascii="仿宋" w:hAnsi="仿宋" w:eastAsia="仿宋" w:cs="仿宋"/>
                <w:kern w:val="0"/>
                <w:sz w:val="18"/>
                <w:szCs w:val="18"/>
              </w:rPr>
            </w:pPr>
            <w:r>
              <w:rPr>
                <w:rFonts w:hint="eastAsia" w:ascii="仿宋" w:hAnsi="仿宋" w:eastAsia="仿宋" w:cs="仿宋"/>
                <w:kern w:val="0"/>
                <w:sz w:val="18"/>
                <w:szCs w:val="18"/>
              </w:rPr>
              <w:t>13、房地产开发经营</w:t>
            </w:r>
          </w:p>
        </w:tc>
        <w:tc>
          <w:tcPr>
            <w:tcW w:w="1350"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2163"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1000≤Y＜200000</w:t>
            </w:r>
          </w:p>
        </w:tc>
        <w:tc>
          <w:tcPr>
            <w:tcW w:w="1660" w:type="dxa"/>
            <w:tcBorders>
              <w:top w:val="nil"/>
              <w:left w:val="nil"/>
              <w:bottom w:val="single" w:color="auto" w:sz="4" w:space="0"/>
              <w:right w:val="single" w:color="auto" w:sz="8"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5000≤Z＜10000</w:t>
            </w:r>
          </w:p>
        </w:tc>
        <w:tc>
          <w:tcPr>
            <w:tcW w:w="1240"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419"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100≤Y＜1000</w:t>
            </w:r>
          </w:p>
        </w:tc>
        <w:tc>
          <w:tcPr>
            <w:tcW w:w="1581" w:type="dxa"/>
            <w:tcBorders>
              <w:top w:val="nil"/>
              <w:left w:val="nil"/>
              <w:bottom w:val="single" w:color="auto" w:sz="4" w:space="0"/>
              <w:right w:val="single" w:color="auto" w:sz="8"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2000≤Z＜5000</w:t>
            </w:r>
          </w:p>
        </w:tc>
        <w:tc>
          <w:tcPr>
            <w:tcW w:w="1285"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275"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Y＜100</w:t>
            </w:r>
          </w:p>
        </w:tc>
        <w:tc>
          <w:tcPr>
            <w:tcW w:w="1221" w:type="dxa"/>
            <w:tcBorders>
              <w:top w:val="nil"/>
              <w:left w:val="nil"/>
              <w:bottom w:val="single" w:color="auto" w:sz="4" w:space="0"/>
              <w:right w:val="single" w:color="auto" w:sz="8"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Z＜2000</w:t>
            </w:r>
          </w:p>
        </w:tc>
      </w:tr>
      <w:tr>
        <w:tblPrEx>
          <w:tblCellMar>
            <w:top w:w="0" w:type="dxa"/>
            <w:left w:w="108" w:type="dxa"/>
            <w:bottom w:w="0" w:type="dxa"/>
            <w:right w:w="108" w:type="dxa"/>
          </w:tblCellMar>
        </w:tblPrEx>
        <w:trPr>
          <w:trHeight w:val="525" w:hRule="atLeast"/>
        </w:trPr>
        <w:tc>
          <w:tcPr>
            <w:tcW w:w="1925" w:type="dxa"/>
            <w:tcBorders>
              <w:top w:val="nil"/>
              <w:left w:val="single" w:color="auto" w:sz="8" w:space="0"/>
              <w:bottom w:val="single" w:color="auto" w:sz="4" w:space="0"/>
              <w:right w:val="single" w:color="auto" w:sz="8" w:space="0"/>
            </w:tcBorders>
            <w:noWrap/>
            <w:vAlign w:val="center"/>
          </w:tcPr>
          <w:p>
            <w:pPr>
              <w:widowControl/>
              <w:rPr>
                <w:rFonts w:ascii="仿宋" w:hAnsi="仿宋" w:eastAsia="仿宋" w:cs="仿宋"/>
                <w:kern w:val="0"/>
                <w:sz w:val="18"/>
                <w:szCs w:val="18"/>
              </w:rPr>
            </w:pPr>
            <w:r>
              <w:rPr>
                <w:rFonts w:hint="eastAsia" w:ascii="仿宋" w:hAnsi="仿宋" w:eastAsia="仿宋" w:cs="仿宋"/>
                <w:kern w:val="0"/>
                <w:sz w:val="18"/>
                <w:szCs w:val="18"/>
              </w:rPr>
              <w:t>14、物业管理</w:t>
            </w:r>
          </w:p>
        </w:tc>
        <w:tc>
          <w:tcPr>
            <w:tcW w:w="1350"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300≤X＜1000</w:t>
            </w:r>
          </w:p>
        </w:tc>
        <w:tc>
          <w:tcPr>
            <w:tcW w:w="2163"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1000≤Y＜5000</w:t>
            </w:r>
          </w:p>
        </w:tc>
        <w:tc>
          <w:tcPr>
            <w:tcW w:w="1660" w:type="dxa"/>
            <w:tcBorders>
              <w:top w:val="nil"/>
              <w:left w:val="nil"/>
              <w:bottom w:val="single" w:color="auto" w:sz="4" w:space="0"/>
              <w:right w:val="single" w:color="auto" w:sz="8"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240"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100≤X＜300</w:t>
            </w:r>
          </w:p>
        </w:tc>
        <w:tc>
          <w:tcPr>
            <w:tcW w:w="1419"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500≤Y＜1000</w:t>
            </w:r>
          </w:p>
        </w:tc>
        <w:tc>
          <w:tcPr>
            <w:tcW w:w="1581" w:type="dxa"/>
            <w:tcBorders>
              <w:top w:val="nil"/>
              <w:left w:val="nil"/>
              <w:bottom w:val="single" w:color="auto" w:sz="4" w:space="0"/>
              <w:right w:val="single" w:color="auto" w:sz="8"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285"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X＜100</w:t>
            </w:r>
          </w:p>
        </w:tc>
        <w:tc>
          <w:tcPr>
            <w:tcW w:w="1275"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Y＜500</w:t>
            </w:r>
          </w:p>
        </w:tc>
        <w:tc>
          <w:tcPr>
            <w:tcW w:w="1221" w:type="dxa"/>
            <w:tcBorders>
              <w:top w:val="nil"/>
              <w:left w:val="nil"/>
              <w:bottom w:val="single" w:color="auto" w:sz="4" w:space="0"/>
              <w:right w:val="single" w:color="auto" w:sz="8"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r>
      <w:tr>
        <w:tblPrEx>
          <w:tblCellMar>
            <w:top w:w="0" w:type="dxa"/>
            <w:left w:w="108" w:type="dxa"/>
            <w:bottom w:w="0" w:type="dxa"/>
            <w:right w:w="108" w:type="dxa"/>
          </w:tblCellMar>
        </w:tblPrEx>
        <w:trPr>
          <w:trHeight w:val="360" w:hRule="atLeast"/>
        </w:trPr>
        <w:tc>
          <w:tcPr>
            <w:tcW w:w="1925" w:type="dxa"/>
            <w:tcBorders>
              <w:top w:val="nil"/>
              <w:left w:val="single" w:color="auto" w:sz="8" w:space="0"/>
              <w:bottom w:val="single" w:color="auto" w:sz="4" w:space="0"/>
              <w:right w:val="single" w:color="auto" w:sz="8" w:space="0"/>
            </w:tcBorders>
            <w:noWrap/>
            <w:vAlign w:val="center"/>
          </w:tcPr>
          <w:p>
            <w:pPr>
              <w:widowControl/>
              <w:rPr>
                <w:rFonts w:ascii="仿宋" w:hAnsi="仿宋" w:eastAsia="仿宋" w:cs="仿宋"/>
                <w:kern w:val="0"/>
                <w:sz w:val="18"/>
                <w:szCs w:val="18"/>
              </w:rPr>
            </w:pPr>
            <w:r>
              <w:rPr>
                <w:rFonts w:hint="eastAsia" w:ascii="仿宋" w:hAnsi="仿宋" w:eastAsia="仿宋" w:cs="仿宋"/>
                <w:kern w:val="0"/>
                <w:sz w:val="18"/>
                <w:szCs w:val="18"/>
              </w:rPr>
              <w:t>15、租赁和商务服务业</w:t>
            </w:r>
          </w:p>
        </w:tc>
        <w:tc>
          <w:tcPr>
            <w:tcW w:w="1350"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100≤X＜300</w:t>
            </w:r>
          </w:p>
        </w:tc>
        <w:tc>
          <w:tcPr>
            <w:tcW w:w="2163"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660" w:type="dxa"/>
            <w:tcBorders>
              <w:top w:val="nil"/>
              <w:left w:val="nil"/>
              <w:bottom w:val="single" w:color="auto" w:sz="4" w:space="0"/>
              <w:right w:val="single" w:color="auto" w:sz="8"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8000≤Z＜120000</w:t>
            </w:r>
          </w:p>
        </w:tc>
        <w:tc>
          <w:tcPr>
            <w:tcW w:w="1240"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10≤X＜100</w:t>
            </w:r>
          </w:p>
        </w:tc>
        <w:tc>
          <w:tcPr>
            <w:tcW w:w="1419"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581" w:type="dxa"/>
            <w:tcBorders>
              <w:top w:val="nil"/>
              <w:left w:val="nil"/>
              <w:bottom w:val="single" w:color="auto" w:sz="4" w:space="0"/>
              <w:right w:val="single" w:color="auto" w:sz="8"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 xml:space="preserve"> 100≤Z＜8000</w:t>
            </w:r>
          </w:p>
        </w:tc>
        <w:tc>
          <w:tcPr>
            <w:tcW w:w="1285"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X＜10</w:t>
            </w:r>
          </w:p>
        </w:tc>
        <w:tc>
          <w:tcPr>
            <w:tcW w:w="1275" w:type="dxa"/>
            <w:tcBorders>
              <w:top w:val="nil"/>
              <w:left w:val="nil"/>
              <w:bottom w:val="single" w:color="auto" w:sz="4"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221" w:type="dxa"/>
            <w:tcBorders>
              <w:top w:val="nil"/>
              <w:left w:val="nil"/>
              <w:bottom w:val="single" w:color="auto" w:sz="4" w:space="0"/>
              <w:right w:val="single" w:color="auto" w:sz="8"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Z＜100</w:t>
            </w:r>
          </w:p>
        </w:tc>
      </w:tr>
      <w:tr>
        <w:tblPrEx>
          <w:tblCellMar>
            <w:top w:w="0" w:type="dxa"/>
            <w:left w:w="108" w:type="dxa"/>
            <w:bottom w:w="0" w:type="dxa"/>
            <w:right w:w="108" w:type="dxa"/>
          </w:tblCellMar>
        </w:tblPrEx>
        <w:trPr>
          <w:trHeight w:val="360" w:hRule="atLeast"/>
        </w:trPr>
        <w:tc>
          <w:tcPr>
            <w:tcW w:w="1925" w:type="dxa"/>
            <w:tcBorders>
              <w:top w:val="nil"/>
              <w:left w:val="single" w:color="auto" w:sz="8" w:space="0"/>
              <w:bottom w:val="single" w:color="auto" w:sz="8" w:space="0"/>
              <w:right w:val="single" w:color="auto" w:sz="8" w:space="0"/>
            </w:tcBorders>
            <w:noWrap/>
            <w:vAlign w:val="center"/>
          </w:tcPr>
          <w:p>
            <w:pPr>
              <w:widowControl/>
              <w:rPr>
                <w:rFonts w:ascii="仿宋" w:hAnsi="仿宋" w:eastAsia="仿宋" w:cs="仿宋"/>
                <w:kern w:val="0"/>
                <w:sz w:val="18"/>
                <w:szCs w:val="18"/>
              </w:rPr>
            </w:pPr>
            <w:r>
              <w:rPr>
                <w:rFonts w:hint="eastAsia" w:ascii="仿宋" w:hAnsi="仿宋" w:eastAsia="仿宋" w:cs="仿宋"/>
                <w:kern w:val="0"/>
                <w:sz w:val="18"/>
                <w:szCs w:val="18"/>
              </w:rPr>
              <w:t>16、其他未列明行业</w:t>
            </w:r>
          </w:p>
        </w:tc>
        <w:tc>
          <w:tcPr>
            <w:tcW w:w="1350" w:type="dxa"/>
            <w:tcBorders>
              <w:top w:val="nil"/>
              <w:left w:val="nil"/>
              <w:bottom w:val="single" w:color="auto" w:sz="8"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100≤X＜300</w:t>
            </w:r>
          </w:p>
        </w:tc>
        <w:tc>
          <w:tcPr>
            <w:tcW w:w="2163" w:type="dxa"/>
            <w:tcBorders>
              <w:top w:val="nil"/>
              <w:left w:val="nil"/>
              <w:bottom w:val="single" w:color="auto" w:sz="8"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660" w:type="dxa"/>
            <w:tcBorders>
              <w:top w:val="nil"/>
              <w:left w:val="nil"/>
              <w:bottom w:val="single" w:color="auto" w:sz="8" w:space="0"/>
              <w:right w:val="single" w:color="auto" w:sz="8"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240" w:type="dxa"/>
            <w:tcBorders>
              <w:top w:val="nil"/>
              <w:left w:val="nil"/>
              <w:bottom w:val="single" w:color="auto" w:sz="8"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10≤X＜100</w:t>
            </w:r>
          </w:p>
        </w:tc>
        <w:tc>
          <w:tcPr>
            <w:tcW w:w="1419" w:type="dxa"/>
            <w:tcBorders>
              <w:top w:val="nil"/>
              <w:left w:val="nil"/>
              <w:bottom w:val="single" w:color="auto" w:sz="8"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581" w:type="dxa"/>
            <w:tcBorders>
              <w:top w:val="nil"/>
              <w:left w:val="nil"/>
              <w:bottom w:val="single" w:color="auto" w:sz="8" w:space="0"/>
              <w:right w:val="single" w:color="auto" w:sz="8"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285" w:type="dxa"/>
            <w:tcBorders>
              <w:top w:val="nil"/>
              <w:left w:val="nil"/>
              <w:bottom w:val="single" w:color="auto" w:sz="8"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X＜10</w:t>
            </w:r>
          </w:p>
        </w:tc>
        <w:tc>
          <w:tcPr>
            <w:tcW w:w="1275" w:type="dxa"/>
            <w:tcBorders>
              <w:top w:val="nil"/>
              <w:left w:val="nil"/>
              <w:bottom w:val="single" w:color="auto" w:sz="8" w:space="0"/>
              <w:right w:val="single" w:color="auto" w:sz="4"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c>
          <w:tcPr>
            <w:tcW w:w="1221" w:type="dxa"/>
            <w:tcBorders>
              <w:top w:val="nil"/>
              <w:left w:val="nil"/>
              <w:bottom w:val="single" w:color="auto" w:sz="8" w:space="0"/>
              <w:right w:val="single" w:color="auto" w:sz="8" w:space="0"/>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r>
      <w:tr>
        <w:tblPrEx>
          <w:tblCellMar>
            <w:top w:w="0" w:type="dxa"/>
            <w:left w:w="108" w:type="dxa"/>
            <w:bottom w:w="0" w:type="dxa"/>
            <w:right w:w="108" w:type="dxa"/>
          </w:tblCellMar>
        </w:tblPrEx>
        <w:trPr>
          <w:trHeight w:val="285" w:hRule="atLeast"/>
        </w:trPr>
        <w:tc>
          <w:tcPr>
            <w:tcW w:w="15119" w:type="dxa"/>
            <w:gridSpan w:val="10"/>
            <w:tcBorders>
              <w:top w:val="nil"/>
              <w:left w:val="nil"/>
              <w:bottom w:val="nil"/>
              <w:right w:val="nil"/>
            </w:tcBorders>
            <w:noWrap/>
            <w:vAlign w:val="bottom"/>
          </w:tcPr>
          <w:p>
            <w:pPr>
              <w:widowControl/>
              <w:jc w:val="left"/>
              <w:rPr>
                <w:rFonts w:ascii="仿宋" w:hAnsi="仿宋" w:eastAsia="仿宋" w:cs="仿宋"/>
                <w:kern w:val="0"/>
                <w:sz w:val="18"/>
                <w:szCs w:val="18"/>
              </w:rPr>
            </w:pPr>
            <w:r>
              <w:rPr>
                <w:rFonts w:hint="eastAsia" w:ascii="仿宋" w:hAnsi="仿宋" w:eastAsia="仿宋" w:cs="仿宋"/>
                <w:kern w:val="0"/>
                <w:sz w:val="18"/>
                <w:szCs w:val="18"/>
              </w:rPr>
              <w:t>说明　1、企业类型的划分以统计部门的统计数据为依据。</w:t>
            </w:r>
          </w:p>
          <w:p>
            <w:pPr>
              <w:widowControl/>
              <w:ind w:firstLine="540" w:firstLineChars="300"/>
              <w:jc w:val="left"/>
              <w:rPr>
                <w:rFonts w:ascii="仿宋" w:hAnsi="仿宋" w:eastAsia="仿宋" w:cs="仿宋"/>
                <w:kern w:val="0"/>
                <w:sz w:val="18"/>
                <w:szCs w:val="18"/>
              </w:rPr>
            </w:pPr>
            <w:r>
              <w:rPr>
                <w:rFonts w:hint="eastAsia" w:ascii="仿宋" w:hAnsi="仿宋" w:eastAsia="仿宋" w:cs="仿宋"/>
                <w:kern w:val="0"/>
                <w:sz w:val="18"/>
                <w:szCs w:val="18"/>
              </w:rPr>
              <w:t>2、个体工商户和本规定以外的行业，参照本规定进行划型。</w:t>
            </w:r>
          </w:p>
          <w:p>
            <w:pPr>
              <w:widowControl/>
              <w:ind w:firstLine="540" w:firstLineChars="300"/>
              <w:jc w:val="left"/>
              <w:rPr>
                <w:rFonts w:ascii="仿宋" w:hAnsi="仿宋" w:eastAsia="仿宋" w:cs="仿宋"/>
                <w:kern w:val="0"/>
                <w:sz w:val="18"/>
                <w:szCs w:val="18"/>
              </w:rPr>
            </w:pPr>
            <w:r>
              <w:rPr>
                <w:rFonts w:hint="eastAsia" w:ascii="仿宋" w:hAnsi="仿宋" w:eastAsia="仿宋" w:cs="仿宋"/>
                <w:kern w:val="0"/>
                <w:sz w:val="18"/>
                <w:szCs w:val="18"/>
              </w:rPr>
              <w:t>3、本规定的中型企业标准上限即为大型企业标准的下限。</w:t>
            </w:r>
          </w:p>
        </w:tc>
      </w:tr>
    </w:tbl>
    <w:p>
      <w:pPr>
        <w:pStyle w:val="4"/>
      </w:pPr>
    </w:p>
    <w:sectPr>
      <w:pgSz w:w="16838" w:h="11906" w:orient="landscape"/>
      <w:pgMar w:top="1418" w:right="1276" w:bottom="1418" w:left="1247" w:header="851" w:footer="992" w:gutter="0"/>
      <w:pgBorders>
        <w:top w:val="none" w:sz="0" w:space="0"/>
        <w:left w:val="none" w:sz="0" w:space="0"/>
        <w:bottom w:val="none" w:sz="0" w:space="0"/>
        <w:right w:val="none" w:sz="0" w:space="0"/>
      </w:pgBorders>
      <w:cols w:space="720" w:num="1"/>
      <w:titlePg/>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2-08-25T19:39:58Z" w:initials="A">
    <w:p w14:paraId="0D392238">
      <w:pPr>
        <w:pStyle w:val="21"/>
        <w:rPr>
          <w:rFonts w:hint="default" w:eastAsia="宋体"/>
          <w:lang w:val="en-US" w:eastAsia="zh-CN"/>
        </w:rPr>
      </w:pPr>
      <w:r>
        <w:rPr>
          <w:rFonts w:hint="eastAsia"/>
          <w:lang w:val="en-US" w:eastAsia="zh-CN"/>
        </w:rPr>
        <w:t>综合打分的分值不能超过5分</w:t>
      </w:r>
    </w:p>
  </w:comment>
  <w:comment w:id="1" w:author="Administrator" w:date="2022-08-25T19:40:41Z" w:initials="A">
    <w:p w14:paraId="4C9910FB">
      <w:pPr>
        <w:pStyle w:val="21"/>
        <w:rPr>
          <w:rFonts w:hint="default" w:eastAsia="宋体"/>
          <w:lang w:val="en-US" w:eastAsia="zh-CN"/>
        </w:rPr>
      </w:pPr>
      <w:r>
        <w:rPr>
          <w:rFonts w:hint="eastAsia"/>
          <w:lang w:val="en-US" w:eastAsia="zh-CN"/>
        </w:rPr>
        <w:t>第一：近3年，2019年。第二：业绩分值不能超过价格分的10%</w:t>
      </w:r>
    </w:p>
  </w:comment>
  <w:comment w:id="2" w:author="Administrator" w:date="2022-08-25T19:42:17Z" w:initials="A">
    <w:p w14:paraId="163F457E">
      <w:pPr>
        <w:pStyle w:val="21"/>
        <w:rPr>
          <w:rFonts w:hint="eastAsia"/>
          <w:lang w:val="en-US" w:eastAsia="zh-CN"/>
        </w:rPr>
      </w:pPr>
      <w:r>
        <w:rPr>
          <w:rFonts w:hint="eastAsia"/>
          <w:lang w:val="en-US" w:eastAsia="zh-CN"/>
        </w:rPr>
        <w:t>同上不能超过5分</w:t>
      </w:r>
    </w:p>
    <w:p w14:paraId="16D5759D">
      <w:pPr>
        <w:pStyle w:val="21"/>
        <w:rPr>
          <w:rFonts w:hint="default"/>
          <w:lang w:val="en-US" w:eastAsia="zh-CN"/>
        </w:rPr>
      </w:pPr>
    </w:p>
  </w:comment>
  <w:comment w:id="3" w:author="Administrator" w:date="2022-08-25T19:46:59Z" w:initials="A">
    <w:p w14:paraId="387418A7">
      <w:pPr>
        <w:pStyle w:val="21"/>
        <w:rPr>
          <w:rFonts w:hint="default" w:eastAsia="宋体"/>
          <w:lang w:val="en-US" w:eastAsia="zh-CN"/>
        </w:rPr>
      </w:pPr>
      <w:r>
        <w:rPr>
          <w:rFonts w:hint="eastAsia"/>
          <w:lang w:val="en-US" w:eastAsia="zh-CN"/>
        </w:rPr>
        <w:t>所有的得分不能以优、良、一般来打分。可以描述为最高分为5分。（同上所有出现优良的）</w:t>
      </w:r>
    </w:p>
  </w:comment>
  <w:comment w:id="4" w:author="Administrator" w:date="2022-08-25T19:46:59Z" w:initials="A">
    <w:p w14:paraId="6EAC2835">
      <w:pPr>
        <w:pStyle w:val="21"/>
        <w:rPr>
          <w:rFonts w:hint="default" w:eastAsia="宋体"/>
          <w:lang w:val="en-US" w:eastAsia="zh-CN"/>
        </w:rPr>
      </w:pPr>
      <w:r>
        <w:rPr>
          <w:rFonts w:hint="eastAsia"/>
          <w:lang w:val="en-US" w:eastAsia="zh-CN"/>
        </w:rPr>
        <w:t>所有的得分不能以优、良、一般来打分。可以描述为最高分为5分。（同上所有出现优良的）</w:t>
      </w:r>
    </w:p>
  </w:comment>
  <w:comment w:id="5" w:author="Administrator" w:date="2022-08-25T19:46:59Z" w:initials="A">
    <w:p w14:paraId="67EC1085">
      <w:pPr>
        <w:pStyle w:val="21"/>
        <w:rPr>
          <w:rFonts w:hint="default" w:eastAsia="宋体"/>
          <w:lang w:val="en-US" w:eastAsia="zh-CN"/>
        </w:rPr>
      </w:pPr>
      <w:r>
        <w:rPr>
          <w:rFonts w:hint="eastAsia"/>
          <w:lang w:val="en-US" w:eastAsia="zh-CN"/>
        </w:rPr>
        <w:t>所有的得分不能以优、良、一般来打分。可以描述为最高分为5分。（同上所有出现优良的）</w:t>
      </w:r>
    </w:p>
  </w:comment>
  <w:comment w:id="6" w:author="Administrator" w:date="2022-08-25T19:43:36Z" w:initials="A">
    <w:p w14:paraId="770414D1">
      <w:pPr>
        <w:pStyle w:val="21"/>
        <w:rPr>
          <w:rFonts w:hint="default" w:eastAsia="宋体"/>
          <w:lang w:val="en-US" w:eastAsia="zh-CN"/>
        </w:rPr>
      </w:pPr>
      <w:r>
        <w:rPr>
          <w:rFonts w:hint="eastAsia"/>
          <w:lang w:val="en-US" w:eastAsia="zh-CN"/>
        </w:rPr>
        <w:t>5项应该是每项3分？</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D392238" w15:done="0"/>
  <w15:commentEx w15:paraId="4C9910FB" w15:done="0"/>
  <w15:commentEx w15:paraId="16D5759D" w15:done="0"/>
  <w15:commentEx w15:paraId="387418A7" w15:done="0"/>
  <w15:commentEx w15:paraId="6EAC2835" w15:done="0"/>
  <w15:commentEx w15:paraId="67EC1085" w15:done="0"/>
  <w15:commentEx w15:paraId="770414D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2"/>
      </w:rPr>
    </w:pPr>
    <w:r>
      <w:fldChar w:fldCharType="begin"/>
    </w:r>
    <w:r>
      <w:rPr>
        <w:rStyle w:val="72"/>
      </w:rPr>
      <w:instrText xml:space="preserve">PAGE  </w:instrText>
    </w:r>
    <w:r>
      <w:fldChar w:fldCharType="end"/>
    </w:r>
  </w:p>
  <w:p>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bookmarkStart w:id="524" w:name="_Toc131845147"/>
    <w:bookmarkStart w:id="525" w:name="_Toc164085800"/>
    <w:bookmarkStart w:id="526" w:name="_Toc91899912"/>
    <w:bookmarkStart w:id="527" w:name="_Toc36110187"/>
    <w:r>
      <w:rPr>
        <w:rFonts w:hint="eastAsia" w:ascii="仿宋_GB2312" w:eastAsia="仿宋_GB2312"/>
        <w:kern w:val="0"/>
        <w:szCs w:val="21"/>
      </w:rPr>
      <w:t xml:space="preserve"> 页</w:t>
    </w:r>
    <w:bookmarkEnd w:id="524"/>
    <w:bookmarkEnd w:id="525"/>
    <w:bookmarkEnd w:id="526"/>
    <w:bookmarkEnd w:id="52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2"/>
      </w:rPr>
    </w:pPr>
    <w:r>
      <w:fldChar w:fldCharType="begin"/>
    </w:r>
    <w:r>
      <w:rPr>
        <w:rStyle w:val="72"/>
      </w:rPr>
      <w:instrText xml:space="preserve">PAGE  </w:instrText>
    </w:r>
    <w: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w:t>
    </w:r>
    <w:r>
      <w:rPr>
        <w:rFonts w:hint="eastAsia"/>
      </w:rPr>
      <w:t xml:space="preserve">             </w:t>
    </w:r>
    <w:r>
      <w:t>杭州市政府采购公开招标文件</w:t>
    </w:r>
  </w:p>
  <w:p>
    <w:pPr>
      <w:pStyle w:val="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w:t>
    </w:r>
    <w:r>
      <w:rPr>
        <w:rFonts w:hint="eastAsia"/>
      </w:rPr>
      <w:t xml:space="preserve">             </w:t>
    </w:r>
    <w:r>
      <w:t>杭州市政府采购公开招标文件</w:t>
    </w:r>
  </w:p>
  <w:p>
    <w:pPr>
      <w:pStyle w:val="2"/>
      <w:tabs>
        <w:tab w:val="center" w:pos="4535"/>
        <w:tab w:val="right" w:pos="9070"/>
      </w:tabs>
      <w:ind w:firstLine="180" w:firstLineChars="100"/>
      <w:jc w:val="both"/>
      <w:rPr>
        <w:rFonts w:ascii="仿宋_GB2312" w:eastAsia="仿宋_GB2312"/>
        <w:b w:val="0"/>
        <w:i/>
        <w:sz w:val="18"/>
        <w:u w:val="single"/>
        <w:lang w:val="en-US"/>
      </w:rPr>
    </w:pPr>
  </w:p>
  <w:p>
    <w:pPr>
      <w:pStyle w:val="2"/>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CDB65D"/>
    <w:multiLevelType w:val="singleLevel"/>
    <w:tmpl w:val="FFCDB65D"/>
    <w:lvl w:ilvl="0" w:tentative="0">
      <w:start w:val="4"/>
      <w:numFmt w:val="decimal"/>
      <w:suff w:val="nothing"/>
      <w:lvlText w:val="%1、"/>
      <w:lvlJc w:val="left"/>
    </w:lvl>
  </w:abstractNum>
  <w:abstractNum w:abstractNumId="1">
    <w:nsid w:val="392913CC"/>
    <w:multiLevelType w:val="multilevel"/>
    <w:tmpl w:val="392913CC"/>
    <w:lvl w:ilvl="0" w:tentative="0">
      <w:start w:val="1"/>
      <w:numFmt w:val="decimal"/>
      <w:lvlText w:val="%1."/>
      <w:lvlJc w:val="left"/>
      <w:pPr>
        <w:ind w:left="777" w:hanging="420"/>
      </w:pPr>
    </w:lvl>
    <w:lvl w:ilvl="1" w:tentative="0">
      <w:start w:val="1"/>
      <w:numFmt w:val="lowerLetter"/>
      <w:lvlText w:val="%2)"/>
      <w:lvlJc w:val="left"/>
      <w:pPr>
        <w:ind w:left="1197" w:hanging="420"/>
      </w:pPr>
    </w:lvl>
    <w:lvl w:ilvl="2" w:tentative="0">
      <w:start w:val="1"/>
      <w:numFmt w:val="lowerRoman"/>
      <w:lvlText w:val="%3."/>
      <w:lvlJc w:val="right"/>
      <w:pPr>
        <w:ind w:left="1617" w:hanging="420"/>
      </w:pPr>
    </w:lvl>
    <w:lvl w:ilvl="3" w:tentative="0">
      <w:start w:val="1"/>
      <w:numFmt w:val="decimal"/>
      <w:lvlText w:val="%4."/>
      <w:lvlJc w:val="left"/>
      <w:pPr>
        <w:ind w:left="2037" w:hanging="420"/>
      </w:pPr>
    </w:lvl>
    <w:lvl w:ilvl="4" w:tentative="0">
      <w:start w:val="1"/>
      <w:numFmt w:val="lowerLetter"/>
      <w:lvlText w:val="%5)"/>
      <w:lvlJc w:val="left"/>
      <w:pPr>
        <w:ind w:left="2457" w:hanging="420"/>
      </w:pPr>
    </w:lvl>
    <w:lvl w:ilvl="5" w:tentative="0">
      <w:start w:val="1"/>
      <w:numFmt w:val="lowerRoman"/>
      <w:lvlText w:val="%6."/>
      <w:lvlJc w:val="right"/>
      <w:pPr>
        <w:ind w:left="2877" w:hanging="420"/>
      </w:pPr>
    </w:lvl>
    <w:lvl w:ilvl="6" w:tentative="0">
      <w:start w:val="1"/>
      <w:numFmt w:val="decimal"/>
      <w:lvlText w:val="%7."/>
      <w:lvlJc w:val="left"/>
      <w:pPr>
        <w:ind w:left="3297" w:hanging="420"/>
      </w:pPr>
    </w:lvl>
    <w:lvl w:ilvl="7" w:tentative="0">
      <w:start w:val="1"/>
      <w:numFmt w:val="lowerLetter"/>
      <w:lvlText w:val="%8)"/>
      <w:lvlJc w:val="left"/>
      <w:pPr>
        <w:ind w:left="3717" w:hanging="420"/>
      </w:pPr>
    </w:lvl>
    <w:lvl w:ilvl="8" w:tentative="0">
      <w:start w:val="1"/>
      <w:numFmt w:val="lowerRoman"/>
      <w:lvlText w:val="%9."/>
      <w:lvlJc w:val="right"/>
      <w:pPr>
        <w:ind w:left="4137" w:hanging="420"/>
      </w:pPr>
    </w:lvl>
  </w:abstractNum>
  <w:abstractNum w:abstractNumId="2">
    <w:nsid w:val="59729B7A"/>
    <w:multiLevelType w:val="singleLevel"/>
    <w:tmpl w:val="59729B7A"/>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hMWY2YzExNDZkM2U4OGIyZTAwMzhiYmRjMDY3NjYifQ=="/>
    <w:docVar w:name="KSO_WPS_MARK_KEY" w:val="bf8f9353-fb6f-476c-b4aa-0ee7806754e1"/>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5F3"/>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403"/>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A3B"/>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97E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87B"/>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036"/>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DF8"/>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0A1D"/>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B15"/>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689"/>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3C4"/>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060"/>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B04"/>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C75D2"/>
    <w:rsid w:val="011F6449"/>
    <w:rsid w:val="01236AFB"/>
    <w:rsid w:val="01352CEB"/>
    <w:rsid w:val="01791100"/>
    <w:rsid w:val="018C519F"/>
    <w:rsid w:val="019F7441"/>
    <w:rsid w:val="01B37585"/>
    <w:rsid w:val="01D55165"/>
    <w:rsid w:val="01DF6BF8"/>
    <w:rsid w:val="01EC2C57"/>
    <w:rsid w:val="023212B4"/>
    <w:rsid w:val="026B2E25"/>
    <w:rsid w:val="02824D4D"/>
    <w:rsid w:val="028C5F98"/>
    <w:rsid w:val="02935D81"/>
    <w:rsid w:val="02A1292A"/>
    <w:rsid w:val="02A17775"/>
    <w:rsid w:val="02DC4B10"/>
    <w:rsid w:val="02DD76CE"/>
    <w:rsid w:val="02F36323"/>
    <w:rsid w:val="02F5619C"/>
    <w:rsid w:val="0326446A"/>
    <w:rsid w:val="032D5555"/>
    <w:rsid w:val="036634D2"/>
    <w:rsid w:val="037405E1"/>
    <w:rsid w:val="038019E5"/>
    <w:rsid w:val="039667A9"/>
    <w:rsid w:val="03C136AA"/>
    <w:rsid w:val="03DD35E4"/>
    <w:rsid w:val="04076900"/>
    <w:rsid w:val="04181E56"/>
    <w:rsid w:val="041A5A3B"/>
    <w:rsid w:val="042311BA"/>
    <w:rsid w:val="042B157A"/>
    <w:rsid w:val="04376843"/>
    <w:rsid w:val="046248DD"/>
    <w:rsid w:val="04690C83"/>
    <w:rsid w:val="048F763B"/>
    <w:rsid w:val="04926DA2"/>
    <w:rsid w:val="04961E5F"/>
    <w:rsid w:val="049F330E"/>
    <w:rsid w:val="04AA775C"/>
    <w:rsid w:val="04AF1889"/>
    <w:rsid w:val="04EE7F1F"/>
    <w:rsid w:val="04F66F48"/>
    <w:rsid w:val="05251E14"/>
    <w:rsid w:val="05600E1D"/>
    <w:rsid w:val="058F45E8"/>
    <w:rsid w:val="05A16594"/>
    <w:rsid w:val="05A7762D"/>
    <w:rsid w:val="05AE296B"/>
    <w:rsid w:val="05EA7DDC"/>
    <w:rsid w:val="060E5941"/>
    <w:rsid w:val="06110FAF"/>
    <w:rsid w:val="063A6AEA"/>
    <w:rsid w:val="06493CA7"/>
    <w:rsid w:val="065A6178"/>
    <w:rsid w:val="066F1CF3"/>
    <w:rsid w:val="06930BB8"/>
    <w:rsid w:val="07245D42"/>
    <w:rsid w:val="07264C62"/>
    <w:rsid w:val="0739437F"/>
    <w:rsid w:val="073D0CEA"/>
    <w:rsid w:val="0779354C"/>
    <w:rsid w:val="079E5C2C"/>
    <w:rsid w:val="080223B8"/>
    <w:rsid w:val="08061376"/>
    <w:rsid w:val="081128A2"/>
    <w:rsid w:val="082A5F3E"/>
    <w:rsid w:val="083D3697"/>
    <w:rsid w:val="08452D77"/>
    <w:rsid w:val="086401F8"/>
    <w:rsid w:val="08751CAA"/>
    <w:rsid w:val="087B41C0"/>
    <w:rsid w:val="087E4C40"/>
    <w:rsid w:val="08CC67C9"/>
    <w:rsid w:val="08D66AD6"/>
    <w:rsid w:val="08DA33A3"/>
    <w:rsid w:val="08E80F13"/>
    <w:rsid w:val="08EC575D"/>
    <w:rsid w:val="09335624"/>
    <w:rsid w:val="0935436E"/>
    <w:rsid w:val="093F6F9B"/>
    <w:rsid w:val="0944690F"/>
    <w:rsid w:val="0946032A"/>
    <w:rsid w:val="09535675"/>
    <w:rsid w:val="095F057D"/>
    <w:rsid w:val="09642282"/>
    <w:rsid w:val="09733572"/>
    <w:rsid w:val="09772C16"/>
    <w:rsid w:val="098353B5"/>
    <w:rsid w:val="098C7781"/>
    <w:rsid w:val="09A92330"/>
    <w:rsid w:val="09B06B87"/>
    <w:rsid w:val="09C13146"/>
    <w:rsid w:val="09C86F91"/>
    <w:rsid w:val="09E04166"/>
    <w:rsid w:val="09FB1114"/>
    <w:rsid w:val="09FB4DB9"/>
    <w:rsid w:val="0A00672A"/>
    <w:rsid w:val="0A1C0718"/>
    <w:rsid w:val="0A297B93"/>
    <w:rsid w:val="0A3E7710"/>
    <w:rsid w:val="0A4F320E"/>
    <w:rsid w:val="0A5B7E63"/>
    <w:rsid w:val="0A994AD3"/>
    <w:rsid w:val="0AA374A5"/>
    <w:rsid w:val="0AAB7649"/>
    <w:rsid w:val="0ABC5606"/>
    <w:rsid w:val="0B10262B"/>
    <w:rsid w:val="0B30404E"/>
    <w:rsid w:val="0B4C6C14"/>
    <w:rsid w:val="0B631A88"/>
    <w:rsid w:val="0B683D45"/>
    <w:rsid w:val="0B7F3F11"/>
    <w:rsid w:val="0B884417"/>
    <w:rsid w:val="0B907F82"/>
    <w:rsid w:val="0B9F1F73"/>
    <w:rsid w:val="0BA675DA"/>
    <w:rsid w:val="0BB2614A"/>
    <w:rsid w:val="0BF6188C"/>
    <w:rsid w:val="0BF62499"/>
    <w:rsid w:val="0BF73C91"/>
    <w:rsid w:val="0C170175"/>
    <w:rsid w:val="0C187218"/>
    <w:rsid w:val="0C571A41"/>
    <w:rsid w:val="0C5C1171"/>
    <w:rsid w:val="0C5E1CBC"/>
    <w:rsid w:val="0C615B50"/>
    <w:rsid w:val="0C8445DA"/>
    <w:rsid w:val="0C87121B"/>
    <w:rsid w:val="0C9E047D"/>
    <w:rsid w:val="0CC007F7"/>
    <w:rsid w:val="0CFE707A"/>
    <w:rsid w:val="0D063BDA"/>
    <w:rsid w:val="0D08375F"/>
    <w:rsid w:val="0D0C075C"/>
    <w:rsid w:val="0D1150F2"/>
    <w:rsid w:val="0D184CFB"/>
    <w:rsid w:val="0D4A7419"/>
    <w:rsid w:val="0D7215BF"/>
    <w:rsid w:val="0D827401"/>
    <w:rsid w:val="0D84094E"/>
    <w:rsid w:val="0D8A00E9"/>
    <w:rsid w:val="0D8D589E"/>
    <w:rsid w:val="0DA01C73"/>
    <w:rsid w:val="0DA35E8C"/>
    <w:rsid w:val="0DC3019B"/>
    <w:rsid w:val="0DD63300"/>
    <w:rsid w:val="0DF50604"/>
    <w:rsid w:val="0DF702FE"/>
    <w:rsid w:val="0E060E51"/>
    <w:rsid w:val="0E5604B2"/>
    <w:rsid w:val="0E5B6E42"/>
    <w:rsid w:val="0E6D5D79"/>
    <w:rsid w:val="0E9D0089"/>
    <w:rsid w:val="0E9E29B6"/>
    <w:rsid w:val="0EB803EE"/>
    <w:rsid w:val="0EF83E74"/>
    <w:rsid w:val="0EF94D4B"/>
    <w:rsid w:val="0EFD435B"/>
    <w:rsid w:val="0F00541F"/>
    <w:rsid w:val="0F4958DC"/>
    <w:rsid w:val="0F515DF7"/>
    <w:rsid w:val="0F596BA8"/>
    <w:rsid w:val="0F6248D2"/>
    <w:rsid w:val="0F693536"/>
    <w:rsid w:val="0F7B0511"/>
    <w:rsid w:val="0F7B76D9"/>
    <w:rsid w:val="0F816ACD"/>
    <w:rsid w:val="0F9832DB"/>
    <w:rsid w:val="0FA47B58"/>
    <w:rsid w:val="0FBF3FD2"/>
    <w:rsid w:val="0FBF7FF3"/>
    <w:rsid w:val="0FE443F8"/>
    <w:rsid w:val="10156CA8"/>
    <w:rsid w:val="102363E7"/>
    <w:rsid w:val="10646583"/>
    <w:rsid w:val="107D4B15"/>
    <w:rsid w:val="108A3C80"/>
    <w:rsid w:val="10C26171"/>
    <w:rsid w:val="10F33360"/>
    <w:rsid w:val="10FC16EA"/>
    <w:rsid w:val="110D797F"/>
    <w:rsid w:val="110F1D40"/>
    <w:rsid w:val="11266F33"/>
    <w:rsid w:val="114E421F"/>
    <w:rsid w:val="115C6273"/>
    <w:rsid w:val="115D26B4"/>
    <w:rsid w:val="116F23E8"/>
    <w:rsid w:val="118963A1"/>
    <w:rsid w:val="11C6522A"/>
    <w:rsid w:val="11E104CC"/>
    <w:rsid w:val="11E20309"/>
    <w:rsid w:val="11EB2F86"/>
    <w:rsid w:val="12255233"/>
    <w:rsid w:val="1243504F"/>
    <w:rsid w:val="12530213"/>
    <w:rsid w:val="125661BD"/>
    <w:rsid w:val="127723A9"/>
    <w:rsid w:val="12862074"/>
    <w:rsid w:val="12883966"/>
    <w:rsid w:val="129B6513"/>
    <w:rsid w:val="129E45B4"/>
    <w:rsid w:val="12D81596"/>
    <w:rsid w:val="12FC7CAB"/>
    <w:rsid w:val="13072A44"/>
    <w:rsid w:val="1319260B"/>
    <w:rsid w:val="135B70C7"/>
    <w:rsid w:val="135F4BE2"/>
    <w:rsid w:val="136B68CE"/>
    <w:rsid w:val="13980C4A"/>
    <w:rsid w:val="139B1A0A"/>
    <w:rsid w:val="139D25C7"/>
    <w:rsid w:val="13A40F9B"/>
    <w:rsid w:val="13BD743A"/>
    <w:rsid w:val="13BF3CE4"/>
    <w:rsid w:val="13EB3FA7"/>
    <w:rsid w:val="13FC61B5"/>
    <w:rsid w:val="141008D8"/>
    <w:rsid w:val="14125FE6"/>
    <w:rsid w:val="145C0174"/>
    <w:rsid w:val="146D271E"/>
    <w:rsid w:val="148F5087"/>
    <w:rsid w:val="14982588"/>
    <w:rsid w:val="149A5AD9"/>
    <w:rsid w:val="14A27D77"/>
    <w:rsid w:val="14A7619D"/>
    <w:rsid w:val="14B75A63"/>
    <w:rsid w:val="14B95E54"/>
    <w:rsid w:val="14ED01F3"/>
    <w:rsid w:val="14F926F4"/>
    <w:rsid w:val="150536C3"/>
    <w:rsid w:val="150C1963"/>
    <w:rsid w:val="151447A0"/>
    <w:rsid w:val="15390C40"/>
    <w:rsid w:val="154A6454"/>
    <w:rsid w:val="15762120"/>
    <w:rsid w:val="15BA3EE0"/>
    <w:rsid w:val="15D867D2"/>
    <w:rsid w:val="16224D17"/>
    <w:rsid w:val="16551BAC"/>
    <w:rsid w:val="16585B40"/>
    <w:rsid w:val="16664FB7"/>
    <w:rsid w:val="16A8729C"/>
    <w:rsid w:val="16B33777"/>
    <w:rsid w:val="16BC70A7"/>
    <w:rsid w:val="16BE143E"/>
    <w:rsid w:val="16C17241"/>
    <w:rsid w:val="16C6339E"/>
    <w:rsid w:val="16E42F30"/>
    <w:rsid w:val="17264D3A"/>
    <w:rsid w:val="172F2D79"/>
    <w:rsid w:val="17557BEF"/>
    <w:rsid w:val="176D73C9"/>
    <w:rsid w:val="176F4EEF"/>
    <w:rsid w:val="178869F9"/>
    <w:rsid w:val="17B374D2"/>
    <w:rsid w:val="17B434B7"/>
    <w:rsid w:val="17D349C1"/>
    <w:rsid w:val="181B1DAD"/>
    <w:rsid w:val="182F6603"/>
    <w:rsid w:val="1830729E"/>
    <w:rsid w:val="1870062C"/>
    <w:rsid w:val="18817102"/>
    <w:rsid w:val="18830A15"/>
    <w:rsid w:val="18852B28"/>
    <w:rsid w:val="188B5321"/>
    <w:rsid w:val="18981252"/>
    <w:rsid w:val="18A55392"/>
    <w:rsid w:val="18CE7B7A"/>
    <w:rsid w:val="18D11F1E"/>
    <w:rsid w:val="19467ED2"/>
    <w:rsid w:val="19836A30"/>
    <w:rsid w:val="19932372"/>
    <w:rsid w:val="19A20DD5"/>
    <w:rsid w:val="19AE03F1"/>
    <w:rsid w:val="19C808E7"/>
    <w:rsid w:val="1A071A03"/>
    <w:rsid w:val="1A077AF8"/>
    <w:rsid w:val="1A081BBA"/>
    <w:rsid w:val="1A1F16AE"/>
    <w:rsid w:val="1A3B5C77"/>
    <w:rsid w:val="1A8532AF"/>
    <w:rsid w:val="1A955DCA"/>
    <w:rsid w:val="1A984BAD"/>
    <w:rsid w:val="1AB8220E"/>
    <w:rsid w:val="1AB87CC2"/>
    <w:rsid w:val="1ABD1C31"/>
    <w:rsid w:val="1AE4166C"/>
    <w:rsid w:val="1AF06CFB"/>
    <w:rsid w:val="1AF11B8D"/>
    <w:rsid w:val="1B11359C"/>
    <w:rsid w:val="1B2A271F"/>
    <w:rsid w:val="1B530544"/>
    <w:rsid w:val="1B6B29BB"/>
    <w:rsid w:val="1B713184"/>
    <w:rsid w:val="1BA209CF"/>
    <w:rsid w:val="1BB4777D"/>
    <w:rsid w:val="1BC11A92"/>
    <w:rsid w:val="1BD75AB8"/>
    <w:rsid w:val="1BDE2741"/>
    <w:rsid w:val="1BE22054"/>
    <w:rsid w:val="1C0459C2"/>
    <w:rsid w:val="1C0632F8"/>
    <w:rsid w:val="1C1B3B4A"/>
    <w:rsid w:val="1C1D06DC"/>
    <w:rsid w:val="1C365FDC"/>
    <w:rsid w:val="1C4A5DE1"/>
    <w:rsid w:val="1C626DD1"/>
    <w:rsid w:val="1C88086E"/>
    <w:rsid w:val="1C9279C4"/>
    <w:rsid w:val="1CB82E85"/>
    <w:rsid w:val="1CC21F65"/>
    <w:rsid w:val="1CF57C45"/>
    <w:rsid w:val="1CFC0128"/>
    <w:rsid w:val="1CFE2569"/>
    <w:rsid w:val="1D266CE1"/>
    <w:rsid w:val="1D3963AF"/>
    <w:rsid w:val="1D61177E"/>
    <w:rsid w:val="1D6A673C"/>
    <w:rsid w:val="1D7F79EF"/>
    <w:rsid w:val="1D9247AE"/>
    <w:rsid w:val="1DB3762A"/>
    <w:rsid w:val="1DB567EC"/>
    <w:rsid w:val="1DD53C5F"/>
    <w:rsid w:val="1DF47EFC"/>
    <w:rsid w:val="1DF51A98"/>
    <w:rsid w:val="1E391DB3"/>
    <w:rsid w:val="1E3D060F"/>
    <w:rsid w:val="1E3F7D2E"/>
    <w:rsid w:val="1E4134E4"/>
    <w:rsid w:val="1E5062B3"/>
    <w:rsid w:val="1E523514"/>
    <w:rsid w:val="1E714A66"/>
    <w:rsid w:val="1E802593"/>
    <w:rsid w:val="1E9D4401"/>
    <w:rsid w:val="1EA703CC"/>
    <w:rsid w:val="1EB7330C"/>
    <w:rsid w:val="1ED32208"/>
    <w:rsid w:val="1F0A0FF3"/>
    <w:rsid w:val="1F1C1B35"/>
    <w:rsid w:val="1F4D1FBA"/>
    <w:rsid w:val="1F504C47"/>
    <w:rsid w:val="1F5771FF"/>
    <w:rsid w:val="1F635B0F"/>
    <w:rsid w:val="1F705CA9"/>
    <w:rsid w:val="1FB5190D"/>
    <w:rsid w:val="1FE868A9"/>
    <w:rsid w:val="20014799"/>
    <w:rsid w:val="20034907"/>
    <w:rsid w:val="20173E4B"/>
    <w:rsid w:val="204E48BC"/>
    <w:rsid w:val="208921B3"/>
    <w:rsid w:val="208F3BA1"/>
    <w:rsid w:val="20973DEB"/>
    <w:rsid w:val="20B26522"/>
    <w:rsid w:val="20B44310"/>
    <w:rsid w:val="211116EB"/>
    <w:rsid w:val="211A2370"/>
    <w:rsid w:val="211B44DF"/>
    <w:rsid w:val="21332BF6"/>
    <w:rsid w:val="21442F49"/>
    <w:rsid w:val="216133FC"/>
    <w:rsid w:val="219914E7"/>
    <w:rsid w:val="21B42864"/>
    <w:rsid w:val="21D56769"/>
    <w:rsid w:val="21E52EF3"/>
    <w:rsid w:val="21FB5D7B"/>
    <w:rsid w:val="220B1C3D"/>
    <w:rsid w:val="221D1D20"/>
    <w:rsid w:val="221E528F"/>
    <w:rsid w:val="2231563F"/>
    <w:rsid w:val="22334A87"/>
    <w:rsid w:val="227F528A"/>
    <w:rsid w:val="22AD65E7"/>
    <w:rsid w:val="22BE6801"/>
    <w:rsid w:val="22CE3412"/>
    <w:rsid w:val="22DF2F05"/>
    <w:rsid w:val="231558C7"/>
    <w:rsid w:val="233500BF"/>
    <w:rsid w:val="23377FF7"/>
    <w:rsid w:val="236B425F"/>
    <w:rsid w:val="23836192"/>
    <w:rsid w:val="23901F29"/>
    <w:rsid w:val="239C0061"/>
    <w:rsid w:val="23B76881"/>
    <w:rsid w:val="23B908A4"/>
    <w:rsid w:val="23C54A9C"/>
    <w:rsid w:val="23C87E61"/>
    <w:rsid w:val="23E95BEF"/>
    <w:rsid w:val="23FD0064"/>
    <w:rsid w:val="24002E90"/>
    <w:rsid w:val="245375B0"/>
    <w:rsid w:val="245E4322"/>
    <w:rsid w:val="24642C0A"/>
    <w:rsid w:val="24B21324"/>
    <w:rsid w:val="24B22173"/>
    <w:rsid w:val="24B95AD9"/>
    <w:rsid w:val="24BE24DA"/>
    <w:rsid w:val="24CF5825"/>
    <w:rsid w:val="24D663E6"/>
    <w:rsid w:val="24D77F2B"/>
    <w:rsid w:val="253F05F7"/>
    <w:rsid w:val="25531E96"/>
    <w:rsid w:val="258B00E2"/>
    <w:rsid w:val="25A917A6"/>
    <w:rsid w:val="25B06EFA"/>
    <w:rsid w:val="25BE27CC"/>
    <w:rsid w:val="25E46AA9"/>
    <w:rsid w:val="25F74A5C"/>
    <w:rsid w:val="261E645E"/>
    <w:rsid w:val="2628662C"/>
    <w:rsid w:val="262D45DE"/>
    <w:rsid w:val="2648059B"/>
    <w:rsid w:val="264D6D44"/>
    <w:rsid w:val="26A526DC"/>
    <w:rsid w:val="26A53EF9"/>
    <w:rsid w:val="26A821CC"/>
    <w:rsid w:val="26A94201"/>
    <w:rsid w:val="26AC274F"/>
    <w:rsid w:val="27044A29"/>
    <w:rsid w:val="271D34C8"/>
    <w:rsid w:val="273B6475"/>
    <w:rsid w:val="276142BF"/>
    <w:rsid w:val="27783712"/>
    <w:rsid w:val="277C7C46"/>
    <w:rsid w:val="278B3E26"/>
    <w:rsid w:val="27907362"/>
    <w:rsid w:val="28107B4C"/>
    <w:rsid w:val="28333E1D"/>
    <w:rsid w:val="28445F24"/>
    <w:rsid w:val="28454BD6"/>
    <w:rsid w:val="28455253"/>
    <w:rsid w:val="28551971"/>
    <w:rsid w:val="285B1C53"/>
    <w:rsid w:val="289F7086"/>
    <w:rsid w:val="28C32028"/>
    <w:rsid w:val="28CC490F"/>
    <w:rsid w:val="28DE40AA"/>
    <w:rsid w:val="29345E77"/>
    <w:rsid w:val="293A0FCA"/>
    <w:rsid w:val="294C65AD"/>
    <w:rsid w:val="29746395"/>
    <w:rsid w:val="29806583"/>
    <w:rsid w:val="29855C62"/>
    <w:rsid w:val="298B3C4C"/>
    <w:rsid w:val="299B6018"/>
    <w:rsid w:val="29B57DD0"/>
    <w:rsid w:val="29F26D24"/>
    <w:rsid w:val="2A15033F"/>
    <w:rsid w:val="2A1662C1"/>
    <w:rsid w:val="2A1C7367"/>
    <w:rsid w:val="2A2815FA"/>
    <w:rsid w:val="2A475858"/>
    <w:rsid w:val="2A6D6092"/>
    <w:rsid w:val="2A7D76B4"/>
    <w:rsid w:val="2B437463"/>
    <w:rsid w:val="2B4F70BA"/>
    <w:rsid w:val="2B7807EE"/>
    <w:rsid w:val="2B920D55"/>
    <w:rsid w:val="2B92177E"/>
    <w:rsid w:val="2BBF00EC"/>
    <w:rsid w:val="2BC37CFD"/>
    <w:rsid w:val="2BC5112A"/>
    <w:rsid w:val="2BD5237F"/>
    <w:rsid w:val="2BE536CE"/>
    <w:rsid w:val="2BE758D9"/>
    <w:rsid w:val="2C09049E"/>
    <w:rsid w:val="2C0A653C"/>
    <w:rsid w:val="2C191F85"/>
    <w:rsid w:val="2C363DD6"/>
    <w:rsid w:val="2C693CED"/>
    <w:rsid w:val="2CAD5E46"/>
    <w:rsid w:val="2CE82D6F"/>
    <w:rsid w:val="2D343236"/>
    <w:rsid w:val="2D3447B9"/>
    <w:rsid w:val="2D85318E"/>
    <w:rsid w:val="2D8868B3"/>
    <w:rsid w:val="2D9D3D98"/>
    <w:rsid w:val="2DB8146B"/>
    <w:rsid w:val="2DD15014"/>
    <w:rsid w:val="2DD35D80"/>
    <w:rsid w:val="2DF72DE4"/>
    <w:rsid w:val="2E0220AF"/>
    <w:rsid w:val="2E447379"/>
    <w:rsid w:val="2E4B082A"/>
    <w:rsid w:val="2E5D4E86"/>
    <w:rsid w:val="2E5D790B"/>
    <w:rsid w:val="2E7555D3"/>
    <w:rsid w:val="2E9077CD"/>
    <w:rsid w:val="2E933762"/>
    <w:rsid w:val="2E9A3C18"/>
    <w:rsid w:val="2EBB0FEE"/>
    <w:rsid w:val="2EC21951"/>
    <w:rsid w:val="2EC63002"/>
    <w:rsid w:val="2EDC05D9"/>
    <w:rsid w:val="2EF04710"/>
    <w:rsid w:val="2F0A6B38"/>
    <w:rsid w:val="2F2D14C0"/>
    <w:rsid w:val="2F61116A"/>
    <w:rsid w:val="2F866E22"/>
    <w:rsid w:val="2F946CCB"/>
    <w:rsid w:val="2FD25781"/>
    <w:rsid w:val="2FDE6C5E"/>
    <w:rsid w:val="2FFD7934"/>
    <w:rsid w:val="30234671"/>
    <w:rsid w:val="306029C1"/>
    <w:rsid w:val="30733ACD"/>
    <w:rsid w:val="30783D60"/>
    <w:rsid w:val="307D0225"/>
    <w:rsid w:val="307F4383"/>
    <w:rsid w:val="308C3862"/>
    <w:rsid w:val="309379D8"/>
    <w:rsid w:val="30A270F7"/>
    <w:rsid w:val="30D77936"/>
    <w:rsid w:val="30DF1478"/>
    <w:rsid w:val="30E6401D"/>
    <w:rsid w:val="30EC586F"/>
    <w:rsid w:val="313E1763"/>
    <w:rsid w:val="31576CC8"/>
    <w:rsid w:val="315E40A5"/>
    <w:rsid w:val="319C6071"/>
    <w:rsid w:val="31A16195"/>
    <w:rsid w:val="31AC537E"/>
    <w:rsid w:val="31E3679B"/>
    <w:rsid w:val="31E732FD"/>
    <w:rsid w:val="32517576"/>
    <w:rsid w:val="32BE5C2C"/>
    <w:rsid w:val="32FB6478"/>
    <w:rsid w:val="33226E62"/>
    <w:rsid w:val="33263B3F"/>
    <w:rsid w:val="33423060"/>
    <w:rsid w:val="335D2C02"/>
    <w:rsid w:val="336963EB"/>
    <w:rsid w:val="33816EEB"/>
    <w:rsid w:val="33D62126"/>
    <w:rsid w:val="33EB55CD"/>
    <w:rsid w:val="33EC4C02"/>
    <w:rsid w:val="340D2360"/>
    <w:rsid w:val="3410665D"/>
    <w:rsid w:val="34211214"/>
    <w:rsid w:val="342E63AB"/>
    <w:rsid w:val="345117AD"/>
    <w:rsid w:val="347928DD"/>
    <w:rsid w:val="348E6D4F"/>
    <w:rsid w:val="34950E68"/>
    <w:rsid w:val="34986E94"/>
    <w:rsid w:val="349B6ECC"/>
    <w:rsid w:val="34AF62C9"/>
    <w:rsid w:val="34BD6E42"/>
    <w:rsid w:val="34CB4388"/>
    <w:rsid w:val="34D10B40"/>
    <w:rsid w:val="34E73AEA"/>
    <w:rsid w:val="34F23CFF"/>
    <w:rsid w:val="34F52A80"/>
    <w:rsid w:val="34FA6E12"/>
    <w:rsid w:val="355D6A34"/>
    <w:rsid w:val="3563611B"/>
    <w:rsid w:val="35690D78"/>
    <w:rsid w:val="358B5193"/>
    <w:rsid w:val="358D5588"/>
    <w:rsid w:val="35A1014B"/>
    <w:rsid w:val="35C62C96"/>
    <w:rsid w:val="36372C24"/>
    <w:rsid w:val="363A3B40"/>
    <w:rsid w:val="365302AE"/>
    <w:rsid w:val="365612FD"/>
    <w:rsid w:val="36607A0A"/>
    <w:rsid w:val="366E227C"/>
    <w:rsid w:val="366F2E0D"/>
    <w:rsid w:val="367B6A5C"/>
    <w:rsid w:val="36A74ADA"/>
    <w:rsid w:val="36AD60D5"/>
    <w:rsid w:val="36B224F9"/>
    <w:rsid w:val="36EC0CC9"/>
    <w:rsid w:val="36EC570D"/>
    <w:rsid w:val="373F410B"/>
    <w:rsid w:val="376143FD"/>
    <w:rsid w:val="37627A0C"/>
    <w:rsid w:val="376D0FF4"/>
    <w:rsid w:val="37D270A9"/>
    <w:rsid w:val="37D30564"/>
    <w:rsid w:val="37EE7094"/>
    <w:rsid w:val="37F0752F"/>
    <w:rsid w:val="38296C89"/>
    <w:rsid w:val="382E0C5D"/>
    <w:rsid w:val="383002EB"/>
    <w:rsid w:val="38353194"/>
    <w:rsid w:val="38586797"/>
    <w:rsid w:val="387463B2"/>
    <w:rsid w:val="387E0FDF"/>
    <w:rsid w:val="38BC0149"/>
    <w:rsid w:val="38C20ECB"/>
    <w:rsid w:val="38D87D1C"/>
    <w:rsid w:val="38E173A8"/>
    <w:rsid w:val="39035110"/>
    <w:rsid w:val="390B06CE"/>
    <w:rsid w:val="39636459"/>
    <w:rsid w:val="396B7F6C"/>
    <w:rsid w:val="39B417A9"/>
    <w:rsid w:val="39FC5695"/>
    <w:rsid w:val="3A006D8E"/>
    <w:rsid w:val="3A3651E5"/>
    <w:rsid w:val="3A5926A8"/>
    <w:rsid w:val="3A744481"/>
    <w:rsid w:val="3A8C7BEF"/>
    <w:rsid w:val="3A8D72B7"/>
    <w:rsid w:val="3A906246"/>
    <w:rsid w:val="3A9C399E"/>
    <w:rsid w:val="3AAC1E33"/>
    <w:rsid w:val="3ABC7B9C"/>
    <w:rsid w:val="3AF235BE"/>
    <w:rsid w:val="3B1A3241"/>
    <w:rsid w:val="3B2349B7"/>
    <w:rsid w:val="3B616CFF"/>
    <w:rsid w:val="3B6259F6"/>
    <w:rsid w:val="3B84690C"/>
    <w:rsid w:val="3B976654"/>
    <w:rsid w:val="3B9B7FE9"/>
    <w:rsid w:val="3BA0301A"/>
    <w:rsid w:val="3BC01EFC"/>
    <w:rsid w:val="3BCA786A"/>
    <w:rsid w:val="3BD31E2F"/>
    <w:rsid w:val="3BD57167"/>
    <w:rsid w:val="3BEB698B"/>
    <w:rsid w:val="3BF15831"/>
    <w:rsid w:val="3C0D06AF"/>
    <w:rsid w:val="3C105946"/>
    <w:rsid w:val="3C471448"/>
    <w:rsid w:val="3C5C0C4C"/>
    <w:rsid w:val="3C5F759A"/>
    <w:rsid w:val="3C6C525A"/>
    <w:rsid w:val="3C8A164C"/>
    <w:rsid w:val="3CCE23CB"/>
    <w:rsid w:val="3CD17D17"/>
    <w:rsid w:val="3D3C7F39"/>
    <w:rsid w:val="3D440F09"/>
    <w:rsid w:val="3D4504A0"/>
    <w:rsid w:val="3D775246"/>
    <w:rsid w:val="3D8734BB"/>
    <w:rsid w:val="3D931088"/>
    <w:rsid w:val="3D9A11D4"/>
    <w:rsid w:val="3DA16D89"/>
    <w:rsid w:val="3DA364BE"/>
    <w:rsid w:val="3DE041CB"/>
    <w:rsid w:val="3E0D48F6"/>
    <w:rsid w:val="3E175A62"/>
    <w:rsid w:val="3E1868B4"/>
    <w:rsid w:val="3E2D328B"/>
    <w:rsid w:val="3E377251"/>
    <w:rsid w:val="3E3D0B8E"/>
    <w:rsid w:val="3E42664B"/>
    <w:rsid w:val="3E5A7334"/>
    <w:rsid w:val="3E7B5D6B"/>
    <w:rsid w:val="3E843E66"/>
    <w:rsid w:val="3E8F51FE"/>
    <w:rsid w:val="3E926F87"/>
    <w:rsid w:val="3E9A59DE"/>
    <w:rsid w:val="3EAF4836"/>
    <w:rsid w:val="3EB950DD"/>
    <w:rsid w:val="3EC33DFA"/>
    <w:rsid w:val="3ED929DD"/>
    <w:rsid w:val="3F060E16"/>
    <w:rsid w:val="3F1119D1"/>
    <w:rsid w:val="3F1D1096"/>
    <w:rsid w:val="3F2F0234"/>
    <w:rsid w:val="3F385ADF"/>
    <w:rsid w:val="3F6363FE"/>
    <w:rsid w:val="3F756B8F"/>
    <w:rsid w:val="3F9075AE"/>
    <w:rsid w:val="3F95482B"/>
    <w:rsid w:val="3FA5377A"/>
    <w:rsid w:val="4019356B"/>
    <w:rsid w:val="40385F17"/>
    <w:rsid w:val="404E573A"/>
    <w:rsid w:val="40592157"/>
    <w:rsid w:val="406E1CAE"/>
    <w:rsid w:val="40907B01"/>
    <w:rsid w:val="409D2154"/>
    <w:rsid w:val="40A0133A"/>
    <w:rsid w:val="40C31A53"/>
    <w:rsid w:val="40D169B9"/>
    <w:rsid w:val="40D479EE"/>
    <w:rsid w:val="40FB141E"/>
    <w:rsid w:val="40FF545D"/>
    <w:rsid w:val="410067C8"/>
    <w:rsid w:val="41557FD3"/>
    <w:rsid w:val="418A5AB5"/>
    <w:rsid w:val="418F0D2A"/>
    <w:rsid w:val="41931657"/>
    <w:rsid w:val="41D01505"/>
    <w:rsid w:val="41D055BB"/>
    <w:rsid w:val="41EE0F83"/>
    <w:rsid w:val="422E1D07"/>
    <w:rsid w:val="42474939"/>
    <w:rsid w:val="424A4CDF"/>
    <w:rsid w:val="424C3C57"/>
    <w:rsid w:val="425D1C65"/>
    <w:rsid w:val="42613FF3"/>
    <w:rsid w:val="42660D96"/>
    <w:rsid w:val="426E3E72"/>
    <w:rsid w:val="42772D26"/>
    <w:rsid w:val="428667D2"/>
    <w:rsid w:val="42997141"/>
    <w:rsid w:val="42C778AA"/>
    <w:rsid w:val="42CD1CE0"/>
    <w:rsid w:val="42E1381E"/>
    <w:rsid w:val="42ED6459"/>
    <w:rsid w:val="42FE58DD"/>
    <w:rsid w:val="431337F7"/>
    <w:rsid w:val="43174B3D"/>
    <w:rsid w:val="432602A9"/>
    <w:rsid w:val="434B790E"/>
    <w:rsid w:val="4360274F"/>
    <w:rsid w:val="437D4D97"/>
    <w:rsid w:val="437E62EC"/>
    <w:rsid w:val="43977AB6"/>
    <w:rsid w:val="43A3342B"/>
    <w:rsid w:val="43C77C27"/>
    <w:rsid w:val="43DE09EE"/>
    <w:rsid w:val="43F84F0C"/>
    <w:rsid w:val="44002FAD"/>
    <w:rsid w:val="441C4E1D"/>
    <w:rsid w:val="449101DD"/>
    <w:rsid w:val="449D0A3E"/>
    <w:rsid w:val="44BD3D13"/>
    <w:rsid w:val="44D07FBF"/>
    <w:rsid w:val="44DE1391"/>
    <w:rsid w:val="44E410B6"/>
    <w:rsid w:val="44ED26CA"/>
    <w:rsid w:val="44FE5E90"/>
    <w:rsid w:val="450402FF"/>
    <w:rsid w:val="451B225C"/>
    <w:rsid w:val="451D704F"/>
    <w:rsid w:val="452410C9"/>
    <w:rsid w:val="45317DFB"/>
    <w:rsid w:val="456B4699"/>
    <w:rsid w:val="456D3CE4"/>
    <w:rsid w:val="45774DEB"/>
    <w:rsid w:val="4579042C"/>
    <w:rsid w:val="457F0571"/>
    <w:rsid w:val="45851176"/>
    <w:rsid w:val="45B67CBF"/>
    <w:rsid w:val="45C63B94"/>
    <w:rsid w:val="45DA3D00"/>
    <w:rsid w:val="45FB3C6E"/>
    <w:rsid w:val="460A2104"/>
    <w:rsid w:val="460E7DA5"/>
    <w:rsid w:val="461D589B"/>
    <w:rsid w:val="46364CA7"/>
    <w:rsid w:val="46422483"/>
    <w:rsid w:val="4659254A"/>
    <w:rsid w:val="465B0637"/>
    <w:rsid w:val="465E3F0D"/>
    <w:rsid w:val="466A16E6"/>
    <w:rsid w:val="466F3B42"/>
    <w:rsid w:val="46893F2B"/>
    <w:rsid w:val="46C4686E"/>
    <w:rsid w:val="46C95B25"/>
    <w:rsid w:val="46CA5237"/>
    <w:rsid w:val="47170C2D"/>
    <w:rsid w:val="477B778F"/>
    <w:rsid w:val="478203EC"/>
    <w:rsid w:val="478F0B12"/>
    <w:rsid w:val="47B025FA"/>
    <w:rsid w:val="47F003AF"/>
    <w:rsid w:val="4809698F"/>
    <w:rsid w:val="4811697D"/>
    <w:rsid w:val="487A3E25"/>
    <w:rsid w:val="48877A3B"/>
    <w:rsid w:val="488B5503"/>
    <w:rsid w:val="48937E21"/>
    <w:rsid w:val="489A0361"/>
    <w:rsid w:val="48B94FF3"/>
    <w:rsid w:val="48BE6E4E"/>
    <w:rsid w:val="48C055EE"/>
    <w:rsid w:val="48E37AAB"/>
    <w:rsid w:val="48FD4B4C"/>
    <w:rsid w:val="490A68E0"/>
    <w:rsid w:val="491055FE"/>
    <w:rsid w:val="493F7F99"/>
    <w:rsid w:val="495F5B3E"/>
    <w:rsid w:val="496F77D7"/>
    <w:rsid w:val="497606CA"/>
    <w:rsid w:val="497654FD"/>
    <w:rsid w:val="49AB2E97"/>
    <w:rsid w:val="49B64211"/>
    <w:rsid w:val="49D15412"/>
    <w:rsid w:val="49EB5DA8"/>
    <w:rsid w:val="49F6167F"/>
    <w:rsid w:val="4A0550BC"/>
    <w:rsid w:val="4A064FA0"/>
    <w:rsid w:val="4A16615C"/>
    <w:rsid w:val="4A2D4613"/>
    <w:rsid w:val="4A4424D7"/>
    <w:rsid w:val="4AB82D0F"/>
    <w:rsid w:val="4AC05487"/>
    <w:rsid w:val="4AC97E97"/>
    <w:rsid w:val="4AD650FF"/>
    <w:rsid w:val="4ADB79C5"/>
    <w:rsid w:val="4AEB7664"/>
    <w:rsid w:val="4AF07B1A"/>
    <w:rsid w:val="4AFD7C19"/>
    <w:rsid w:val="4B0567D1"/>
    <w:rsid w:val="4B166E55"/>
    <w:rsid w:val="4B2139E9"/>
    <w:rsid w:val="4B236AAE"/>
    <w:rsid w:val="4B3E1CAB"/>
    <w:rsid w:val="4B707271"/>
    <w:rsid w:val="4B9739F7"/>
    <w:rsid w:val="4BA16728"/>
    <w:rsid w:val="4BD018DA"/>
    <w:rsid w:val="4BEE2503"/>
    <w:rsid w:val="4C210634"/>
    <w:rsid w:val="4C245A30"/>
    <w:rsid w:val="4C343A36"/>
    <w:rsid w:val="4C5F4C5D"/>
    <w:rsid w:val="4C7545C3"/>
    <w:rsid w:val="4C910E89"/>
    <w:rsid w:val="4CB6685F"/>
    <w:rsid w:val="4CC367FE"/>
    <w:rsid w:val="4CC56D84"/>
    <w:rsid w:val="4CE52F83"/>
    <w:rsid w:val="4D077F3C"/>
    <w:rsid w:val="4D123355"/>
    <w:rsid w:val="4D2A3B31"/>
    <w:rsid w:val="4D312C52"/>
    <w:rsid w:val="4D7C0F8D"/>
    <w:rsid w:val="4D7F22A7"/>
    <w:rsid w:val="4D905305"/>
    <w:rsid w:val="4D964A72"/>
    <w:rsid w:val="4D9C1254"/>
    <w:rsid w:val="4DDF3E76"/>
    <w:rsid w:val="4DF02264"/>
    <w:rsid w:val="4E4C2177"/>
    <w:rsid w:val="4E50267E"/>
    <w:rsid w:val="4E704ACE"/>
    <w:rsid w:val="4E793892"/>
    <w:rsid w:val="4E800872"/>
    <w:rsid w:val="4E9C496E"/>
    <w:rsid w:val="4EB30C3A"/>
    <w:rsid w:val="4EC569ED"/>
    <w:rsid w:val="4ED50EA1"/>
    <w:rsid w:val="4EEC050C"/>
    <w:rsid w:val="4F104EC3"/>
    <w:rsid w:val="4F204746"/>
    <w:rsid w:val="4F2558B8"/>
    <w:rsid w:val="4F47354A"/>
    <w:rsid w:val="4F911C54"/>
    <w:rsid w:val="4FB03596"/>
    <w:rsid w:val="4FE625E0"/>
    <w:rsid w:val="4FED287A"/>
    <w:rsid w:val="5021480F"/>
    <w:rsid w:val="50285660"/>
    <w:rsid w:val="50630D8E"/>
    <w:rsid w:val="506D6B4D"/>
    <w:rsid w:val="509205B0"/>
    <w:rsid w:val="50962ECB"/>
    <w:rsid w:val="50A42E38"/>
    <w:rsid w:val="50A4577F"/>
    <w:rsid w:val="50A82C45"/>
    <w:rsid w:val="50B73D1F"/>
    <w:rsid w:val="50BD5BC9"/>
    <w:rsid w:val="50C11EEE"/>
    <w:rsid w:val="50E97CFC"/>
    <w:rsid w:val="50FA4028"/>
    <w:rsid w:val="510D65B7"/>
    <w:rsid w:val="511157AB"/>
    <w:rsid w:val="5142540C"/>
    <w:rsid w:val="518832C8"/>
    <w:rsid w:val="51A0432A"/>
    <w:rsid w:val="51A86090"/>
    <w:rsid w:val="51B7396D"/>
    <w:rsid w:val="51EC53F1"/>
    <w:rsid w:val="52067C23"/>
    <w:rsid w:val="522E4CC3"/>
    <w:rsid w:val="523E04E4"/>
    <w:rsid w:val="5244713B"/>
    <w:rsid w:val="52615633"/>
    <w:rsid w:val="52977FD4"/>
    <w:rsid w:val="52A25790"/>
    <w:rsid w:val="52A96B6F"/>
    <w:rsid w:val="52B45975"/>
    <w:rsid w:val="52BC46B6"/>
    <w:rsid w:val="52C32D67"/>
    <w:rsid w:val="52CA0C50"/>
    <w:rsid w:val="52D94AA4"/>
    <w:rsid w:val="52EA3A62"/>
    <w:rsid w:val="52ED0DE3"/>
    <w:rsid w:val="52F05334"/>
    <w:rsid w:val="52F50BB8"/>
    <w:rsid w:val="53097272"/>
    <w:rsid w:val="53152D95"/>
    <w:rsid w:val="53204D14"/>
    <w:rsid w:val="53230361"/>
    <w:rsid w:val="53544462"/>
    <w:rsid w:val="535914C6"/>
    <w:rsid w:val="538F726C"/>
    <w:rsid w:val="5397158E"/>
    <w:rsid w:val="53B63C4A"/>
    <w:rsid w:val="53C40496"/>
    <w:rsid w:val="53C415A2"/>
    <w:rsid w:val="53C60DCF"/>
    <w:rsid w:val="54013861"/>
    <w:rsid w:val="5402266C"/>
    <w:rsid w:val="54487265"/>
    <w:rsid w:val="544D6070"/>
    <w:rsid w:val="54605E1E"/>
    <w:rsid w:val="54AE00F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AC0AE1"/>
    <w:rsid w:val="55DC29B6"/>
    <w:rsid w:val="55DD4241"/>
    <w:rsid w:val="55F5440F"/>
    <w:rsid w:val="562260D0"/>
    <w:rsid w:val="5634515D"/>
    <w:rsid w:val="566B6D1E"/>
    <w:rsid w:val="57032A2C"/>
    <w:rsid w:val="5709002B"/>
    <w:rsid w:val="570F5219"/>
    <w:rsid w:val="575C7B45"/>
    <w:rsid w:val="575D12B5"/>
    <w:rsid w:val="57610A87"/>
    <w:rsid w:val="57697B57"/>
    <w:rsid w:val="577B1140"/>
    <w:rsid w:val="577B7F21"/>
    <w:rsid w:val="577F181B"/>
    <w:rsid w:val="578E148F"/>
    <w:rsid w:val="57921984"/>
    <w:rsid w:val="579737F0"/>
    <w:rsid w:val="57AB7B30"/>
    <w:rsid w:val="57AF5251"/>
    <w:rsid w:val="57B26373"/>
    <w:rsid w:val="57B63F04"/>
    <w:rsid w:val="57CD20C2"/>
    <w:rsid w:val="57D675AB"/>
    <w:rsid w:val="57D95FDD"/>
    <w:rsid w:val="57ED790A"/>
    <w:rsid w:val="57F535F0"/>
    <w:rsid w:val="583152CE"/>
    <w:rsid w:val="58704048"/>
    <w:rsid w:val="58917D2F"/>
    <w:rsid w:val="5894085C"/>
    <w:rsid w:val="589D1F31"/>
    <w:rsid w:val="58AE4F0C"/>
    <w:rsid w:val="58B85899"/>
    <w:rsid w:val="58D42829"/>
    <w:rsid w:val="58E363A9"/>
    <w:rsid w:val="590B5B1F"/>
    <w:rsid w:val="595E1678"/>
    <w:rsid w:val="59684D1F"/>
    <w:rsid w:val="596D5BD4"/>
    <w:rsid w:val="597E3DD8"/>
    <w:rsid w:val="598F04FE"/>
    <w:rsid w:val="599810F5"/>
    <w:rsid w:val="599E2E37"/>
    <w:rsid w:val="59D30C38"/>
    <w:rsid w:val="59F80043"/>
    <w:rsid w:val="5A0233C6"/>
    <w:rsid w:val="5A09252F"/>
    <w:rsid w:val="5A0B2778"/>
    <w:rsid w:val="5A19426B"/>
    <w:rsid w:val="5A2A7C7B"/>
    <w:rsid w:val="5A3E2560"/>
    <w:rsid w:val="5A5D3B6E"/>
    <w:rsid w:val="5A637A76"/>
    <w:rsid w:val="5A6D33BA"/>
    <w:rsid w:val="5A735492"/>
    <w:rsid w:val="5A763D8E"/>
    <w:rsid w:val="5A792B1F"/>
    <w:rsid w:val="5A81253D"/>
    <w:rsid w:val="5A874767"/>
    <w:rsid w:val="5AA224B3"/>
    <w:rsid w:val="5AAD6F28"/>
    <w:rsid w:val="5ABC29E4"/>
    <w:rsid w:val="5AD63A24"/>
    <w:rsid w:val="5B2E1A1D"/>
    <w:rsid w:val="5B843A1C"/>
    <w:rsid w:val="5B865931"/>
    <w:rsid w:val="5B873E3F"/>
    <w:rsid w:val="5BCB0779"/>
    <w:rsid w:val="5BCF72D8"/>
    <w:rsid w:val="5BDD1670"/>
    <w:rsid w:val="5BF60D08"/>
    <w:rsid w:val="5BF926CB"/>
    <w:rsid w:val="5BFE196B"/>
    <w:rsid w:val="5C02690E"/>
    <w:rsid w:val="5C196DA7"/>
    <w:rsid w:val="5C2A048C"/>
    <w:rsid w:val="5C586CBF"/>
    <w:rsid w:val="5C80234E"/>
    <w:rsid w:val="5C8A680C"/>
    <w:rsid w:val="5CA75E8B"/>
    <w:rsid w:val="5CCE3A33"/>
    <w:rsid w:val="5CD75C65"/>
    <w:rsid w:val="5D0C4701"/>
    <w:rsid w:val="5D0F0395"/>
    <w:rsid w:val="5D221076"/>
    <w:rsid w:val="5D2B2C34"/>
    <w:rsid w:val="5D397964"/>
    <w:rsid w:val="5D4F5F4A"/>
    <w:rsid w:val="5D5A391C"/>
    <w:rsid w:val="5D5F10C0"/>
    <w:rsid w:val="5D654445"/>
    <w:rsid w:val="5D891B7B"/>
    <w:rsid w:val="5DAD38EE"/>
    <w:rsid w:val="5DD961EC"/>
    <w:rsid w:val="5DE65180"/>
    <w:rsid w:val="5DE81C48"/>
    <w:rsid w:val="5E006862"/>
    <w:rsid w:val="5E0207B9"/>
    <w:rsid w:val="5E0A2849"/>
    <w:rsid w:val="5E164A7E"/>
    <w:rsid w:val="5E1834A1"/>
    <w:rsid w:val="5E261785"/>
    <w:rsid w:val="5E302822"/>
    <w:rsid w:val="5E341674"/>
    <w:rsid w:val="5E3A2E3F"/>
    <w:rsid w:val="5E3E59B5"/>
    <w:rsid w:val="5E457D25"/>
    <w:rsid w:val="5E483371"/>
    <w:rsid w:val="5E4A7017"/>
    <w:rsid w:val="5E4D0D09"/>
    <w:rsid w:val="5E552BBA"/>
    <w:rsid w:val="5E611C10"/>
    <w:rsid w:val="5E6463FD"/>
    <w:rsid w:val="5E903E10"/>
    <w:rsid w:val="5EB65DF5"/>
    <w:rsid w:val="5EBB1D95"/>
    <w:rsid w:val="5EC90E94"/>
    <w:rsid w:val="5ECA3386"/>
    <w:rsid w:val="5EEC5DE8"/>
    <w:rsid w:val="5EFA28BD"/>
    <w:rsid w:val="5EFC7377"/>
    <w:rsid w:val="5F06174D"/>
    <w:rsid w:val="5F25115A"/>
    <w:rsid w:val="5F3A3602"/>
    <w:rsid w:val="5F5B2F83"/>
    <w:rsid w:val="5F6277C6"/>
    <w:rsid w:val="5F6D0B1D"/>
    <w:rsid w:val="5F742670"/>
    <w:rsid w:val="5F8D0B82"/>
    <w:rsid w:val="5FA81BBF"/>
    <w:rsid w:val="5FCC5339"/>
    <w:rsid w:val="5FE34A5B"/>
    <w:rsid w:val="5FEA20BE"/>
    <w:rsid w:val="5FFE1E36"/>
    <w:rsid w:val="60213E7A"/>
    <w:rsid w:val="60232584"/>
    <w:rsid w:val="60387A32"/>
    <w:rsid w:val="604F6C39"/>
    <w:rsid w:val="605505B7"/>
    <w:rsid w:val="60730B79"/>
    <w:rsid w:val="607330CE"/>
    <w:rsid w:val="60825176"/>
    <w:rsid w:val="609805E0"/>
    <w:rsid w:val="609F2AC4"/>
    <w:rsid w:val="60A07495"/>
    <w:rsid w:val="60FA2EE8"/>
    <w:rsid w:val="61054A27"/>
    <w:rsid w:val="610A52BC"/>
    <w:rsid w:val="611D2366"/>
    <w:rsid w:val="612003CD"/>
    <w:rsid w:val="61421856"/>
    <w:rsid w:val="615227C4"/>
    <w:rsid w:val="61654E3F"/>
    <w:rsid w:val="6182292A"/>
    <w:rsid w:val="619F7F92"/>
    <w:rsid w:val="61AB4343"/>
    <w:rsid w:val="61C564E0"/>
    <w:rsid w:val="61ED3E04"/>
    <w:rsid w:val="61F4032C"/>
    <w:rsid w:val="61F94C26"/>
    <w:rsid w:val="62000E56"/>
    <w:rsid w:val="622D2FAA"/>
    <w:rsid w:val="624F3E49"/>
    <w:rsid w:val="625918A8"/>
    <w:rsid w:val="62632286"/>
    <w:rsid w:val="62885958"/>
    <w:rsid w:val="62BB0F85"/>
    <w:rsid w:val="62F40B65"/>
    <w:rsid w:val="62FC2CFE"/>
    <w:rsid w:val="63024505"/>
    <w:rsid w:val="631758E7"/>
    <w:rsid w:val="63293C61"/>
    <w:rsid w:val="635B1DB5"/>
    <w:rsid w:val="635C197E"/>
    <w:rsid w:val="63711FED"/>
    <w:rsid w:val="63880DDC"/>
    <w:rsid w:val="638D750D"/>
    <w:rsid w:val="63AB23D8"/>
    <w:rsid w:val="63AC6CC0"/>
    <w:rsid w:val="63D01E3F"/>
    <w:rsid w:val="63EA37B2"/>
    <w:rsid w:val="64030608"/>
    <w:rsid w:val="64055776"/>
    <w:rsid w:val="64240056"/>
    <w:rsid w:val="643E143A"/>
    <w:rsid w:val="647A1DAB"/>
    <w:rsid w:val="64882719"/>
    <w:rsid w:val="648B6EEF"/>
    <w:rsid w:val="64BB664B"/>
    <w:rsid w:val="64C158BF"/>
    <w:rsid w:val="64CE2EAA"/>
    <w:rsid w:val="64CF20F6"/>
    <w:rsid w:val="64D92F75"/>
    <w:rsid w:val="651F517A"/>
    <w:rsid w:val="653C3090"/>
    <w:rsid w:val="654C03E9"/>
    <w:rsid w:val="65854376"/>
    <w:rsid w:val="658767BE"/>
    <w:rsid w:val="65892531"/>
    <w:rsid w:val="65A73DC9"/>
    <w:rsid w:val="65DB5BDA"/>
    <w:rsid w:val="65E9368C"/>
    <w:rsid w:val="66195831"/>
    <w:rsid w:val="662E75B1"/>
    <w:rsid w:val="66342C2E"/>
    <w:rsid w:val="663E784C"/>
    <w:rsid w:val="66846F11"/>
    <w:rsid w:val="668B6A45"/>
    <w:rsid w:val="66B22C0C"/>
    <w:rsid w:val="66C832A1"/>
    <w:rsid w:val="66CA1A24"/>
    <w:rsid w:val="672F3F24"/>
    <w:rsid w:val="673E055F"/>
    <w:rsid w:val="67551CE3"/>
    <w:rsid w:val="678D1B4B"/>
    <w:rsid w:val="679F1674"/>
    <w:rsid w:val="67A22552"/>
    <w:rsid w:val="67B101D9"/>
    <w:rsid w:val="67B22DCC"/>
    <w:rsid w:val="67BE71AA"/>
    <w:rsid w:val="67D90273"/>
    <w:rsid w:val="67DE5875"/>
    <w:rsid w:val="67E55852"/>
    <w:rsid w:val="67EB1AB4"/>
    <w:rsid w:val="67FA1285"/>
    <w:rsid w:val="6815184F"/>
    <w:rsid w:val="68551F4F"/>
    <w:rsid w:val="686F7E78"/>
    <w:rsid w:val="687A681D"/>
    <w:rsid w:val="687C10C9"/>
    <w:rsid w:val="68840C16"/>
    <w:rsid w:val="68876EFB"/>
    <w:rsid w:val="68884654"/>
    <w:rsid w:val="689E2EA1"/>
    <w:rsid w:val="689F444F"/>
    <w:rsid w:val="68B32F74"/>
    <w:rsid w:val="68B96DBB"/>
    <w:rsid w:val="68CA2805"/>
    <w:rsid w:val="68E937A3"/>
    <w:rsid w:val="69006EF7"/>
    <w:rsid w:val="6908045D"/>
    <w:rsid w:val="6923725B"/>
    <w:rsid w:val="693E15D3"/>
    <w:rsid w:val="696163E8"/>
    <w:rsid w:val="69627681"/>
    <w:rsid w:val="6977531D"/>
    <w:rsid w:val="69A9560C"/>
    <w:rsid w:val="69CC2BFF"/>
    <w:rsid w:val="69FD55B8"/>
    <w:rsid w:val="6A0B1C62"/>
    <w:rsid w:val="6A2406C8"/>
    <w:rsid w:val="6A3C4877"/>
    <w:rsid w:val="6A7D43A3"/>
    <w:rsid w:val="6AAE4B43"/>
    <w:rsid w:val="6AD02DBC"/>
    <w:rsid w:val="6ADE0BD1"/>
    <w:rsid w:val="6AE11C2D"/>
    <w:rsid w:val="6AE96859"/>
    <w:rsid w:val="6AEE4391"/>
    <w:rsid w:val="6B147746"/>
    <w:rsid w:val="6B24787C"/>
    <w:rsid w:val="6B573233"/>
    <w:rsid w:val="6B5B6274"/>
    <w:rsid w:val="6B60041E"/>
    <w:rsid w:val="6B8351A8"/>
    <w:rsid w:val="6B9064A9"/>
    <w:rsid w:val="6B935D53"/>
    <w:rsid w:val="6BBB6967"/>
    <w:rsid w:val="6C196F71"/>
    <w:rsid w:val="6C226FCB"/>
    <w:rsid w:val="6C31226F"/>
    <w:rsid w:val="6C552F0B"/>
    <w:rsid w:val="6C7F2654"/>
    <w:rsid w:val="6C8C67B7"/>
    <w:rsid w:val="6C9C3206"/>
    <w:rsid w:val="6C9D744C"/>
    <w:rsid w:val="6CA33476"/>
    <w:rsid w:val="6CAD46C8"/>
    <w:rsid w:val="6CB74321"/>
    <w:rsid w:val="6CBF6EF4"/>
    <w:rsid w:val="6CDA788A"/>
    <w:rsid w:val="6CF04512"/>
    <w:rsid w:val="6D151DD8"/>
    <w:rsid w:val="6D167928"/>
    <w:rsid w:val="6D26299B"/>
    <w:rsid w:val="6D401191"/>
    <w:rsid w:val="6D452A01"/>
    <w:rsid w:val="6D4772EC"/>
    <w:rsid w:val="6D8C0B84"/>
    <w:rsid w:val="6D9078AF"/>
    <w:rsid w:val="6DAA3FEF"/>
    <w:rsid w:val="6DC0172B"/>
    <w:rsid w:val="6DCB45E0"/>
    <w:rsid w:val="6DCB690C"/>
    <w:rsid w:val="6DD41A5B"/>
    <w:rsid w:val="6DF43C2E"/>
    <w:rsid w:val="6DF51CA3"/>
    <w:rsid w:val="6E0E0133"/>
    <w:rsid w:val="6E245261"/>
    <w:rsid w:val="6E290AC9"/>
    <w:rsid w:val="6E46167B"/>
    <w:rsid w:val="6E825415"/>
    <w:rsid w:val="6E8335BD"/>
    <w:rsid w:val="6E8E12EF"/>
    <w:rsid w:val="6E972936"/>
    <w:rsid w:val="6EA2262A"/>
    <w:rsid w:val="6ED446C5"/>
    <w:rsid w:val="6F213E96"/>
    <w:rsid w:val="6F2A7D94"/>
    <w:rsid w:val="6F4316AD"/>
    <w:rsid w:val="6F5B58E3"/>
    <w:rsid w:val="6F8331F1"/>
    <w:rsid w:val="6F88195B"/>
    <w:rsid w:val="6F8B3687"/>
    <w:rsid w:val="6F9C2003"/>
    <w:rsid w:val="6FA3261F"/>
    <w:rsid w:val="6FAE1A09"/>
    <w:rsid w:val="6FD75BF8"/>
    <w:rsid w:val="6FDF2B0D"/>
    <w:rsid w:val="70300483"/>
    <w:rsid w:val="704676D2"/>
    <w:rsid w:val="704936A5"/>
    <w:rsid w:val="70567144"/>
    <w:rsid w:val="707723D0"/>
    <w:rsid w:val="70E60EF4"/>
    <w:rsid w:val="70F5661B"/>
    <w:rsid w:val="71153587"/>
    <w:rsid w:val="711F26EB"/>
    <w:rsid w:val="71360107"/>
    <w:rsid w:val="713B688E"/>
    <w:rsid w:val="716342F2"/>
    <w:rsid w:val="718A349B"/>
    <w:rsid w:val="71B936E0"/>
    <w:rsid w:val="71C6395B"/>
    <w:rsid w:val="71D43752"/>
    <w:rsid w:val="71F1796A"/>
    <w:rsid w:val="72024CCB"/>
    <w:rsid w:val="72154626"/>
    <w:rsid w:val="72262B5D"/>
    <w:rsid w:val="72283FF7"/>
    <w:rsid w:val="722C50A9"/>
    <w:rsid w:val="722E7212"/>
    <w:rsid w:val="723A0474"/>
    <w:rsid w:val="725923E4"/>
    <w:rsid w:val="726A1369"/>
    <w:rsid w:val="72864BF7"/>
    <w:rsid w:val="729023FC"/>
    <w:rsid w:val="72A868A9"/>
    <w:rsid w:val="72C72D4D"/>
    <w:rsid w:val="72CB65F3"/>
    <w:rsid w:val="731655BF"/>
    <w:rsid w:val="731C0BFD"/>
    <w:rsid w:val="73261A7B"/>
    <w:rsid w:val="73397A01"/>
    <w:rsid w:val="73621942"/>
    <w:rsid w:val="73697BBA"/>
    <w:rsid w:val="736B313E"/>
    <w:rsid w:val="73C0646E"/>
    <w:rsid w:val="742222F5"/>
    <w:rsid w:val="74393A30"/>
    <w:rsid w:val="74414068"/>
    <w:rsid w:val="74476126"/>
    <w:rsid w:val="74706664"/>
    <w:rsid w:val="747F3682"/>
    <w:rsid w:val="749C4185"/>
    <w:rsid w:val="749D7B1B"/>
    <w:rsid w:val="74C24B19"/>
    <w:rsid w:val="74C62534"/>
    <w:rsid w:val="75067759"/>
    <w:rsid w:val="752E6DCD"/>
    <w:rsid w:val="7551380D"/>
    <w:rsid w:val="75600BE5"/>
    <w:rsid w:val="7564475C"/>
    <w:rsid w:val="757A1C0A"/>
    <w:rsid w:val="7583797F"/>
    <w:rsid w:val="75A373B3"/>
    <w:rsid w:val="75BE20AF"/>
    <w:rsid w:val="75D20F1D"/>
    <w:rsid w:val="75D61A57"/>
    <w:rsid w:val="75DA2C18"/>
    <w:rsid w:val="75F54412"/>
    <w:rsid w:val="7609234D"/>
    <w:rsid w:val="76164029"/>
    <w:rsid w:val="761D08E0"/>
    <w:rsid w:val="765D347C"/>
    <w:rsid w:val="76740D50"/>
    <w:rsid w:val="76826699"/>
    <w:rsid w:val="76832D41"/>
    <w:rsid w:val="768865A9"/>
    <w:rsid w:val="76A2766B"/>
    <w:rsid w:val="76A63920"/>
    <w:rsid w:val="76C87133"/>
    <w:rsid w:val="76CD08D5"/>
    <w:rsid w:val="76DB4B92"/>
    <w:rsid w:val="77052AA4"/>
    <w:rsid w:val="77136511"/>
    <w:rsid w:val="77340A39"/>
    <w:rsid w:val="77351FD0"/>
    <w:rsid w:val="773A3D47"/>
    <w:rsid w:val="77472422"/>
    <w:rsid w:val="777A7420"/>
    <w:rsid w:val="777F31F2"/>
    <w:rsid w:val="779571D0"/>
    <w:rsid w:val="77D1700D"/>
    <w:rsid w:val="77DA5399"/>
    <w:rsid w:val="77EC04CC"/>
    <w:rsid w:val="782236A8"/>
    <w:rsid w:val="783764D9"/>
    <w:rsid w:val="786C3B6A"/>
    <w:rsid w:val="78775729"/>
    <w:rsid w:val="787B4617"/>
    <w:rsid w:val="78A42DB0"/>
    <w:rsid w:val="78A656AB"/>
    <w:rsid w:val="78B2245C"/>
    <w:rsid w:val="78E172CC"/>
    <w:rsid w:val="78EA1D1F"/>
    <w:rsid w:val="7904172F"/>
    <w:rsid w:val="790F7E27"/>
    <w:rsid w:val="792A231A"/>
    <w:rsid w:val="79316829"/>
    <w:rsid w:val="79330A4E"/>
    <w:rsid w:val="7974590F"/>
    <w:rsid w:val="797E66A9"/>
    <w:rsid w:val="79A97383"/>
    <w:rsid w:val="79BC786E"/>
    <w:rsid w:val="79E27E8B"/>
    <w:rsid w:val="79F850CE"/>
    <w:rsid w:val="79FD443C"/>
    <w:rsid w:val="7A1D1975"/>
    <w:rsid w:val="7A3E5150"/>
    <w:rsid w:val="7A4670D6"/>
    <w:rsid w:val="7A4E3666"/>
    <w:rsid w:val="7A534B63"/>
    <w:rsid w:val="7A615382"/>
    <w:rsid w:val="7A67303B"/>
    <w:rsid w:val="7A6F4A59"/>
    <w:rsid w:val="7A807C81"/>
    <w:rsid w:val="7A94660F"/>
    <w:rsid w:val="7AA04FA9"/>
    <w:rsid w:val="7AAB1D04"/>
    <w:rsid w:val="7ABA4368"/>
    <w:rsid w:val="7AD05746"/>
    <w:rsid w:val="7AD166F6"/>
    <w:rsid w:val="7AD4701B"/>
    <w:rsid w:val="7AE364A4"/>
    <w:rsid w:val="7B257FFD"/>
    <w:rsid w:val="7B343476"/>
    <w:rsid w:val="7B4E1B6F"/>
    <w:rsid w:val="7B5A2978"/>
    <w:rsid w:val="7B5A7E4C"/>
    <w:rsid w:val="7B667AF9"/>
    <w:rsid w:val="7B7468F8"/>
    <w:rsid w:val="7B850A9C"/>
    <w:rsid w:val="7B9A6B62"/>
    <w:rsid w:val="7BA82155"/>
    <w:rsid w:val="7BDA1655"/>
    <w:rsid w:val="7BDD2EF3"/>
    <w:rsid w:val="7BED669C"/>
    <w:rsid w:val="7BEE0103"/>
    <w:rsid w:val="7C055AE1"/>
    <w:rsid w:val="7C0A0FE4"/>
    <w:rsid w:val="7C196FD7"/>
    <w:rsid w:val="7C254906"/>
    <w:rsid w:val="7C286D9F"/>
    <w:rsid w:val="7C4571E2"/>
    <w:rsid w:val="7C465EF3"/>
    <w:rsid w:val="7C541E39"/>
    <w:rsid w:val="7C590818"/>
    <w:rsid w:val="7C7C10F6"/>
    <w:rsid w:val="7C853BEA"/>
    <w:rsid w:val="7C881368"/>
    <w:rsid w:val="7CE27788"/>
    <w:rsid w:val="7D0C32F1"/>
    <w:rsid w:val="7D0F408D"/>
    <w:rsid w:val="7D195AC8"/>
    <w:rsid w:val="7D405241"/>
    <w:rsid w:val="7D491C6C"/>
    <w:rsid w:val="7D5429C0"/>
    <w:rsid w:val="7D6A07B6"/>
    <w:rsid w:val="7D6E6D43"/>
    <w:rsid w:val="7D71658F"/>
    <w:rsid w:val="7D7D2BE0"/>
    <w:rsid w:val="7DB57A34"/>
    <w:rsid w:val="7DE60973"/>
    <w:rsid w:val="7DEF0916"/>
    <w:rsid w:val="7E1D3A7B"/>
    <w:rsid w:val="7E1E5218"/>
    <w:rsid w:val="7E2E2382"/>
    <w:rsid w:val="7E4030DF"/>
    <w:rsid w:val="7E4F632A"/>
    <w:rsid w:val="7E5D4C4E"/>
    <w:rsid w:val="7E927FC5"/>
    <w:rsid w:val="7E9A4E1F"/>
    <w:rsid w:val="7EA24740"/>
    <w:rsid w:val="7EA7723A"/>
    <w:rsid w:val="7EBE700C"/>
    <w:rsid w:val="7EC30AC6"/>
    <w:rsid w:val="7ECD36F3"/>
    <w:rsid w:val="7EF56FBB"/>
    <w:rsid w:val="7F062761"/>
    <w:rsid w:val="7F0768EB"/>
    <w:rsid w:val="7F143BEC"/>
    <w:rsid w:val="7F2430A7"/>
    <w:rsid w:val="7F2C21C7"/>
    <w:rsid w:val="7F715AF2"/>
    <w:rsid w:val="7F886E69"/>
    <w:rsid w:val="7FCB7C32"/>
    <w:rsid w:val="7FEA6917"/>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283"/>
    <w:qFormat/>
    <w:uiPriority w:val="10"/>
    <w:pPr>
      <w:widowControl/>
      <w:overflowPunct w:val="0"/>
      <w:autoSpaceDE w:val="0"/>
      <w:autoSpaceDN w:val="0"/>
      <w:jc w:val="center"/>
      <w:textAlignment w:val="baseline"/>
    </w:pPr>
    <w:rPr>
      <w:b/>
      <w:kern w:val="0"/>
      <w:sz w:val="24"/>
      <w:szCs w:val="20"/>
      <w:lang w:val="en-GB"/>
    </w:rPr>
  </w:style>
  <w:style w:type="paragraph" w:styleId="6">
    <w:name w:val="Normal Indent"/>
    <w:basedOn w:val="1"/>
    <w:next w:val="7"/>
    <w:link w:val="190"/>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Indent"/>
    <w:basedOn w:val="1"/>
    <w:next w:val="6"/>
    <w:link w:val="262"/>
    <w:qFormat/>
    <w:uiPriority w:val="0"/>
    <w:pPr>
      <w:spacing w:line="480" w:lineRule="exact"/>
      <w:ind w:firstLine="480" w:firstLineChars="200"/>
    </w:pPr>
    <w:rPr>
      <w:rFonts w:ascii="宋体" w:hAnsi="宋体"/>
      <w:sz w:val="24"/>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6"/>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199"/>
    <w:qFormat/>
    <w:uiPriority w:val="0"/>
    <w:pPr>
      <w:shd w:val="clear" w:color="auto" w:fill="000080"/>
    </w:pPr>
  </w:style>
  <w:style w:type="paragraph" w:styleId="21">
    <w:name w:val="annotation text"/>
    <w:basedOn w:val="1"/>
    <w:link w:val="341"/>
    <w:qFormat/>
    <w:uiPriority w:val="99"/>
    <w:pPr>
      <w:jc w:val="left"/>
    </w:pPr>
  </w:style>
  <w:style w:type="paragraph" w:styleId="22">
    <w:name w:val="Salutation"/>
    <w:basedOn w:val="1"/>
    <w:next w:val="1"/>
    <w:link w:val="295"/>
    <w:qFormat/>
    <w:uiPriority w:val="0"/>
    <w:rPr>
      <w:rFonts w:ascii="仿宋_GB2312" w:eastAsia="仿宋_GB2312"/>
      <w:sz w:val="28"/>
      <w:szCs w:val="20"/>
    </w:rPr>
  </w:style>
  <w:style w:type="paragraph" w:styleId="23">
    <w:name w:val="Body Text 3"/>
    <w:basedOn w:val="1"/>
    <w:link w:val="327"/>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27"/>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18"/>
    <w:qFormat/>
    <w:uiPriority w:val="0"/>
    <w:pPr>
      <w:ind w:firstLine="420"/>
    </w:pPr>
    <w:rPr>
      <w:rFonts w:hAnsi="Calibri" w:cs="Times New Roman"/>
      <w:snapToGrid/>
      <w:szCs w:val="20"/>
    </w:rPr>
  </w:style>
  <w:style w:type="paragraph" w:styleId="27">
    <w:name w:val="toc 6"/>
    <w:basedOn w:val="1"/>
    <w:next w:val="1"/>
    <w:qFormat/>
    <w:uiPriority w:val="0"/>
    <w:pPr>
      <w:ind w:left="2100" w:leftChars="1000"/>
    </w:p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36"/>
    <w:link w:val="122"/>
    <w:qFormat/>
    <w:uiPriority w:val="0"/>
    <w:rPr>
      <w:rFonts w:ascii="宋体" w:hAnsi="Courier New" w:cs="Arial"/>
      <w:snapToGrid w:val="0"/>
      <w:szCs w:val="21"/>
    </w:rPr>
  </w:style>
  <w:style w:type="paragraph" w:styleId="36">
    <w:name w:val="toc 2"/>
    <w:basedOn w:val="1"/>
    <w:next w:val="1"/>
    <w:qFormat/>
    <w:uiPriority w:val="0"/>
    <w:pPr>
      <w:ind w:left="420" w:leftChars="200"/>
    </w:p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78"/>
    <w:qFormat/>
    <w:uiPriority w:val="0"/>
    <w:pPr>
      <w:ind w:left="100" w:leftChars="2500"/>
    </w:pPr>
    <w:rPr>
      <w:rFonts w:ascii="宋体"/>
      <w:sz w:val="24"/>
      <w:szCs w:val="21"/>
      <w:lang w:val="zh-CN"/>
    </w:rPr>
  </w:style>
  <w:style w:type="paragraph" w:styleId="40">
    <w:name w:val="Body Text Indent 2"/>
    <w:basedOn w:val="1"/>
    <w:link w:val="305"/>
    <w:qFormat/>
    <w:uiPriority w:val="0"/>
    <w:pPr>
      <w:spacing w:line="360" w:lineRule="auto"/>
      <w:ind w:firstLine="601"/>
      <w:textAlignment w:val="baseline"/>
    </w:pPr>
    <w:rPr>
      <w:rFonts w:ascii="宋体"/>
      <w:kern w:val="0"/>
      <w:sz w:val="28"/>
      <w:szCs w:val="20"/>
    </w:rPr>
  </w:style>
  <w:style w:type="paragraph" w:styleId="41">
    <w:name w:val="endnote text"/>
    <w:basedOn w:val="1"/>
    <w:link w:val="929"/>
    <w:qFormat/>
    <w:uiPriority w:val="0"/>
    <w:rPr>
      <w:lang w:val="zh-CN"/>
    </w:rPr>
  </w:style>
  <w:style w:type="paragraph" w:styleId="42">
    <w:name w:val="Balloon Text"/>
    <w:basedOn w:val="1"/>
    <w:link w:val="185"/>
    <w:qFormat/>
    <w:uiPriority w:val="0"/>
    <w:rPr>
      <w:sz w:val="18"/>
      <w:szCs w:val="18"/>
    </w:rPr>
  </w:style>
  <w:style w:type="paragraph" w:styleId="43">
    <w:name w:val="footer"/>
    <w:basedOn w:val="1"/>
    <w:link w:val="380"/>
    <w:qFormat/>
    <w:uiPriority w:val="99"/>
    <w:pPr>
      <w:tabs>
        <w:tab w:val="center" w:pos="4153"/>
        <w:tab w:val="right" w:pos="8306"/>
      </w:tabs>
      <w:snapToGrid w:val="0"/>
      <w:jc w:val="left"/>
    </w:pPr>
    <w:rPr>
      <w:sz w:val="18"/>
      <w:szCs w:val="18"/>
    </w:rPr>
  </w:style>
  <w:style w:type="paragraph" w:styleId="44">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6"/>
    <w:link w:val="307"/>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2"/>
    <w:qFormat/>
    <w:uiPriority w:val="0"/>
    <w:pPr>
      <w:spacing w:line="360" w:lineRule="auto"/>
      <w:ind w:firstLine="420"/>
    </w:pPr>
    <w:rPr>
      <w:sz w:val="24"/>
      <w:szCs w:val="20"/>
    </w:rPr>
  </w:style>
  <w:style w:type="paragraph" w:styleId="56">
    <w:name w:val="toc 9"/>
    <w:basedOn w:val="1"/>
    <w:next w:val="1"/>
    <w:qFormat/>
    <w:uiPriority w:val="0"/>
    <w:pPr>
      <w:ind w:left="3360" w:leftChars="1600"/>
    </w:pPr>
  </w:style>
  <w:style w:type="paragraph" w:styleId="57">
    <w:name w:val="Body Text 2"/>
    <w:basedOn w:val="1"/>
    <w:link w:val="299"/>
    <w:qFormat/>
    <w:uiPriority w:val="0"/>
    <w:pPr>
      <w:spacing w:after="120" w:line="480" w:lineRule="auto"/>
    </w:pPr>
  </w:style>
  <w:style w:type="paragraph" w:styleId="58">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annotation subject"/>
    <w:basedOn w:val="21"/>
    <w:next w:val="21"/>
    <w:link w:val="93"/>
    <w:qFormat/>
    <w:uiPriority w:val="0"/>
    <w:rPr>
      <w:b/>
      <w:bCs/>
    </w:rPr>
  </w:style>
  <w:style w:type="paragraph" w:styleId="61">
    <w:name w:val="Body Text First Indent 2"/>
    <w:basedOn w:val="7"/>
    <w:next w:val="1"/>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50"/>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basedOn w:val="69"/>
    <w:qFormat/>
    <w:uiPriority w:val="0"/>
    <w:rPr>
      <w:rFonts w:hint="eastAsia" w:ascii="仿宋_GB2312" w:eastAsia="仿宋_GB2312" w:cs="仿宋_GB2312"/>
      <w:color w:val="000000"/>
      <w:sz w:val="22"/>
      <w:szCs w:val="22"/>
      <w:u w:val="none"/>
    </w:rPr>
  </w:style>
  <w:style w:type="character" w:customStyle="1" w:styleId="144">
    <w:name w:val="标题 6 字符"/>
    <w:link w:val="10"/>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4"/>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9"/>
    <w:qFormat/>
    <w:uiPriority w:val="0"/>
    <w:rPr>
      <w:rFonts w:ascii="宋体"/>
      <w:kern w:val="2"/>
      <w:sz w:val="24"/>
      <w:szCs w:val="21"/>
      <w:lang w:val="zh-CN"/>
    </w:rPr>
  </w:style>
  <w:style w:type="character" w:customStyle="1" w:styleId="179">
    <w:name w:val="标题 9 字符"/>
    <w:link w:val="13"/>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42"/>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6"/>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20"/>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32"/>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8"/>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8"/>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7"/>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2"/>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9"/>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2"/>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8"/>
    <w:qFormat/>
    <w:uiPriority w:val="0"/>
    <w:rPr>
      <w:rFonts w:ascii="黑体" w:hAnsi="Courier New" w:eastAsia="黑体"/>
    </w:rPr>
  </w:style>
  <w:style w:type="character" w:customStyle="1" w:styleId="299">
    <w:name w:val="正文文本 2 字符1"/>
    <w:link w:val="57"/>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8"/>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11"/>
    <w:qFormat/>
    <w:uiPriority w:val="0"/>
    <w:rPr>
      <w:b/>
      <w:bCs/>
      <w:kern w:val="2"/>
      <w:sz w:val="24"/>
      <w:szCs w:val="24"/>
    </w:rPr>
  </w:style>
  <w:style w:type="character" w:customStyle="1" w:styleId="305">
    <w:name w:val="正文文本缩进 2 字符"/>
    <w:link w:val="40"/>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53"/>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字符"/>
    <w:link w:val="26"/>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8"/>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3"/>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21"/>
    <w:qFormat/>
    <w:uiPriority w:val="0"/>
    <w:rPr>
      <w:kern w:val="2"/>
      <w:sz w:val="21"/>
      <w:szCs w:val="24"/>
    </w:rPr>
  </w:style>
  <w:style w:type="character" w:customStyle="1" w:styleId="342">
    <w:name w:val="签名 字符"/>
    <w:link w:val="45"/>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2"/>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5"/>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43"/>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4"/>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6"/>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8"/>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5"/>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9"/>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8"/>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7"/>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8"/>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40"/>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41"/>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basedOn w:val="69"/>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靠左小四表内"/>
    <w:basedOn w:val="1"/>
    <w:qFormat/>
    <w:uiPriority w:val="0"/>
    <w:pPr>
      <w:suppressLineNumbers/>
      <w:wordWrap w:val="0"/>
      <w:topLinePunct/>
      <w:adjustRightInd w:val="0"/>
      <w:snapToGrid w:val="0"/>
      <w:spacing w:line="240" w:lineRule="auto"/>
    </w:pPr>
    <w:rPr>
      <w:rFonts w:ascii="Times New Roman" w:hAnsi="Times New Roman"/>
      <w:color w:val="000000"/>
      <w:szCs w:val="21"/>
    </w:rPr>
  </w:style>
  <w:style w:type="paragraph" w:customStyle="1" w:styleId="962">
    <w:name w:val="样式 标题 31.1.1标题 333rd levelBOD 0Bold HeadCTH3H31Heading ...1"/>
    <w:basedOn w:val="5"/>
    <w:qFormat/>
    <w:uiPriority w:val="0"/>
    <w:pPr>
      <w:spacing w:before="0" w:after="0"/>
      <w:ind w:firstLine="0" w:firstLineChars="0"/>
    </w:pPr>
    <w:rPr>
      <w:rFonts w:hAnsi="宋体" w:cs="宋体"/>
      <w:sz w:val="24"/>
    </w:rPr>
  </w:style>
  <w:style w:type="paragraph" w:customStyle="1" w:styleId="963">
    <w:name w:val="BodyText1I"/>
    <w:basedOn w:val="964"/>
    <w:qFormat/>
    <w:uiPriority w:val="0"/>
    <w:pPr>
      <w:autoSpaceDE/>
      <w:autoSpaceDN/>
      <w:spacing w:after="120" w:line="240" w:lineRule="auto"/>
      <w:ind w:firstLine="420" w:firstLineChars="100"/>
      <w:jc w:val="both"/>
      <w:textAlignment w:val="baseline"/>
    </w:pPr>
    <w:rPr>
      <w:rFonts w:ascii="Tahoma" w:hAnsi="Tahoma" w:eastAsia="黑体"/>
      <w:color w:val="FF0000"/>
      <w:kern w:val="2"/>
      <w:sz w:val="21"/>
      <w:szCs w:val="24"/>
      <w:lang w:val="en-US" w:eastAsia="zh-CN" w:bidi="ar-SA"/>
    </w:rPr>
  </w:style>
  <w:style w:type="paragraph" w:customStyle="1" w:styleId="964">
    <w:name w:val="BodyText"/>
    <w:basedOn w:val="1"/>
    <w:qFormat/>
    <w:uiPriority w:val="0"/>
    <w:pPr>
      <w:spacing w:line="520" w:lineRule="exact"/>
      <w:jc w:val="center"/>
      <w:textAlignment w:val="baseline"/>
    </w:pPr>
    <w:rPr>
      <w:rFonts w:ascii="Tahoma" w:hAnsi="Tahoma" w:eastAsia="黑体"/>
      <w:color w:val="FF0000"/>
      <w:kern w:val="2"/>
      <w:sz w:val="4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3" Type="http://schemas.microsoft.com/office/2011/relationships/people" Target="people.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comments" Target="comments.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2.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975C36-73B5-4862-B419-AB6F35125DAB}">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94</Pages>
  <Words>41111</Words>
  <Characters>46992</Characters>
  <Lines>436</Lines>
  <Paragraphs>122</Paragraphs>
  <TotalTime>26</TotalTime>
  <ScaleCrop>false</ScaleCrop>
  <LinksUpToDate>false</LinksUpToDate>
  <CharactersWithSpaces>51709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子小口鸟先森</cp:lastModifiedBy>
  <cp:lastPrinted>2021-12-27T03:06:00Z</cp:lastPrinted>
  <dcterms:modified xsi:type="dcterms:W3CDTF">2022-12-23T12:10:13Z</dcterms:modified>
  <dc:title>杭州市市民卡扩大发卡工程</dc:title>
  <cp:revision>203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370BACF35E224882880CD8BB3404B2D7</vt:lpwstr>
  </property>
</Properties>
</file>