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eastAsia="宋体" w:cs="宋体"/>
          <w:sz w:val="52"/>
          <w:szCs w:val="52"/>
        </w:rPr>
      </w:pPr>
    </w:p>
    <w:p>
      <w:pPr>
        <w:adjustRightInd/>
        <w:spacing w:line="360" w:lineRule="auto"/>
        <w:jc w:val="center"/>
        <w:rPr>
          <w:rFonts w:hint="eastAsia" w:ascii="宋体" w:hAnsi="宋体" w:eastAsia="宋体" w:cs="宋体"/>
          <w:sz w:val="52"/>
          <w:szCs w:val="52"/>
          <w:lang w:eastAsia="zh-CN"/>
        </w:rPr>
      </w:pPr>
      <w:r>
        <w:rPr>
          <w:rFonts w:hint="eastAsia" w:ascii="宋体" w:hAnsi="宋体" w:cs="宋体"/>
          <w:sz w:val="52"/>
          <w:szCs w:val="52"/>
          <w:lang w:eastAsia="zh-CN"/>
        </w:rPr>
        <w:t>桐庐县学校校园弱电更新改造设备采购项目</w:t>
      </w:r>
    </w:p>
    <w:p>
      <w:pPr>
        <w:adjustRightInd/>
        <w:spacing w:line="360" w:lineRule="auto"/>
        <w:jc w:val="center"/>
        <w:rPr>
          <w:rFonts w:hint="eastAsia" w:ascii="宋体" w:hAnsi="宋体" w:eastAsia="宋体" w:cs="宋体"/>
          <w:sz w:val="48"/>
          <w:szCs w:val="48"/>
        </w:rPr>
      </w:pPr>
    </w:p>
    <w:p>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招标文件</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lang w:eastAsia="zh-CN"/>
        </w:rPr>
        <w:t>采购</w:t>
      </w:r>
      <w:r>
        <w:rPr>
          <w:rFonts w:hint="eastAsia" w:ascii="宋体" w:hAnsi="宋体" w:eastAsia="宋体" w:cs="宋体"/>
          <w:sz w:val="30"/>
          <w:szCs w:val="30"/>
        </w:rPr>
        <w:t>编号:（HZZC-TL2023GK-008）</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w:t>
      </w:r>
      <w:r>
        <w:rPr>
          <w:rFonts w:hint="eastAsia" w:ascii="宋体" w:hAnsi="宋体" w:cs="宋体"/>
          <w:sz w:val="32"/>
          <w:szCs w:val="32"/>
          <w:lang w:eastAsia="zh-CN"/>
        </w:rPr>
        <w:t>桐庐县教育后勤服务中心</w:t>
      </w:r>
    </w:p>
    <w:p>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w:t>
      </w:r>
      <w:r>
        <w:rPr>
          <w:rFonts w:hint="eastAsia" w:ascii="宋体" w:hAnsi="宋体" w:eastAsia="宋体" w:cs="宋体"/>
          <w:bCs/>
          <w:sz w:val="32"/>
          <w:szCs w:val="32"/>
        </w:rPr>
        <w:t>杭州智诚工程管理有限公司</w:t>
      </w:r>
    </w:p>
    <w:p>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lang w:val="en-US" w:eastAsia="zh-CN"/>
        </w:rPr>
        <w:t>202</w:t>
      </w:r>
      <w:r>
        <w:rPr>
          <w:rFonts w:hint="eastAsia" w:ascii="宋体" w:hAnsi="宋体" w:cs="宋体"/>
          <w:bCs/>
          <w:sz w:val="32"/>
          <w:szCs w:val="32"/>
          <w:lang w:val="en-US" w:eastAsia="zh-CN"/>
        </w:rPr>
        <w:t>3</w:t>
      </w:r>
      <w:r>
        <w:rPr>
          <w:rFonts w:hint="eastAsia" w:ascii="宋体" w:hAnsi="宋体" w:eastAsia="宋体" w:cs="宋体"/>
          <w:bCs/>
          <w:sz w:val="32"/>
          <w:szCs w:val="32"/>
        </w:rPr>
        <w:t>年</w:t>
      </w:r>
      <w:r>
        <w:rPr>
          <w:rFonts w:hint="eastAsia" w:ascii="宋体" w:hAnsi="宋体" w:cs="宋体"/>
          <w:bCs/>
          <w:sz w:val="32"/>
          <w:szCs w:val="32"/>
          <w:lang w:val="en-US" w:eastAsia="zh-CN"/>
        </w:rPr>
        <w:t>05</w:t>
      </w:r>
      <w:r>
        <w:rPr>
          <w:rFonts w:hint="eastAsia" w:ascii="宋体" w:hAnsi="宋体" w:eastAsia="宋体" w:cs="宋体"/>
          <w:bCs/>
          <w:sz w:val="32"/>
          <w:szCs w:val="32"/>
        </w:rPr>
        <w:t>月</w:t>
      </w:r>
    </w:p>
    <w:p>
      <w:pPr>
        <w:pStyle w:val="6"/>
        <w:rPr>
          <w:rFonts w:hint="eastAsia" w:ascii="宋体" w:hAnsi="宋体" w:eastAsia="宋体" w:cs="宋体"/>
          <w:bCs/>
          <w:sz w:val="32"/>
          <w:szCs w:val="32"/>
        </w:rPr>
      </w:pPr>
    </w:p>
    <w:p>
      <w:pPr>
        <w:rPr>
          <w:rFonts w:hint="eastAsia" w:ascii="宋体" w:hAnsi="宋体" w:eastAsia="宋体" w:cs="宋体"/>
          <w:bCs/>
          <w:sz w:val="32"/>
          <w:szCs w:val="32"/>
        </w:rPr>
      </w:pPr>
    </w:p>
    <w:p>
      <w:pPr>
        <w:spacing w:line="360" w:lineRule="auto"/>
        <w:jc w:val="both"/>
        <w:rPr>
          <w:rFonts w:hint="eastAsia" w:ascii="宋体" w:hAnsi="宋体" w:eastAsia="宋体" w:cs="宋体"/>
          <w:b/>
          <w:sz w:val="48"/>
          <w:szCs w:val="48"/>
        </w:rPr>
        <w:sectPr>
          <w:headerReference r:id="rId4" w:type="first"/>
          <w:head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pPr>
        <w:pStyle w:val="2"/>
        <w:rPr>
          <w:rFonts w:hint="eastAsia"/>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0" w:name="_Hlt91233176"/>
      <w:bookmarkEnd w:id="0"/>
      <w:bookmarkStart w:id="1"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pStyle w:val="6"/>
        <w:rPr>
          <w:rFonts w:hint="eastAsia" w:ascii="宋体" w:hAnsi="宋体" w:eastAsia="宋体" w:cs="宋体"/>
          <w:sz w:val="24"/>
        </w:rPr>
      </w:pPr>
    </w:p>
    <w:p>
      <w:pPr>
        <w:rPr>
          <w:rFonts w:hint="eastAsia" w:ascii="宋体" w:hAnsi="宋体" w:eastAsia="宋体" w:cs="宋体"/>
          <w:sz w:val="24"/>
        </w:rPr>
      </w:pPr>
    </w:p>
    <w:bookmarkEnd w:id="1"/>
    <w:p>
      <w:pPr>
        <w:adjustRightInd/>
        <w:spacing w:line="360" w:lineRule="auto"/>
        <w:jc w:val="both"/>
        <w:outlineLvl w:val="0"/>
        <w:rPr>
          <w:rFonts w:hint="eastAsia" w:ascii="宋体" w:hAnsi="宋体" w:eastAsia="宋体" w:cs="宋体"/>
          <w:b/>
          <w:sz w:val="36"/>
          <w:szCs w:val="20"/>
        </w:rPr>
      </w:pPr>
      <w:bookmarkStart w:id="2" w:name="_Hlt74649545"/>
      <w:bookmarkEnd w:id="2"/>
      <w:bookmarkStart w:id="3" w:name="_Hlt74728647"/>
      <w:bookmarkEnd w:id="3"/>
      <w:bookmarkStart w:id="4" w:name="_Hlt74707423"/>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桐庐县学校校园弱电更新改造设备采购项目</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 xml:space="preserve"> 6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7</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 xml:space="preserve">9 </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 xml:space="preserve"> 分</w:t>
      </w:r>
      <w:r>
        <w:rPr>
          <w:rFonts w:hint="eastAsia" w:ascii="宋体" w:hAnsi="宋体" w:eastAsia="宋体" w:cs="宋体"/>
          <w:bCs/>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eastAsia="宋体" w:cs="宋体"/>
          <w:sz w:val="24"/>
        </w:rPr>
        <w:t>HZZC-TL202</w:t>
      </w:r>
      <w:r>
        <w:rPr>
          <w:rFonts w:hint="eastAsia" w:ascii="宋体" w:hAnsi="宋体" w:cs="宋体"/>
          <w:sz w:val="24"/>
          <w:lang w:val="en-US" w:eastAsia="zh-CN"/>
        </w:rPr>
        <w:t>3</w:t>
      </w:r>
      <w:r>
        <w:rPr>
          <w:rFonts w:hint="eastAsia" w:ascii="宋体" w:hAnsi="宋体" w:eastAsia="宋体" w:cs="宋体"/>
          <w:sz w:val="24"/>
        </w:rPr>
        <w:t>GK-</w:t>
      </w:r>
      <w:r>
        <w:rPr>
          <w:rFonts w:hint="eastAsia" w:ascii="宋体" w:hAnsi="宋体" w:cs="宋体"/>
          <w:sz w:val="24"/>
          <w:lang w:val="en-US" w:eastAsia="zh-CN"/>
        </w:rPr>
        <w:t xml:space="preserve">008 </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桐庐县学校校园弱电更新改造设备采购项目</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val="0"/>
          <w:bCs/>
          <w:sz w:val="24"/>
          <w:lang w:val="en-US" w:eastAsia="zh-CN"/>
        </w:rPr>
        <w:t>2400000</w:t>
      </w:r>
    </w:p>
    <w:p>
      <w:pPr>
        <w:spacing w:line="360" w:lineRule="auto"/>
        <w:ind w:firstLine="482" w:firstLineChars="200"/>
        <w:rPr>
          <w:rFonts w:hint="default" w:ascii="宋体" w:hAnsi="宋体" w:eastAsia="宋体" w:cs="宋体"/>
          <w:color w:val="auto"/>
          <w:sz w:val="24"/>
          <w:lang w:val="en-US"/>
        </w:rPr>
      </w:pPr>
      <w:r>
        <w:rPr>
          <w:rFonts w:hint="eastAsia" w:ascii="宋体" w:hAnsi="宋体" w:eastAsia="宋体" w:cs="宋体"/>
          <w:b/>
          <w:color w:val="auto"/>
          <w:sz w:val="24"/>
        </w:rPr>
        <w:t>最高限价（元）：</w:t>
      </w:r>
      <w:r>
        <w:rPr>
          <w:rFonts w:hint="eastAsia" w:ascii="宋体" w:hAnsi="宋体" w:cs="宋体"/>
          <w:b w:val="0"/>
          <w:bCs/>
          <w:sz w:val="24"/>
          <w:lang w:val="en-US" w:eastAsia="zh-CN"/>
        </w:rPr>
        <w:t>2400000</w:t>
      </w:r>
    </w:p>
    <w:p>
      <w:pPr>
        <w:pStyle w:val="17"/>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r>
        <w:rPr>
          <w:rFonts w:hint="eastAsia" w:ascii="宋体" w:hAnsi="宋体" w:eastAsia="宋体" w:cs="宋体"/>
          <w:bCs/>
          <w:snapToGrid/>
          <w:color w:val="auto"/>
          <w:kern w:val="2"/>
          <w:sz w:val="24"/>
          <w:szCs w:val="24"/>
        </w:rPr>
        <w:t>具体以招标文件第三部分采购需求为准，供应商可点击本公告下方“浏览采购文件”查看采购需求。</w:t>
      </w:r>
    </w:p>
    <w:p>
      <w:pPr>
        <w:pStyle w:val="17"/>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lang w:val="en-US" w:eastAsia="zh-CN"/>
        </w:rPr>
        <w:t>详见招标文件第三部分采购需求</w:t>
      </w:r>
    </w:p>
    <w:p>
      <w:pPr>
        <w:pStyle w:val="17"/>
        <w:spacing w:line="360" w:lineRule="auto"/>
        <w:ind w:firstLine="480"/>
        <w:rPr>
          <w:rFonts w:hint="eastAsia" w:ascii="宋体" w:hAnsi="宋体" w:eastAsia="宋体" w:cs="宋体"/>
          <w:b/>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以联合体形式投标的，提供联合协议(本项目</w:t>
      </w:r>
      <w:r>
        <w:rPr>
          <w:rFonts w:hint="eastAsia" w:ascii="宋体" w:hAnsi="宋体" w:cs="宋体"/>
          <w:sz w:val="24"/>
          <w:szCs w:val="24"/>
          <w:lang w:eastAsia="zh-CN"/>
        </w:rPr>
        <w:t>不</w:t>
      </w:r>
      <w:r>
        <w:rPr>
          <w:rFonts w:hint="eastAsia" w:ascii="宋体" w:hAnsi="宋体" w:eastAsia="宋体" w:cs="宋体"/>
          <w:sz w:val="24"/>
          <w:szCs w:val="24"/>
        </w:rPr>
        <w:t>接受联合体投标或者投标人不以联合体形式投标的，则不需要提供) ；</w:t>
      </w:r>
    </w:p>
    <w:p>
      <w:pPr>
        <w:spacing w:line="360" w:lineRule="auto"/>
        <w:ind w:firstLine="480" w:firstLineChars="20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eastAsia="宋体" w:cs="宋体"/>
          <w:snapToGrid w:val="0"/>
          <w:kern w:val="28"/>
          <w:sz w:val="24"/>
          <w:szCs w:val="20"/>
        </w:rPr>
        <w:t>.</w:t>
      </w:r>
      <w:r>
        <w:rPr>
          <w:rFonts w:hint="eastAsia" w:ascii="宋体" w:hAnsi="宋体" w:cs="宋体"/>
          <w:snapToGrid w:val="0"/>
          <w:kern w:val="28"/>
          <w:sz w:val="24"/>
          <w:szCs w:val="20"/>
          <w:lang w:val="en-US" w:eastAsia="zh-CN"/>
        </w:rPr>
        <w:t xml:space="preserve"> </w:t>
      </w:r>
      <w:r>
        <w:rPr>
          <w:rFonts w:hint="eastAsia" w:ascii="宋体" w:hAnsi="宋体" w:eastAsia="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480" w:firstLineChars="200"/>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货物全部由符合政策要求的中小企业制造，提供中小企业声明函；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货物全部由符合政策要求的小微企业制造，提供中小企业声明函；</w:t>
      </w:r>
    </w:p>
    <w:p>
      <w:pPr>
        <w:spacing w:line="360" w:lineRule="auto"/>
        <w:ind w:firstLine="420" w:firstLineChars="200"/>
        <w:rPr>
          <w:rFonts w:hint="eastAsia"/>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pPr>
        <w:numPr>
          <w:ilvl w:val="0"/>
          <w:numId w:val="0"/>
        </w:num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 xml:space="preserve">年 </w:t>
      </w:r>
      <w:r>
        <w:rPr>
          <w:rFonts w:hint="eastAsia" w:ascii="宋体" w:hAnsi="宋体" w:cs="宋体"/>
          <w:sz w:val="24"/>
          <w:highlight w:val="none"/>
          <w:u w:val="single"/>
          <w:lang w:val="en-US" w:eastAsia="zh-CN"/>
        </w:rPr>
        <w:t xml:space="preserve">6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7 </w:t>
      </w:r>
      <w:r>
        <w:rPr>
          <w:rFonts w:hint="eastAsia" w:ascii="宋体" w:hAnsi="宋体" w:eastAsia="宋体" w:cs="宋体"/>
          <w:sz w:val="24"/>
          <w:highlight w:val="none"/>
          <w:u w:val="single"/>
        </w:rPr>
        <w:t>日</w:t>
      </w:r>
      <w:r>
        <w:rPr>
          <w:rFonts w:hint="eastAsia" w:ascii="宋体" w:hAnsi="宋体" w:eastAsia="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 xml:space="preserve"> 6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7 </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 xml:space="preserve">9 </w:t>
      </w:r>
      <w:r>
        <w:rPr>
          <w:rFonts w:hint="eastAsia" w:ascii="宋体" w:hAnsi="宋体" w:eastAsia="宋体" w:cs="宋体"/>
          <w:sz w:val="24"/>
          <w:highlight w:val="none"/>
          <w:u w:val="single"/>
        </w:rPr>
        <w:t xml:space="preserve">点 </w:t>
      </w:r>
      <w:r>
        <w:rPr>
          <w:rFonts w:hint="eastAsia" w:ascii="宋体" w:hAnsi="宋体" w:cs="宋体"/>
          <w:sz w:val="24"/>
          <w:highlight w:val="none"/>
          <w:u w:val="single"/>
          <w:lang w:val="en-US" w:eastAsia="zh-CN"/>
        </w:rPr>
        <w:t xml:space="preserve">30 </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 xml:space="preserve">年 </w:t>
      </w:r>
      <w:r>
        <w:rPr>
          <w:rFonts w:hint="eastAsia" w:ascii="宋体" w:hAnsi="宋体" w:cs="宋体"/>
          <w:sz w:val="24"/>
          <w:highlight w:val="none"/>
          <w:u w:val="single"/>
          <w:lang w:val="en-US" w:eastAsia="zh-CN"/>
        </w:rPr>
        <w:t xml:space="preserve">6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7</w:t>
      </w:r>
      <w:r>
        <w:rPr>
          <w:rFonts w:hint="eastAsia" w:ascii="宋体" w:hAnsi="宋体" w:eastAsia="宋体" w:cs="宋体"/>
          <w:sz w:val="24"/>
          <w:highlight w:val="none"/>
          <w:u w:val="single"/>
        </w:rPr>
        <w:t xml:space="preserve"> 日</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 xml:space="preserve"> 点</w:t>
      </w:r>
      <w:r>
        <w:rPr>
          <w:rFonts w:hint="eastAsia" w:ascii="宋体" w:hAnsi="宋体" w:cs="宋体"/>
          <w:sz w:val="24"/>
          <w:highlight w:val="none"/>
          <w:u w:val="single"/>
          <w:lang w:val="en-US" w:eastAsia="zh-CN"/>
        </w:rPr>
        <w:t xml:space="preserve"> 30</w:t>
      </w:r>
      <w:r>
        <w:rPr>
          <w:rFonts w:hint="eastAsia" w:ascii="宋体" w:hAnsi="宋体" w:eastAsia="宋体" w:cs="宋体"/>
          <w:sz w:val="24"/>
          <w:highlight w:val="none"/>
          <w:u w:val="single"/>
        </w:rPr>
        <w:t xml:space="preserve"> 分</w:t>
      </w:r>
      <w:r>
        <w:rPr>
          <w:rFonts w:hint="eastAsia" w:ascii="宋体" w:hAnsi="宋体" w:eastAsia="宋体" w:cs="宋体"/>
          <w:bCs/>
          <w:sz w:val="24"/>
          <w:highlight w:val="none"/>
          <w:u w:val="single"/>
        </w:rPr>
        <w:t xml:space="preserve">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pPr>
        <w:spacing w:line="360" w:lineRule="auto"/>
        <w:rPr>
          <w:rFonts w:hint="eastAsia" w:ascii="宋体" w:hAnsi="宋体" w:eastAsia="宋体" w:cs="宋体"/>
          <w:sz w:val="24"/>
        </w:rPr>
      </w:pPr>
      <w:r>
        <w:rPr>
          <w:rFonts w:hint="eastAsia" w:ascii="宋体" w:hAnsi="宋体" w:eastAsia="宋体" w:cs="宋体"/>
          <w:sz w:val="24"/>
        </w:rPr>
        <w:t xml:space="preserve">    名    称：</w:t>
      </w:r>
      <w:r>
        <w:rPr>
          <w:rFonts w:hint="eastAsia" w:ascii="宋体" w:hAnsi="宋体" w:cs="宋体"/>
          <w:color w:val="auto"/>
          <w:sz w:val="24"/>
          <w:highlight w:val="none"/>
          <w:lang w:val="en-US" w:eastAsia="zh-CN"/>
        </w:rPr>
        <w:t>桐庐县教育后勤服务中心</w:t>
      </w:r>
    </w:p>
    <w:p>
      <w:pPr>
        <w:spacing w:line="360" w:lineRule="auto"/>
        <w:rPr>
          <w:rFonts w:hint="eastAsia" w:ascii="宋体" w:hAnsi="宋体" w:eastAsia="宋体" w:cs="宋体"/>
          <w:sz w:val="24"/>
        </w:rPr>
      </w:pPr>
      <w:r>
        <w:rPr>
          <w:rFonts w:hint="eastAsia" w:ascii="宋体" w:hAnsi="宋体" w:eastAsia="宋体" w:cs="宋体"/>
          <w:sz w:val="24"/>
        </w:rPr>
        <w:t xml:space="preserve">    地    址：桐庐县城南街道琴溪路1392号    </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eastAsia="zh-CN"/>
        </w:rPr>
        <w:t>王群英</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13968165302</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cs="宋体"/>
          <w:sz w:val="24"/>
          <w:lang w:eastAsia="zh-CN"/>
        </w:rPr>
        <w:t>王建飞</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质疑联系方式：0571-</w:t>
      </w:r>
      <w:r>
        <w:rPr>
          <w:rFonts w:hint="eastAsia" w:ascii="宋体" w:hAnsi="宋体" w:cs="宋体"/>
          <w:sz w:val="24"/>
          <w:lang w:val="en-US" w:eastAsia="zh-CN"/>
        </w:rPr>
        <w:t>56981805</w:t>
      </w:r>
    </w:p>
    <w:p>
      <w:pPr>
        <w:spacing w:line="360" w:lineRule="auto"/>
        <w:rPr>
          <w:rFonts w:hint="eastAsia" w:ascii="宋体" w:hAnsi="宋体" w:eastAsia="宋体" w:cs="宋体"/>
          <w:sz w:val="24"/>
        </w:rPr>
      </w:pPr>
      <w:r>
        <w:rPr>
          <w:rFonts w:hint="eastAsia" w:ascii="宋体" w:hAnsi="宋体" w:eastAsia="宋体" w:cs="宋体"/>
          <w:sz w:val="24"/>
        </w:rPr>
        <w:t xml:space="preserve">   </w:t>
      </w:r>
      <w:bookmarkStart w:id="401" w:name="_GoBack"/>
      <w:bookmarkEnd w:id="40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名    称：杭州智诚工程管理有限公司</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地    址：桐庐县迎春南路39号建业大厦21楼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eastAsia="zh-CN"/>
        </w:rPr>
        <w:t>陈泽安</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13868082573</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sz w:val="24"/>
          <w:lang w:eastAsia="zh-CN"/>
        </w:rPr>
        <w:t>王诗琦</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质疑联系方式：0571-64219946</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pPr>
        <w:spacing w:line="360" w:lineRule="auto"/>
        <w:rPr>
          <w:rFonts w:hint="eastAsia" w:ascii="宋体" w:hAnsi="宋体" w:eastAsia="宋体" w:cs="宋体"/>
          <w:sz w:val="24"/>
        </w:rPr>
      </w:pPr>
      <w:r>
        <w:rPr>
          <w:rFonts w:hint="eastAsia" w:ascii="宋体" w:hAnsi="宋体" w:eastAsia="宋体" w:cs="宋体"/>
          <w:sz w:val="24"/>
        </w:rPr>
        <w:t xml:space="preserve">    名    称：桐庐县财政局政府采购监管科</w:t>
      </w:r>
    </w:p>
    <w:p>
      <w:pPr>
        <w:spacing w:line="360" w:lineRule="auto"/>
        <w:rPr>
          <w:rFonts w:hint="eastAsia" w:ascii="宋体" w:hAnsi="宋体" w:eastAsia="宋体" w:cs="宋体"/>
          <w:sz w:val="24"/>
        </w:rPr>
      </w:pPr>
      <w:r>
        <w:rPr>
          <w:rFonts w:hint="eastAsia" w:ascii="宋体" w:hAnsi="宋体" w:eastAsia="宋体" w:cs="宋体"/>
          <w:sz w:val="24"/>
        </w:rPr>
        <w:t xml:space="preserve">    地    址：桐庐县春江路688号</w:t>
      </w:r>
    </w:p>
    <w:p>
      <w:pPr>
        <w:spacing w:line="360" w:lineRule="auto"/>
        <w:rPr>
          <w:rFonts w:hint="eastAsia" w:ascii="宋体" w:hAnsi="宋体" w:eastAsia="宋体" w:cs="宋体"/>
          <w:sz w:val="24"/>
        </w:rPr>
      </w:pPr>
      <w:r>
        <w:rPr>
          <w:rFonts w:hint="eastAsia" w:ascii="宋体" w:hAnsi="宋体" w:eastAsia="宋体" w:cs="宋体"/>
          <w:sz w:val="24"/>
        </w:rPr>
        <w:t xml:space="preserve">    联系人 ：方翔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监督投诉电话：0571-58507058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投标人须知</w:t>
      </w:r>
      <w:bookmarkEnd w:id="7"/>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9450"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6"/>
        <w:gridCol w:w="1843"/>
        <w:gridCol w:w="6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73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0"/>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highlight w:val="yellow"/>
              </w:rPr>
            </w:pPr>
            <w:r>
              <w:rPr>
                <w:rFonts w:hint="eastAsia" w:ascii="宋体" w:hAnsi="宋体" w:eastAsia="宋体" w:cs="宋体"/>
                <w:b/>
                <w:sz w:val="24"/>
                <w:highlight w:val="none"/>
              </w:rPr>
              <w:t>方案讲解演示</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1872786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cs="宋体"/>
                <w:sz w:val="24"/>
                <w:u w:val="single"/>
                <w:lang w:val="en-US" w:eastAsia="zh-CN"/>
              </w:rPr>
              <w:t>六类非屏蔽电缆（室内）、室内单模光缆、室外单模光缆、广播控制主机、400万全彩枪式网络摄像机、核心交换机、8口光盒、16口光盒</w:t>
            </w:r>
            <w:r>
              <w:rPr>
                <w:rFonts w:hint="eastAsia" w:ascii="宋体" w:hAnsi="宋体" w:eastAsia="宋体" w:cs="宋体"/>
                <w:sz w:val="24"/>
              </w:rPr>
              <w:t>。</w:t>
            </w:r>
          </w:p>
          <w:p>
            <w:pPr>
              <w:spacing w:line="360" w:lineRule="auto"/>
              <w:rPr>
                <w:rFonts w:hint="eastAsia" w:ascii="宋体" w:hAnsi="宋体" w:eastAsia="宋体" w:cs="宋体"/>
                <w:sz w:val="24"/>
              </w:rPr>
            </w:pPr>
            <w:sdt>
              <w:sdtPr>
                <w:rPr>
                  <w:rFonts w:hint="eastAsia" w:ascii="宋体" w:hAnsi="宋体" w:eastAsia="宋体" w:cs="宋体"/>
                  <w:kern w:val="0"/>
                  <w:sz w:val="24"/>
                </w:rPr>
                <w:id w:val="47488555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cs="宋体"/>
                <w:kern w:val="0"/>
                <w:sz w:val="24"/>
                <w:lang w:val="en-US" w:eastAsia="zh-CN"/>
              </w:rPr>
              <w:t>1</w:t>
            </w:r>
            <w:r>
              <w:rPr>
                <w:rFonts w:hint="eastAsia" w:ascii="宋体" w:hAnsi="宋体" w:eastAsia="宋体" w:cs="宋体"/>
                <w:kern w:val="0"/>
                <w:sz w:val="24"/>
              </w:rPr>
              <w:t>：</w:t>
            </w:r>
            <w:r>
              <w:rPr>
                <w:rFonts w:hint="eastAsia" w:ascii="宋体" w:hAnsi="宋体" w:cs="宋体"/>
                <w:kern w:val="0"/>
                <w:sz w:val="24"/>
                <w:u w:val="single"/>
                <w:lang w:eastAsia="zh-CN"/>
              </w:rPr>
              <w:t>桐庐县学校校园弱电更新改造设备采购项目</w:t>
            </w:r>
            <w:r>
              <w:rPr>
                <w:rFonts w:hint="eastAsia" w:ascii="宋体" w:hAnsi="宋体" w:eastAsia="宋体" w:cs="宋体"/>
                <w:kern w:val="0"/>
                <w:sz w:val="24"/>
              </w:rPr>
              <w:t>，属于</w:t>
            </w:r>
            <w:r>
              <w:rPr>
                <w:rFonts w:hint="eastAsia" w:ascii="宋体" w:hAnsi="宋体" w:cs="宋体"/>
                <w:kern w:val="0"/>
                <w:sz w:val="24"/>
                <w:u w:val="single"/>
                <w:lang w:eastAsia="zh-CN"/>
              </w:rPr>
              <w:t>制造业</w:t>
            </w:r>
            <w:r>
              <w:rPr>
                <w:rFonts w:hint="eastAsia" w:ascii="宋体" w:hAnsi="宋体" w:eastAsia="宋体" w:cs="宋体"/>
                <w:kern w:val="0"/>
                <w:sz w:val="24"/>
              </w:rPr>
              <w:t>；</w:t>
            </w:r>
          </w:p>
          <w:p>
            <w:pPr>
              <w:snapToGrid w:val="0"/>
              <w:spacing w:line="360" w:lineRule="auto"/>
              <w:jc w:val="both"/>
              <w:rPr>
                <w:rFonts w:hint="eastAsia" w:ascii="宋体" w:hAnsi="宋体" w:eastAsia="宋体" w:cs="宋体"/>
                <w:lang w:val="en-US"/>
              </w:rPr>
            </w:pPr>
            <w:r>
              <w:rPr>
                <w:rFonts w:hint="eastAsia" w:ascii="宋体" w:hAnsi="宋体" w:cs="宋体"/>
                <w:kern w:val="0"/>
                <w:sz w:val="24"/>
                <w:lang w:val="en-US" w:eastAsia="zh-CN"/>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hint="eastAsia" w:ascii="宋体" w:hAnsi="宋体" w:eastAsia="宋体" w:cs="宋体"/>
              </w:rPr>
            </w:pP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731"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桐庐县迎春南路39号建业大厦21楼</w:t>
            </w:r>
            <w:r>
              <w:rPr>
                <w:rFonts w:hint="eastAsia" w:ascii="宋体" w:hAnsi="宋体" w:eastAsia="宋体" w:cs="宋体"/>
                <w:kern w:val="28"/>
                <w:sz w:val="24"/>
                <w:szCs w:val="24"/>
              </w:rPr>
              <w:t>；备份投标文件签收人员</w:t>
            </w:r>
            <w:r>
              <w:rPr>
                <w:rFonts w:hint="eastAsia" w:hAnsi="宋体" w:cs="宋体"/>
                <w:kern w:val="28"/>
                <w:sz w:val="24"/>
                <w:szCs w:val="24"/>
                <w:lang w:eastAsia="zh-CN"/>
              </w:rPr>
              <w:t>：</w:t>
            </w:r>
            <w:r>
              <w:rPr>
                <w:rFonts w:hint="eastAsia" w:hAnsi="宋体" w:cs="宋体"/>
                <w:kern w:val="28"/>
                <w:sz w:val="24"/>
                <w:szCs w:val="24"/>
                <w:u w:val="single"/>
                <w:lang w:eastAsia="zh-CN"/>
              </w:rPr>
              <w:t>陈泽安</w:t>
            </w:r>
            <w:r>
              <w:rPr>
                <w:rFonts w:hint="eastAsia" w:hAnsi="宋体" w:cs="宋体"/>
                <w:kern w:val="28"/>
                <w:sz w:val="24"/>
                <w:szCs w:val="24"/>
                <w:u w:val="none"/>
                <w:lang w:eastAsia="zh-CN"/>
              </w:rPr>
              <w:t>，</w:t>
            </w:r>
            <w:r>
              <w:rPr>
                <w:rFonts w:hint="eastAsia" w:ascii="宋体" w:hAnsi="宋体" w:eastAsia="宋体" w:cs="宋体"/>
                <w:kern w:val="28"/>
                <w:sz w:val="24"/>
                <w:szCs w:val="24"/>
              </w:rPr>
              <w:t>联系电话：</w:t>
            </w:r>
            <w:r>
              <w:rPr>
                <w:rFonts w:hint="eastAsia" w:ascii="宋体" w:hAnsi="宋体" w:eastAsia="宋体" w:cs="宋体"/>
                <w:sz w:val="24"/>
                <w:u w:val="single"/>
                <w:lang w:val="en-US" w:eastAsia="zh-CN"/>
              </w:rPr>
              <w:t>13868082573</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bCs/>
                <w:sz w:val="24"/>
                <w:lang w:eastAsia="zh-CN"/>
              </w:rPr>
              <w:t>代理服务费</w:t>
            </w:r>
          </w:p>
        </w:tc>
        <w:tc>
          <w:tcPr>
            <w:tcW w:w="6731"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rPr>
                <w:rFonts w:hint="eastAsia" w:ascii="宋体" w:hAnsi="宋体" w:eastAsia="宋体" w:cs="宋体"/>
                <w:bCs/>
                <w:sz w:val="24"/>
              </w:rPr>
            </w:pPr>
            <w:r>
              <w:rPr>
                <w:rFonts w:hint="eastAsia" w:ascii="宋体" w:hAnsi="宋体" w:eastAsia="宋体" w:cs="宋体"/>
                <w:bCs/>
                <w:sz w:val="24"/>
              </w:rPr>
              <w:t>本次采购的招标代理服务费按国家计委计价格［2002］1980号文《招标代理服务收费管理暂行办法》货物招标费率标准的30%收取；由中标（成交）供应商在领取中标通知书前一次性支付给代理公司</w:t>
            </w:r>
            <w:r>
              <w:rPr>
                <w:rFonts w:hint="eastAsia" w:ascii="宋体" w:hAnsi="宋体" w:eastAsia="宋体" w:cs="宋体"/>
                <w:bCs/>
                <w:sz w:val="24"/>
                <w:lang w:eastAsia="zh-CN"/>
              </w:rPr>
              <w:t>，费用应含在投标报价中（不得单独列项），供应商在投标报价中考虑上述费用</w:t>
            </w:r>
            <w:r>
              <w:rPr>
                <w:rFonts w:hint="eastAsia" w:ascii="宋体" w:hAnsi="宋体" w:eastAsia="宋体" w:cs="宋体"/>
                <w:bCs/>
                <w:sz w:val="24"/>
              </w:rPr>
              <w:t>。</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收款单位名称：杭州智诚工程管理有限公司</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帐号：201000216190648</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开户行：浙江桐庐农村商业银行开源支行</w:t>
            </w:r>
          </w:p>
          <w:p>
            <w:pPr>
              <w:spacing w:line="360" w:lineRule="auto"/>
              <w:rPr>
                <w:rFonts w:hint="eastAsia" w:ascii="宋体" w:hAnsi="宋体" w:eastAsia="宋体" w:cs="宋体"/>
                <w:snapToGrid w:val="0"/>
                <w:kern w:val="28"/>
                <w:sz w:val="24"/>
              </w:rPr>
            </w:pPr>
            <w:r>
              <w:rPr>
                <w:rFonts w:hint="eastAsia" w:ascii="宋体" w:hAnsi="宋体" w:eastAsia="宋体" w:cs="宋体"/>
                <w:bCs/>
                <w:sz w:val="24"/>
              </w:rPr>
              <w:t>（税号）统一社会信用代码：91330122MA27XKJB28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bCs w:val="0"/>
                <w:sz w:val="24"/>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Cs/>
                <w:sz w:val="24"/>
                <w:lang w:eastAsia="zh-CN"/>
              </w:rPr>
            </w:pPr>
            <w:r>
              <w:rPr>
                <w:rFonts w:hint="eastAsia" w:ascii="宋体" w:hAnsi="宋体" w:cs="宋体"/>
                <w:bCs/>
                <w:sz w:val="24"/>
                <w:lang w:eastAsia="zh-CN"/>
              </w:rPr>
              <w:t>无</w:t>
            </w:r>
          </w:p>
        </w:tc>
      </w:tr>
    </w:tbl>
    <w:p>
      <w:pPr>
        <w:snapToGrid w:val="0"/>
        <w:spacing w:line="360" w:lineRule="auto"/>
        <w:jc w:val="center"/>
        <w:rPr>
          <w:rFonts w:hint="eastAsia" w:ascii="宋体" w:hAnsi="宋体" w:eastAsia="宋体" w:cs="宋体"/>
          <w:b/>
          <w:sz w:val="32"/>
          <w:szCs w:val="20"/>
        </w:rPr>
      </w:pPr>
    </w:p>
    <w:bookmarkEnd w:id="8"/>
    <w:p>
      <w:pPr>
        <w:adjustRightInd/>
        <w:spacing w:line="360" w:lineRule="auto"/>
        <w:ind w:firstLine="3845" w:firstLineChars="1197"/>
        <w:outlineLvl w:val="0"/>
        <w:rPr>
          <w:rFonts w:hint="eastAsia" w:ascii="宋体" w:hAnsi="宋体" w:eastAsia="宋体" w:cs="宋体"/>
          <w:b/>
          <w:sz w:val="32"/>
          <w:szCs w:val="20"/>
        </w:rPr>
      </w:pPr>
      <w:bookmarkStart w:id="9" w:name="_Toc164416483"/>
      <w:bookmarkStart w:id="10" w:name="第三部分"/>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lang w:val="en-US" w:eastAsia="zh-CN"/>
        </w:rPr>
        <w:t>2</w:t>
      </w:r>
      <w:r>
        <w:rPr>
          <w:rFonts w:hint="eastAsia" w:ascii="宋体" w:hAnsi="宋体" w:eastAsia="宋体" w:cs="宋体"/>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lang w:val="en-US" w:eastAsia="zh-CN"/>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pPr>
        <w:pStyle w:val="36"/>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pPr>
        <w:pStyle w:val="36"/>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供应商提交的质疑函需一式三份。供应商为自然人的，应</w:t>
      </w:r>
      <w:r>
        <w:rPr>
          <w:rFonts w:hint="eastAsia" w:ascii="宋体" w:hAnsi="宋体" w:eastAsia="宋体" w:cs="宋体"/>
        </w:rPr>
        <w:t>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29"/>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29"/>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129"/>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pacing w:line="360" w:lineRule="auto"/>
        <w:ind w:firstLine="960" w:firstLineChars="400"/>
        <w:rPr>
          <w:rFonts w:hint="eastAsia" w:ascii="宋体" w:hAnsi="宋体" w:eastAsia="宋体" w:cs="宋体"/>
          <w:sz w:val="24"/>
          <w:lang w:val="zh-CN" w:eastAsia="zh-CN"/>
        </w:rPr>
      </w:pPr>
      <w:r>
        <w:rPr>
          <w:rFonts w:hint="eastAsia" w:ascii="宋体" w:hAnsi="宋体" w:eastAsia="宋体" w:cs="宋体"/>
          <w:sz w:val="24"/>
          <w:lang w:val="zh-CN" w:eastAsia="zh-CN"/>
        </w:rPr>
        <w:t>11.1.2联合协议（如果有)</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本项目的特定资格要求。</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评标标准相应的商务技术资料；</w:t>
      </w:r>
    </w:p>
    <w:p>
      <w:pPr>
        <w:snapToGrid w:val="0"/>
        <w:spacing w:line="360" w:lineRule="auto"/>
        <w:ind w:firstLine="960" w:firstLineChars="4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sz w:val="24"/>
          <w:lang w:eastAsia="zh-CN"/>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29"/>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kern w:val="2"/>
          <w:sz w:val="24"/>
          <w:szCs w:val="20"/>
          <w:lang w:val="en-US" w:eastAsia="zh-CN" w:bidi="ar-SA"/>
        </w:rPr>
        <w:t>投标文件未按规定的格式编制的，投标无效；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29"/>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2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29"/>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6"/>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36"/>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8"/>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29"/>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29"/>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left="0" w:leftChars="0" w:firstLine="0" w:firstLineChars="0"/>
        <w:rPr>
          <w:rFonts w:hint="eastAsia" w:ascii="宋体" w:hAnsi="宋体" w:eastAsia="宋体" w:cs="宋体"/>
          <w:b/>
          <w:sz w:val="32"/>
        </w:rPr>
      </w:pPr>
    </w:p>
    <w:p>
      <w:pPr>
        <w:pStyle w:val="12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pStyle w:val="556"/>
        <w:spacing w:before="0" w:line="360" w:lineRule="auto"/>
        <w:ind w:left="0" w:leftChars="0"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pPr>
        <w:pStyle w:val="129"/>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snapToGrid w:val="0"/>
        <w:spacing w:line="360" w:lineRule="auto"/>
        <w:jc w:val="center"/>
        <w:outlineLvl w:val="0"/>
        <w:rPr>
          <w:rFonts w:hint="eastAsia" w:ascii="宋体" w:hAnsi="宋体" w:eastAsia="宋体" w:cs="宋体"/>
          <w:b/>
          <w:sz w:val="36"/>
          <w:szCs w:val="36"/>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1"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29"/>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pPr>
        <w:tabs>
          <w:tab w:val="left" w:pos="0"/>
        </w:tabs>
        <w:spacing w:line="360" w:lineRule="auto"/>
        <w:ind w:firstLine="482"/>
        <w:rPr>
          <w:rFonts w:hint="eastAsia" w:ascii="宋体" w:hAnsi="宋体" w:eastAsia="宋体" w:cs="宋体"/>
          <w:b/>
          <w:color w:val="auto"/>
          <w:sz w:val="24"/>
        </w:rPr>
      </w:pPr>
      <w:r>
        <w:rPr>
          <w:rFonts w:hint="eastAsia" w:ascii="宋体" w:hAnsi="宋体" w:eastAsia="宋体" w:cs="宋体"/>
          <w:color w:val="auto"/>
          <w:kern w:val="0"/>
          <w:sz w:val="24"/>
        </w:rPr>
        <w:t>要求中标供应商提交履约保证金，</w:t>
      </w:r>
      <w:r>
        <w:rPr>
          <w:rFonts w:hint="eastAsia" w:ascii="宋体" w:hAnsi="宋体" w:eastAsia="宋体" w:cs="宋体"/>
          <w:color w:val="auto"/>
          <w:sz w:val="24"/>
        </w:rPr>
        <w:t>数额</w:t>
      </w:r>
      <w:r>
        <w:rPr>
          <w:rFonts w:hint="eastAsia" w:ascii="宋体" w:hAnsi="宋体" w:cs="宋体"/>
          <w:color w:val="auto"/>
          <w:sz w:val="24"/>
          <w:lang w:eastAsia="zh-CN"/>
        </w:rPr>
        <w:t>为</w:t>
      </w:r>
      <w:r>
        <w:rPr>
          <w:rFonts w:hint="eastAsia" w:ascii="宋体" w:hAnsi="宋体" w:eastAsia="宋体" w:cs="宋体"/>
          <w:color w:val="auto"/>
          <w:sz w:val="24"/>
        </w:rPr>
        <w:t>政府采购合同金额的</w:t>
      </w:r>
      <w:r>
        <w:rPr>
          <w:rFonts w:hint="eastAsia" w:ascii="宋体" w:hAnsi="宋体" w:cs="宋体"/>
          <w:color w:val="auto"/>
          <w:sz w:val="24"/>
          <w:lang w:val="en-US" w:eastAsia="zh-CN"/>
        </w:rPr>
        <w:t>0.1</w:t>
      </w:r>
      <w:r>
        <w:rPr>
          <w:rFonts w:hint="eastAsia" w:ascii="宋体" w:hAnsi="宋体" w:eastAsia="宋体" w:cs="宋体"/>
          <w:color w:val="auto"/>
          <w:sz w:val="24"/>
        </w:rPr>
        <w:t>%。</w:t>
      </w:r>
      <w:r>
        <w:rPr>
          <w:rFonts w:hint="eastAsia" w:ascii="宋体" w:hAnsi="宋体" w:eastAsia="宋体" w:cs="宋体"/>
          <w:color w:val="auto"/>
          <w:kern w:val="0"/>
          <w:sz w:val="24"/>
        </w:rPr>
        <w:t>供应商应当以支票、汇票、本票或者金融机构、担保机构出具的保函等非现金形式提交</w:t>
      </w:r>
      <w:r>
        <w:rPr>
          <w:rFonts w:hint="eastAsia" w:ascii="宋体" w:hAnsi="宋体" w:eastAsia="宋体" w:cs="宋体"/>
          <w:color w:val="auto"/>
          <w:sz w:val="24"/>
        </w:rPr>
        <w:t>。鼓励和支持供应商以银行、保险公司出具的保函形式提供履约保证金。</w:t>
      </w:r>
    </w:p>
    <w:p>
      <w:pPr>
        <w:snapToGrid w:val="0"/>
        <w:spacing w:line="360" w:lineRule="auto"/>
        <w:rPr>
          <w:rFonts w:hint="eastAsia" w:ascii="宋体" w:hAnsi="宋体" w:eastAsia="宋体" w:cs="宋体"/>
          <w:b/>
          <w:sz w:val="32"/>
        </w:rPr>
      </w:pPr>
    </w:p>
    <w:p>
      <w:pPr>
        <w:snapToGrid w:val="0"/>
        <w:spacing w:line="360" w:lineRule="auto"/>
        <w:jc w:val="center"/>
        <w:rPr>
          <w:rFonts w:hint="eastAsia" w:ascii="宋体" w:hAnsi="宋体" w:eastAsia="宋体" w:cs="宋体"/>
          <w:b/>
          <w:bCs w:val="0"/>
          <w:sz w:val="24"/>
        </w:rPr>
      </w:pPr>
      <w:r>
        <w:rPr>
          <w:rFonts w:hint="eastAsia" w:ascii="宋体" w:hAnsi="宋体" w:eastAsia="宋体" w:cs="宋体"/>
          <w:b/>
          <w:bCs w:val="0"/>
          <w:sz w:val="32"/>
        </w:rPr>
        <w:t>八、电子交易活动的中止</w:t>
      </w:r>
    </w:p>
    <w:p>
      <w:pPr>
        <w:pStyle w:val="129"/>
        <w:snapToGrid w:val="0"/>
        <w:spacing w:before="0"/>
        <w:ind w:firstLine="0" w:firstLineChars="0"/>
        <w:rPr>
          <w:rFonts w:hint="eastAsia" w:ascii="宋体" w:hAnsi="宋体" w:eastAsia="宋体" w:cs="宋体"/>
        </w:rPr>
      </w:pPr>
      <w:r>
        <w:rPr>
          <w:rFonts w:hint="eastAsia" w:ascii="宋体" w:hAnsi="宋体" w:eastAsia="宋体" w:cs="宋体"/>
          <w:b/>
          <w:bCs w:val="0"/>
        </w:rPr>
        <w:t>2</w:t>
      </w:r>
      <w:r>
        <w:rPr>
          <w:rFonts w:hint="eastAsia" w:ascii="宋体" w:hAnsi="宋体" w:eastAsia="宋体" w:cs="宋体"/>
          <w:b/>
          <w:bCs w:val="0"/>
          <w:szCs w:val="24"/>
        </w:rPr>
        <w:t>7. 电子交易</w:t>
      </w:r>
      <w:r>
        <w:rPr>
          <w:rFonts w:hint="eastAsia" w:ascii="宋体" w:hAnsi="宋体" w:eastAsia="宋体" w:cs="宋体"/>
          <w:b/>
          <w:szCs w:val="24"/>
        </w:rPr>
        <w:t>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129"/>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129"/>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129"/>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129"/>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129"/>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pPr>
        <w:pStyle w:val="28"/>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宋体" w:hAnsi="宋体" w:eastAsia="宋体" w:cs="宋体"/>
          <w:kern w:val="0"/>
          <w:sz w:val="24"/>
        </w:rPr>
        <w:sectPr>
          <w:footerReference r:id="rId6" w:type="firs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2" w:name="_Hlt68057669"/>
      <w:bookmarkEnd w:id="12"/>
      <w:bookmarkStart w:id="13" w:name="_Hlt74714665"/>
      <w:bookmarkEnd w:id="13"/>
      <w:bookmarkStart w:id="14" w:name="_Hlt74707468"/>
      <w:bookmarkEnd w:id="14"/>
      <w:bookmarkStart w:id="15" w:name="_Hlt75236290"/>
      <w:bookmarkEnd w:id="15"/>
      <w:bookmarkStart w:id="16" w:name="_Hlt75236011"/>
      <w:bookmarkEnd w:id="16"/>
      <w:bookmarkStart w:id="17" w:name="_Hlt74730295"/>
      <w:bookmarkEnd w:id="17"/>
      <w:bookmarkStart w:id="18" w:name="_Hlt74729768"/>
      <w:bookmarkEnd w:id="18"/>
      <w:bookmarkStart w:id="19" w:name="_Hlt75236101"/>
      <w:bookmarkEnd w:id="19"/>
      <w:bookmarkStart w:id="20" w:name="_Hlt68403820"/>
      <w:bookmarkEnd w:id="20"/>
      <w:bookmarkStart w:id="21" w:name="_Hlt68072998"/>
      <w:bookmarkEnd w:id="21"/>
      <w:bookmarkStart w:id="22" w:name="_Hlt68072990"/>
      <w:bookmarkEnd w:id="22"/>
      <w:bookmarkStart w:id="23" w:name="_Hlt68073093"/>
      <w:bookmarkEnd w:id="23"/>
    </w:p>
    <w:bookmarkEnd w:id="9"/>
    <w:bookmarkEnd w:id="10"/>
    <w:p>
      <w:pPr>
        <w:spacing w:line="360" w:lineRule="auto"/>
        <w:jc w:val="center"/>
        <w:outlineLvl w:val="0"/>
        <w:rPr>
          <w:rFonts w:hint="eastAsia" w:ascii="宋体" w:hAnsi="宋体" w:eastAsia="宋体" w:cs="宋体"/>
          <w:b/>
          <w:sz w:val="36"/>
          <w:szCs w:val="36"/>
        </w:rPr>
      </w:pPr>
      <w:bookmarkStart w:id="24" w:name="第四部分"/>
      <w:r>
        <w:rPr>
          <w:rFonts w:hint="eastAsia" w:ascii="宋体" w:hAnsi="宋体" w:eastAsia="宋体" w:cs="宋体"/>
          <w:b/>
          <w:sz w:val="36"/>
          <w:szCs w:val="36"/>
        </w:rPr>
        <w:t>第三部分   采购需求</w:t>
      </w:r>
    </w:p>
    <w:p>
      <w:pPr>
        <w:snapToGrid w:val="0"/>
        <w:spacing w:line="360" w:lineRule="auto"/>
        <w:outlineLvl w:val="0"/>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一、总体要求</w:t>
      </w:r>
    </w:p>
    <w:p>
      <w:pPr>
        <w:snapToGrid w:val="0"/>
        <w:spacing w:line="360" w:lineRule="auto"/>
        <w:outlineLvl w:val="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1.1、技术要求</w:t>
      </w:r>
    </w:p>
    <w:p>
      <w:pPr>
        <w:pStyle w:val="396"/>
        <w:spacing w:line="360" w:lineRule="auto"/>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本项目属于交钥匙工程，所有软、硬件(如线缆、软件、硬件、模块等，包括未列出而系统实施又必需的软件、硬件)需配齐、安装，以构成一套完整实用系统。如有任何遗漏，由中标人免费补齐，因此需要各投标人事先对场地进行现场工勘，根据用户实际需求和实际工勘结果，在现有方案基础上，完善设计，本方案要求的设备和数量为基础要求，各投标单位不得减少数量和项目，但可以在此基础上增加投标方认为需要增加的设施设备。请各投标单位在投标报价时需慎重考虑。</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（2）投标总价应包括运抵采购单位的运输费、安装调试费、税金、保险、备品备件、附件等一切费用(包括不可预见费用)。</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（3）所投产品及主要部件均须为在售主流产品，并提供备件、附件和耗材的供应。</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（5）验收条件：试运行一个月，各项功能和性能符合采购要求和相关建设标准，然后组织验收。</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所投设备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含序列号和序列号照片）、主要部件明细表（包括品牌、制造厂名和主要技术参数）等，任何含糊不清的表述对评标结果的影响将是投标人的责任。</w:t>
      </w:r>
    </w:p>
    <w:p>
      <w:pPr>
        <w:pStyle w:val="396"/>
        <w:spacing w:line="360" w:lineRule="auto"/>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（7）监控系统的安装要求</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1.所有通道按实际命名，格式如：大门口桐庐**学校。</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2.摄像机的ip使用192.168.0.0地址段（不占用学校教育网ip地址）</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3.硬盘录像机网络设置使用“多地址模式”。LAN1使用教育网地址（根据学校的IP地址规划，使用学校统一分配的教育网IP地址）。LAN2使用192.168.0.0地址。</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4.所有设备的账户、密码按学校要求设置，完工后将IP、账户、密码汇总整理后移交给学校指定人员。（不得外泄上述信息）</w:t>
      </w:r>
    </w:p>
    <w:p>
      <w:pPr>
        <w:pStyle w:val="396"/>
        <w:spacing w:line="360" w:lineRule="auto"/>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（8）网络施工要符合《浙江省中小学校园网络中心装备指导意见》等要求。</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1．所有设备和线路都必须贴标签，明确去向和作用。应使用不宜脱落和磨损的标识（如图1、图2）。</w:t>
      </w:r>
    </w:p>
    <w:p>
      <w:pPr>
        <w:pStyle w:val="396"/>
        <w:spacing w:line="360" w:lineRule="auto"/>
        <w:jc w:val="center"/>
        <w:rPr>
          <w:rFonts w:hint="eastAsia" w:asciiTheme="minorEastAsia" w:hAnsiTheme="minorEastAsia" w:eastAsiaTheme="minorEastAsia"/>
          <w:b/>
          <w:sz w:val="28"/>
          <w:szCs w:val="28"/>
          <w:lang w:eastAsia="zh-CN"/>
        </w:rPr>
      </w:pPr>
      <w:r>
        <w:rPr>
          <w:rFonts w:ascii="宋体" w:hAnsi="宋体"/>
          <w:color w:val="000000"/>
          <w:sz w:val="24"/>
        </w:rPr>
        <w:drawing>
          <wp:inline distT="0" distB="0" distL="114300" distR="114300">
            <wp:extent cx="2680335" cy="2251710"/>
            <wp:effectExtent l="0" t="0" r="571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2680335" cy="225171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SA"/>
        </w:rPr>
        <w:t>图1：模块盒永久性机打标签样板</w:t>
      </w:r>
    </w:p>
    <w:p>
      <w:pPr>
        <w:snapToGrid w:val="0"/>
        <w:spacing w:line="360" w:lineRule="auto"/>
        <w:outlineLvl w:val="0"/>
        <w:rPr>
          <w:rFonts w:hint="eastAsia" w:asciiTheme="minorEastAsia" w:hAnsiTheme="minorEastAsia" w:eastAsiaTheme="minorEastAsia"/>
          <w:b/>
          <w:sz w:val="28"/>
          <w:szCs w:val="28"/>
          <w:lang w:eastAsia="zh-CN"/>
        </w:rPr>
      </w:pPr>
      <w:r>
        <w:rPr>
          <w:rFonts w:ascii="宋体" w:hAnsi="宋体"/>
          <w:color w:val="000000"/>
          <w:sz w:val="24"/>
        </w:rPr>
        <w:drawing>
          <wp:inline distT="0" distB="0" distL="114300" distR="114300">
            <wp:extent cx="5362575" cy="3364230"/>
            <wp:effectExtent l="0" t="0" r="952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5362575" cy="3364230"/>
                    </a:xfrm>
                    <a:prstGeom prst="rect">
                      <a:avLst/>
                    </a:prstGeom>
                    <a:noFill/>
                    <a:ln>
                      <a:noFill/>
                    </a:ln>
                  </pic:spPr>
                </pic:pic>
              </a:graphicData>
            </a:graphic>
          </wp:inline>
        </w:drawing>
      </w:r>
    </w:p>
    <w:p>
      <w:pPr>
        <w:pStyle w:val="396"/>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图2．配线架永久性机打标签，交换机端网线永久性机打标签样板</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2．交换机设备系统命名规范。为今后管理的方便，需要为各级互联设备统一命名。采用以下命名方法：A-B-YYYY-X</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A：表示设备所在学校的名称</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B：表示设备的厂商名称 </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YYYY：表示设备型号</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X：表示如果前三项相同的设备，用字母编号A、B、C……区别。</w:t>
      </w:r>
    </w:p>
    <w:p>
      <w:pPr>
        <w:snapToGrid w:val="0"/>
        <w:spacing w:line="360" w:lineRule="auto"/>
        <w:outlineLvl w:val="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1.2、服务与培训要求</w:t>
      </w:r>
    </w:p>
    <w:p>
      <w:pPr>
        <w:pStyle w:val="396"/>
        <w:spacing w:line="360" w:lineRule="auto"/>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（1）质量保证：</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①投标货物必须是符合国家技术规范和质量标准的合格产品，满足采购单位的使用需求，并具有可靠的售后服务体系，质量可靠、使用安全。</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②投标人保证其提供的货物中所有预装和为本项目安装的软件均为具有合法版权或使用权的正版软件且无质量瑕疵。</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③须写明各项辅助设备的品牌与规格；国家强制3C认证目录产品要有3C认证证明。</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④在质保期内，如遇软件产品升级、改版，应免费提供更新、升级服务。</w:t>
      </w:r>
    </w:p>
    <w:p>
      <w:pPr>
        <w:pStyle w:val="396"/>
        <w:spacing w:line="360" w:lineRule="auto"/>
        <w:ind w:left="0" w:leftChars="0"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（2）要求投标人提供的服务不得低于标准服务</w:t>
      </w:r>
      <w:r>
        <w:rPr>
          <w:rFonts w:hint="eastAsia" w:ascii="宋体" w:hAnsi="宋体" w:eastAsia="宋体" w:cs="宋体"/>
          <w:kern w:val="2"/>
          <w:sz w:val="24"/>
          <w:szCs w:val="24"/>
          <w:lang w:val="en-US" w:eastAsia="zh-CN" w:bidi="ar-SA"/>
        </w:rPr>
        <w:t>，即与投标设备制造厂商通过网站等对外公布的有效服务标准相一致（投标人不得另行制作网页）。在标准服务基础上，投标人还应达到以下标准：</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①投标货物制造厂商应具有完善的服务保障体系，供应商也应就投标货物的品质和服务建立完善的服务保障体系，对采购机构和采购单位负责。</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②投标人应明确说明此次投标的服务策略，提供此次投标货物的服务计划（售后服务内容、等级、相关服务指标、售后服务组织机构及人员安排情况及其联络信息）。</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③在质保期内供应商必须为最终用户提供技术服务热线，负责解答用户在设备使用中遇到的问题，并及时提出解决问题的建议和操作方法。</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④在投标货物质保期内，供应商应提供不低于5*8小时的现场质保和技术支持服务，对故障在2小时内响应，3小时以内解决问题；不能当场修复的，必须采取提供备品、备件或备机等措施，以保证采购单位的正常使用。如果逾期未作出响应，供应商应承担由于故障所造成的全部损失。 </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⑤质保期内所有因更换或修理设备或部件而导致设备停止运行的时间应从其质保期内扣除。</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⑥供应商在质保期内安装的任何零配件，必须是其投标设备制造厂商原产的或是经其认可的。</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⑦所有的替代零配件必须是新的未使用和未经修复的，除非最终用户提供书面许可，否则不可使用此范围外的其他（非新的）配件。</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⑧供应商必须为维修和技术支持所未能解决的问题和故障提供正式的升级方案。</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⑨在质保期内，供应商有责任解决所提供的投标设备和软件系统的任何问题，在质保期满后，当需要时，供应商仍须对因投标设备本身的固有缺陷和瑕疵承担相应责任。</w:t>
      </w:r>
    </w:p>
    <w:p>
      <w:pPr>
        <w:pStyle w:val="396"/>
        <w:spacing w:line="360" w:lineRule="auto"/>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（3）对设备服务要求的有效响应将被视为投标人对其所投标设备的服务承诺，如果中标，须将服务承诺列入合同的设备服务条款。</w:t>
      </w:r>
    </w:p>
    <w:p>
      <w:pPr>
        <w:pStyle w:val="396"/>
        <w:spacing w:line="360" w:lineRule="auto"/>
        <w:ind w:left="0" w:leftChars="0"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（4）投标人须保证所提供硬件产品包括相关附件为相应硬件厂家原装正品，软件产品为相关厂家正版软件，符合国家有关规定。</w:t>
      </w:r>
      <w:r>
        <w:rPr>
          <w:rFonts w:hint="eastAsia" w:ascii="宋体" w:hAnsi="宋体" w:eastAsia="宋体" w:cs="宋体"/>
          <w:kern w:val="2"/>
          <w:sz w:val="24"/>
          <w:szCs w:val="24"/>
          <w:lang w:val="en-US" w:eastAsia="zh-CN" w:bidi="ar-SA"/>
        </w:rPr>
        <w:t>投标人须保证所提供产品具有合法的版权或使用权，本项目采购的产品，如在本项目范围内使用过程中出现版权或使用权纠纷，应由中标人负责，采购人不承担责任。</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（5）培训要求</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要求中标人提供各设备培训，直到用户会使用、会维护保养为止。</w:t>
      </w:r>
    </w:p>
    <w:p>
      <w:pPr>
        <w:snapToGrid w:val="0"/>
        <w:spacing w:line="360" w:lineRule="auto"/>
        <w:outlineLvl w:val="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1.3、项目的工作内容及成果。</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文档的提交应包括以下内容：</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（1）项目实施前：设计方案、设计说明书、项目实施计划；</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（2）项目实施期间：项目实施工作单、故障诊断及排除记录、项目实施过程中衍生的其它相关资料；</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（3）项目实施后：系统试运行和自测报告、故障诊断与排除手册、工作总结报告；</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（4）培训期间：培训计划、用户使用手册、管理员使用手册；</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（5）竣工报告（电子稿和纸质稿）：（以下资料及其它必要的资料）</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①网络设备的ip地址、MAC地址、访问账号、密码及配置等数据。</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②设备序列号、原厂和供应商售后服务电话、原厂质保证明材料（复印件）</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③网络布线点位图和配线架表，含配线架编号、施工线序号、标签号、房间号信息。</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④系统图、拓扑图。</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⑤机房、设备间、接地、防雷等主要场地和设备照片（要求彩色打印）。</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⑥能反映施工工艺水平和规范性的其它照片。</w:t>
      </w:r>
    </w:p>
    <w:p>
      <w:pPr>
        <w:snapToGrid w:val="0"/>
        <w:spacing w:line="360" w:lineRule="auto"/>
        <w:outlineLvl w:val="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1.4、注意事项：</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（1）投标人及厂商必须保证所有投标产品均为中华人民共和国境内（不含港澳台地区）合法销售的产品，并保证所有投标参数真实可信，同时承担以非法产品或虚假参数应标所带来的一切法律风险。</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（2）项目中标后实施完成后，对产品进行功能及性能指标测试，如测试结果与投标参数不符，将做违约处理，并保留以诉诸相关法律进行处理的权利。</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b/>
          <w:bCs/>
          <w:kern w:val="2"/>
          <w:sz w:val="24"/>
          <w:szCs w:val="24"/>
          <w:lang w:val="en-US" w:eastAsia="zh-CN" w:bidi="ar-SA"/>
        </w:rPr>
        <w:t>本次投标所有产品要求提供≥3年原厂质保，≥3年特征库升级及软件版本更新服务，软件永久使用授权。其中网络布线系统提供≥15年原厂质保服务证明材料。</w:t>
      </w:r>
      <w:r>
        <w:rPr>
          <w:rFonts w:hint="eastAsia" w:ascii="宋体" w:hAnsi="宋体" w:eastAsia="宋体" w:cs="宋体"/>
          <w:kern w:val="2"/>
          <w:sz w:val="24"/>
          <w:szCs w:val="24"/>
          <w:lang w:val="en-US" w:eastAsia="zh-CN" w:bidi="ar-SA"/>
        </w:rPr>
        <w:t>供货时要求查验防伪标识和产品序列号。</w:t>
      </w:r>
    </w:p>
    <w:p>
      <w:pPr>
        <w:snapToGrid w:val="0"/>
        <w:spacing w:line="360" w:lineRule="auto"/>
        <w:outlineLvl w:val="0"/>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二、采购设备内容及规格</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次招标不统一组织现场勘察，投标前请各投标人自行勘察现场。若招标文件中遗漏了本次项目建设所必须具备的设备、配件或服务，投标人可在投标文件中指出，并提出解决方案供参考。投标未勘察现场或勘察现场后投标文件中遗漏了本次项目建设所必须具备的设备、配件或服务，并影响整个项目各模块的正常运行，中标人须承诺免费提供相应的设备、配件或服务，以保证项目的正常运转。</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2、本项目属于升级改造工程，包含拆除、移机、整理、恢复、新装等内容，由于现场情况复杂，施工方案需经用户审核同意后实施。</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3、办公室信息点根据办公桌实际布置，地面过线采用不锈钢线槽，安装牢固美观。光盒采用集中供电：每层一路电缆接入楼宇汇聚点。录播教室更新一路6类网线，到核心交换机电口。</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4、教室多媒体和办公室电脑到信息点六类跳线全部更换，如超过3M需按现场定制。</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5、分水初中部分楼宇不更换壁挂音箱，但需更换室外喇叭线。</w:t>
      </w:r>
    </w:p>
    <w:p>
      <w:pPr>
        <w:pStyle w:val="396"/>
        <w:spacing w:line="360" w:lineRule="auto"/>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kern w:val="2"/>
          <w:sz w:val="24"/>
          <w:szCs w:val="24"/>
          <w:lang w:val="en-US" w:eastAsia="zh-CN" w:bidi="ar-SA"/>
        </w:rPr>
        <w:t>6、</w:t>
      </w:r>
      <w:r>
        <w:rPr>
          <w:rFonts w:hint="default" w:ascii="宋体" w:hAnsi="宋体" w:eastAsia="宋体" w:cs="宋体"/>
          <w:kern w:val="2"/>
          <w:sz w:val="24"/>
          <w:szCs w:val="24"/>
          <w:lang w:val="en-US" w:eastAsia="zh-CN" w:bidi="ar-SA"/>
        </w:rPr>
        <w:t>校园广播系统</w:t>
      </w:r>
      <w:r>
        <w:rPr>
          <w:rFonts w:hint="eastAsia" w:ascii="宋体" w:hAnsi="宋体" w:eastAsia="宋体" w:cs="宋体"/>
          <w:kern w:val="2"/>
          <w:sz w:val="24"/>
          <w:szCs w:val="24"/>
          <w:lang w:val="en-US" w:eastAsia="zh-CN" w:bidi="ar-SA"/>
        </w:rPr>
        <w:t>关键设备由UPS供电，要求在停电状态能正常工作4小时以上，满足中考听力对校园广播的要求。</w:t>
      </w:r>
    </w:p>
    <w:p>
      <w:pPr>
        <w:pStyle w:val="396"/>
        <w:spacing w:line="360" w:lineRule="auto"/>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（一）2所学校设备清单汇总表</w:t>
      </w:r>
    </w:p>
    <w:tbl>
      <w:tblPr>
        <w:tblStyle w:val="62"/>
        <w:tblW w:w="9075" w:type="dxa"/>
        <w:tblInd w:w="62" w:type="dxa"/>
        <w:tblLayout w:type="fixed"/>
        <w:tblCellMar>
          <w:top w:w="0" w:type="dxa"/>
          <w:left w:w="108" w:type="dxa"/>
          <w:bottom w:w="0" w:type="dxa"/>
          <w:right w:w="108" w:type="dxa"/>
        </w:tblCellMar>
      </w:tblPr>
      <w:tblGrid>
        <w:gridCol w:w="1170"/>
        <w:gridCol w:w="915"/>
        <w:gridCol w:w="3975"/>
        <w:gridCol w:w="720"/>
        <w:gridCol w:w="1110"/>
        <w:gridCol w:w="1185"/>
      </w:tblGrid>
      <w:tr>
        <w:tblPrEx>
          <w:tblCellMar>
            <w:top w:w="0" w:type="dxa"/>
            <w:left w:w="108" w:type="dxa"/>
            <w:bottom w:w="0" w:type="dxa"/>
            <w:right w:w="108" w:type="dxa"/>
          </w:tblCellMar>
        </w:tblPrEx>
        <w:trPr>
          <w:trHeight w:val="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pStyle w:val="396"/>
              <w:spacing w:line="36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系统名称</w:t>
            </w: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396"/>
              <w:spacing w:line="36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序号</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36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设备名称</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36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单位</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36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三合初中</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36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分水初中</w:t>
            </w:r>
          </w:p>
        </w:tc>
      </w:tr>
      <w:tr>
        <w:tblPrEx>
          <w:tblCellMar>
            <w:top w:w="0" w:type="dxa"/>
            <w:left w:w="108" w:type="dxa"/>
            <w:bottom w:w="0" w:type="dxa"/>
            <w:right w:w="108" w:type="dxa"/>
          </w:tblCellMar>
        </w:tblPrEx>
        <w:trPr>
          <w:trHeight w:val="0"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综合布线系统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六类非屏蔽模块</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364</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390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六类非屏蔽水晶头</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1000</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1000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六类跳线2M</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条</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六类跳线3M</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条</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86型双口面板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182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195</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24位六类非屏蔽配线架（含模块）</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理线架</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100对110大对数跳线架（不含连接块）</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1对110-RJ45鸭嘴跳线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条</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48</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六类非屏蔽电缆（室内）</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箱</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2芯室内单模光缆</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米</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7600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7620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6芯室外单模光缆</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米</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4000</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3000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12芯室外单模光缆</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米</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2400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1500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48芯室外单模光缆</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米</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450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500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12位机架光纤配线架（含法兰）</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17</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24位机架光纤配线架（含法兰）</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LC单芯单模尾纤</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条</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668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688</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LC双芯单模跳线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条</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57</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LC单芯单模跳线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条</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室内喇叭线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米</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9300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6300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室外喇叭线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米</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1800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2500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3芯电源线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米</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2600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2300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42U标准机柜</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墙柜</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管材</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光纤熔纤</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教学楼机房移位</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辅材及施工</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校园广播系统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广播控制主机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数字化IP网络广播客户端管理软件</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话筒</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IP音频采集器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寻呼话筒</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消防采集器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IP网络音箱</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电源管理器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壁挂音箱</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128</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65</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音量开关</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128</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65</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IP网络功放终端120W</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IP网络功放终端240W</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IP网络功放终端350W</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IP网络功放终端650W</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音柱30W</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音柱90W</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纯后级功放</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号角扬声器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无线话筒</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天线分配器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IP终端</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前置放大器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电源管理器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广播机柜</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管材</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支架立杆</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辅材及施工</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校园监控系统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400万全彩半球网络摄像机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400万全彩枪式网络摄像机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146</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118</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枪机支架</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付</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146</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118</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星光智能警戒球机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鹰眼</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8T硬盘</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块</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72</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16路硬盘录像机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32路硬盘录像机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50寸监视器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超高清解码器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视频线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防污半球网络摄像机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单路解码器</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电视机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室外防水箱</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监控墙支架</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监控立杆（含基础）</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17</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24U机柜</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系统集成费及辅材</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UPS不间断电源系统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UPS电源主机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蓄电池</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电池柜</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输入输出线材</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配电柜</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机房隔断、地板更换</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稳压电源</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静电地板</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平方</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23</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0"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校园网络系统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防火墙</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84</w:t>
            </w:r>
          </w:p>
        </w:tc>
        <w:tc>
          <w:tcPr>
            <w:tcW w:w="3975" w:type="dxa"/>
            <w:tcBorders>
              <w:top w:val="nil"/>
              <w:left w:val="single" w:color="000000" w:sz="8" w:space="0"/>
              <w:bottom w:val="single" w:color="000000" w:sz="8" w:space="0"/>
              <w:right w:val="single" w:color="000000" w:sz="8"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AC控制器</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85</w:t>
            </w:r>
          </w:p>
        </w:tc>
        <w:tc>
          <w:tcPr>
            <w:tcW w:w="3975" w:type="dxa"/>
            <w:tcBorders>
              <w:top w:val="nil"/>
              <w:left w:val="single" w:color="000000" w:sz="8" w:space="0"/>
              <w:bottom w:val="single" w:color="000000" w:sz="8" w:space="0"/>
              <w:right w:val="single" w:color="000000" w:sz="8"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网络管理系统</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核心交换机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8口光盒</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57</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52</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16口光盒</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25</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89</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千兆光模块</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74</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74</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万兆光模块</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面板AP</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92</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吸顶AP</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20</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存储系统</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硬盘</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块</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设备24口POE交换机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设备8口POE交换机</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w:t>
            </w:r>
          </w:p>
        </w:tc>
      </w:tr>
      <w:tr>
        <w:tblPrEx>
          <w:tblCellMar>
            <w:top w:w="0" w:type="dxa"/>
            <w:left w:w="108" w:type="dxa"/>
            <w:bottom w:w="0" w:type="dxa"/>
            <w:right w:w="108" w:type="dxa"/>
          </w:tblCellMar>
        </w:tblPrEx>
        <w:trPr>
          <w:trHeight w:val="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97</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千兆光模块</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pStyle w:val="396"/>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36</w:t>
            </w:r>
          </w:p>
        </w:tc>
      </w:tr>
    </w:tbl>
    <w:p>
      <w:pPr>
        <w:tabs>
          <w:tab w:val="left" w:pos="0"/>
        </w:tabs>
        <w:spacing w:line="360" w:lineRule="auto"/>
        <w:ind w:firstLine="480"/>
        <w:rPr>
          <w:rFonts w:hint="eastAsia" w:ascii="宋体" w:hAnsi="宋体" w:eastAsia="宋体" w:cs="宋体"/>
          <w:sz w:val="24"/>
          <w:lang w:val="en-US" w:eastAsia="zh-CN"/>
        </w:rPr>
      </w:pPr>
    </w:p>
    <w:p>
      <w:pPr>
        <w:tabs>
          <w:tab w:val="left" w:pos="0"/>
        </w:tabs>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sz w:val="24"/>
          <w:lang w:val="en-US" w:eastAsia="zh-CN"/>
        </w:rPr>
        <w:t>二</w:t>
      </w:r>
      <w:r>
        <w:rPr>
          <w:rFonts w:hint="eastAsia" w:ascii="宋体" w:hAnsi="宋体" w:eastAsia="宋体" w:cs="宋体"/>
          <w:sz w:val="24"/>
          <w:lang w:val="en-US" w:eastAsia="zh-CN"/>
        </w:rPr>
        <w:t>）设备技术参数及功能要求（备注：为了确保整体综合布线系统的质量，办公网络和安防网络的布线系统主要设备（线缆、配线架、理线器）要求使用同一品牌。</w:t>
      </w:r>
    </w:p>
    <w:tbl>
      <w:tblPr>
        <w:tblStyle w:val="62"/>
        <w:tblW w:w="9165"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55"/>
        <w:gridCol w:w="735"/>
        <w:gridCol w:w="1155"/>
        <w:gridCol w:w="6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系统名称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设备名称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综合布线系统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六类非屏蔽模块</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11801:2008；YD/T 926.3-2009；TIA /EIA- 568-C.2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2)IDC材料：磷青铜</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3)金针：磷青铜表面镀金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4)防尘盖：透明PC材料</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5)插头与插座插合次数：≥1000次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6)导线端接次数：≥250次</w:t>
            </w:r>
          </w:p>
          <w:p>
            <w:pPr>
              <w:pStyle w:val="396"/>
              <w:spacing w:line="240" w:lineRule="auto"/>
              <w:ind w:left="0" w:leftChars="0" w:firstLine="0" w:firstLineChars="0"/>
              <w:jc w:val="left"/>
              <w:rPr>
                <w:rFonts w:hint="eastAsia" w:ascii="宋体" w:hAnsi="宋体" w:eastAsia="宋体" w:cs="宋体"/>
                <w:b/>
                <w:bCs/>
                <w:kern w:val="2"/>
                <w:sz w:val="22"/>
                <w:szCs w:val="22"/>
                <w:lang w:val="en-US" w:eastAsia="zh-CN" w:bidi="ar-SA"/>
              </w:rPr>
            </w:pPr>
            <w:r>
              <w:rPr>
                <w:rFonts w:hint="eastAsia" w:ascii="宋体" w:hAnsi="宋体" w:eastAsia="宋体" w:cs="宋体"/>
                <w:b w:val="0"/>
                <w:bCs w:val="0"/>
                <w:kern w:val="2"/>
                <w:sz w:val="22"/>
                <w:szCs w:val="22"/>
                <w:lang w:val="en-US" w:eastAsia="zh-CN" w:bidi="ar-SA"/>
              </w:rPr>
              <w:t>7)卡接导体线规：22~26AWG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六类非屏蔽水晶头</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1)符合T568A和T568B线序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2)结构：两件式设计，8P8C</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3)金片：三叉铜合金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4)镀金厚度：50u”</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5)适用芯线直径：0.98mm~1.05mm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6)插拔次数：≥1000次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7)拉力测试：≥20N</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8)介质耐电压：1000VAC/60S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六类跳线2M</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11801:2008；YD/T 926.3-2009；TIA /EIA- 568-C.2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2)导体结构: 多股绞合</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3)跳线长度：2M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4)导体材料：无氧圆铜(纯度99.99%),</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5)屏蔽方式: U/UTP</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6)RJ45接口: 8P8C</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7)RJ45簧片材料：磷青铜表面镀金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8)RJ45接口插拔次数≥1000次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9)第三方权威机构信道认证报告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六类跳线3M</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11801:2008；YD/T 926.3-2009；TIA /EIA- 568-C.2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2)导体结构: 多股绞合</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3)跳线长度：3M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4)导体材料：无氧圆铜(纯度99.99%),</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5)屏蔽方式: U/UTP</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6)RJ45接口: 8P8C</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7)RJ45簧片材料：磷青铜表面镀金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8)RJ45接口插拔次数≥1000次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9)第三方权威机构信道认证报告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86型双口面板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1)双口面板，与86型底盒配套使用</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2)组合式结构，前后双层面板设计，外形美观，避免固定螺丝孔外露</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3)带有防尘盖，防止灰尘侵入接口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4)带有标识条或应用标识</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5)面板尺寸：86×86</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6)颜色：白色</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7)材料：PC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24位六类非屏蔽配线架（含模块）</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11801:2008；YD/T 926.3-2009；TIA /EIA- 568-C.2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2)标准19英寸机架式安装</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3)端口数量：24位</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4)IDC材料：磷青铜</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5)金针：磷青铜表面镀金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6)屏蔽方式：非屏蔽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7)卡线后座及线缆保护盖：PC 材料</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8)进行方式：180°垂直进线方式，45°斜角卡线簧片设计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9)打线方式：兼容T568A/B两种端接方式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10)插头与插座插合次数：≥1000次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11)导线端接次数：≥250次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12)卡接导体线规：22~26AWG</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13)第三方权威机构信道认证报告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理线架</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1)19吋安装,金属材质,带盖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100对110大对数跳线架（不含连接块）</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11801:2008；YD/T 926.3-2009；TIA /EIA- 568-B.2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2)IDC材料：磷青铜</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3)塑料件：ABS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4)塑料件颜色：白色</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5)金针：磷青铜</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6)导线压接次数：≥200次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7)插入力：≤20N</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8)拔出力：≥20N</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9)抗张力：≥133N</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10)卡接导体线规：22~26AWG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1对110-RJ45鸭嘴跳线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11801:2008；YD/T 926.3-2009；TIA /EIA- 568-C.2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2)1对110-110、110-RJ45鸭嘴跳线长度3米</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3)绝缘耐压：1000 VAC</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4)绝缘电阻：500MΩ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5)接续电阻：20mΩ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6)簧片材料：磷青铜表面镀金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7)卡接可重复次≥200次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六类非屏蔽电缆（室内）</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11801：2017；TIA-568.2-D-2018;YD/T 1019-2013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2)通过标准250MHz带宽测试要求可扩展到550MHz带宽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3)单根导体直流电阻：≤9.5Ω/100m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4)额定传输速率(NVP)：69%</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5)电缆对数：4对</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6)十字骨架材料：PE混合物</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7)导体材料：无氧圆铜（纯度99.99%）</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8)最小弯曲半径：10倍电缆外径</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9)导体线规：23AWG</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10)绝缘材料：HDPE</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11)屏蔽方式：U/UTP</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12)外护套材料：PVC</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13)第三方权威机构产品检测报告</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14)第三方权威机构信道检测报告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2芯室内单模光缆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1)符合ISO/IEC 11801:2008、ANSI/TIA 568-C.3、YD/T1258-2005标准；</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2)光缆规格：GJPFH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3)光纤规格：B1.3(或OS2、G652.D)</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4)衰减＠20℃（DB/Km） ：＠1310≤0.8，＠1550≤0.6；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5)动态/静态最小弯曲半径(D)：20/10；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6)外护套：LSZH；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7)芯数：2；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6芯室外单模光缆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1)标准：YD/T769，ISO/IEC11801，ANSI/TIA -568-C.3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2)全截面阻水结构，松套管填充特种油膏，确保良好的阻水防潮性能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3)光纤规格：B1.3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4)衰减＠20℃（dB/Km）：＠1310≤0.36，＠1550≤0.22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5)光纤芯数：6芯</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6)护套：夹带钢丝的钢-聚乙烯粘结护套，MDPE，黑色</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7)允许拉伸力：长期：600N，短期：1500N</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8)允许压扁力：长期：300N/100mm，短期：1000N/100mm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9)最小弯曲半径：动态：20D，静态：10D</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10)敷设方式：管道、非自承架空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12芯室外单模光缆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1）标准：YD/T769，ISO/IEC11801，ANSI/TIA -568-C.3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2）全截面阻水结构，松套管填充特种油膏，确保良好的阻水防潮性能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3）光纤规格：B1.3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4）衰减＠20℃（dB/Km）：＠1310≤0.36，＠1550≤0.22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5）光纤芯数：12芯</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6）护套：夹带钢丝的钢-聚乙烯粘结护套，MDPE，黑色</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7）允许拉伸力：长期：600N，短期：1500N</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8）允许压扁力：长期：300N/100mm，短期：1000N/100mm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9）最小弯曲半径：动态：20D，静态：10D</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10）敷设方式：管道、非自承架空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48芯室外单模光缆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1）执行标准：IEC 60793、YD/T 901、ISO/IEC11801</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2）敷设方式：架空/管道直埋</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3）允许拉伸力：长期600N/短期1500N</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4）允许压扁力：长期300N/短期1000N</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5）外皮：聚乙烯保护管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6）加强钢丝：加强磷化钢丝</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7）芯数：48芯；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12位机架光纤配线架（含法兰）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1)符合标准：ISO/IEC  11801：2008；ANSI/TIA/EIA-568-C.3；YD/T778-2006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2)端口数量：12位</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3)端口类型：ST 、FC、SC、LC双工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4)表面处理：静电喷塑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5)安装方式：19″机架式安装</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6)材料：优质冷扎钢板</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7)表面颜色：黑色</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8)进出光纤方便灵活，有充裕的光纤盘存空间，光纤和尾纤弯曲半径不小于30mm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24位机架光纤配线架（含法兰）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1)符合标准：ISO/IEC  11801：2008；ANSI/TIA/EIA-568-C.3；YD/T778-2006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2)端口数量：24位</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3)端口类型：ST 、FC、SC、LC双工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4)表面处理：静电喷塑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5)安装方式：19″机架式安装</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6)材料：优质冷扎钢板</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7)表面颜色：黑色</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8)进出光纤方便灵活，有充裕的光纤盘存空间，光纤和尾纤弯曲半径不小于30mm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LC单芯单模尾纤</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11801:2008；TIA/EIA-568-C.3；YD/T1272-2009</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2)接头材料：氧化锆陶瓷插芯</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3)插入损耗（含重复性）：≤0.2dB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4)回波损耗：≥50dB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5)重复性：≥1000次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6)互换性：≤0.2dB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LC双芯单模跳线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11801:2008；TIA/EIA-568-C.3；YD/T1272-2009</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2)接头材料：氧化锆陶瓷插芯</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3)插入损耗（含重复性）：≤0.2dB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4)回波损耗：≥50dB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5)重复性≥1000次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6)互换性：≤0.2dB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LC单芯单模跳线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1)符合标准：ISO/IEC 11801:2008；TIA/EIA-568-C.3；YD/T1272-2009</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2)接头材料：氧化锆陶瓷插芯</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3)插入损耗（含重复性）：≤0.2dB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4)回波损耗：≥50dB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5)重复性≥1000次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6)互换性：≤0.2dB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室内喇叭线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国标，RVV2*1.5，室内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室外喇叭线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国标，RVV2*2.5，室外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3芯电源线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国标，RVV3*1.5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42U标准机柜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1)尺寸:600mm*600mm*2000mm拼装式结构柜体，</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2)静载800KG；</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3)优质冷轧钢板(SPCC)，安装立柱=2.0mm；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4)2位风扇单元，3块托盘，1只6位万用PDU，4个脚轮，4只支撑脚，40套卡扣螺丝及螺母。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墙柜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1)尺寸满足现场安装需要（供货前需用户确认款式）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2)带PDU电源（如小机箱内部带固定电源模块）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3)材质：冷轧钢板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管材</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1)走廊、室内墙面管材采用铝合金方形线槽，表面正极氧化处理，外盖型，材质厚度≥0.6mm，阴角、阳角、弯头、三通、直接、平弯、堵头采用成品配件（PVC材质）。</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2)线槽内尺寸根据穿线确定，预留空间≥40%。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3)地面穿线采用不锈钢弧形防踩线槽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4)其它完成本项目所需管材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5)供货前需用户确认款式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光纤熔纤</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光纤熔纤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教学楼机房移位</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定制，教学楼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辅材及施工</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本项目所需辅材及施工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校园广播系统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广播控制主机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1)采用工控机机箱设计，具有≥15英寸LED液晶显示屏，支持触摸控制屏；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2)支持≥1路短路触发开机接口，用于实现定时驱动开机运行。</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3)USB接口≥8、串口接口≥4、千兆网口≥2。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4)配置不低于四核i5处理器、内存≥8G、硬盘≥512G。</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5)设备支持≥1路VGA、≥1路高清输出接口，可将画面输出至大屏放大显示。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6)支持操作系统配置通电自动开机、定时自动开机，定时自动关机功能。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7)支持录音存储功能，可在后台自定义设置录音文件保存路径。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数字化IP网络广播客户端管理软件</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1)统一管理系统内所有音频终端，包括寻呼话筒、对讲终端、广播终端和消防接口设备，实时显示音频终端的IP地址、在线状态、任务状态、音量等运行状态。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3)管理节目库资源，为所有音频终端器提供定时播放和实时点播媒体服务，响应各终端的节目播放请求，为各音频工作站提供数据接口服务。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4)提供全双工语音数据交换，响应各对讲终端的呼叫和通话请求，支持一键呼叫、一键对讲、一键求助、一键报警等通话模式，支持自动接听、手动接听，支持自定义接听提示音。</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5)支持终端短路输入联动触发，可任意设置联动触发方案和触发终端数量，触发方案包括短路输出、音乐播放、巡更警报等。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6)编程定时任务，支持编程多套定时方案，支持选择任意终端和设置任意时间；支持定时任务执行测试、设置重复周期。支持定时任务多种音源选择（音乐播放、声卡采集、终端采集）。</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7)支持多套定时打铃方案同时启用，每套定时打铃方案支持多套任务同时进行，支持一键启用/停用所有方案。</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8)支持定时打铃功能，支持打铃方案克隆，任务执行与停止控制、定时任务禁用与启用功能。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9)支持今日任务列表查看，轻松管理今日执行的所有定时任务信息和执行状态。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10)日志记录系统运行状态，实时记录系统运行及终端工作状态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话筒</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1)换能方式：驻极体</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2)带前奏提示功能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3)线材配备：10米（卡农母头转6.35音频线）</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4)具备有灯环提示功能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IP音频采集器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1)采集设备支持将模拟音频采集编码成数字音频，具有≥1路RJ45网络接口，支持定时采播任务、临时采播任务功能。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2)具有≥2组RCA音频输入接口，支持音量调节功能。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寻呼话筒</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1)采用话筒桌面式设计，带有≥7英寸显示屏，带触摸控制功能；显示屏自带数字键、功能键，支持通过触摸呼叫广播，支持呼叫分区及多个分区，呼叫全区广播；可支持≥10个按键自定义一键呼叫广播功能。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2)内置≥1路网络硬件音频解码模块，具有≥1路RJ45网络接口，≥100Mbps传输速率。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3)支持监听任意终端功能，内置扬声器，实现双向通话和网络监听。</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4)支持≥1路音频线路输入，支持采集播放功能；具有≥1路音频线路输出，可外接功率放大器。</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5)支持直接操作呼叫或对讲任意终端，支持通过话筒广播呼叫功能，广播延时低于100毫秒。</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6)具有≥1个3.5耳机接口、≥1路3.5话筒输入接口。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7)具有≥1路短路输出接口、≥1路短路输入接口。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消防采集器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1)机柜式设计。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2)设备采用嵌入式计算机技术和DSP音频处理技术设计。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3)支持≥16路消防短路信号输入接口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4)面板支持一键取消任务。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5)支持后台设置报警策略，可为每路短路信号输入端口配置报警策略，关联联动的终端及播放曲目等功能。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6)标配网络接口≥100M。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7)短路接口：标准压线接线端子。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IP网络音箱</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1)内置≥1路网络硬件音频解码模块,具有≥1路RJ45网络接口，≥100Mbps传输速率。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2)支持≥1路音频线路输入接口，具有独立的音量调节功能。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3)设备集成有数字功放，功率≥2×15W（MAX），具有≥1个主音箱。</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4)内置≥2级优先级功能设计：(1)AUX与网路背景音乐信号同级，混音输出。(2)网络报警信号优先AUX与网络背景音乐信号。</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5)支持IPv6、IPv4网络协议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电源管理器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1)支持主从机设置，通过主设备电源锁可一键开启或关闭所有从设备。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2)提供智能化电源控制管理，设置定时任务。支持顺序打开或关闭电源功能，支持设置电源的开关时序间隔。</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3)具备≥8路电源输出插座，其中≥4路10A的、≥4路16A的插座规格，总电流达30A。支持实时监控插座功率。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4)采用≥2.2英寸LCD显示屏，可显示温度信息，实时输入电压信息、时间信息、IP信息，定时任务信息等。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5)支持PC客户端软件管理，支持三层网络协议，支持跨网关控制和管理。</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6)支持对每一路电源输出进行定时编程，实现全自动无人值守的电源管理。</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7)支持离线模式，本地自带定时程序，内置高精度时钟，在脱离服务器时，也能保证定时任务按时执行。</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8)具备≥1个10M/100M网口，≥2路RS485接口、≥1路外接传感器供电接口。（提供设备接口图佐证）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壁挂音箱</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1)额定功率（100V）：6W</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2)额定功率（70V）：3W</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3)频率响应：130-16KHz</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4)防护等级：IP5X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音量开关</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86盒开关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IP网络功放终端120W</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1)设备采用标准机架设计，带有LCD显示屏。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2)内置≥1路网络硬件音频解码模块。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3)支持≥1路线路输入和≥1路话筒输入接口，可独立调节音量。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4)支持高低音调节电位器控制。</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5)具有≥1路EMC输入接口，具有最高优先级。</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6)具有≥1路音频输出接口。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7)具有≥1路三线制强切输出接口，无需强切电源。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8)集成数字功放，功率≥120W；支持定压方式输出。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9)支持通过后台软件对终端进行远程固件升级。</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10)具有≥1路RJ45网络接口，≥100Mbps传输速率。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11)设备内置有主备切换检测模块，在断网或断电的故障情况下，实现自动切换到100V定压备份通道，主备切换过程无卡顿、不掉字。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IP网络功放终端240W</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1)设备采用标准机架设计，带有LCD显示屏。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2)内置≥1路网络硬件音频解码模块。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3)支持≥1路线路输入和≥1路话筒输入接口，可独立调节音量。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4)支持高低音调节电位器控制。</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5)具有≥1路EMC输入接口，具有最高优先级。</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6)具有≥1路音频输出接口。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7)具有≥1路三线制强切输出接口，无需强切电源。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8)集成数字功放，功率≥240W；支持定压方式输出。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9)支持通过后台软件对终端进行远程固件升级。</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10)具有≥1路RJ45网络接口，≥100Mbps传输速率。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11)设备内置有主备切换检测模块，在断网或断电的故障情况下，实现自动切换到100V定压备份通道，主备切换过程无卡顿、不掉字。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IP网络功放终端350W</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1)设备采用标准机架设计，带有LCD显示屏。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2)内置≥1路网络硬件音频解码模块。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3)支持≥1路线路输入和≥1路话筒输入接口，可独立调节音量。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4)支持高低音调节电位器控制。</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5)具有≥1路EMC输入接口，具有最高优先级。</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6)具有≥1路音频输出接口。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7)具有≥1路三线制强切输出接口，无需强切电源。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8)集成数字功放，功率≥350W；支持定压方式输出。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9)支持通过后台软件对终端进行远程固件升级。</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10)具有≥1路RJ45网络接口，≥100Mbps传输速率。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11)设备内置有主备切换检测模块，在断网或断电的故障情况下，实现自动切换到100V定压备份通道，主备切换过程无卡顿、不掉字。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IP网络功放终端650W</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1)设备采用标准机架设计，带有LCD显示屏。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2)内置≥1路网络硬件音频解码模块。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3)支持≥1路线路输入和≥1路话筒输入接口，可独立调节音量。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4)支持高低音调节电位器控制。</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5)具有≥1路EMC输入接口，具有最高优先级。</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6)具有≥1路音频输出接口。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7)具有≥1路三线制强切输出接口，无需强切电源。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8)集成数字功放，功率≥650W；支持定压方式输出。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9)支持通过后台软件对终端进行远程固件升级。</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10)具有≥1路RJ45网络接口，≥100Mbps传输速率。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11)设备内置有主备切换检测模块，在断网或断电的故障情况下，实现自动切换到100V定压备份通道，主备切换过程无卡顿、不掉字。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音柱30W</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1)额定功率（100V）：15W,30W</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2)额定功率（70V）：7.5W,15W</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3)灵敏度：91dB±3dB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4)频率响应：130-16KHz</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5)防护等级：IP66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音柱90W</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1)额定功率(100V)：90W</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2)额定功率(70V)：45W</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3)灵敏度≥93dB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4)频率响应：110-15KHz</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5)防护等级：IP66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纯后级功放</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1)采用D类数字功放技术，功率放大电路设计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2)额定输出功率：≥1500W</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3)具有管道式散热结构，内置自动温度控制风扇冷却系统。</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4)具有≥1通道LINE不平衡TRS/XLR高品质多功能输入接口，≥1通道LINE平衡XLR级联输出。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5)内置PFC电路和软开关电源技术，开关机自动软启动控制。</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6)功放电路，零交越失真。</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7)内置智能削顶失真和过流压限系统，能保护扬声器单元。</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8)具有过温、过压、欠压、过流、短路多重智能检测保护系统。</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9)具有2种定阻和定压输出模式:4-16Ω/100V可选择。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号角扬声器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1)频率响应：50Hz～18KHz@-10d</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2)额定功率：75W、150W、300W/100V ,400W/8Ω可选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3)峰值功率：1600W</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4)最大声压级（额定/峰值）:127dB/135dB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5)灵敏度≥103dB±3dB@（1W/1m）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6)水平覆盖角≥90°，垂直覆盖角≥90°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无线话筒</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1)频率指标不低于：支持470-510MHz、540-590MHz、640-690MHz、807-830MHz。</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2)配套有≥1台接收主机和≥2个无线手持话筒。</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4)带≥8级射频电平显示，≥8级音频电平显示，频道菜单显示，静音显示；具有SCAN 自动扫频功能，使用前按SET功能键自动找一个环境最干净的频点处停下来，此频率作为接收机的使用频率。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5)平衡和非平衡两种选择输出端口，适应不同的设备连接需求。</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6)接收机指标：采用二次变频超外差的接收机方式，灵敏度:≥ 12dB μV（80dBS/N)，灵敏度调节范围:≥12-32dB μV，频率响应不低于:80Hz-18KHz（±3dB）。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7)发射机指标：音头采用动圈式麦克风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天线分配器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1)可支持为4台一拖二真分集话筒自动选讯接收机的多频道系统共用一对天线和一个电源。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2)频带范围不低于：470-960MHz，输出/入增益+1.0dB(频段中心)，输出/入阻抗：≥50Ω，频宽：≥320MHz。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IP终端</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1)设备采用机架设计，带有LCD显示屏。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2)支持≥1路线路输入和≥1路话筒输入接口，可独立调节音量；支持高低音调节电位器控制。</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3)具有≥1路EMC输入接口，具有最高优先级；具有≥1路音频输出接口。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4)具有≥2路三线制强切输出接口，无需强切电源。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5)支持≥2路电源输出插座，内置智能电源管理，无音乐或呼叫时，自动切断输出座电源，有信号时自动打开输出座电源。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前置放大器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1)具有≥5路话筒（MIC）输入，≥3路标准信号线路（AUX）输入，≥2路紧急线路（EMC）输入；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2)MIC 5具有最高优先、强行切入优先功能；MIC 5和EMC最高优先权限功能可通过拔动开关交替选择；</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3)紧急输入线路具有二级优先，强行切入优先功能；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4)MIC1.2.3.4.5 和≥2路紧急输入（EMC）通道均附设有线路辅助输入接口功能；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5)具有默音深度调节旋钮和EMC输入增益调节旋钮。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电源管理器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1)机柜式设计；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2)支持≥16路电源输出，具有≥14个AC220V(10A)，≥2个AC220V(16A)接口， 电源插口总容量达 6KVA；</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3)设有开关，可手动控制16个电源上断电；也可与定时器、智能控制器相连接，实现自动控制；支持配置CH1和CH2通道为受控或不受控状态。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4)支持≥16路电源插座依次间隔1秒打开；</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5)有≥1路24V消防信号输入接口；≥1路消防短路报警触发信号输出。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广播机柜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产品尺寸：宽度:600 mm，深度:600 mm，高度:2000mm，容量：42U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管材</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要求同综合布线系统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支架立杆</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辅材及施工</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完成本项目所需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校园监控系统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400万全彩半球网络摄像机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1）400万 1/1.8" CMOS 臻全彩半球型网络摄像机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2）智能侦测：支持越界侦测，区域入侵侦测</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3）最低照度: 彩色：0.0005 Lux @（F1.0，AGC ON），0 Lux with Light</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4）具有不小于1/1.8"靶面尺寸。</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5）补光距离: 最远可达30 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6）防补光过曝: 支持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7）补光灯类型: 柔光灯</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8）最大图像尺寸: 2560 × 1440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9）视频压缩标准: 主码流：H.265/H.264</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10）网络存储: 支持NAS（NFS，SMB/CIFS均支持）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11）音频: 1个内置麦克风</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12）网络: 1个RJ45 10 M/100 M自适应以太网口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13）支持DC12V供电，且在不小于DC12V±30%范围内变化时可以正常工作。支持PoE：802.3af，Class 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14）防护 IP66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400万全彩枪式网络摄像机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1）400万 1/1.8" CMOS 臻全彩筒型网络摄像机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2）智能侦测：支持越界侦测，区域入侵侦测</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3）最低照度: 彩色：0.0005 Lux @（F1.0，AGC ON），0 Lux with Light</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4）具有不小于1/1.8"靶面尺寸。</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5）补光距离: 最远可达30 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6）防补光过曝: 支持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7）补光灯类型: 柔光灯</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8）最大图像尺寸: 2560 × 1440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9）视频压缩标准: 主码流：H.265/H.264</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10）网络存储: 支持NAS（NFS，SMB/CIFS均支持）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11）音频: 1个内置麦克风</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12）网络: 1个RJ45 10 M/100 M自适应以太网口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13）支持DC12V供电，且在不小于DC12V±30%范围内变化时可以正常工作。支持PoE：802.3af，Class 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14）防护 IP66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枪机支架</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1)壁装支架</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2)适用范围 适合枪型、筒型、一体型摄像机壁装</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3)材料 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星光智能警戒球机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1)内置GPU芯片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2)视频输出支持2560×1440@25fps，分辨力不小于1400TVL，红外距离可达150米</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3)对人或车辆进入警戒区域后，设备可发出白光警示、声音警示，并启动智能跟踪功能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4)支持最低照度可达彩色0.0003Lux，黑白0.0001Lux</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5)支持水平手控速度不小于160°/S，垂直速度不小于120°/S，云台定位精度为±0.1°</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6)水平旋转范围为360°连续旋转，垂直旋转范围为-15°~90°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7)支持对镜头前盖玻璃加热，去除玻璃上的冰状和水状附着物。</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8)需具备智能分析抗干扰功能，当篮球、小狗、树叶等非人或车辆目标经过检测区域时，不会触发报警。</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9)支持快捷配置功能，可在预览画面开启/关闭“快捷配置”页面，对曝光参数、OSD、智能资源分配模式等参数进行配置，并可一键恢复为默认设置。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10)支持像素显示功能，可实时显示监控画面上选定区域的水平像素大小和垂直像素大小。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11)支持300个预置位，可按照所设置的预置位完成不小于8条巡航路径，支持不小于4条模式路径设置，支持预置位视频冻结功能；可实现RS485接口优先或RJ45网络接口优先控制功能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12)支持智能红外、透雾、强光抑制、电子防抖、数字降噪、防红外过曝功能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13)支持区域遮盖功能，支持设置不少于24个不规则四边形区域，可设置不同颜色；支持3D定位、断电记忆功能；支持IP地址访问控制功能，支持定时抓拍或报警联动抓图上传ftp功能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14)球机应具备本机存储功能，支持SD卡热插拔，最大支持256GB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15)支持采用H.265、H.264视频编码标准，H.264编码支持Baseline/Main/High Profile，音频编码支持G.711ulaw/G.711alaw/G.726/G.722.1</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16)支持区域入侵、越界入侵、徘徊、物品移除、物品遗留、人员聚集、停车、快速移动，并联动报警</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17)具备较好的防护性能环境适应性，支持IP67，6kV防浪涌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鹰眼</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【800万180°球型鹰眼】</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1)星光级全景网络高清智能球机，采用一体化设计，单产品即可同时提供全景与特写画面，兼顾全景与细节。</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自带镜头，另配4个图像采集模块，可输出1路主视频图像和4路辅视频图像。可将4个辅视频图像进行无缝拼接，实现180°拼接画面显示，并抓拍拼接后的图像。拼接后的辅视频图像：水平视场角为180°，垂直视场角为80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3)当检测到雾的浓度达到设定的阈值时，可自动在算法透雾和光学透雾之间进行切换。具有三种滤光片，在白天、夜晚及有雾情况下可自动切换不同的滤光片进行成像。三片滤光片透过率均不小于90%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4)传感器类型: 【全景】1/1.8＂progressive scan CMOS，【细节】1/1.8＂progressive scan CMOS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5)最低照度:【全景】0.0005 Lux/F1.0（彩色），0.0001 Lux/F1.0（黑白）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6)【细节】星光级超低照度，0.0005 Lux/F1.2（彩色），0.0001 Lux/F1.2（黑白），0 Lux with IR</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7)宽动态: 【全景】不支持，【细节】支持120 dB超宽动态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8)光学变倍: 48倍</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9)焦距: 【全景】2.8 mm；【细节】6.0~288 mm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10)视场角: 水平视场角：56.6~1.8度（广角~望远） ; 垂直视场角：33.7~1.0度（广角~望远） ; 对角线视场角：63.4~2.0度（广角~望远）</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11)红外照射距离: 250 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12)防补光过曝: 支持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13)水平范围: 360°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14)垂直范围: -15°~90°（自动翻转）</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15)水平: 水平键控速度：0.1°~210°/s，速度可设；水平预置点速度：240°/s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16)垂直: 垂直键控速度：0.1°~150°/s，速度可设；垂直预置点速度：200°/s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17)主码流帧率分辨率: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18)【全景】50 Hz：25 fps（4096 × 1800）; 60 Hz：30 fps（4096 × 1800）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19)【细节】50 Hz：25 fps（1920 × 1080）; 60 Hz：30 fps（1920 × 1080）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20)视频压缩标准: H.265，H.264，MJPEG</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21)网络存储: NAS（NFS，SMB/CIFS），ANR</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22)网络接口: RJ45网口，自适应10 M/100 M/1000 M网络数据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23)光纤接口: FC接口，内置光纤模块，1000 M网络数据，波长TX1310/RX1550 nm，单模单纤，20 km传输距离</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24)SD卡扩展: 支持MicroSD(即TF卡)/MicroSDHC/MicroSDXC卡，最大支持256 GB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25)设备功耗: 135 W max（其中红外灯12 W max）</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26)除雾: 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8T硬盘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8TB容量，3.5英寸 SATA 3.0接口，5400RPM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16路硬盘录像机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1）标准机架式8盘位网络硬盘录像机，ATX电源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2）支持满配8TB硬盘（总容量可达64TB)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3）2个HDMI接口、2个VGA接口，异源输出，可支持4K输出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4）2个10M/100M/1000Mbps网口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5）2个USB2.0接口、1个USB3.0接口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6）报警IO接口：16路报警输入，4路报警输出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7）串行接口：1路全双工485接口，1路标准RS-232接口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8）输入带宽：160Mbps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9）输出带宽：160Mbps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10）接入能力：16路H.264、H.265格式高清码流接入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11）解码能力：最大支持12×1080P</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12）可接入1T、2T、3T、4T、6T、8T、10T、12TB、14TB、16TB容量的SATA接口硬盘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32路硬盘录像机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1）标准机架式16盘位网络硬盘录像机，ATX电源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2）支持满配8TB硬盘（总容量可达128TB)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3）2个HDMI接口、2个VGA接口，异源输出，可支持4K输出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4）2个10M/100M/1000Mbps网口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5）2个USB2.0接口、2个USB3.0接口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6）报警IO接口：16路报警输入，9路报警输出（其中第9路支持CTRL 12V）</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7）串行接口：1路全双工485接口 ，1路标准RS-232接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8）输入带宽：256Mbps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9）输出带宽：256Mbps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10）接入能力：32路H.264、H.265格式高清码流接入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11）解码能力：最大支持12×1080P</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12）可接入1T、2T、3T、4T、6T、8T、10T、12TB、14TB、16TB容量的SATA接口硬盘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50寸监视器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1)显示尺寸：50寸</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2)物理分辨率：3840 × 2160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3)音视频输入：HDMI 1.4 × 1, HDMI2.0 × 1, VGA × 1, Audio in × 1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4)音视频输出接口：Speaker (6Ω 7W) × 2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5)数据传输接口：USB ×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超高清解码器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1）网口：1个 RJ45  10M/100M/1000Mbps 自适应以太网接口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2）1个光口 100base-FX/1000base-X</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3）支持光电自适应</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4）串行接口：1个标准232接口 （RJ45），1个标准485接口 （RJ45）</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5）音频输出接口：4个3.5mm接口独立音频输出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6）解码分辨率：2400W像素</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7）解码通道：72</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8）解码能力：2路2400W，或4路1200W，或8路800W，或12路500W，或12路400W，或20路300W，或36路1080P，或72路720P及以下分辨率同时实时解码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9）画面分割数：1/2/4/6/8/9/12/16/25/36</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10）输入分辨率：4K: 3840 × 2160@30 Hz （仅HDMI）,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11）1080p: 1920 × 1080@50/60 Hz,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12）720p: 1280 × 720@50 Hz/60 Hz</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13）视频输入接口：1路HDMI 1.4, 1路DVI-D</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14）输出分辨率：HDMI：</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15）4K: 3840 × 2160@30 Hz(仅奇数口),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16）1080p: 1920 × 1080@50/60 Hz,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17）720p: 1280 × 720@50 Hz/60 Hz</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18）BNC: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19）PAL制式: 704 × 576, </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20）NTSC制式: 704 × 480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21）视频输出接口：4路HDMI 1.4，2路BNC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视频线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1)HDMI电缆,1080P,10m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2)端子镀金，耐氧化，阻抗小，信号传输更稳定。</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3)视频版本：HDMI 1.3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4)支持最大分辨率：1080P 60Hz</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5)线缆类型（音视频线）：铜缆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653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防污半球网络摄像机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1)400万 1/3" CMOS ICR星光级半球型网络摄像机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2)最低照度: 彩色：0.005 Lux @（F1.2，AGC ON），0 Lux with IR</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3)宽动态: 120 dB</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4)调节角度: 水平：0°~355°，垂直：0°~75°</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5)焦距&amp;视场角: 4 mm，水平视场角：79°，垂直视场角：42.4°，对角线视场角：93.3°（2.8 mm，6 mm，8 mm可选）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6)红外距离: 最远可达30 m</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7)最大图像尺寸: 2560 × 1440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8)视频压缩标准: 主码流：H.265/H.264</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9)网络存储: 支持Micro SD(即TF卡)/Micro SDHC/Micro SDXC卡（最大256 GB），支持NAS（NFS，SMB/CIFS均支持）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10)网络: 1个RJ45 10 M/100 M自适应以太网口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11)输入、输出: 1路报警输入、 1路报警输出、1路音频输入、 1路音频输出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12)防护: IP66，IK10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13)提供权威第三方机构检测报告。</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14)为适应食堂的工作环境，要求防油污外罩可拆洗（外罩参考下图）</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drawing>
                <wp:inline distT="0" distB="0" distL="114300" distR="114300">
                  <wp:extent cx="825500" cy="607060"/>
                  <wp:effectExtent l="0" t="0" r="1270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tretch>
                            <a:fillRect/>
                          </a:stretch>
                        </pic:blipFill>
                        <pic:spPr>
                          <a:xfrm>
                            <a:off x="0" y="0"/>
                            <a:ext cx="825500" cy="6070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单路解码器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1)高清视音频解码器，采用Linux操作系统，运行稳定可靠</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2)输出接口：支持1路HDMI、VGA、BNC三种输出接口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3)编码格式：支持H.265、H.264、MPEG4、MJPEG等主流的编码格式；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4)封装格式：支持PS、RTP、TS、ES等主流的封装格式；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5)音频解码：支持G.722、G.711A、G.726、G.711U、MPEG2-L2、AAC音频格式的解码；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6)解码能力：支持2路1200W，或4路800W，或6路500W，或10路300W，或16路1080P及以下分辨率同时实时解码；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7)画面分割：支持1、2、4、6、8、9、10、12、16画面分割显示.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8)网络接口：支持1个RJ45网络接口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9)音频接口：1路音频输出、1路对讲输入、1路对讲输出，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10)串行接口：一个标准232接口（RJ45）、一个标准485接口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11)报警接口：8路报警输入，8路报警输出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电视机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50寸液晶电视机含壁装支架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室外防水箱</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根据现场实际情况定制（室外）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监控墙支架</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根据现场实际情况定制（监控墙）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监控立杆（含基础）</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根据现场实际情况定制（含基础）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24U机柜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24U标准网络机柜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系统集成费及辅材</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满足本项目所需的辅材、集成、培训等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UPS不间断电源系统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UPS电源主机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1)20KVA在线式双变换在线式UPS支持机架安装方式，支持三进三出、三进单出、单进单出三种供电模式。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2)电池节数支持 ±12~±20 节可调，灵活电池配置。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3)后期要考虑并机扩容使用，要求主机具备无主从自适应并机功能，后期无需任何附件可实现N+1并联使用。</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4)输入电压范围 (Vac)138~485。</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5)输出电压 (Vac)360/380/400/415。</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6)过载能力：115%~130%：15min；130%~150%：1min；150% 以上：200ms。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7)保护功能：具备输出过载、短路；电池欠压、过压、未接；充电过温、短路；交流输入电压、频率、相序异常；UPS 过温、风机故障等。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8)通讯功能标配 RS485、EPO；符合国家标准EMC电磁兼容特性（GB7260.2），降低、避免各类辐射、传导干扰，构建纯净电网环境。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蓄电池</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UPS电池采用免维护全封闭铅酸蓄电池，采用阻燃材料（ABS）外壳，采用高功率、大电流放电的12V100AH规格产品，安装前提供蓄电池组排列、连接方式、平剖面图，蓄电池组钢架占地面积及每组电池的单位重量、技术规格。</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2)蓄电池容量达到12V/100AH及以上，（蓄电池内部不能参杂任何其它杂质增加重量），供货时用户有权要求破坏性测试检测蓄电池质量；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3)要求投标UPS主机与蓄电池同一品牌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电池柜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16节电池箱，卧式摆放（减少对楼板压强）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输入输出线材</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UPS主机的输入输出电缆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配电柜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配套浪涌保护器15KA,含UPS总输入、总输出、输出分路，品牌优质器件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机房隔断、地板更换</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三合初中机房原隔断拆除加装底座后修复，机房静电地板更换（部分支架、地板用户提供），其他所需配件供应商提供。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稳压电源</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1)液晶显示屏</w:t>
            </w:r>
          </w:p>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2)三相380V</w:t>
            </w:r>
          </w:p>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3)60KVA</w:t>
            </w:r>
          </w:p>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4)响应速度≤1秒</w:t>
            </w:r>
          </w:p>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5)稳压精度：±3%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陶瓷静电地板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1)600x600x35mm</w:t>
            </w:r>
          </w:p>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2)表面采用陶瓷贴面</w:t>
            </w:r>
          </w:p>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3)集中载荷≥4450N、即≥450kg(扰度≤2mm)，均布载荷≥23000N/m²，极限载荷≥13350N</w:t>
            </w:r>
          </w:p>
          <w:p>
            <w:pPr>
              <w:pStyle w:val="396"/>
              <w:spacing w:line="240" w:lineRule="auto"/>
              <w:ind w:left="0" w:leftChars="0" w:firstLine="0" w:firstLineChars="0"/>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4)部分支架利旧，其他所需配件供应商提供。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校园网络系统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防火墙</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1)千兆电口≥6，千兆光口≥2，支持2个USB口和1个RJ45串口。</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2)网络层吞吐量≥2Gbps，应用层吞吐量≥800M，并发连接数≥80万，每秒新建连接数≥2万。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3)产品支持路由模式、透明模式、虚拟网线模式、旁路镜像模式等多种部署方式。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4)产品支持虚拟防火墙功能，支持虚拟防火墙的创建和删除，具备独立的接口、会话管理、应用控制策略、NAT等资源。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5)产品支持静态路由、策略路由和多播路由协议。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6)产品支持BGP、RIP、OSPF等动态路由协议。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7)产品支持多对一、一对多和一对一等多种地址转换方式。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8)产品支持NAT穿透技术ALG，支持FTP、TFTP、SQLNET、PPTP、RTSP、SIP、H.323等协议。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9)产品支持IPsec VPN和SSL VPN功能。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10)产品支持IPSec VPN智能选路功能，根据线路质量和应用实现自动链路切换。</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11)产品支持多种SSL VPN用户认证方式，至少包括本地密码认证、LADP认证和硬件特征码认证。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12)产品支持基于网络区域、网络对象、MAC地址、服务、应用等维度进行访问控制策略设置。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13)产品支持应用管控功能。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14)产品支持异常数据包攻击防御，防护类型包括IP数据块分片传输防护、Teardrop攻击防护、Smurf攻击防护、Land攻击防护、WinNuke攻击防护等攻击类型。</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15)产品支持对SMTP、HTTP、FTP、SMB、POP3、HTTPS、IMAP等协议进行病毒防御。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16)产品支持对压缩病毒文件进行检测和拦截，压缩层数支持15层及以上。</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17)产品支持勒索病毒检测与防御功能，支持在控制台界面通过漏洞ID、漏洞名称、危险等级、漏洞CVE标识、漏洞描述等条件查询漏洞特征信息，支持用户自定义IPS规则。</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18)产品支持僵尸主机检测功能，产品内置僵尸网路特征库，可识别主机的异常外联行为。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19)产品内置WEB应用攻击特征，支持对跨站脚本（XSS）攻击、SQL注入、文件包含攻击、信息泄露攻击、WEBSHELL、网站扫描、网页木马等攻击类型进行防护。</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20)产品支持对请求报文头的X-Forward-For字段检测，并对非法源IP进行日志记录和联动封锁。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21)产品支持服务器漏洞防扫描功能，并对扫描源IP进行日志记录和联动封锁。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AC控制器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1)最大可管理AP≥512个。</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2)支持管理员分级分权管理，桐庐县教育局拥有统一管辖权限，学校端具备管理该学校网络设备权限；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3)支持802.11a、802.11b、802.11g、802.11n、802.11ac、802.11ac、11ac Wave2、802.11ax 802.11e、802.11h、802.11i、802.11k、802.11v等协议。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在无线网络环境中，切断病毒传播的路径，防止主机感染病毒之后横向传播给内网中的其他主机：通过策略实现隔离不同区域的用户；设置黑白名单，对访问源进行差异化拦截或放通；针对一些高风险或通用性服务，可以设置黑白名单对访问源无差别地进行拦截或放通；</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6)支持智能PSK技术，不同的终端使用不同的专属密码，并支持移动终端的秘钥与MAC或SN进行绑定，其他终端即使拿到了该秘钥也无法上网，保证终端安全接入要求。</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7)支持短信认证的有效期设置和短信验证码的有效期设置，在短信认证有效期内，不用重新认证，在验证码有效期内，不用重新获取验证码。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支持应用识别，能识别不低于1000种的网络应用，能识别邮件、游戏、P2P流媒体、WEB流媒体、金融交易、办公OA、移动终端应用等主流应用13.支持上网行为审计，可审计用户访问的URL、网络应用类型、非加密的邮件正文及其附件内容、Web BBS发帖内容、微博内容、FTP上传和下载的文件名、TELNET执行的命令等；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9)保证兼容性与统一管理，要求本次招标AC与AP、交换机同一品牌。</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10)本项目无线设备要求接入桐庐校园无线网络统一管理平台，实现无线用户统一管理和统一认证。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bookmarkStart w:id="25" w:name="OLE_LINK1"/>
            <w:r>
              <w:rPr>
                <w:rFonts w:hint="eastAsia" w:ascii="宋体" w:hAnsi="宋体" w:eastAsia="宋体" w:cs="宋体"/>
                <w:b w:val="0"/>
                <w:bCs w:val="0"/>
                <w:kern w:val="2"/>
                <w:sz w:val="22"/>
                <w:szCs w:val="22"/>
                <w:lang w:val="en-US" w:eastAsia="zh-CN" w:bidi="ar-SA"/>
              </w:rPr>
              <w:t>网络管理系统</w:t>
            </w:r>
            <w:bookmarkEnd w:id="25"/>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1)网络管理平台支持自动发现光盒和AP，并实现拓扑自动生成，用户可以通过浏览拓扑视图了解光盒和AP的层次结构和运行状态。</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2)支持基于交换机端口组实现通过检测终端有无流量特征，实现POE终端自动重启，解决POE终端假死问题。</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3)为提高网络系统整体安全性，需支持联动第三方安全设备或平台，通过联动实现从系统及接入层交换机对风险终端MAC地址进行封堵；</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通过自定义光盒设备及端口告警，实现交换机离线、MAC地址表利用率超阀值、单网口防环、接口状态变化、接口协商速率下降、接口泛洪报文超阀值等多种告警事件；并支持手机APP（可自定义推送内容）、短信等告警方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5)要求配置不少于本项目安装光盒和AP数量的管理授权许可。</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6)管理平台包含相应性能和功能的软硬件设备。</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7)网络管理系统也可以和其它网络设备整合为一台设备。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核心交换机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1)交换机性能 交换容量≥47Tbps/160Tbps；包转发率</w:t>
            </w:r>
            <w:bookmarkStart w:id="26" w:name="OLE_LINK2"/>
            <w:r>
              <w:rPr>
                <w:rFonts w:hint="eastAsia" w:ascii="宋体" w:hAnsi="宋体" w:eastAsia="宋体" w:cs="宋体"/>
                <w:b w:val="0"/>
                <w:bCs w:val="0"/>
                <w:kern w:val="2"/>
                <w:sz w:val="22"/>
                <w:szCs w:val="22"/>
                <w:lang w:val="en-US" w:eastAsia="zh-CN" w:bidi="ar-SA"/>
              </w:rPr>
              <w:t>≥</w:t>
            </w:r>
            <w:bookmarkEnd w:id="26"/>
            <w:r>
              <w:rPr>
                <w:rFonts w:hint="eastAsia" w:ascii="宋体" w:hAnsi="宋体" w:eastAsia="宋体" w:cs="宋体"/>
                <w:b w:val="0"/>
                <w:bCs w:val="0"/>
                <w:kern w:val="2"/>
                <w:sz w:val="22"/>
                <w:szCs w:val="22"/>
                <w:lang w:val="en-US" w:eastAsia="zh-CN" w:bidi="ar-SA"/>
              </w:rPr>
              <w:t>10000Mpps/36000Mpps（提供官网截图证明及链接）；本次单台配置双主控板，双冗余电源，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2)千兆光口≥120，万兆光≥8；千兆电口≥24；</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3)槽位数量 主控槽位≥2，业务槽位≥3</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4)电源要求 整机支持≥2个电源模块，支持电源1+1冗余供电方式，且可通过可视化界面操作实现，支持电源运行过程异常状态记录；；</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5)板卡要求 支持GE、10G、40G、100G等端口速率板卡；业务板卡支持最高端口密度为52个端口，且可通过管理平台查看1:1还原可视化面板；</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6)支持芯片级系统级Flash双启动，避免因FLASH芯片故障导致交换机无法启动；</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7)支持零配置上线，支持二层广播自动发现网管中心平台；支持配置静态IP地址三层发现网管中心平台；支持DHCP Option43方式发现网管中心平台；支持DNS域名发现网管中心平台；</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8)支持通过APP进行远程管理，并且可以修改交换机网络配置；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9)支持通过网管中心平台跨广域网、NAT远程管理智能交换机</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10)交换机支持通过短信、APP方式对交换机状态进行告警；</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11)支持智能交换机和普通交换机两种工作模式，可以根据不同的组网需要，随时灵活的进行切换；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8口光盒</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1)交换容量≥336Gbps/3.36Tbps；包转发率≥68Mpps/108Mpps（提供官网截图证明及链接）；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2)千兆电口≥8个， 千兆光口≥1个(含1个千兆光模块）；Console口≥1个</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3)支持M-LAG技术，跨设备链路聚合（非堆叠技术实现），要求配对的设备有独立的控制平面；</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4)支持以下上线方式：支持二层广播自动发现网管中心平台；支持配置静态IP地址三层发现网管中心平台；支持DHCP Option43方式发现网管中心平台；支持DNS域名发现网管中心平台；</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5)支持通过网管中心平台一键替换“按钮”即可完成故障设备替换，</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6)支持在交换机上创建东西向安全策略，实现全网安全风险拦截；</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7)本项目的光盒安装在教室和走廊，为满足课堂教学对安静环境的要求，光盒须无风扇散热设计。走廊可能存在风雨侵蚀情况，光盒须具备防尘防水功能。（提供官网截图证明及链接）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16口光盒</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1)交换容量≥336Gbps/3.36Tbps；包转发率≥68Mpps/108Mpps（提供官网截图证明及链接）；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2)千兆电口≥16个，千兆光口≥1个(含1个千兆光模块）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3)支持M-LAG技术，跨设备链路聚合（非堆叠技术实现），要求配对的设备有独立的控制平面；</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4)支持以下上线方式：支持二层广播自动发现网管中心平台；支持配置静态IP地址三层发现网管中心平台；支持DHCP Option43方式发现网管中心平台；支持DNS域名发现网管中心平台；</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5)支持通过网管中心平台一键替换“按钮”即可完成故障设备替换；</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6)支持在光盒上创建东西向安全策略，实现全网安全风险拦截；</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7)本项目的光盒安装在教室和走廊，为满足课堂教学对安静环境的要求，光盒须无风扇散热设计。走廊可能存在风雨侵蚀情况，光盒须具备防尘防水功能。（提供官网截图证明及链接）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千兆光模块</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千兆SFP单模光纤模块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default" w:ascii="Times New Roman" w:hAnsi="Times New Roman" w:eastAsia="宋体"/>
                <w:b w:val="0"/>
                <w:bCs w:val="0"/>
                <w:spacing w:val="0"/>
                <w:sz w:val="21"/>
                <w:szCs w:val="24"/>
                <w:lang w:val="en-US" w:eastAsia="zh-CN" w:bidi="ar-SA"/>
              </w:rPr>
              <w:t>和交换机同品牌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万兆光模块</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SFP+ 万兆单模光模块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default" w:ascii="Times New Roman" w:hAnsi="Times New Roman" w:eastAsia="宋体"/>
                <w:b w:val="0"/>
                <w:bCs w:val="0"/>
                <w:spacing w:val="0"/>
                <w:sz w:val="21"/>
                <w:szCs w:val="24"/>
                <w:lang w:val="en-US" w:eastAsia="zh-CN" w:bidi="ar-SA"/>
              </w:rPr>
              <w:t>和交换机同品牌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面板AP</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1)802.11ax 协议，兼容802.11a/b/g/n/ac协议，支持2.4G和5G同时工作；</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2)支持2.4G 2*2条流及 5G 2*2条流；2.4G最大传输速率≥570Mbps，5G最大传输速率≥1200Mbps，整机最大传输速率≥1.7Gbps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3)上联千兆以太网口≥1个，下联千兆以太网口≥1个</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4)1*pass through≥1对；</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5)单射频接入人数≥128，整机最大接入人数≥240；</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6)支持Fat和Fit 两种工作模式，根据网络规划的需要，可以灵活地在Fat和Fit两种工作模式中切换，同时可以根据应用需求，选择工作模式。</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7)支持基于应用的无线空口的资源管道化精细管理，保证无线带宽资源合理分配，保障重要应用的优先传输；</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8)含授权</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9)为保证兼容性与统一管理，要求本次招标的系统平台管理软件AP与POE交换机兼容或为同一品牌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吸顶AP</w:t>
            </w:r>
          </w:p>
        </w:tc>
        <w:tc>
          <w:tcPr>
            <w:tcW w:w="6120" w:type="dxa"/>
            <w:tcBorders>
              <w:top w:val="single" w:color="000000" w:sz="4" w:space="0"/>
              <w:left w:val="single" w:color="000000" w:sz="4" w:space="0"/>
              <w:bottom w:val="single" w:color="000000" w:sz="4" w:space="0"/>
              <w:right w:val="single" w:color="000000" w:sz="4" w:space="0"/>
            </w:tcBorders>
            <w:shd w:val="clear" w:color="auto" w:fill="auto"/>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1)支持802.11ax 协议，兼容802.11a/b/g/n/ac协议，支持2.4G和5G同时工作，为保障无线网络体验，要求2.4G和5G射频最高支持802.11ax协议；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2)整机采用三射频设计，2.4G最大传输速率≥570Mbps，5G最大传输速率≥2000Mbps，整机最大传输速率≥2.6Gbps；</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3)千兆以太网口≥1个，并需提供1个RJ-45 Console管理口，USB接口≥1个，可外接U盘；</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4)支持对无线网络提供的服务进行检测，包括网络接入、DHCP、网关、DNS、网络地址等阶段的时延和质量检测，并以时光轴的方式进行展示具体时间点的检测情况；</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5)支持对无线网络环境指标进行检测，包括信道总利用率、Wi-Fi信道利用率、非Wi-Fi信道利用率、同频AP数量等，以方便对网络质量进行排查，提供功能截图证明；</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6)支持显示每个802.11干扰源的详细情况，包括BSSID、SSID、厂商、信号强度等信息，以方便对干扰源进行处理，提供功能截图证明；</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7)支持对Wi-Fi报文进行侦听捕获并实时镜像到本地分析设备供网络管理员进行故障排查、优化分析；</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8)支持WIPS/防钓鱼WIFI，要求采用独立射频或增加独立AP（非用户连接射频）对非法接入点进行实时检测、告警及反制，过程中不影响用户正常网络接入；</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9)支持监控内部员工接入非信任无线网络的行为并产生告警日志，支持设置只针对内部员工进行反制，避免错误反制非内部员工引发不必要的纠纷；</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10)无线AP支持联动安全策略，通过安全策略可以实现对疑似感染病毒或已感染病毒的无线客户端进行识别、监控与隔离等多种方式的处理；</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11)含授权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存储系统</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硬件：</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1)企业级，8盘位，万兆双网口，内置2条m.2 snv3410-400G缓存硬盘，8G内存</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2)支持文件管理，支持AD域认证，权限管控，支持多终端设备协同，多终端移动访问，外网访问。</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3)支持数据库文件，系统文件，物理整机，虚拟整机，自动化备份；支持文件的自定义恢复，整机恢复，虚拟机即时挂载恢复，虚拟机内部应急恢复；</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4)支持全文检索、文档管理操作审计日志，外链分享、在线预览、视频在线播放，多人协调编辑；</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5)包含防病毒模块，链路加密模块，网络安全助手模块；</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6)支持基本存储管理、自动化 RAID 管理 、系统监控、日志及告警，远程维护等；</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7)支持SSD缓存加速功能，数据精简功能，快照和卷克隆功能</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服务：</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8)软件支持免费升级更新；</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9)原厂5*8免费服务；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硬盘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Nas机械硬盘，硬盘尺寸3.5英寸，硬盘容量 18T，与存储服务器同品牌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设备24口POE交换机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24个千兆POE电口，2个千兆光口，交换机容量256Gbps，包转发率42Mpps，PoE 最大输出功率 370W，支持 802.3af和802.3at供电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设备8口POE交换机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8个千兆POE电口，2个SFP千兆光口，支持IEEE 802.3af/at供电标准，单端口最大输出PoE功率30W，整机最大输出PoE功率120W，交流电源输入；支持全端口线速转发；交换容量56Gbps，包转发率14.88Mpps；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千兆光模块</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SFP 千兆单模光模块，单模，1310nm，最大传输距离 10km，接头类型：LC</w:t>
            </w:r>
          </w:p>
          <w:p>
            <w:pPr>
              <w:pStyle w:val="396"/>
              <w:spacing w:line="240" w:lineRule="auto"/>
              <w:ind w:left="0" w:leftChars="0" w:firstLine="0" w:firstLineChars="0"/>
              <w:jc w:val="left"/>
              <w:rPr>
                <w:rFonts w:hint="eastAsia" w:ascii="宋体" w:hAnsi="宋体" w:eastAsia="宋体" w:cs="宋体"/>
                <w:b w:val="0"/>
                <w:bCs w:val="0"/>
                <w:kern w:val="2"/>
                <w:sz w:val="22"/>
                <w:szCs w:val="22"/>
                <w:lang w:val="en-US" w:eastAsia="zh-CN" w:bidi="ar-SA"/>
              </w:rPr>
            </w:pPr>
            <w:r>
              <w:rPr>
                <w:rFonts w:hint="default" w:ascii="Times New Roman" w:hAnsi="Times New Roman" w:eastAsia="宋体"/>
                <w:b w:val="0"/>
                <w:bCs w:val="0"/>
                <w:spacing w:val="0"/>
                <w:sz w:val="21"/>
                <w:szCs w:val="24"/>
                <w:lang w:val="en-US" w:eastAsia="zh-CN" w:bidi="ar-SA"/>
              </w:rPr>
              <w:t>和交换机同品牌</w:t>
            </w:r>
          </w:p>
        </w:tc>
      </w:tr>
    </w:tbl>
    <w:p>
      <w:pPr>
        <w:pStyle w:val="396"/>
        <w:spacing w:line="360" w:lineRule="auto"/>
        <w:ind w:left="0" w:leftChars="0" w:firstLine="480" w:firstLineChars="200"/>
        <w:rPr>
          <w:rFonts w:hint="eastAsia" w:ascii="宋体" w:hAnsi="宋体" w:eastAsia="宋体" w:cs="宋体"/>
          <w:kern w:val="2"/>
          <w:sz w:val="24"/>
          <w:szCs w:val="24"/>
          <w:lang w:val="en-US" w:eastAsia="zh-CN" w:bidi="ar-SA"/>
        </w:rPr>
      </w:pP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1、签订合同时必须提供生产厂家对本项目综合布线系统十五年质保的承诺书及授权书原件。</w:t>
      </w:r>
    </w:p>
    <w:p>
      <w:pPr>
        <w:pStyle w:val="396"/>
        <w:spacing w:line="360" w:lineRule="auto"/>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kern w:val="2"/>
          <w:sz w:val="24"/>
          <w:szCs w:val="24"/>
          <w:lang w:val="en-US" w:eastAsia="zh-CN" w:bidi="ar-SA"/>
        </w:rPr>
        <w:t>本项目设备如属于 《节能产品政府采购品目清单》中政府强制采购产品的，必须提供有效期之内的节能产品认证证书或规定网站证书查询截图，否则将作为无效标处理。（包含且不限于以下设备：50寸监视器、电视机）</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3、本项目的核心产品：六类非屏蔽电缆（室内）、室内单模光缆、室外单模光缆、广播控制主机、400万全彩枪式网络摄像机、核心交换机、8口光盒、16口光盒。</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4、签订合同时必须提供本项目核心产品的生产厂家对本项目设备质保的承诺书及授权书原件（如不提供，采购人有权取消其中标资格）。</w:t>
      </w:r>
    </w:p>
    <w:p>
      <w:pPr>
        <w:pStyle w:val="396"/>
        <w:spacing w:line="360" w:lineRule="auto"/>
        <w:ind w:left="0" w:leftChars="0"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5、所供物品具体数量，根据学校需求按实结算。</w:t>
      </w:r>
    </w:p>
    <w:p>
      <w:pPr>
        <w:snapToGrid w:val="0"/>
        <w:spacing w:line="360" w:lineRule="auto"/>
        <w:outlineLvl w:val="0"/>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三、项目工期、履约保证金、付款方式</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1、工期要求：</w:t>
      </w:r>
      <w:r>
        <w:rPr>
          <w:rFonts w:hint="eastAsia" w:ascii="宋体" w:hAnsi="宋体" w:eastAsia="宋体" w:cs="宋体"/>
          <w:kern w:val="2"/>
          <w:sz w:val="24"/>
          <w:szCs w:val="24"/>
          <w:u w:val="single"/>
          <w:lang w:val="en-US" w:eastAsia="zh-CN" w:bidi="ar-SA"/>
        </w:rPr>
        <w:t>8月20日</w:t>
      </w:r>
      <w:r>
        <w:rPr>
          <w:rFonts w:hint="eastAsia" w:ascii="宋体" w:hAnsi="宋体" w:eastAsia="宋体" w:cs="宋体"/>
          <w:kern w:val="2"/>
          <w:sz w:val="24"/>
          <w:szCs w:val="24"/>
          <w:lang w:val="en-US" w:eastAsia="zh-CN" w:bidi="ar-SA"/>
        </w:rPr>
        <w:t>前完成供货安装及调试，施工不得影响学校正常教学活动。</w:t>
      </w:r>
    </w:p>
    <w:p>
      <w:pPr>
        <w:pStyle w:val="396"/>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2、履约保证金：签订合同时，中标人缴纳合同价的0.1%作为履约保证金，验收合格后无息退还。履约保证金可以以保函形式提交。</w:t>
      </w:r>
    </w:p>
    <w:p>
      <w:pPr>
        <w:pStyle w:val="396"/>
        <w:spacing w:line="360" w:lineRule="auto"/>
        <w:ind w:left="0" w:leftChars="0"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付款方式：</w:t>
      </w:r>
      <w:r>
        <w:rPr>
          <w:rFonts w:hint="eastAsia" w:ascii="宋体" w:hAnsi="宋体" w:eastAsia="宋体" w:cs="宋体"/>
          <w:kern w:val="2"/>
          <w:sz w:val="24"/>
          <w:szCs w:val="24"/>
          <w:lang w:val="en-US" w:eastAsia="zh-CN" w:bidi="ar-SA"/>
        </w:rPr>
        <w:t>项目合同签订后并具备实施条件</w:t>
      </w:r>
      <w:r>
        <w:rPr>
          <w:rFonts w:hint="default" w:ascii="宋体" w:hAnsi="宋体" w:eastAsia="宋体" w:cs="宋体"/>
          <w:kern w:val="2"/>
          <w:sz w:val="24"/>
          <w:szCs w:val="24"/>
          <w:lang w:val="en-US" w:eastAsia="zh-CN" w:bidi="ar-SA"/>
        </w:rPr>
        <w:t>7个工件日内，支付项目合同价</w:t>
      </w:r>
      <w:r>
        <w:rPr>
          <w:rFonts w:hint="eastAsia" w:ascii="宋体" w:hAnsi="宋体" w:eastAsia="宋体" w:cs="宋体"/>
          <w:kern w:val="2"/>
          <w:sz w:val="24"/>
          <w:szCs w:val="24"/>
          <w:lang w:val="en-US" w:eastAsia="zh-CN" w:bidi="ar-SA"/>
        </w:rPr>
        <w:t>6</w:t>
      </w:r>
      <w:r>
        <w:rPr>
          <w:rFonts w:hint="default" w:ascii="宋体" w:hAnsi="宋体" w:eastAsia="宋体" w:cs="宋体"/>
          <w:kern w:val="2"/>
          <w:sz w:val="24"/>
          <w:szCs w:val="24"/>
          <w:lang w:val="en-US" w:eastAsia="zh-CN" w:bidi="ar-SA"/>
        </w:rPr>
        <w:t>0%的预付款，项目全部交付并验收合格后支付项目余下款项。（注：中标人向采购人提交银行、保险公司等金融机构出具的预付款保函或其他担保措施。）</w:t>
      </w:r>
    </w:p>
    <w:p>
      <w:pPr>
        <w:tabs>
          <w:tab w:val="left" w:pos="0"/>
        </w:tabs>
        <w:spacing w:line="360" w:lineRule="auto"/>
        <w:ind w:firstLine="480"/>
        <w:rPr>
          <w:rFonts w:hint="eastAsia" w:ascii="宋体" w:hAnsi="宋体" w:eastAsia="宋体" w:cs="宋体"/>
          <w:b/>
          <w:sz w:val="36"/>
          <w:szCs w:val="36"/>
        </w:rPr>
      </w:pPr>
      <w:r>
        <w:rPr>
          <w:rFonts w:hint="eastAsia" w:ascii="宋体" w:hAnsi="宋体" w:eastAsia="宋体" w:cs="宋体"/>
          <w:sz w:val="24"/>
          <w:lang w:val="en-US" w:eastAsia="zh-CN"/>
        </w:rPr>
        <w:br w:type="page"/>
      </w:r>
    </w:p>
    <w:p>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7" w:name="_Toc184314433"/>
      <w:bookmarkEnd w:id="27"/>
      <w:bookmarkStart w:id="28" w:name="_Toc184313264"/>
      <w:bookmarkEnd w:id="28"/>
      <w:bookmarkStart w:id="29" w:name="_Toc184312099"/>
      <w:bookmarkEnd w:id="29"/>
      <w:bookmarkStart w:id="30" w:name="_Toc184313253"/>
      <w:bookmarkEnd w:id="30"/>
      <w:bookmarkStart w:id="31" w:name="_Toc184313263"/>
      <w:bookmarkEnd w:id="31"/>
      <w:bookmarkStart w:id="32" w:name="_Toc184312070"/>
      <w:bookmarkEnd w:id="32"/>
      <w:bookmarkStart w:id="33" w:name="_Toc184313308"/>
      <w:bookmarkEnd w:id="33"/>
      <w:bookmarkStart w:id="34" w:name="_Toc184308058"/>
      <w:bookmarkEnd w:id="34"/>
      <w:bookmarkStart w:id="35" w:name="_Toc184312138"/>
      <w:bookmarkEnd w:id="35"/>
      <w:bookmarkStart w:id="36" w:name="_Toc184313303"/>
      <w:bookmarkEnd w:id="36"/>
      <w:bookmarkStart w:id="37" w:name="_Toc184314430"/>
      <w:bookmarkEnd w:id="37"/>
      <w:bookmarkStart w:id="38" w:name="_Toc184314427"/>
      <w:bookmarkEnd w:id="38"/>
      <w:bookmarkStart w:id="39" w:name="_Toc184313277"/>
      <w:bookmarkEnd w:id="39"/>
      <w:bookmarkStart w:id="40" w:name="_Toc184314460"/>
      <w:bookmarkEnd w:id="40"/>
      <w:bookmarkStart w:id="41" w:name="_Toc184310322"/>
      <w:bookmarkEnd w:id="41"/>
      <w:bookmarkStart w:id="42" w:name="_Toc184308076"/>
      <w:bookmarkEnd w:id="42"/>
      <w:bookmarkStart w:id="43" w:name="_Toc184310302"/>
      <w:bookmarkEnd w:id="43"/>
      <w:bookmarkStart w:id="44" w:name="_Toc184314412"/>
      <w:bookmarkEnd w:id="44"/>
      <w:bookmarkStart w:id="45" w:name="_Toc184308056"/>
      <w:bookmarkEnd w:id="45"/>
      <w:bookmarkStart w:id="46" w:name="_Toc184314423"/>
      <w:bookmarkEnd w:id="46"/>
      <w:bookmarkStart w:id="47" w:name="_Toc184310289"/>
      <w:bookmarkEnd w:id="47"/>
      <w:bookmarkStart w:id="48" w:name="_Toc184310333"/>
      <w:bookmarkEnd w:id="48"/>
      <w:bookmarkStart w:id="49" w:name="_Toc184312083"/>
      <w:bookmarkEnd w:id="49"/>
      <w:bookmarkStart w:id="50" w:name="_Toc184310277"/>
      <w:bookmarkEnd w:id="50"/>
      <w:bookmarkStart w:id="51" w:name="_Toc184313293"/>
      <w:bookmarkEnd w:id="51"/>
      <w:bookmarkStart w:id="52" w:name="_Toc184310278"/>
      <w:bookmarkEnd w:id="52"/>
      <w:bookmarkStart w:id="53" w:name="_Toc184312131"/>
      <w:bookmarkEnd w:id="53"/>
      <w:bookmarkStart w:id="54" w:name="_Toc184313242"/>
      <w:bookmarkEnd w:id="54"/>
      <w:bookmarkStart w:id="55" w:name="_Toc184314438"/>
      <w:bookmarkEnd w:id="55"/>
      <w:bookmarkStart w:id="56" w:name="_Toc184312086"/>
      <w:bookmarkEnd w:id="56"/>
      <w:bookmarkStart w:id="57" w:name="_Toc184313251"/>
      <w:bookmarkEnd w:id="57"/>
      <w:bookmarkStart w:id="58" w:name="_Toc184310336"/>
      <w:bookmarkEnd w:id="58"/>
      <w:bookmarkStart w:id="59" w:name="_Toc184312125"/>
      <w:bookmarkEnd w:id="59"/>
      <w:bookmarkStart w:id="60" w:name="_Toc184308082"/>
      <w:bookmarkEnd w:id="60"/>
      <w:bookmarkStart w:id="61" w:name="_Toc184312127"/>
      <w:bookmarkEnd w:id="61"/>
      <w:bookmarkStart w:id="62" w:name="_Toc184313279"/>
      <w:bookmarkEnd w:id="62"/>
      <w:bookmarkStart w:id="63" w:name="_Toc184314444"/>
      <w:bookmarkEnd w:id="63"/>
      <w:bookmarkStart w:id="64" w:name="_Toc184314410"/>
      <w:bookmarkEnd w:id="64"/>
      <w:bookmarkStart w:id="65" w:name="_Toc184312119"/>
      <w:bookmarkEnd w:id="65"/>
      <w:bookmarkStart w:id="66" w:name="_Toc184313291"/>
      <w:bookmarkEnd w:id="66"/>
      <w:bookmarkStart w:id="67" w:name="_Toc184312085"/>
      <w:bookmarkEnd w:id="67"/>
      <w:bookmarkStart w:id="68" w:name="_Toc184310329"/>
      <w:bookmarkEnd w:id="68"/>
      <w:bookmarkStart w:id="69" w:name="_Toc184312118"/>
      <w:bookmarkEnd w:id="69"/>
      <w:bookmarkStart w:id="70" w:name="_Toc184313298"/>
      <w:bookmarkEnd w:id="70"/>
      <w:bookmarkStart w:id="71" w:name="_Toc184308096"/>
      <w:bookmarkEnd w:id="71"/>
      <w:bookmarkStart w:id="72" w:name="_Toc184314420"/>
      <w:bookmarkEnd w:id="72"/>
      <w:bookmarkStart w:id="73" w:name="_Toc184313257"/>
      <w:bookmarkEnd w:id="73"/>
      <w:bookmarkStart w:id="74" w:name="_Toc184310342"/>
      <w:bookmarkEnd w:id="74"/>
      <w:bookmarkStart w:id="75" w:name="_Toc184313265"/>
      <w:bookmarkEnd w:id="75"/>
      <w:bookmarkStart w:id="76" w:name="_Toc184310310"/>
      <w:bookmarkEnd w:id="76"/>
      <w:bookmarkStart w:id="77" w:name="_Toc184308037"/>
      <w:bookmarkEnd w:id="77"/>
      <w:bookmarkStart w:id="78" w:name="_Toc184313249"/>
      <w:bookmarkEnd w:id="78"/>
      <w:bookmarkStart w:id="79" w:name="_Toc184314418"/>
      <w:bookmarkEnd w:id="79"/>
      <w:bookmarkStart w:id="80" w:name="_Toc184308049"/>
      <w:bookmarkEnd w:id="80"/>
      <w:bookmarkStart w:id="81" w:name="_Toc184314466"/>
      <w:bookmarkEnd w:id="81"/>
      <w:bookmarkStart w:id="82" w:name="_Toc184314469"/>
      <w:bookmarkEnd w:id="82"/>
      <w:bookmarkStart w:id="83" w:name="_Toc184314476"/>
      <w:bookmarkEnd w:id="83"/>
      <w:bookmarkStart w:id="84" w:name="_Toc184314411"/>
      <w:bookmarkEnd w:id="84"/>
      <w:bookmarkStart w:id="85" w:name="_Toc184312078"/>
      <w:bookmarkEnd w:id="85"/>
      <w:bookmarkStart w:id="86" w:name="_Toc184313262"/>
      <w:bookmarkEnd w:id="86"/>
      <w:bookmarkStart w:id="87" w:name="_Toc184310299"/>
      <w:bookmarkEnd w:id="87"/>
      <w:bookmarkStart w:id="88" w:name="_Toc184313256"/>
      <w:bookmarkEnd w:id="88"/>
      <w:bookmarkStart w:id="89" w:name="_Toc184312137"/>
      <w:bookmarkEnd w:id="89"/>
      <w:bookmarkStart w:id="90" w:name="_Toc184313286"/>
      <w:bookmarkEnd w:id="90"/>
      <w:bookmarkStart w:id="91" w:name="_Toc184308046"/>
      <w:bookmarkEnd w:id="91"/>
      <w:bookmarkStart w:id="92" w:name="_Toc184314439"/>
      <w:bookmarkEnd w:id="92"/>
      <w:bookmarkStart w:id="93" w:name="_Toc184310273"/>
      <w:bookmarkEnd w:id="93"/>
      <w:bookmarkStart w:id="94" w:name="_Toc184312122"/>
      <w:bookmarkEnd w:id="94"/>
      <w:bookmarkStart w:id="95" w:name="_Toc184314413"/>
      <w:bookmarkEnd w:id="95"/>
      <w:bookmarkStart w:id="96" w:name="_Toc184308059"/>
      <w:bookmarkEnd w:id="96"/>
      <w:bookmarkStart w:id="97" w:name="_Toc184313238"/>
      <w:bookmarkEnd w:id="97"/>
      <w:bookmarkStart w:id="98" w:name="_Toc184313246"/>
      <w:bookmarkEnd w:id="98"/>
      <w:bookmarkStart w:id="99" w:name="_Toc184312098"/>
      <w:bookmarkEnd w:id="99"/>
      <w:bookmarkStart w:id="100" w:name="_Toc184308038"/>
      <w:bookmarkEnd w:id="100"/>
      <w:bookmarkStart w:id="101" w:name="_Toc184308102"/>
      <w:bookmarkEnd w:id="101"/>
      <w:bookmarkStart w:id="102" w:name="_Toc184312116"/>
      <w:bookmarkEnd w:id="102"/>
      <w:bookmarkStart w:id="103" w:name="_Toc184314436"/>
      <w:bookmarkEnd w:id="103"/>
      <w:bookmarkStart w:id="104" w:name="_Toc184314417"/>
      <w:bookmarkEnd w:id="104"/>
      <w:bookmarkStart w:id="105" w:name="_Toc184310287"/>
      <w:bookmarkEnd w:id="105"/>
      <w:bookmarkStart w:id="106" w:name="_Toc184314464"/>
      <w:bookmarkEnd w:id="106"/>
      <w:bookmarkStart w:id="107" w:name="_Toc184312113"/>
      <w:bookmarkEnd w:id="107"/>
      <w:bookmarkStart w:id="108" w:name="_Toc184310313"/>
      <w:bookmarkEnd w:id="108"/>
      <w:bookmarkStart w:id="109" w:name="_Toc184313268"/>
      <w:bookmarkEnd w:id="109"/>
      <w:bookmarkStart w:id="110" w:name="_Toc184313271"/>
      <w:bookmarkEnd w:id="110"/>
      <w:bookmarkStart w:id="111" w:name="_Toc184310285"/>
      <w:bookmarkEnd w:id="111"/>
      <w:bookmarkStart w:id="112" w:name="_Toc184310314"/>
      <w:bookmarkEnd w:id="112"/>
      <w:bookmarkStart w:id="113" w:name="_Toc184312088"/>
      <w:bookmarkEnd w:id="113"/>
      <w:bookmarkStart w:id="114" w:name="_Toc184312109"/>
      <w:bookmarkEnd w:id="114"/>
      <w:bookmarkStart w:id="115" w:name="_Toc184308055"/>
      <w:bookmarkEnd w:id="115"/>
      <w:bookmarkStart w:id="116" w:name="_Toc184312111"/>
      <w:bookmarkEnd w:id="116"/>
      <w:bookmarkStart w:id="117" w:name="_Toc184314446"/>
      <w:bookmarkEnd w:id="117"/>
      <w:bookmarkStart w:id="118" w:name="_Toc184308039"/>
      <w:bookmarkEnd w:id="118"/>
      <w:bookmarkStart w:id="119" w:name="_Toc184314441"/>
      <w:bookmarkEnd w:id="119"/>
      <w:bookmarkStart w:id="120" w:name="_Toc184314416"/>
      <w:bookmarkEnd w:id="120"/>
      <w:bookmarkStart w:id="121" w:name="_Toc184312077"/>
      <w:bookmarkEnd w:id="121"/>
      <w:bookmarkStart w:id="122" w:name="_Toc184313250"/>
      <w:bookmarkEnd w:id="122"/>
      <w:bookmarkStart w:id="123" w:name="_Toc184310274"/>
      <w:bookmarkEnd w:id="123"/>
      <w:bookmarkStart w:id="124" w:name="_Toc184313272"/>
      <w:bookmarkEnd w:id="124"/>
      <w:bookmarkStart w:id="125" w:name="_Toc184310308"/>
      <w:bookmarkEnd w:id="125"/>
      <w:bookmarkStart w:id="126" w:name="_Toc184308044"/>
      <w:bookmarkEnd w:id="126"/>
      <w:bookmarkStart w:id="127" w:name="_Toc184313310"/>
      <w:bookmarkEnd w:id="127"/>
      <w:bookmarkStart w:id="128" w:name="_Toc184312123"/>
      <w:bookmarkEnd w:id="128"/>
      <w:bookmarkStart w:id="129" w:name="_Toc184310343"/>
      <w:bookmarkEnd w:id="129"/>
      <w:bookmarkStart w:id="130" w:name="_Toc184312095"/>
      <w:bookmarkEnd w:id="130"/>
      <w:bookmarkStart w:id="131" w:name="_Toc184310275"/>
      <w:bookmarkEnd w:id="131"/>
      <w:bookmarkStart w:id="132" w:name="_Toc184308043"/>
      <w:bookmarkEnd w:id="132"/>
      <w:bookmarkStart w:id="133" w:name="_Toc184314451"/>
      <w:bookmarkEnd w:id="133"/>
      <w:bookmarkStart w:id="134" w:name="_Toc184308094"/>
      <w:bookmarkEnd w:id="134"/>
      <w:bookmarkStart w:id="135" w:name="_Toc184312133"/>
      <w:bookmarkEnd w:id="135"/>
      <w:bookmarkStart w:id="136" w:name="_Toc184312110"/>
      <w:bookmarkEnd w:id="136"/>
      <w:bookmarkStart w:id="137" w:name="_Toc184314465"/>
      <w:bookmarkEnd w:id="137"/>
      <w:bookmarkStart w:id="138" w:name="_Toc184310311"/>
      <w:bookmarkEnd w:id="138"/>
      <w:bookmarkStart w:id="139" w:name="_Toc184308071"/>
      <w:bookmarkEnd w:id="139"/>
      <w:bookmarkStart w:id="140" w:name="_Toc184312097"/>
      <w:bookmarkEnd w:id="140"/>
      <w:bookmarkStart w:id="141" w:name="_Toc184313243"/>
      <w:bookmarkEnd w:id="141"/>
      <w:bookmarkStart w:id="142" w:name="_Toc184314432"/>
      <w:bookmarkEnd w:id="142"/>
      <w:bookmarkStart w:id="143" w:name="_Toc184308065"/>
      <w:bookmarkEnd w:id="143"/>
      <w:bookmarkStart w:id="144" w:name="_Toc184310300"/>
      <w:bookmarkEnd w:id="144"/>
      <w:bookmarkStart w:id="145" w:name="_Toc184308078"/>
      <w:bookmarkEnd w:id="145"/>
      <w:bookmarkStart w:id="146" w:name="_Toc184313255"/>
      <w:bookmarkEnd w:id="146"/>
      <w:bookmarkStart w:id="147" w:name="_Toc184312090"/>
      <w:bookmarkEnd w:id="147"/>
      <w:bookmarkStart w:id="148" w:name="_Toc184314440"/>
      <w:bookmarkEnd w:id="148"/>
      <w:bookmarkStart w:id="149" w:name="_Toc184308040"/>
      <w:bookmarkEnd w:id="149"/>
      <w:bookmarkStart w:id="150" w:name="_Toc184312101"/>
      <w:bookmarkEnd w:id="150"/>
      <w:bookmarkStart w:id="151" w:name="_Toc184313309"/>
      <w:bookmarkEnd w:id="151"/>
      <w:bookmarkStart w:id="152" w:name="_Toc184312071"/>
      <w:bookmarkEnd w:id="152"/>
      <w:bookmarkStart w:id="153" w:name="_Toc184314414"/>
      <w:bookmarkEnd w:id="153"/>
      <w:bookmarkStart w:id="154" w:name="_Toc184314424"/>
      <w:bookmarkEnd w:id="154"/>
      <w:bookmarkStart w:id="155" w:name="_Toc184313259"/>
      <w:bookmarkEnd w:id="155"/>
      <w:bookmarkStart w:id="156" w:name="_Toc184308093"/>
      <w:bookmarkEnd w:id="156"/>
      <w:bookmarkStart w:id="157" w:name="_Toc184314421"/>
      <w:bookmarkEnd w:id="157"/>
      <w:bookmarkStart w:id="158" w:name="_Toc184310279"/>
      <w:bookmarkEnd w:id="158"/>
      <w:bookmarkStart w:id="159" w:name="_Toc184313245"/>
      <w:bookmarkEnd w:id="159"/>
      <w:bookmarkStart w:id="160" w:name="_Toc184308047"/>
      <w:bookmarkEnd w:id="160"/>
      <w:bookmarkStart w:id="161" w:name="_Toc184310292"/>
      <w:bookmarkEnd w:id="161"/>
      <w:bookmarkStart w:id="162" w:name="_Toc184308105"/>
      <w:bookmarkEnd w:id="162"/>
      <w:bookmarkStart w:id="163" w:name="_Toc184313247"/>
      <w:bookmarkEnd w:id="163"/>
      <w:bookmarkStart w:id="164" w:name="_Toc184308069"/>
      <w:bookmarkEnd w:id="164"/>
      <w:bookmarkStart w:id="165" w:name="_Toc184312117"/>
      <w:bookmarkEnd w:id="165"/>
      <w:bookmarkStart w:id="166" w:name="_Toc184310296"/>
      <w:bookmarkEnd w:id="166"/>
      <w:bookmarkStart w:id="167" w:name="_Toc184312126"/>
      <w:bookmarkEnd w:id="167"/>
      <w:bookmarkStart w:id="168" w:name="_Toc184314453"/>
      <w:bookmarkEnd w:id="168"/>
      <w:bookmarkStart w:id="169" w:name="_Toc184310293"/>
      <w:bookmarkEnd w:id="169"/>
      <w:bookmarkStart w:id="170" w:name="_Toc184314461"/>
      <w:bookmarkEnd w:id="170"/>
      <w:bookmarkStart w:id="171" w:name="_Toc184310291"/>
      <w:bookmarkEnd w:id="171"/>
      <w:bookmarkStart w:id="172" w:name="_Toc184314429"/>
      <w:bookmarkEnd w:id="172"/>
      <w:bookmarkStart w:id="173" w:name="_Toc184310321"/>
      <w:bookmarkEnd w:id="173"/>
      <w:bookmarkStart w:id="174" w:name="_Toc184308103"/>
      <w:bookmarkEnd w:id="174"/>
      <w:bookmarkStart w:id="175" w:name="_Toc184308054"/>
      <w:bookmarkEnd w:id="175"/>
      <w:bookmarkStart w:id="176" w:name="_Toc184312089"/>
      <w:bookmarkEnd w:id="176"/>
      <w:bookmarkStart w:id="177" w:name="_Toc184310319"/>
      <w:bookmarkEnd w:id="177"/>
      <w:bookmarkStart w:id="178" w:name="_Toc184310344"/>
      <w:bookmarkEnd w:id="178"/>
      <w:bookmarkStart w:id="179" w:name="_Toc184312093"/>
      <w:bookmarkEnd w:id="179"/>
      <w:bookmarkStart w:id="180" w:name="_Toc184312114"/>
      <w:bookmarkEnd w:id="180"/>
      <w:bookmarkStart w:id="181" w:name="_Toc184313292"/>
      <w:bookmarkEnd w:id="181"/>
      <w:bookmarkStart w:id="182" w:name="_Toc184310307"/>
      <w:bookmarkEnd w:id="182"/>
      <w:bookmarkStart w:id="183" w:name="_Toc184313294"/>
      <w:bookmarkEnd w:id="183"/>
      <w:bookmarkStart w:id="184" w:name="_Toc184310334"/>
      <w:bookmarkEnd w:id="184"/>
      <w:bookmarkStart w:id="185" w:name="_Toc184313278"/>
      <w:bookmarkEnd w:id="185"/>
      <w:bookmarkStart w:id="186" w:name="_Toc184313260"/>
      <w:bookmarkEnd w:id="186"/>
      <w:bookmarkStart w:id="187" w:name="_Toc184312074"/>
      <w:bookmarkEnd w:id="187"/>
      <w:bookmarkStart w:id="188" w:name="_Toc184314481"/>
      <w:bookmarkEnd w:id="188"/>
      <w:bookmarkStart w:id="189" w:name="_Toc184308101"/>
      <w:bookmarkEnd w:id="189"/>
      <w:bookmarkStart w:id="190" w:name="_Toc184314480"/>
      <w:bookmarkEnd w:id="190"/>
      <w:bookmarkStart w:id="191" w:name="_Toc184313285"/>
      <w:bookmarkEnd w:id="191"/>
      <w:bookmarkStart w:id="192" w:name="_Toc184310338"/>
      <w:bookmarkEnd w:id="192"/>
      <w:bookmarkStart w:id="193" w:name="_Toc184313297"/>
      <w:bookmarkEnd w:id="193"/>
      <w:bookmarkStart w:id="194" w:name="_Toc184314419"/>
      <w:bookmarkEnd w:id="194"/>
      <w:bookmarkStart w:id="195" w:name="_Toc184308080"/>
      <w:bookmarkEnd w:id="195"/>
      <w:bookmarkStart w:id="196" w:name="_Toc184314415"/>
      <w:bookmarkEnd w:id="196"/>
      <w:bookmarkStart w:id="197" w:name="_Toc184312105"/>
      <w:bookmarkEnd w:id="197"/>
      <w:bookmarkStart w:id="198" w:name="_Toc184310315"/>
      <w:bookmarkEnd w:id="198"/>
      <w:bookmarkStart w:id="199" w:name="_Toc184308088"/>
      <w:bookmarkEnd w:id="199"/>
      <w:bookmarkStart w:id="200" w:name="_Toc184308060"/>
      <w:bookmarkEnd w:id="200"/>
      <w:bookmarkStart w:id="201" w:name="_Toc184314477"/>
      <w:bookmarkEnd w:id="201"/>
      <w:bookmarkStart w:id="202" w:name="_Toc184313302"/>
      <w:bookmarkEnd w:id="202"/>
      <w:bookmarkStart w:id="203" w:name="_Toc184312128"/>
      <w:bookmarkEnd w:id="203"/>
      <w:bookmarkStart w:id="204" w:name="_Toc184308062"/>
      <w:bookmarkEnd w:id="204"/>
      <w:bookmarkStart w:id="205" w:name="_Toc184308061"/>
      <w:bookmarkEnd w:id="205"/>
      <w:bookmarkStart w:id="206" w:name="_Toc184308073"/>
      <w:bookmarkEnd w:id="206"/>
      <w:bookmarkStart w:id="207" w:name="_Toc184313248"/>
      <w:bookmarkEnd w:id="207"/>
      <w:bookmarkStart w:id="208" w:name="_Toc184314443"/>
      <w:bookmarkEnd w:id="208"/>
      <w:bookmarkStart w:id="209" w:name="_Toc184308084"/>
      <w:bookmarkEnd w:id="209"/>
      <w:bookmarkStart w:id="210" w:name="_Toc184308045"/>
      <w:bookmarkEnd w:id="210"/>
      <w:bookmarkStart w:id="211" w:name="_Toc184314463"/>
      <w:bookmarkEnd w:id="211"/>
      <w:bookmarkStart w:id="212" w:name="_Toc184308077"/>
      <w:bookmarkEnd w:id="212"/>
      <w:bookmarkStart w:id="213" w:name="_Toc184314425"/>
      <w:bookmarkEnd w:id="213"/>
      <w:bookmarkStart w:id="214" w:name="_Toc184308050"/>
      <w:bookmarkEnd w:id="214"/>
      <w:bookmarkStart w:id="215" w:name="_Toc184312102"/>
      <w:bookmarkEnd w:id="215"/>
      <w:bookmarkStart w:id="216" w:name="_Toc184308051"/>
      <w:bookmarkEnd w:id="216"/>
      <w:bookmarkStart w:id="217" w:name="_Toc184308090"/>
      <w:bookmarkEnd w:id="217"/>
      <w:bookmarkStart w:id="218" w:name="_Toc184314462"/>
      <w:bookmarkEnd w:id="218"/>
      <w:bookmarkStart w:id="219" w:name="_Toc184313252"/>
      <w:bookmarkEnd w:id="219"/>
      <w:bookmarkStart w:id="220" w:name="_Toc184310332"/>
      <w:bookmarkEnd w:id="220"/>
      <w:bookmarkStart w:id="221" w:name="_Toc184310340"/>
      <w:bookmarkEnd w:id="221"/>
      <w:bookmarkStart w:id="222" w:name="_Toc184314445"/>
      <w:bookmarkEnd w:id="222"/>
      <w:bookmarkStart w:id="223" w:name="_Toc184313244"/>
      <w:bookmarkEnd w:id="223"/>
      <w:bookmarkStart w:id="224" w:name="_Toc184308048"/>
      <w:bookmarkEnd w:id="224"/>
      <w:bookmarkStart w:id="225" w:name="_Toc184312106"/>
      <w:bookmarkEnd w:id="225"/>
      <w:bookmarkStart w:id="226" w:name="_Toc184312073"/>
      <w:bookmarkEnd w:id="226"/>
      <w:bookmarkStart w:id="227" w:name="_Toc184313275"/>
      <w:bookmarkEnd w:id="227"/>
      <w:bookmarkStart w:id="228" w:name="_Toc184313296"/>
      <w:bookmarkEnd w:id="228"/>
      <w:bookmarkStart w:id="229" w:name="_Toc184310323"/>
      <w:bookmarkEnd w:id="229"/>
      <w:bookmarkStart w:id="230" w:name="_Toc184310318"/>
      <w:bookmarkEnd w:id="230"/>
      <w:bookmarkStart w:id="231" w:name="_Toc184313261"/>
      <w:bookmarkEnd w:id="231"/>
      <w:bookmarkStart w:id="232" w:name="_Toc184313288"/>
      <w:bookmarkEnd w:id="232"/>
      <w:bookmarkStart w:id="233" w:name="_Toc184310280"/>
      <w:bookmarkEnd w:id="233"/>
      <w:bookmarkStart w:id="234" w:name="_Toc184308068"/>
      <w:bookmarkEnd w:id="234"/>
      <w:bookmarkStart w:id="235" w:name="_Toc184314448"/>
      <w:bookmarkEnd w:id="235"/>
      <w:bookmarkStart w:id="236" w:name="_Toc184310282"/>
      <w:bookmarkEnd w:id="236"/>
      <w:bookmarkStart w:id="237" w:name="_Toc184312069"/>
      <w:bookmarkEnd w:id="237"/>
      <w:bookmarkStart w:id="238" w:name="_Toc184308106"/>
      <w:bookmarkEnd w:id="238"/>
      <w:bookmarkStart w:id="239" w:name="_Toc184312120"/>
      <w:bookmarkEnd w:id="239"/>
      <w:bookmarkStart w:id="240" w:name="_Toc184310325"/>
      <w:bookmarkEnd w:id="240"/>
      <w:bookmarkStart w:id="241" w:name="_Toc184312121"/>
      <w:bookmarkEnd w:id="241"/>
      <w:bookmarkStart w:id="242" w:name="_Toc184313241"/>
      <w:bookmarkEnd w:id="242"/>
      <w:bookmarkStart w:id="243" w:name="_Toc184314458"/>
      <w:bookmarkEnd w:id="243"/>
      <w:bookmarkStart w:id="244" w:name="_Toc184308099"/>
      <w:bookmarkEnd w:id="244"/>
      <w:bookmarkStart w:id="245" w:name="_Toc184313283"/>
      <w:bookmarkEnd w:id="245"/>
      <w:bookmarkStart w:id="246" w:name="_Toc184308089"/>
      <w:bookmarkEnd w:id="246"/>
      <w:bookmarkStart w:id="247" w:name="_Toc184310337"/>
      <w:bookmarkEnd w:id="247"/>
      <w:bookmarkStart w:id="248" w:name="_Toc184313287"/>
      <w:bookmarkEnd w:id="248"/>
      <w:bookmarkStart w:id="249" w:name="_Toc184312130"/>
      <w:bookmarkEnd w:id="249"/>
      <w:bookmarkStart w:id="250" w:name="_Toc184314455"/>
      <w:bookmarkEnd w:id="250"/>
      <w:bookmarkStart w:id="251" w:name="_Toc184308067"/>
      <w:bookmarkEnd w:id="251"/>
      <w:bookmarkStart w:id="252" w:name="_Toc184312080"/>
      <w:bookmarkEnd w:id="252"/>
      <w:bookmarkStart w:id="253" w:name="_Toc184312129"/>
      <w:bookmarkEnd w:id="253"/>
      <w:bookmarkStart w:id="254" w:name="_Toc184314456"/>
      <w:bookmarkEnd w:id="254"/>
      <w:bookmarkStart w:id="255" w:name="_Toc184308097"/>
      <w:bookmarkEnd w:id="255"/>
      <w:bookmarkStart w:id="256" w:name="_Toc184308087"/>
      <w:bookmarkEnd w:id="256"/>
      <w:bookmarkStart w:id="257" w:name="_Toc184313307"/>
      <w:bookmarkEnd w:id="257"/>
      <w:bookmarkStart w:id="258" w:name="_Toc184314457"/>
      <w:bookmarkEnd w:id="258"/>
      <w:bookmarkStart w:id="259" w:name="_Toc184310294"/>
      <w:bookmarkEnd w:id="259"/>
      <w:bookmarkStart w:id="260" w:name="_Toc184313304"/>
      <w:bookmarkEnd w:id="260"/>
      <w:bookmarkStart w:id="261" w:name="_Toc184314475"/>
      <w:bookmarkEnd w:id="261"/>
      <w:bookmarkStart w:id="262" w:name="_Toc184314472"/>
      <w:bookmarkEnd w:id="262"/>
      <w:bookmarkStart w:id="263" w:name="_Toc184310316"/>
      <w:bookmarkEnd w:id="263"/>
      <w:bookmarkStart w:id="264" w:name="_Toc184310281"/>
      <w:bookmarkEnd w:id="264"/>
      <w:bookmarkStart w:id="265" w:name="_Toc184312091"/>
      <w:bookmarkEnd w:id="265"/>
      <w:bookmarkStart w:id="266" w:name="_Toc184312124"/>
      <w:bookmarkEnd w:id="266"/>
      <w:bookmarkStart w:id="267" w:name="_Toc184314478"/>
      <w:bookmarkEnd w:id="267"/>
      <w:bookmarkStart w:id="268" w:name="_Toc184310335"/>
      <w:bookmarkEnd w:id="268"/>
      <w:bookmarkStart w:id="269" w:name="_Toc184313269"/>
      <w:bookmarkEnd w:id="269"/>
      <w:bookmarkStart w:id="270" w:name="_Toc184313266"/>
      <w:bookmarkEnd w:id="270"/>
      <w:bookmarkStart w:id="271" w:name="_Toc184308042"/>
      <w:bookmarkEnd w:id="271"/>
      <w:bookmarkStart w:id="272" w:name="_Toc184312115"/>
      <w:bookmarkEnd w:id="272"/>
      <w:bookmarkStart w:id="273" w:name="_Toc184312139"/>
      <w:bookmarkEnd w:id="273"/>
      <w:bookmarkStart w:id="274" w:name="_Toc184313267"/>
      <w:bookmarkEnd w:id="274"/>
      <w:bookmarkStart w:id="275" w:name="_Toc184310317"/>
      <w:bookmarkEnd w:id="275"/>
      <w:bookmarkStart w:id="276" w:name="_Toc184313281"/>
      <w:bookmarkEnd w:id="276"/>
      <w:bookmarkStart w:id="277" w:name="_Toc184308041"/>
      <w:bookmarkEnd w:id="277"/>
      <w:bookmarkStart w:id="278" w:name="_Toc184310330"/>
      <w:bookmarkEnd w:id="278"/>
      <w:bookmarkStart w:id="279" w:name="_Toc184314435"/>
      <w:bookmarkEnd w:id="279"/>
      <w:bookmarkStart w:id="280" w:name="_Toc184314459"/>
      <w:bookmarkEnd w:id="280"/>
      <w:bookmarkStart w:id="281" w:name="_Toc184310331"/>
      <w:bookmarkEnd w:id="281"/>
      <w:bookmarkStart w:id="282" w:name="_Toc184314447"/>
      <w:bookmarkEnd w:id="282"/>
      <w:bookmarkStart w:id="283" w:name="_Toc184308036"/>
      <w:bookmarkEnd w:id="283"/>
      <w:bookmarkStart w:id="284" w:name="_Toc184310303"/>
      <w:bookmarkEnd w:id="284"/>
      <w:bookmarkStart w:id="285" w:name="_Toc184308083"/>
      <w:bookmarkEnd w:id="285"/>
      <w:bookmarkStart w:id="286" w:name="_Toc184313270"/>
      <w:bookmarkEnd w:id="286"/>
      <w:bookmarkStart w:id="287" w:name="_Toc184310324"/>
      <w:bookmarkEnd w:id="287"/>
      <w:bookmarkStart w:id="288" w:name="_Toc184312076"/>
      <w:bookmarkEnd w:id="288"/>
      <w:bookmarkStart w:id="289" w:name="_Toc184314473"/>
      <w:bookmarkEnd w:id="289"/>
      <w:bookmarkStart w:id="290" w:name="_Toc184314450"/>
      <w:bookmarkEnd w:id="290"/>
      <w:bookmarkStart w:id="291" w:name="_Toc184314467"/>
      <w:bookmarkEnd w:id="291"/>
      <w:bookmarkStart w:id="292" w:name="_Toc184310298"/>
      <w:bookmarkEnd w:id="292"/>
      <w:bookmarkStart w:id="293" w:name="_Toc184314452"/>
      <w:bookmarkEnd w:id="293"/>
      <w:bookmarkStart w:id="294" w:name="_Toc184310309"/>
      <w:bookmarkEnd w:id="294"/>
      <w:bookmarkStart w:id="295" w:name="_Toc184314471"/>
      <w:bookmarkEnd w:id="295"/>
      <w:bookmarkStart w:id="296" w:name="_Toc184310320"/>
      <w:bookmarkEnd w:id="296"/>
      <w:bookmarkStart w:id="297" w:name="_Toc184312079"/>
      <w:bookmarkEnd w:id="297"/>
      <w:bookmarkStart w:id="298" w:name="_Toc184308086"/>
      <w:bookmarkEnd w:id="298"/>
      <w:bookmarkStart w:id="299" w:name="_Toc184313273"/>
      <w:bookmarkEnd w:id="299"/>
      <w:bookmarkStart w:id="300" w:name="_Toc184308074"/>
      <w:bookmarkEnd w:id="300"/>
      <w:bookmarkStart w:id="301" w:name="_Toc184314479"/>
      <w:bookmarkEnd w:id="301"/>
      <w:bookmarkStart w:id="302" w:name="_Toc184308081"/>
      <w:bookmarkEnd w:id="302"/>
      <w:bookmarkStart w:id="303" w:name="_Toc184310327"/>
      <w:bookmarkEnd w:id="303"/>
      <w:bookmarkStart w:id="304" w:name="_Toc184314482"/>
      <w:bookmarkEnd w:id="304"/>
      <w:bookmarkStart w:id="305" w:name="_Toc184312084"/>
      <w:bookmarkEnd w:id="305"/>
      <w:bookmarkStart w:id="306" w:name="_Toc184308085"/>
      <w:bookmarkEnd w:id="306"/>
      <w:bookmarkStart w:id="307" w:name="_Toc184310297"/>
      <w:bookmarkEnd w:id="307"/>
      <w:bookmarkStart w:id="308" w:name="_Toc184310276"/>
      <w:bookmarkEnd w:id="308"/>
      <w:bookmarkStart w:id="309" w:name="_Toc184312096"/>
      <w:bookmarkEnd w:id="309"/>
      <w:bookmarkStart w:id="310" w:name="_Toc184313282"/>
      <w:bookmarkEnd w:id="310"/>
      <w:bookmarkStart w:id="311" w:name="_Toc184310306"/>
      <w:bookmarkEnd w:id="311"/>
      <w:bookmarkStart w:id="312" w:name="_Toc184310301"/>
      <w:bookmarkEnd w:id="312"/>
      <w:bookmarkStart w:id="313" w:name="_Toc184313240"/>
      <w:bookmarkEnd w:id="313"/>
      <w:bookmarkStart w:id="314" w:name="_Toc184312104"/>
      <w:bookmarkEnd w:id="314"/>
      <w:bookmarkStart w:id="315" w:name="_Toc184308104"/>
      <w:bookmarkEnd w:id="315"/>
      <w:bookmarkStart w:id="316" w:name="_Toc184310326"/>
      <w:bookmarkEnd w:id="316"/>
      <w:bookmarkStart w:id="317" w:name="_Toc184312107"/>
      <w:bookmarkEnd w:id="317"/>
      <w:bookmarkStart w:id="318" w:name="_Toc184310339"/>
      <w:bookmarkEnd w:id="318"/>
      <w:bookmarkStart w:id="319" w:name="_Toc184308095"/>
      <w:bookmarkEnd w:id="319"/>
      <w:bookmarkStart w:id="320" w:name="_Toc184312072"/>
      <w:bookmarkEnd w:id="320"/>
      <w:bookmarkStart w:id="321" w:name="_Toc184308107"/>
      <w:bookmarkEnd w:id="321"/>
      <w:bookmarkStart w:id="322" w:name="_Toc184314474"/>
      <w:bookmarkEnd w:id="322"/>
      <w:bookmarkStart w:id="323" w:name="_Toc184314449"/>
      <w:bookmarkEnd w:id="323"/>
      <w:bookmarkStart w:id="324" w:name="_Toc184312094"/>
      <w:bookmarkEnd w:id="324"/>
      <w:bookmarkStart w:id="325" w:name="_Toc184313289"/>
      <w:bookmarkEnd w:id="325"/>
      <w:bookmarkStart w:id="326" w:name="_Toc184308052"/>
      <w:bookmarkEnd w:id="326"/>
      <w:bookmarkStart w:id="327" w:name="_Toc184312108"/>
      <w:bookmarkEnd w:id="327"/>
      <w:bookmarkStart w:id="328" w:name="_Toc184313301"/>
      <w:bookmarkEnd w:id="328"/>
      <w:bookmarkStart w:id="329" w:name="_Toc184308072"/>
      <w:bookmarkEnd w:id="329"/>
      <w:bookmarkStart w:id="330" w:name="_Toc184314434"/>
      <w:bookmarkEnd w:id="330"/>
      <w:bookmarkStart w:id="331" w:name="_Toc184312100"/>
      <w:bookmarkEnd w:id="331"/>
      <w:bookmarkStart w:id="332" w:name="_Toc184308092"/>
      <w:bookmarkEnd w:id="332"/>
      <w:bookmarkStart w:id="333" w:name="_Toc184308091"/>
      <w:bookmarkEnd w:id="333"/>
      <w:bookmarkStart w:id="334" w:name="_Toc184312136"/>
      <w:bookmarkEnd w:id="334"/>
      <w:bookmarkStart w:id="335" w:name="_Toc184308064"/>
      <w:bookmarkEnd w:id="335"/>
      <w:bookmarkStart w:id="336" w:name="_Toc184314428"/>
      <w:bookmarkEnd w:id="336"/>
      <w:bookmarkStart w:id="337" w:name="_Toc184312068"/>
      <w:bookmarkEnd w:id="337"/>
      <w:bookmarkStart w:id="338" w:name="_Toc184308066"/>
      <w:bookmarkEnd w:id="338"/>
      <w:bookmarkStart w:id="339" w:name="_Toc184310272"/>
      <w:bookmarkEnd w:id="339"/>
      <w:bookmarkStart w:id="340" w:name="_Toc184308075"/>
      <w:bookmarkEnd w:id="340"/>
      <w:bookmarkStart w:id="341" w:name="_Toc184313276"/>
      <w:bookmarkEnd w:id="341"/>
      <w:bookmarkStart w:id="342" w:name="_Toc184310283"/>
      <w:bookmarkEnd w:id="342"/>
      <w:bookmarkStart w:id="343" w:name="_Toc184314426"/>
      <w:bookmarkEnd w:id="343"/>
      <w:bookmarkStart w:id="344" w:name="_Toc184312132"/>
      <w:bookmarkEnd w:id="344"/>
      <w:bookmarkStart w:id="345" w:name="_Toc184312082"/>
      <w:bookmarkEnd w:id="345"/>
      <w:bookmarkStart w:id="346" w:name="_Toc184310341"/>
      <w:bookmarkEnd w:id="346"/>
      <w:bookmarkStart w:id="347" w:name="_Toc184313254"/>
      <w:bookmarkEnd w:id="347"/>
      <w:bookmarkStart w:id="348" w:name="_Toc184312112"/>
      <w:bookmarkEnd w:id="348"/>
      <w:bookmarkStart w:id="349" w:name="_Toc184314437"/>
      <w:bookmarkEnd w:id="349"/>
      <w:bookmarkStart w:id="350" w:name="_Toc184313274"/>
      <w:bookmarkEnd w:id="350"/>
      <w:bookmarkStart w:id="351" w:name="_Toc184313300"/>
      <w:bookmarkEnd w:id="351"/>
      <w:bookmarkStart w:id="352" w:name="_Toc184312075"/>
      <w:bookmarkEnd w:id="352"/>
      <w:bookmarkStart w:id="353" w:name="_Toc184310328"/>
      <w:bookmarkEnd w:id="353"/>
      <w:bookmarkStart w:id="354" w:name="_Toc184308079"/>
      <w:bookmarkEnd w:id="354"/>
      <w:bookmarkStart w:id="355" w:name="_Toc184310295"/>
      <w:bookmarkEnd w:id="355"/>
      <w:bookmarkStart w:id="356" w:name="_Toc184313290"/>
      <w:bookmarkEnd w:id="356"/>
      <w:bookmarkStart w:id="357" w:name="_Toc184312081"/>
      <w:bookmarkEnd w:id="357"/>
      <w:bookmarkStart w:id="358" w:name="_Toc184312092"/>
      <w:bookmarkEnd w:id="358"/>
      <w:bookmarkStart w:id="359" w:name="_Toc184313305"/>
      <w:bookmarkEnd w:id="359"/>
      <w:bookmarkStart w:id="360" w:name="_Toc184310284"/>
      <w:bookmarkEnd w:id="360"/>
      <w:bookmarkStart w:id="361" w:name="_Toc184313306"/>
      <w:bookmarkEnd w:id="361"/>
      <w:bookmarkStart w:id="362" w:name="_Toc184312135"/>
      <w:bookmarkEnd w:id="362"/>
      <w:bookmarkStart w:id="363" w:name="_Toc184313295"/>
      <w:bookmarkEnd w:id="363"/>
      <w:bookmarkStart w:id="364" w:name="_Toc184314431"/>
      <w:bookmarkEnd w:id="364"/>
      <w:bookmarkStart w:id="365" w:name="_Toc184314442"/>
      <w:bookmarkEnd w:id="365"/>
      <w:bookmarkStart w:id="366" w:name="_Toc184308108"/>
      <w:bookmarkEnd w:id="366"/>
      <w:bookmarkStart w:id="367" w:name="_Toc184314454"/>
      <w:bookmarkEnd w:id="367"/>
      <w:bookmarkStart w:id="368" w:name="_Toc184314468"/>
      <w:bookmarkEnd w:id="368"/>
      <w:bookmarkStart w:id="369" w:name="_Toc184312134"/>
      <w:bookmarkEnd w:id="369"/>
      <w:bookmarkStart w:id="370" w:name="_Toc184308070"/>
      <w:bookmarkEnd w:id="370"/>
      <w:bookmarkStart w:id="371" w:name="_Toc184310288"/>
      <w:bookmarkEnd w:id="371"/>
      <w:bookmarkStart w:id="372" w:name="_Toc184310304"/>
      <w:bookmarkEnd w:id="372"/>
      <w:bookmarkStart w:id="373" w:name="_Toc184312103"/>
      <w:bookmarkEnd w:id="373"/>
      <w:bookmarkStart w:id="374" w:name="_Toc184313258"/>
      <w:bookmarkEnd w:id="374"/>
      <w:bookmarkStart w:id="375" w:name="_Toc184313284"/>
      <w:bookmarkEnd w:id="375"/>
      <w:bookmarkStart w:id="376" w:name="_Toc184308057"/>
      <w:bookmarkEnd w:id="376"/>
      <w:bookmarkStart w:id="377" w:name="_Toc184310305"/>
      <w:bookmarkEnd w:id="377"/>
      <w:bookmarkStart w:id="378" w:name="_Toc184308100"/>
      <w:bookmarkEnd w:id="378"/>
      <w:bookmarkStart w:id="379" w:name="_Toc184314422"/>
      <w:bookmarkEnd w:id="379"/>
      <w:bookmarkStart w:id="380" w:name="_Toc184312087"/>
      <w:bookmarkEnd w:id="380"/>
      <w:bookmarkStart w:id="381" w:name="_Toc184310312"/>
      <w:bookmarkEnd w:id="381"/>
      <w:bookmarkStart w:id="382" w:name="_Toc184313280"/>
      <w:bookmarkEnd w:id="382"/>
      <w:bookmarkStart w:id="383" w:name="_Toc184308098"/>
      <w:bookmarkEnd w:id="383"/>
      <w:bookmarkStart w:id="384" w:name="_Toc184312067"/>
      <w:bookmarkEnd w:id="384"/>
      <w:bookmarkStart w:id="385" w:name="_Toc184313299"/>
      <w:bookmarkEnd w:id="385"/>
      <w:bookmarkStart w:id="386" w:name="_Toc184310290"/>
      <w:bookmarkEnd w:id="386"/>
      <w:bookmarkStart w:id="387" w:name="_Toc184310286"/>
      <w:bookmarkEnd w:id="387"/>
      <w:bookmarkStart w:id="388" w:name="_Toc184308053"/>
      <w:bookmarkEnd w:id="388"/>
      <w:bookmarkStart w:id="389" w:name="_Toc184308063"/>
      <w:bookmarkEnd w:id="389"/>
      <w:bookmarkStart w:id="390" w:name="_Toc184314470"/>
      <w:bookmarkEnd w:id="390"/>
      <w:bookmarkStart w:id="391" w:name="_Toc184313239"/>
      <w:bookmarkEnd w:id="391"/>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2"/>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302"/>
        <w:gridCol w:w="753"/>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74" w:type="dxa"/>
            <w:gridSpan w:val="4"/>
            <w:noWrap w:val="0"/>
            <w:vAlign w:val="center"/>
          </w:tcPr>
          <w:p>
            <w:pPr>
              <w:adjustRightInd/>
              <w:spacing w:line="24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商务技术</w:t>
            </w:r>
            <w:r>
              <w:rPr>
                <w:rFonts w:hint="eastAsia" w:ascii="宋体" w:hAnsi="宋体" w:cs="宋体"/>
                <w:b/>
                <w:bCs/>
                <w:sz w:val="24"/>
                <w:szCs w:val="24"/>
                <w:lang w:eastAsia="zh-CN"/>
              </w:rPr>
              <w:t>文件</w:t>
            </w:r>
            <w:r>
              <w:rPr>
                <w:rFonts w:hint="eastAsia" w:ascii="宋体" w:hAnsi="宋体" w:eastAsia="宋体" w:cs="宋体"/>
                <w:b/>
                <w:bCs/>
                <w:sz w:val="24"/>
                <w:szCs w:val="24"/>
                <w:lang w:eastAsia="zh-CN"/>
              </w:rPr>
              <w:t>部分（</w:t>
            </w:r>
            <w:r>
              <w:rPr>
                <w:rFonts w:hint="eastAsia" w:ascii="宋体" w:hAnsi="宋体" w:cs="宋体"/>
                <w:b/>
                <w:bCs/>
                <w:sz w:val="24"/>
                <w:szCs w:val="24"/>
                <w:lang w:val="en-US" w:eastAsia="zh-CN"/>
              </w:rPr>
              <w:t>70</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291" w:type="dxa"/>
            <w:gridSpan w:val="2"/>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评分项目</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分值</w:t>
            </w:r>
          </w:p>
        </w:tc>
        <w:tc>
          <w:tcPr>
            <w:tcW w:w="6930"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评分要求及标准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89" w:type="dxa"/>
            <w:vMerge w:val="restart"/>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技术指标</w:t>
            </w: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技术参数</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w:t>
            </w:r>
          </w:p>
        </w:tc>
        <w:tc>
          <w:tcPr>
            <w:tcW w:w="6930" w:type="dxa"/>
            <w:noWrap w:val="0"/>
            <w:vAlign w:val="center"/>
          </w:tcPr>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所投产品具体配置表、技术参数及偏离情况：</w:t>
            </w:r>
          </w:p>
          <w:p>
            <w:pPr>
              <w:adjustRightInd/>
              <w:spacing w:line="24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符合技术指标参数得20分。对性能指标及技术参数经评审委员会认定存在负偏离或缺漏项的每项扣1分，其中核心产品存在负偏离或缺漏项的每项扣2分，扣完为止。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989" w:type="dxa"/>
            <w:vMerge w:val="continue"/>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综合性能</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4</w:t>
            </w:r>
          </w:p>
        </w:tc>
        <w:tc>
          <w:tcPr>
            <w:tcW w:w="6930" w:type="dxa"/>
            <w:noWrap w:val="0"/>
            <w:vAlign w:val="center"/>
          </w:tcPr>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对所投综合布线、监控、广播、网络产品，根据产品的规格选型、产品兼容性、可靠性、安全性、合理性等进行打分。其中综合布线产品（0-1分），监控产品（0-1分），广播产品（0-1分），网络产品（0-1分）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6" w:hRule="atLeast"/>
          <w:jc w:val="center"/>
        </w:trPr>
        <w:tc>
          <w:tcPr>
            <w:tcW w:w="989" w:type="dxa"/>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项目实施方案</w:t>
            </w: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项目技术方案</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17</w:t>
            </w:r>
          </w:p>
        </w:tc>
        <w:tc>
          <w:tcPr>
            <w:tcW w:w="6930" w:type="dxa"/>
            <w:noWrap w:val="0"/>
            <w:vAlign w:val="center"/>
          </w:tcPr>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由于本项目涉及到二所学校的弱电改造，涉及内容较多、现场情况复杂，为了有效顺利推进项目，能够准确了解项目情况，各投标单位须对二所学校自行进行实地勘察，投标人基于对项目建设目标的理解，分析项目建设的重点与难点，在此基础上提出贴合采购人实际需求的详细优化方案。根据供应商所提供的项目实施方案，综合评判其完整性、合理性、可行性以及实用性。（要求根据用户实际设计，提供材料和用户实际相符，否则不得分）</w:t>
            </w:r>
          </w:p>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1.提供详细的设计图纸（针对本项目提供各子系统设备平面图、点位图、分布图、系统图、样板教室布线设计图、样板办公室布线设计图等）（0-7分）</w:t>
            </w:r>
          </w:p>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2.本项目建设的重点、难点分析，对本次招标清单内的系统设备应用理解成熟度，在此基础上提出贴合采购人实际需求的详细优化方案，及技术解决方案，根据方案的合理性、科学性、全面性综合评分。（0-5分）</w:t>
            </w:r>
          </w:p>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3.详细的施工方案：进度安排、人员安排、质量保证、保障措施等（针对本项目施工方案内容详实、步骤清晰、层次分明）；（0-5分）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89" w:type="dxa"/>
            <w:vMerge w:val="restart"/>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项目实施能力</w:t>
            </w: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专业技术能力</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4</w:t>
            </w:r>
          </w:p>
        </w:tc>
        <w:tc>
          <w:tcPr>
            <w:tcW w:w="6930" w:type="dxa"/>
            <w:noWrap w:val="0"/>
            <w:vAlign w:val="center"/>
          </w:tcPr>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提供项目团队专业技术人员与本项目相关专业技术能力的资质、资格、职称等证书复印件，以及从事相关专业技术工作经验履历并提供相关人员社保证明资料。根据投标人项目团队技术人员与项目相关技术能力水平、人员数量综合打分。（0-4分）</w:t>
            </w:r>
          </w:p>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（提供相关人员近1个月社保缴纳证明，否则不得分）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89" w:type="dxa"/>
            <w:vMerge w:val="continue"/>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实施保障措施</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4</w:t>
            </w:r>
          </w:p>
        </w:tc>
        <w:tc>
          <w:tcPr>
            <w:tcW w:w="6930" w:type="dxa"/>
            <w:noWrap w:val="0"/>
            <w:vAlign w:val="center"/>
          </w:tcPr>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投标文件中所体现的针对本项目的实施计划是否全面，实施进程保障措施、技术保障措施、安全保障方案、验收方案及措施等。（0-2分）</w:t>
            </w:r>
          </w:p>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本项目是改造项目，施工不得影响学校的正常教学活动，投标人提供具体保障举措和承诺，并承担社会责任、经济责任。（2分）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9" w:type="dxa"/>
            <w:vMerge w:val="restart"/>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资信情况</w:t>
            </w:r>
          </w:p>
          <w:p>
            <w:pPr>
              <w:adjustRightInd/>
              <w:spacing w:line="240" w:lineRule="auto"/>
              <w:ind w:left="0" w:leftChars="0" w:firstLine="0" w:firstLineChars="0"/>
              <w:jc w:val="center"/>
              <w:rPr>
                <w:rFonts w:hint="default" w:ascii="宋体" w:hAnsi="宋体" w:eastAsia="宋体" w:cs="宋体"/>
                <w:sz w:val="24"/>
                <w:szCs w:val="24"/>
                <w:lang w:val="en-US" w:eastAsia="zh-CN"/>
              </w:rPr>
            </w:pP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投标人经验、信誉</w:t>
            </w:r>
          </w:p>
        </w:tc>
        <w:tc>
          <w:tcPr>
            <w:tcW w:w="753" w:type="dxa"/>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5</w:t>
            </w:r>
          </w:p>
        </w:tc>
        <w:tc>
          <w:tcPr>
            <w:tcW w:w="6930" w:type="dxa"/>
            <w:noWrap w:val="0"/>
            <w:vAlign w:val="center"/>
          </w:tcPr>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1.投标人2020年1月1日以来（以签合同时间为准）至今有完成过类似政府采购项目业绩的，每提供一个业绩案例得1分，最高得3分。</w:t>
            </w:r>
          </w:p>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（需同时提供有效的中标通知书、合同关键页、验收报告，提供不全不得分）</w:t>
            </w:r>
          </w:p>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2.投标人信誉：根据投标人提供的成功案例合同，要求完成日期与验收日期的比对，存有半年及以上延期的（客观自然不可抗力或采购人原因导致的，需采购人出具相关证明，可以免除扣分。每有一个扣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9" w:type="dxa"/>
            <w:vMerge w:val="continue"/>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资质证书</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w:t>
            </w:r>
          </w:p>
        </w:tc>
        <w:tc>
          <w:tcPr>
            <w:tcW w:w="6930" w:type="dxa"/>
            <w:noWrap w:val="0"/>
            <w:vAlign w:val="center"/>
          </w:tcPr>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投标人或所投产品具有ISO9001质量管理认证、ISO14001环境认证、职业健康安全管理认证（OHSAS18001或ISO 45001:2018）且在有效期内的，每有一个得1分最高得3分。</w:t>
            </w:r>
          </w:p>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（提供相关证明材料加盖公章</w:t>
            </w:r>
            <w:r>
              <w:rPr>
                <w:rFonts w:hint="eastAsia" w:ascii="宋体" w:hAnsi="宋体" w:cs="宋体"/>
                <w:sz w:val="24"/>
                <w:szCs w:val="24"/>
                <w:lang w:val="zh-CN" w:eastAsia="zh-CN"/>
              </w:rPr>
              <w:t>，未提供不得分</w:t>
            </w:r>
            <w:r>
              <w:rPr>
                <w:rFonts w:hint="eastAsia" w:ascii="宋体" w:hAnsi="宋体" w:eastAsia="宋体" w:cs="宋体"/>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89" w:type="dxa"/>
            <w:vMerge w:val="continue"/>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所投产品厂家具备能力</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w:t>
            </w:r>
          </w:p>
        </w:tc>
        <w:tc>
          <w:tcPr>
            <w:tcW w:w="6930" w:type="dxa"/>
            <w:noWrap w:val="0"/>
            <w:vAlign w:val="center"/>
          </w:tcPr>
          <w:p>
            <w:pPr>
              <w:adjustRightInd/>
              <w:spacing w:line="240" w:lineRule="auto"/>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1.所投的视频监控产品厂家获得中国信息安全测评中心颁发的国家信息安全漏洞库（CNNVD）技术支撑单位等级证书的，一级得2分，二级及以下得1分。</w:t>
            </w:r>
          </w:p>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2.所投综合布线系统厂家具有信息安全管理体系认证证书和信息技术服务管理体系认证证书的，提供1个得1分，最高得2分。 （提供证书复印件加盖公章</w:t>
            </w:r>
            <w:r>
              <w:rPr>
                <w:rFonts w:hint="eastAsia" w:ascii="宋体" w:hAnsi="宋体" w:cs="宋体"/>
                <w:sz w:val="24"/>
                <w:szCs w:val="24"/>
                <w:lang w:val="zh-CN" w:eastAsia="zh-CN"/>
              </w:rPr>
              <w:t>，未提供不得分</w:t>
            </w:r>
            <w:r>
              <w:rPr>
                <w:rFonts w:hint="eastAsia" w:ascii="宋体" w:hAnsi="宋体" w:eastAsia="宋体" w:cs="宋体"/>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9" w:type="dxa"/>
            <w:vMerge w:val="restart"/>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售后</w:t>
            </w:r>
          </w:p>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服务</w:t>
            </w: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售后保障</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5</w:t>
            </w:r>
          </w:p>
        </w:tc>
        <w:tc>
          <w:tcPr>
            <w:tcW w:w="6930" w:type="dxa"/>
            <w:noWrap w:val="0"/>
            <w:vAlign w:val="center"/>
          </w:tcPr>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根据投标人的技术培训方案、本地化服务能力、售后服务体系（服务标准、响应时间、维护体系、报修方式）、回访体系（提供质量反馈表等证明资料）、售后服务人员技术能力等。（0-5分）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89" w:type="dxa"/>
            <w:vMerge w:val="continue"/>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优惠条件</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p>
        </w:tc>
        <w:tc>
          <w:tcPr>
            <w:tcW w:w="6930" w:type="dxa"/>
            <w:noWrap w:val="0"/>
            <w:vAlign w:val="center"/>
          </w:tcPr>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售后服务物质保障的充分性：根据投标人针对本项目产品可能出现的问题，对产品维护保修制订合理、有效、可操作的预案，所需零配件或整机替换备件准备的充分性，提供具体的技术支持与服务，及其他优惠支持等。（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89" w:type="dxa"/>
            <w:vMerge w:val="continue"/>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p>
        </w:tc>
        <w:tc>
          <w:tcPr>
            <w:tcW w:w="130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质保期</w:t>
            </w:r>
          </w:p>
        </w:tc>
        <w:tc>
          <w:tcPr>
            <w:tcW w:w="753"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w:t>
            </w:r>
          </w:p>
        </w:tc>
        <w:tc>
          <w:tcPr>
            <w:tcW w:w="6930" w:type="dxa"/>
            <w:noWrap w:val="0"/>
            <w:vAlign w:val="center"/>
          </w:tcPr>
          <w:p>
            <w:pPr>
              <w:adjustRightInd/>
              <w:spacing w:line="24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 xml:space="preserve">符合招标文件要求不得分；超过招标文件规定的，每增加1年得1分,最多得3分。 （网络布线系统15年质保期不变）    </w:t>
            </w:r>
          </w:p>
        </w:tc>
      </w:tr>
    </w:tbl>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tbl>
      <w:tblPr>
        <w:tblStyle w:val="62"/>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00"/>
        <w:gridCol w:w="696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89" w:type="dxa"/>
            <w:gridSpan w:val="4"/>
            <w:noWrap w:val="0"/>
            <w:vAlign w:val="center"/>
          </w:tcPr>
          <w:p>
            <w:pPr>
              <w:adjustRightInd/>
              <w:spacing w:line="240" w:lineRule="auto"/>
              <w:jc w:val="both"/>
              <w:rPr>
                <w:rFonts w:hint="eastAsia" w:ascii="宋体" w:hAnsi="宋体" w:cs="宋体"/>
                <w:sz w:val="24"/>
                <w:szCs w:val="24"/>
                <w:lang w:val="en-US" w:eastAsia="zh-CN"/>
              </w:rPr>
            </w:pPr>
            <w:r>
              <w:rPr>
                <w:rFonts w:hint="eastAsia" w:ascii="宋体" w:hAnsi="宋体" w:cs="宋体"/>
                <w:b/>
                <w:bCs/>
                <w:sz w:val="24"/>
                <w:szCs w:val="24"/>
                <w:lang w:eastAsia="zh-CN"/>
              </w:rPr>
              <w:t>报价文件部分（</w:t>
            </w:r>
            <w:r>
              <w:rPr>
                <w:rFonts w:hint="eastAsia" w:ascii="宋体" w:hAnsi="宋体" w:cs="宋体"/>
                <w:b/>
                <w:bCs/>
                <w:sz w:val="24"/>
                <w:szCs w:val="24"/>
                <w:lang w:val="en-US" w:eastAsia="zh-CN"/>
              </w:rPr>
              <w:t>30分</w:t>
            </w:r>
            <w:r>
              <w:rPr>
                <w:rFonts w:hint="eastAsia" w:ascii="宋体" w:hAnsi="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7" w:type="dxa"/>
            <w:noWrap w:val="0"/>
            <w:vAlign w:val="center"/>
          </w:tcPr>
          <w:p>
            <w:pPr>
              <w:adjustRightInd/>
              <w:spacing w:line="240" w:lineRule="auto"/>
              <w:jc w:val="center"/>
              <w:rPr>
                <w:rFonts w:hint="default" w:ascii="宋体" w:hAnsi="宋体" w:eastAsia="宋体" w:cs="宋体"/>
                <w:sz w:val="24"/>
                <w:szCs w:val="24"/>
                <w:lang w:val="en-US" w:eastAsia="zh-CN"/>
              </w:rPr>
            </w:pPr>
            <w:r>
              <w:rPr>
                <w:rFonts w:hint="eastAsia" w:ascii="宋体" w:hAnsi="宋体" w:eastAsia="宋体" w:cs="宋体"/>
                <w:b/>
                <w:bCs/>
                <w:sz w:val="24"/>
                <w:szCs w:val="24"/>
              </w:rPr>
              <w:t>序号</w:t>
            </w:r>
          </w:p>
        </w:tc>
        <w:tc>
          <w:tcPr>
            <w:tcW w:w="1500" w:type="dxa"/>
            <w:noWrap w:val="0"/>
            <w:vAlign w:val="center"/>
          </w:tcPr>
          <w:p>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评标内容</w:t>
            </w:r>
          </w:p>
        </w:tc>
        <w:tc>
          <w:tcPr>
            <w:tcW w:w="6960" w:type="dxa"/>
            <w:noWrap w:val="0"/>
            <w:vAlign w:val="center"/>
          </w:tcPr>
          <w:p>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评标标准</w:t>
            </w:r>
          </w:p>
        </w:tc>
        <w:tc>
          <w:tcPr>
            <w:tcW w:w="822" w:type="dxa"/>
            <w:noWrap w:val="0"/>
            <w:vAlign w:val="center"/>
          </w:tcPr>
          <w:p>
            <w:pPr>
              <w:adjustRightInd/>
              <w:spacing w:line="240" w:lineRule="auto"/>
              <w:jc w:val="center"/>
              <w:rPr>
                <w:rFonts w:hint="eastAsia" w:ascii="宋体" w:hAnsi="宋体" w:cs="宋体"/>
                <w:sz w:val="24"/>
                <w:szCs w:val="24"/>
                <w:lang w:val="en-US" w:eastAsia="zh-CN"/>
              </w:rPr>
            </w:pPr>
            <w:r>
              <w:rPr>
                <w:rFonts w:hint="eastAsia" w:ascii="宋体" w:hAnsi="宋体" w:eastAsia="宋体" w:cs="宋体"/>
                <w:b/>
                <w:bCs/>
                <w:sz w:val="24"/>
                <w:szCs w:val="24"/>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07" w:type="dxa"/>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00"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报价</w:t>
            </w:r>
          </w:p>
        </w:tc>
        <w:tc>
          <w:tcPr>
            <w:tcW w:w="696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有效投标报价的最低价作为评标基准价，其最低报价为满分；按［投标报价得分=（评标基准价/投标报价）*</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］的计算公式计算。</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评标过程中，不得去掉报价中的最高报价和最低报价。</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因落实政府采购政策需要进行价格调整的，以调整后的价格计算评标基准价和投标报价。</w:t>
            </w:r>
          </w:p>
        </w:tc>
        <w:tc>
          <w:tcPr>
            <w:tcW w:w="822"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30分</w:t>
            </w:r>
          </w:p>
        </w:tc>
      </w:tr>
    </w:tbl>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29"/>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lang w:val="en-US" w:eastAsia="zh-CN"/>
        </w:rPr>
        <w:t>2</w:t>
      </w:r>
      <w:r>
        <w:rPr>
          <w:rFonts w:hint="eastAsia" w:ascii="宋体" w:hAnsi="宋体" w:eastAsia="宋体" w:cs="宋体"/>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12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8"/>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8"/>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8"/>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8"/>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8"/>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8"/>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8"/>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pPr>
        <w:pStyle w:val="28"/>
        <w:snapToGrid w:val="0"/>
        <w:spacing w:line="360" w:lineRule="auto"/>
        <w:ind w:firstLine="0" w:firstLineChars="0"/>
        <w:rPr>
          <w:rFonts w:hint="eastAsia" w:ascii="宋体" w:hAnsi="宋体" w:eastAsia="宋体" w:cs="宋体"/>
        </w:rPr>
      </w:pPr>
    </w:p>
    <w:bookmarkEnd w:id="24"/>
    <w:p>
      <w:pPr>
        <w:spacing w:line="360" w:lineRule="auto"/>
        <w:ind w:left="720" w:leftChars="343" w:firstLine="1084" w:firstLineChars="300"/>
        <w:outlineLvl w:val="0"/>
        <w:rPr>
          <w:rFonts w:hint="eastAsia" w:ascii="宋体" w:hAnsi="宋体" w:eastAsia="宋体" w:cs="宋体"/>
          <w:b/>
          <w:sz w:val="36"/>
          <w:szCs w:val="36"/>
        </w:rPr>
      </w:pPr>
      <w:bookmarkStart w:id="392" w:name="第五部分"/>
      <w:bookmarkStart w:id="393" w:name="_Toc86217003"/>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 xml:space="preserve">    </w:t>
      </w: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jc w:val="both"/>
        <w:outlineLvl w:val="0"/>
        <w:rPr>
          <w:rFonts w:hint="eastAsia" w:ascii="宋体" w:hAnsi="宋体" w:eastAsia="宋体" w:cs="宋体"/>
          <w:b/>
          <w:sz w:val="36"/>
          <w:szCs w:val="36"/>
        </w:rPr>
      </w:pPr>
    </w:p>
    <w:p>
      <w:pPr>
        <w:spacing w:line="360" w:lineRule="auto"/>
        <w:jc w:val="both"/>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numPr>
          <w:ilvl w:val="0"/>
          <w:numId w:val="0"/>
        </w:numPr>
        <w:spacing w:line="360" w:lineRule="auto"/>
        <w:jc w:val="center"/>
        <w:outlineLvl w:val="0"/>
        <w:rPr>
          <w:rFonts w:hint="eastAsia" w:ascii="仿宋_GB2312" w:hAnsi="仿宋" w:eastAsia="仿宋_GB2312" w:cs="仿宋_GB2312"/>
          <w:b/>
          <w:sz w:val="36"/>
          <w:szCs w:val="36"/>
          <w:lang w:eastAsia="zh-CN"/>
        </w:rPr>
      </w:pPr>
      <w:r>
        <w:rPr>
          <w:rFonts w:hint="eastAsia" w:ascii="仿宋_GB2312" w:hAnsi="仿宋" w:eastAsia="仿宋_GB2312" w:cs="仿宋_GB2312"/>
          <w:b/>
          <w:sz w:val="36"/>
          <w:szCs w:val="36"/>
          <w:lang w:eastAsia="zh-CN"/>
        </w:rPr>
        <w:t>（仅供参考，具体以合同签订为准）</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both"/>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cs="宋体"/>
          <w:b/>
          <w:sz w:val="36"/>
          <w:szCs w:val="36"/>
          <w:lang w:eastAsia="zh-CN"/>
        </w:rPr>
        <w:t>货物</w:t>
      </w:r>
      <w:r>
        <w:rPr>
          <w:rFonts w:hint="eastAsia" w:ascii="宋体" w:hAnsi="宋体" w:eastAsia="宋体" w:cs="宋体"/>
          <w:b/>
          <w:sz w:val="36"/>
          <w:szCs w:val="36"/>
        </w:rPr>
        <w:t>类）</w:t>
      </w:r>
    </w:p>
    <w:p>
      <w:pPr>
        <w:pStyle w:val="701"/>
        <w:rPr>
          <w:rFonts w:hint="eastAsia" w:ascii="宋体" w:hAnsi="宋体" w:eastAsia="宋体" w:cs="宋体"/>
          <w:szCs w:val="24"/>
        </w:rPr>
      </w:pPr>
    </w:p>
    <w:p>
      <w:pPr>
        <w:pStyle w:val="701"/>
        <w:ind w:left="0" w:leftChars="0" w:firstLine="0" w:firstLineChars="0"/>
        <w:jc w:val="both"/>
        <w:rPr>
          <w:rFonts w:hint="eastAsia" w:ascii="宋体" w:hAnsi="宋体" w:eastAsia="宋体" w:cs="宋体"/>
          <w:szCs w:val="24"/>
        </w:rPr>
      </w:pPr>
    </w:p>
    <w:p>
      <w:pPr>
        <w:pStyle w:val="701"/>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701"/>
        <w:rPr>
          <w:rFonts w:hint="eastAsia" w:ascii="宋体" w:hAnsi="宋体" w:eastAsia="宋体" w:cs="宋体"/>
          <w:szCs w:val="24"/>
        </w:rPr>
      </w:pPr>
    </w:p>
    <w:p>
      <w:pPr>
        <w:pStyle w:val="701"/>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598"/>
        <w:spacing w:before="120" w:line="22" w:lineRule="atLeast"/>
        <w:rPr>
          <w:rFonts w:hint="eastAsia" w:ascii="宋体" w:hAnsi="宋体" w:eastAsia="宋体" w:cs="宋体"/>
          <w:szCs w:val="24"/>
        </w:rPr>
      </w:pPr>
    </w:p>
    <w:p>
      <w:pPr>
        <w:pStyle w:val="598"/>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hd w:val="clear" w:color="auto" w:fill="FFFFFF"/>
        <w:topLinePunct/>
        <w:adjustRightInd w:val="0"/>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第一条：采购货物清单及合同价格</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pPr>
        <w:widowControl/>
        <w:topLinePunct/>
        <w:adjustRightInd w:val="0"/>
        <w:spacing w:line="360" w:lineRule="auto"/>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单位：元</w:t>
      </w:r>
    </w:p>
    <w:tbl>
      <w:tblPr>
        <w:tblStyle w:val="6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合同总价（人民币大写）：            元整</w:t>
            </w:r>
          </w:p>
        </w:tc>
      </w:tr>
    </w:tbl>
    <w:p>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注：</w:t>
      </w:r>
      <w:r>
        <w:rPr>
          <w:rFonts w:hint="eastAsia" w:ascii="宋体" w:hAnsi="宋体" w:eastAsia="宋体" w:cs="宋体"/>
          <w:bCs/>
          <w:kern w:val="0"/>
          <w:sz w:val="24"/>
          <w:szCs w:val="24"/>
        </w:rPr>
        <w:t>以上合同价包含本项目实施所需的一切费用，乙方需提供本项目采购明细清单（若项目要求）。</w:t>
      </w:r>
    </w:p>
    <w:p>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第二条：质量保证</w:t>
      </w:r>
    </w:p>
    <w:p>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本项目标的物的质保期为：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乙方应建立和完善履行合同的内部质量保证体系，并提供相关内部规章制度给甲方，以便甲方进行监督检查；</w:t>
      </w:r>
    </w:p>
    <w:p>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乙方应保证履行合同的人员数量和素质、软件和硬件设备的配置、场地、环境和设施等满足全面履行合同的要求，并应接受甲方的监督检查。</w:t>
      </w:r>
    </w:p>
    <w:p>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乙方应确保项目技术人员的数量和水平与投标文件一致。未经甲方书面同意，乙方不得擅自更换投标文件中注明的项目经理和技术负责人（如有）。否则甲方有权放弃或终止合同，并没收履约保证金。</w:t>
      </w:r>
    </w:p>
    <w:p>
      <w:pPr>
        <w:numPr>
          <w:ilvl w:val="0"/>
          <w:numId w:val="1"/>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sz w:val="24"/>
          <w:szCs w:val="24"/>
        </w:rPr>
        <w:t>因乙方原因造成甲方其他系统不能正常运行，酿成重大事故（工作日系统中断一天以上）的，乙方应承担全部法律责任，并赔偿经济损失，赔偿金额为项目总价的30%。</w:t>
      </w:r>
    </w:p>
    <w:p>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第三条：交货时间、地点</w:t>
      </w:r>
    </w:p>
    <w:p>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Cs/>
          <w:kern w:val="0"/>
          <w:sz w:val="24"/>
          <w:szCs w:val="24"/>
        </w:rPr>
        <w:t>1.中标人收到中标通知后，立即签订供货合同；合同生效后的</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天内，派人员到甲方指定地点开展工作。</w:t>
      </w:r>
    </w:p>
    <w:p>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2.在所供商品交付使用时，乙方必须向甲方</w:t>
      </w:r>
      <w:r>
        <w:rPr>
          <w:rFonts w:hint="eastAsia" w:ascii="宋体" w:hAnsi="宋体" w:eastAsia="宋体" w:cs="宋体"/>
          <w:bCs/>
          <w:kern w:val="0"/>
          <w:sz w:val="24"/>
          <w:szCs w:val="24"/>
        </w:rPr>
        <w:t>提供发票、产品合格证、使用维修说明书、</w:t>
      </w:r>
      <w:r>
        <w:rPr>
          <w:rFonts w:hint="eastAsia" w:ascii="宋体" w:hAnsi="宋体" w:eastAsia="宋体" w:cs="宋体"/>
          <w:kern w:val="0"/>
          <w:sz w:val="24"/>
          <w:szCs w:val="24"/>
        </w:rPr>
        <w:t>质量保证书、保修卡等必须具备的相关资料和必备的附件。</w:t>
      </w:r>
      <w:r>
        <w:rPr>
          <w:rFonts w:hint="eastAsia" w:ascii="宋体" w:hAnsi="宋体" w:eastAsia="宋体" w:cs="宋体"/>
          <w:bCs/>
          <w:kern w:val="0"/>
          <w:sz w:val="24"/>
          <w:szCs w:val="24"/>
        </w:rPr>
        <w:t>为用户单位办理设备保修手续，并向用户提供原厂服务承诺书原件。</w:t>
      </w:r>
      <w:r>
        <w:rPr>
          <w:rFonts w:hint="eastAsia" w:ascii="宋体" w:hAnsi="宋体" w:eastAsia="宋体" w:cs="宋体"/>
          <w:kern w:val="0"/>
          <w:sz w:val="24"/>
          <w:szCs w:val="24"/>
        </w:rPr>
        <w:t>乙</w:t>
      </w:r>
      <w:r>
        <w:rPr>
          <w:rFonts w:hint="eastAsia" w:ascii="宋体" w:hAnsi="宋体" w:eastAsia="宋体" w:cs="宋体"/>
          <w:bCs/>
          <w:kern w:val="0"/>
          <w:sz w:val="24"/>
          <w:szCs w:val="24"/>
        </w:rPr>
        <w:t>方必须提供切实、高效、优质的售后服务，主要产品按要求提供原厂家质保承诺书。供货时，必须在商品的右侧面显著位置粘贴公司标签，注明公司名称、地址、服务电话及供货日期等。</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技术规范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 知识产权</w:t>
      </w:r>
    </w:p>
    <w:p>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具有知识产权的</w:t>
      </w:r>
      <w:r>
        <w:rPr>
          <w:rFonts w:hint="eastAsia" w:ascii="宋体" w:hAnsi="宋体" w:eastAsia="宋体" w:cs="宋体"/>
          <w:sz w:val="24"/>
          <w:szCs w:val="24"/>
          <w:u w:val="single"/>
        </w:rPr>
        <w:t xml:space="preserve">                 </w:t>
      </w:r>
      <w:r>
        <w:rPr>
          <w:rFonts w:hint="eastAsia" w:ascii="宋体" w:hAnsi="宋体" w:eastAsia="宋体" w:cs="宋体"/>
          <w:sz w:val="24"/>
          <w:szCs w:val="24"/>
        </w:rPr>
        <w:t>等标的物的知识产权归属，详见以下专用条款：</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技术资料和保密义务</w:t>
      </w:r>
    </w:p>
    <w:p>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乙方有权依据合同约定和项目需要，向甲方了解有关情况，调阅有关资料等，甲方应予积极配合；</w:t>
      </w:r>
    </w:p>
    <w:p>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乙方有义务妥善保管和保护由甲方提供的前款信息和资料等；</w:t>
      </w:r>
    </w:p>
    <w:p>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 包装和运输</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1.乙方应在货物发运前对其进行满足运输距离等要求包装，以保证货物安全运达甲方指定地点。</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2.使用说明书、质量检验证明书、随配附件和工具以及清单一并附于货物内。</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 乙方在货物发运手续办理完毕后24小时内或货到甲方48小时前通知甲方，以准备接货。</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4.货物在交付甲方前发生的风险均由乙方负责。</w:t>
      </w:r>
    </w:p>
    <w:p>
      <w:pPr>
        <w:pStyle w:val="6"/>
        <w:keepNext w:val="0"/>
        <w:keepLines w:val="0"/>
        <w:widowControl/>
        <w:topLinePunct/>
        <w:adjustRightInd w:val="0"/>
        <w:spacing w:before="0" w:after="0" w:line="360" w:lineRule="auto"/>
        <w:ind w:left="0" w:firstLine="480" w:firstLineChars="200"/>
        <w:jc w:val="left"/>
        <w:textAlignment w:val="baseline"/>
        <w:rPr>
          <w:rFonts w:hint="eastAsia" w:ascii="宋体" w:hAnsi="宋体" w:eastAsia="宋体" w:cs="宋体"/>
          <w:b w:val="0"/>
          <w:sz w:val="24"/>
          <w:szCs w:val="24"/>
        </w:rPr>
      </w:pPr>
      <w:r>
        <w:rPr>
          <w:rFonts w:hint="eastAsia" w:ascii="宋体" w:hAnsi="宋体" w:eastAsia="宋体" w:cs="宋体"/>
          <w:b w:val="0"/>
          <w:sz w:val="24"/>
          <w:szCs w:val="24"/>
        </w:rPr>
        <w:t>5.货物在规定的交付期限内由乙方送达甲方指定的地点视为交付，乙方同时需通知甲方货物已送达。</w:t>
      </w:r>
    </w:p>
    <w:p>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第八条：售后服务</w:t>
      </w:r>
    </w:p>
    <w:p>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1.合同项目从验收后合格之日起，乙方提供的商品保修</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年。保修期满后，乙方仍提供维护服务，收取成本费。</w:t>
      </w:r>
    </w:p>
    <w:p>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2.乙方保证所供商品在保修期内发生故障时，最迟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分钟电话响应，</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个小时到场修理，</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天以内解决问题</w:t>
      </w:r>
      <w:r>
        <w:rPr>
          <w:rFonts w:hint="eastAsia" w:ascii="宋体" w:hAnsi="宋体" w:eastAsia="宋体" w:cs="宋体"/>
          <w:kern w:val="0"/>
          <w:sz w:val="24"/>
          <w:szCs w:val="24"/>
        </w:rPr>
        <w:t>。</w:t>
      </w:r>
    </w:p>
    <w:p>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3.乙方负责对甲方人员的全免（含交通食宿）集中技术培训（</w:t>
      </w:r>
      <w:r>
        <w:rPr>
          <w:rFonts w:hint="eastAsia" w:ascii="宋体" w:hAnsi="宋体" w:eastAsia="宋体" w:cs="宋体"/>
          <w:sz w:val="24"/>
          <w:szCs w:val="24"/>
          <w:u w:val="single"/>
        </w:rPr>
        <w:t xml:space="preserve">   </w:t>
      </w:r>
      <w:r>
        <w:rPr>
          <w:rFonts w:hint="eastAsia" w:ascii="宋体" w:hAnsi="宋体" w:eastAsia="宋体" w:cs="宋体"/>
          <w:sz w:val="24"/>
          <w:szCs w:val="24"/>
        </w:rPr>
        <w:t>≥人），及不少于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年的免费售后现场技术服务。</w:t>
      </w:r>
    </w:p>
    <w:p>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 xml:space="preserve"> 如投标书中承诺优于本条规定或其他本条未涉及的承诺，按投标书中承诺执行。</w:t>
      </w:r>
    </w:p>
    <w:p>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5.项目负责人_________,联系方式___________。</w:t>
      </w:r>
    </w:p>
    <w:p>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第九条：验收</w:t>
      </w:r>
    </w:p>
    <w:p>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乙方将所供商品运至交货地点，即开始安装、调试合格后，由甲方单位当场负责验收。甲方将会同有关部门以及聘请的技术顾问履行监督责任。合同商品从验收合格次日起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内，出现非甲方人为因素造成的无法排除的故障，由乙方予以调换。</w:t>
      </w:r>
    </w:p>
    <w:p>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第十条：货款的支付</w:t>
      </w:r>
    </w:p>
    <w:p>
      <w:pPr>
        <w:topLinePunct/>
        <w:adjustRightIn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第十一条：履约保证金</w:t>
      </w:r>
    </w:p>
    <w:p>
      <w:pPr>
        <w:widowControl/>
        <w:topLinePunct/>
        <w:adjustRightInd w:val="0"/>
        <w:spacing w:line="360" w:lineRule="auto"/>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第十二条：违约责任</w:t>
      </w:r>
    </w:p>
    <w:p>
      <w:pPr>
        <w:autoSpaceDE w:val="0"/>
        <w:adjustRightInd w:val="0"/>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1</w:t>
      </w:r>
      <w:r>
        <w:rPr>
          <w:rFonts w:hint="eastAsia" w:ascii="宋体" w:hAnsi="宋体" w:cs="宋体"/>
          <w:bCs/>
          <w:kern w:val="0"/>
          <w:sz w:val="24"/>
          <w:szCs w:val="24"/>
          <w:highlight w:val="none"/>
          <w:lang w:val="en-US" w:eastAsia="zh-CN"/>
        </w:rPr>
        <w:t>.</w:t>
      </w:r>
      <w:r>
        <w:rPr>
          <w:rFonts w:hint="eastAsia" w:ascii="宋体" w:hAnsi="宋体" w:cs="宋体"/>
          <w:bCs/>
          <w:kern w:val="0"/>
          <w:sz w:val="24"/>
          <w:szCs w:val="24"/>
          <w:highlight w:val="none"/>
        </w:rPr>
        <w:t>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p>
      <w:pPr>
        <w:autoSpaceDE w:val="0"/>
        <w:adjustRightInd w:val="0"/>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2</w:t>
      </w:r>
      <w:r>
        <w:rPr>
          <w:rFonts w:hint="eastAsia" w:ascii="宋体" w:hAnsi="宋体" w:cs="宋体"/>
          <w:bCs/>
          <w:kern w:val="0"/>
          <w:sz w:val="24"/>
          <w:szCs w:val="24"/>
          <w:highlight w:val="none"/>
          <w:lang w:val="en-US" w:eastAsia="zh-CN"/>
        </w:rPr>
        <w:t>.</w:t>
      </w:r>
      <w:r>
        <w:rPr>
          <w:rFonts w:hint="eastAsia" w:ascii="宋体" w:hAnsi="宋体" w:cs="宋体"/>
          <w:bCs/>
          <w:kern w:val="0"/>
          <w:sz w:val="24"/>
          <w:szCs w:val="24"/>
          <w:highlight w:val="none"/>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pPr>
        <w:autoSpaceDE w:val="0"/>
        <w:adjustRightInd w:val="0"/>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3</w:t>
      </w:r>
      <w:r>
        <w:rPr>
          <w:rFonts w:hint="eastAsia" w:ascii="宋体" w:hAnsi="宋体" w:cs="宋体"/>
          <w:bCs/>
          <w:kern w:val="0"/>
          <w:sz w:val="24"/>
          <w:szCs w:val="24"/>
          <w:highlight w:val="none"/>
          <w:lang w:val="en-US" w:eastAsia="zh-CN"/>
        </w:rPr>
        <w:t>.</w:t>
      </w:r>
      <w:r>
        <w:rPr>
          <w:rFonts w:hint="eastAsia" w:ascii="宋体" w:hAnsi="宋体" w:cs="宋体"/>
          <w:bCs/>
          <w:kern w:val="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utoSpaceDE w:val="0"/>
        <w:adjustRightInd w:val="0"/>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ascii="宋体" w:hAnsi="宋体" w:cs="宋体"/>
          <w:bCs/>
          <w:kern w:val="0"/>
          <w:sz w:val="24"/>
          <w:szCs w:val="24"/>
          <w:highlight w:val="none"/>
          <w:lang w:val="en-US" w:eastAsia="zh-CN"/>
        </w:rPr>
        <w:t>.</w:t>
      </w:r>
      <w:r>
        <w:rPr>
          <w:rFonts w:hint="eastAsia" w:ascii="宋体" w:hAnsi="宋体" w:cs="宋体"/>
          <w:bCs/>
          <w:kern w:val="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utoSpaceDE w:val="0"/>
        <w:adjustRightInd w:val="0"/>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5</w:t>
      </w:r>
      <w:r>
        <w:rPr>
          <w:rFonts w:hint="eastAsia" w:ascii="宋体" w:hAnsi="宋体" w:cs="宋体"/>
          <w:bCs/>
          <w:kern w:val="0"/>
          <w:sz w:val="24"/>
          <w:szCs w:val="24"/>
          <w:highlight w:val="none"/>
          <w:lang w:val="en-US" w:eastAsia="zh-CN"/>
        </w:rPr>
        <w:t>.</w:t>
      </w:r>
      <w:r>
        <w:rPr>
          <w:rFonts w:hint="eastAsia" w:ascii="宋体" w:hAnsi="宋体" w:cs="宋体"/>
          <w:bCs/>
          <w:kern w:val="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utoSpaceDE w:val="0"/>
        <w:adjustRightInd w:val="0"/>
        <w:spacing w:line="360" w:lineRule="auto"/>
        <w:ind w:firstLine="480" w:firstLineChars="200"/>
        <w:rPr>
          <w:rFonts w:ascii="宋体" w:hAnsi="宋体"/>
          <w:b/>
          <w:sz w:val="24"/>
        </w:rPr>
      </w:pPr>
      <w:r>
        <w:rPr>
          <w:rFonts w:hint="eastAsia" w:ascii="宋体" w:hAnsi="宋体" w:cs="宋体"/>
          <w:bCs/>
          <w:kern w:val="0"/>
          <w:sz w:val="24"/>
          <w:szCs w:val="24"/>
          <w:highlight w:val="none"/>
        </w:rPr>
        <w:t>6</w:t>
      </w:r>
      <w:r>
        <w:rPr>
          <w:rFonts w:hint="eastAsia" w:ascii="宋体" w:hAnsi="宋体" w:cs="宋体"/>
          <w:bCs/>
          <w:kern w:val="0"/>
          <w:sz w:val="24"/>
          <w:szCs w:val="24"/>
          <w:highlight w:val="none"/>
          <w:lang w:val="en-US" w:eastAsia="zh-CN"/>
        </w:rPr>
        <w:t>.</w:t>
      </w:r>
      <w:r>
        <w:rPr>
          <w:rFonts w:hint="eastAsia" w:ascii="宋体" w:hAnsi="宋体" w:cs="宋体"/>
          <w:bCs/>
          <w:kern w:val="0"/>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r>
        <w:rPr>
          <w:rFonts w:hint="eastAsia" w:ascii="宋体" w:hAnsi="宋体" w:cs="宋体"/>
          <w:bCs/>
          <w:kern w:val="0"/>
          <w:sz w:val="24"/>
          <w:szCs w:val="24"/>
        </w:rPr>
        <w:t>。</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
          <w:bCs/>
          <w:sz w:val="24"/>
          <w:szCs w:val="24"/>
          <w:lang w:eastAsia="zh-CN"/>
        </w:rPr>
      </w:pP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违约责任另有约定的，从其约定</w:t>
      </w:r>
      <w:r>
        <w:rPr>
          <w:rFonts w:hint="eastAsia" w:ascii="宋体" w:hAnsi="宋体" w:cs="宋体"/>
          <w:sz w:val="24"/>
          <w:lang w:eastAsia="zh-CN"/>
        </w:rPr>
        <w:t>。</w:t>
      </w:r>
    </w:p>
    <w:p>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第十三条：不可抗力事件处理</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1.在合同有效期内，任何一方因不可抗力事件导致不能履行合同，则合同履行期可延长，其延长期与不可抗力影响期相同。</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2.不可抗力事件发生后，应立即通知对方，并寄送有关权威机构出具的证明。</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3.不可抗力事件延续120天以上，双方应通过友好协商，确定是否继续履行合同。</w:t>
      </w:r>
    </w:p>
    <w:p>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第十四条：争议的解决</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kern w:val="0"/>
          <w:sz w:val="24"/>
          <w:szCs w:val="24"/>
        </w:rPr>
      </w:pPr>
      <w:r>
        <w:rPr>
          <w:rFonts w:hint="eastAsia" w:ascii="宋体" w:hAnsi="宋体" w:eastAsia="宋体" w:cs="宋体"/>
          <w:b/>
          <w:bCs/>
          <w:sz w:val="24"/>
          <w:szCs w:val="24"/>
        </w:rPr>
        <w:t>第十五条：</w:t>
      </w:r>
      <w:r>
        <w:rPr>
          <w:rFonts w:hint="eastAsia" w:ascii="宋体" w:hAnsi="宋体" w:eastAsia="宋体" w:cs="宋体"/>
          <w:b/>
          <w:kern w:val="0"/>
          <w:sz w:val="24"/>
          <w:szCs w:val="24"/>
        </w:rPr>
        <w:t>合同的生效</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本合同经甲方、乙方法定代表人或其委托人签字并加盖公章后生效。</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本合同壹式</w:t>
      </w:r>
      <w:r>
        <w:rPr>
          <w:rFonts w:hint="eastAsia" w:ascii="宋体" w:hAnsi="宋体" w:cs="宋体"/>
          <w:kern w:val="0"/>
          <w:sz w:val="24"/>
          <w:szCs w:val="24"/>
          <w:lang w:eastAsia="zh-CN"/>
        </w:rPr>
        <w:t>肆</w:t>
      </w:r>
      <w:r>
        <w:rPr>
          <w:rFonts w:hint="eastAsia" w:ascii="宋体" w:hAnsi="宋体" w:eastAsia="宋体" w:cs="宋体"/>
          <w:kern w:val="0"/>
          <w:sz w:val="24"/>
          <w:szCs w:val="24"/>
        </w:rPr>
        <w:t>份，甲乙双方各执贰份。</w:t>
      </w:r>
    </w:p>
    <w:p>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与本合同有关的谈判文件及记录同本合同具有同等法律效果。</w:t>
      </w:r>
    </w:p>
    <w:p>
      <w:pPr>
        <w:widowControl/>
        <w:overflowPunct w:val="0"/>
        <w:autoSpaceDE w:val="0"/>
        <w:autoSpaceDN w:val="0"/>
        <w:adjustRightInd w:val="0"/>
        <w:snapToGrid w:val="0"/>
        <w:spacing w:before="156" w:line="440" w:lineRule="exact"/>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甲方（公章）：                       乙方（公章）：</w:t>
      </w:r>
    </w:p>
    <w:p>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法定代表人或受委托人（签字或盖章）   法定代表人或受委托人（签字或盖章）</w:t>
      </w:r>
    </w:p>
    <w:p>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地址：                               地址：</w:t>
      </w:r>
    </w:p>
    <w:p>
      <w:pPr>
        <w:widowControl/>
        <w:overflowPunct w:val="0"/>
        <w:autoSpaceDE w:val="0"/>
        <w:autoSpaceDN w:val="0"/>
        <w:adjustRightInd w:val="0"/>
        <w:snapToGrid w:val="0"/>
        <w:spacing w:before="156" w:line="440" w:lineRule="exact"/>
        <w:ind w:left="2"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电话：                               电话：</w:t>
      </w:r>
    </w:p>
    <w:p>
      <w:pPr>
        <w:widowControl/>
        <w:overflowPunct w:val="0"/>
        <w:autoSpaceDE w:val="0"/>
        <w:autoSpaceDN w:val="0"/>
        <w:adjustRightInd w:val="0"/>
        <w:snapToGrid w:val="0"/>
        <w:spacing w:before="156" w:line="440" w:lineRule="exact"/>
        <w:ind w:left="2" w:firstLine="480" w:firstLineChars="200"/>
        <w:jc w:val="righ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签约时间：    年  月  日</w:t>
      </w:r>
    </w:p>
    <w:p>
      <w:pPr>
        <w:widowControl/>
        <w:overflowPunct w:val="0"/>
        <w:autoSpaceDE w:val="0"/>
        <w:autoSpaceDN w:val="0"/>
        <w:adjustRightInd w:val="0"/>
        <w:snapToGrid w:val="0"/>
        <w:spacing w:before="156" w:line="440" w:lineRule="exact"/>
        <w:ind w:left="-2" w:leftChars="-1"/>
        <w:jc w:val="left"/>
        <w:textAlignment w:val="baseline"/>
        <w:rPr>
          <w:rFonts w:hint="eastAsia" w:ascii="宋体" w:hAnsi="宋体" w:eastAsia="宋体" w:cs="宋体"/>
          <w:b/>
          <w:sz w:val="36"/>
          <w:szCs w:val="20"/>
        </w:rPr>
      </w:pPr>
      <w:r>
        <w:rPr>
          <w:rFonts w:hint="eastAsia" w:ascii="宋体" w:hAnsi="宋体" w:eastAsia="宋体" w:cs="宋体"/>
          <w:kern w:val="0"/>
          <w:sz w:val="24"/>
          <w:szCs w:val="24"/>
        </w:rPr>
        <w:t xml:space="preserve">                                  </w:t>
      </w:r>
    </w:p>
    <w:p>
      <w:pPr>
        <w:spacing w:line="360" w:lineRule="auto"/>
        <w:jc w:val="center"/>
        <w:outlineLvl w:val="0"/>
        <w:rPr>
          <w:rFonts w:hint="eastAsia" w:ascii="宋体" w:hAnsi="宋体" w:eastAsia="宋体" w:cs="宋体"/>
          <w:b/>
          <w:sz w:val="36"/>
          <w:szCs w:val="20"/>
        </w:rPr>
      </w:pPr>
    </w:p>
    <w:p>
      <w:pPr>
        <w:spacing w:line="360" w:lineRule="auto"/>
        <w:jc w:val="both"/>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2"/>
      <w:r>
        <w:rPr>
          <w:rFonts w:hint="eastAsia" w:ascii="宋体" w:hAnsi="宋体" w:eastAsia="宋体" w:cs="宋体"/>
          <w:b/>
          <w:sz w:val="36"/>
          <w:szCs w:val="20"/>
        </w:rPr>
        <w:t xml:space="preserve"> </w:t>
      </w:r>
      <w:bookmarkEnd w:id="393"/>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rPr>
      </w:pPr>
      <w:r>
        <w:rPr>
          <w:rFonts w:hint="eastAsia" w:ascii="宋体" w:hAnsi="宋体" w:eastAsia="宋体" w:cs="宋体"/>
          <w:sz w:val="24"/>
        </w:rPr>
        <w:t>（2）联合协议………………………………………………………………（页码）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numPr>
          <w:ilvl w:val="0"/>
          <w:numId w:val="0"/>
        </w:numPr>
        <w:snapToGrid w:val="0"/>
        <w:spacing w:line="360" w:lineRule="auto"/>
        <w:ind w:right="480" w:rightChars="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联合协议（如果有）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2"/>
        <w:rPr>
          <w:rFonts w:hint="eastAsia"/>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、落实政府采购政策需满足的资格要求</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sz w:val="24"/>
        </w:rPr>
      </w:pPr>
      <w:r>
        <w:rPr>
          <w:rFonts w:hint="eastAsia" w:ascii="宋体" w:hAnsi="宋体" w:eastAsia="宋体" w:cs="宋体"/>
          <w:b/>
          <w:sz w:val="24"/>
        </w:rPr>
        <w:t xml:space="preserve">    </w:t>
      </w:r>
    </w:p>
    <w:p>
      <w:pPr>
        <w:pStyle w:val="25"/>
        <w:rPr>
          <w:rFonts w:hint="eastAsia"/>
        </w:rPr>
      </w:pP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eastAsia="宋体" w:cs="宋体"/>
        </w:rPr>
        <w:t>…………………………………………………………</w:t>
      </w:r>
      <w:r>
        <w:rPr>
          <w:rFonts w:hint="eastAsia" w:ascii="宋体" w:hAnsi="宋体" w:cs="宋体"/>
          <w:color w:val="auto"/>
        </w:rPr>
        <w:t>（页码）</w:t>
      </w: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both"/>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2.1.2联合协议</w:t>
      </w:r>
      <w:bookmarkStart w:id="394" w:name="_Hlk101257010"/>
      <w:r>
        <w:rPr>
          <w:rFonts w:hint="eastAsia" w:ascii="宋体" w:hAnsi="宋体" w:cs="宋体"/>
          <w:sz w:val="24"/>
          <w:lang w:eastAsia="zh-CN"/>
        </w:rPr>
        <w:t>；</w:t>
      </w:r>
      <w:r>
        <w:rPr>
          <w:rFonts w:hint="eastAsia" w:ascii="宋体" w:hAnsi="宋体" w:eastAsia="宋体" w:cs="宋体"/>
          <w:sz w:val="24"/>
        </w:rPr>
        <w:t>（如果有)</w:t>
      </w:r>
      <w:bookmarkEnd w:id="394"/>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3</w:t>
      </w:r>
      <w:r>
        <w:rPr>
          <w:rFonts w:hint="eastAsia" w:ascii="宋体" w:hAnsi="宋体" w:eastAsia="宋体" w:cs="宋体"/>
          <w:sz w:val="24"/>
        </w:rPr>
        <w:t>落实政府采购政策需满足的资格要求；</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4</w:t>
      </w:r>
      <w:r>
        <w:rPr>
          <w:rFonts w:hint="eastAsia" w:ascii="宋体" w:hAnsi="宋体" w:eastAsia="宋体" w:cs="宋体"/>
          <w:sz w:val="24"/>
        </w:rPr>
        <w:t>本项目的特定资格要求。</w:t>
      </w:r>
    </w:p>
    <w:p>
      <w:pPr>
        <w:snapToGrid w:val="0"/>
        <w:spacing w:line="24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3</w:t>
      </w:r>
      <w:r>
        <w:rPr>
          <w:rFonts w:hint="eastAsia" w:ascii="宋体" w:hAnsi="宋体" w:eastAsia="宋体" w:cs="宋体"/>
          <w:sz w:val="24"/>
        </w:rPr>
        <w:t>符合性审查资料；</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4</w:t>
      </w:r>
      <w:r>
        <w:rPr>
          <w:rFonts w:hint="eastAsia" w:ascii="宋体" w:hAnsi="宋体" w:eastAsia="宋体" w:cs="宋体"/>
          <w:sz w:val="24"/>
        </w:rPr>
        <w:t>评标标准相应的商务技术资料；</w:t>
      </w:r>
    </w:p>
    <w:p>
      <w:pPr>
        <w:snapToGrid w:val="0"/>
        <w:spacing w:line="24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2.2.</w:t>
      </w:r>
      <w:r>
        <w:rPr>
          <w:rFonts w:hint="eastAsia" w:ascii="宋体" w:hAnsi="宋体" w:cs="宋体"/>
          <w:sz w:val="24"/>
          <w:lang w:val="en-US" w:eastAsia="zh-CN"/>
        </w:rPr>
        <w:t>5</w:t>
      </w:r>
      <w:r>
        <w:rPr>
          <w:rFonts w:hint="eastAsia" w:ascii="宋体" w:hAnsi="宋体" w:eastAsia="宋体" w:cs="宋体"/>
          <w:sz w:val="24"/>
        </w:rPr>
        <w:t>投标标的清单</w:t>
      </w:r>
      <w:r>
        <w:rPr>
          <w:rFonts w:hint="eastAsia" w:ascii="宋体" w:hAnsi="宋体" w:cs="宋体"/>
          <w:sz w:val="24"/>
          <w:lang w:eastAsia="zh-CN"/>
        </w:rPr>
        <w:t>；</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6</w:t>
      </w:r>
      <w:r>
        <w:rPr>
          <w:rFonts w:hint="eastAsia" w:ascii="宋体" w:hAnsi="宋体" w:eastAsia="宋体" w:cs="宋体"/>
          <w:sz w:val="24"/>
        </w:rPr>
        <w:t>商务技术偏离表；</w:t>
      </w:r>
    </w:p>
    <w:p>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7</w:t>
      </w:r>
      <w:r>
        <w:rPr>
          <w:rFonts w:hint="eastAsia" w:ascii="宋体" w:hAnsi="宋体" w:eastAsia="宋体" w:cs="宋体"/>
          <w:sz w:val="24"/>
          <w:lang w:val="zh-CN"/>
        </w:rPr>
        <w:t>政府采购供应商廉洁自律承诺书；</w:t>
      </w:r>
    </w:p>
    <w:p>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lang w:val="zh-CN"/>
        </w:rPr>
      </w:pPr>
    </w:p>
    <w:p>
      <w:pPr>
        <w:jc w:val="both"/>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cs="宋体"/>
          <w:b/>
          <w:kern w:val="0"/>
          <w:sz w:val="32"/>
          <w:szCs w:val="32"/>
          <w:lang w:val="zh-CN"/>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特此告知。</w:t>
      </w:r>
    </w:p>
    <w:p>
      <w:pPr>
        <w:pStyle w:val="2"/>
      </w:pP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both"/>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47"/>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47"/>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both"/>
        <w:rPr>
          <w:rFonts w:hint="eastAsia" w:ascii="宋体" w:hAnsi="宋体" w:cs="宋体"/>
          <w:b/>
          <w:kern w:val="0"/>
          <w:sz w:val="32"/>
          <w:szCs w:val="32"/>
          <w:lang w:eastAsia="zh-CN"/>
        </w:rPr>
      </w:pPr>
    </w:p>
    <w:p>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、符合性审查资料</w:t>
      </w:r>
    </w:p>
    <w:p>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1</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pStyle w:val="2"/>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3</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4</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pStyle w:val="2"/>
        <w:rPr>
          <w:rFonts w:hint="eastAsia"/>
        </w:rPr>
      </w:pPr>
    </w:p>
    <w:p>
      <w:pPr>
        <w:rPr>
          <w:rFonts w:hint="eastAsia" w:ascii="宋体" w:hAnsi="宋体" w:cs="宋体"/>
          <w:b/>
          <w:color w:val="auto"/>
          <w:kern w:val="0"/>
          <w:sz w:val="32"/>
          <w:szCs w:val="32"/>
          <w:lang w:eastAsia="zh-CN"/>
        </w:rPr>
      </w:pPr>
    </w:p>
    <w:p>
      <w:pPr>
        <w:ind w:firstLine="2891" w:firstLineChars="900"/>
        <w:rPr>
          <w:rFonts w:hint="eastAsia" w:ascii="宋体" w:hAnsi="宋体" w:cs="宋体"/>
          <w:b/>
          <w:color w:val="auto"/>
          <w:kern w:val="0"/>
          <w:sz w:val="32"/>
          <w:szCs w:val="32"/>
          <w:lang w:eastAsia="zh-CN"/>
        </w:rPr>
      </w:pPr>
    </w:p>
    <w:p>
      <w:pPr>
        <w:ind w:firstLine="2891" w:firstLineChars="900"/>
        <w:rPr>
          <w:rFonts w:hint="eastAsia" w:ascii="宋体" w:hAnsi="宋体" w:cs="宋体"/>
          <w:b/>
          <w:color w:val="auto"/>
          <w:kern w:val="0"/>
          <w:sz w:val="32"/>
          <w:szCs w:val="32"/>
          <w:lang w:eastAsia="zh-CN"/>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s="宋体"/>
                <w:b/>
                <w:color w:val="auto"/>
                <w:sz w:val="24"/>
              </w:rPr>
            </w:pPr>
            <w:r>
              <w:rPr>
                <w:rFonts w:hint="eastAsia" w:ascii="宋体" w:hAnsi="宋体" w:cs="宋体"/>
                <w:b/>
                <w:color w:val="auto"/>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pStyle w:val="2"/>
        <w:rPr>
          <w:rFonts w:hint="eastAsia"/>
        </w:rPr>
      </w:pP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六</w:t>
      </w:r>
      <w:r>
        <w:rPr>
          <w:rFonts w:hint="eastAsia" w:ascii="宋体" w:hAnsi="宋体" w:eastAsia="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ind w:firstLine="1911" w:firstLineChars="595"/>
        <w:rPr>
          <w:rFonts w:hint="eastAsia" w:ascii="宋体" w:hAnsi="宋体" w:eastAsia="宋体" w:cs="宋体"/>
          <w:b/>
          <w:kern w:val="0"/>
          <w:sz w:val="32"/>
          <w:szCs w:val="32"/>
        </w:rPr>
      </w:pPr>
      <w:r>
        <w:rPr>
          <w:rFonts w:hint="eastAsia" w:ascii="宋体" w:hAnsi="宋体" w:cs="宋体"/>
          <w:b/>
          <w:kern w:val="0"/>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sectPr>
          <w:headerReference r:id="rId8" w:type="first"/>
          <w:footerReference r:id="rId10" w:type="first"/>
          <w:headerReference r:id="rId7" w:type="defaul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17"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43" w:type="dxa"/>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118"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规格型号（或具体服务）</w:t>
            </w:r>
          </w:p>
        </w:tc>
        <w:tc>
          <w:tcPr>
            <w:tcW w:w="993"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59"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8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3119" w:type="dxa"/>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服务要求（年限）</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rPr>
      </w:pP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2"/>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rPr>
          <w:rFonts w:hint="eastAsia" w:ascii="宋体" w:hAnsi="宋体" w:eastAsia="宋体" w:cs="宋体"/>
          <w:b/>
          <w:kern w:val="0"/>
          <w:sz w:val="36"/>
          <w:szCs w:val="36"/>
        </w:rPr>
      </w:pPr>
    </w:p>
    <w:p>
      <w:pPr>
        <w:tabs>
          <w:tab w:val="left" w:pos="8085"/>
        </w:tabs>
        <w:spacing w:line="360" w:lineRule="auto"/>
        <w:ind w:firstLine="1285" w:firstLineChars="400"/>
        <w:jc w:val="left"/>
        <w:rPr>
          <w:rFonts w:hint="eastAsia" w:ascii="宋体" w:hAnsi="宋体" w:eastAsia="宋体" w:cs="宋体"/>
          <w:b/>
          <w:sz w:val="32"/>
          <w:szCs w:val="32"/>
        </w:rPr>
      </w:pPr>
    </w:p>
    <w:p>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三、政府采购信用融资操作流程：</w:t>
      </w:r>
    </w:p>
    <w:p>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2"/>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2"/>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95" w:name="_Toc465665161"/>
      <w:r>
        <w:rPr>
          <w:rFonts w:hint="eastAsia" w:ascii="宋体" w:hAnsi="宋体" w:eastAsia="宋体" w:cs="宋体"/>
        </w:rPr>
        <w:t>附件</w:t>
      </w:r>
      <w:bookmarkEnd w:id="395"/>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396" w:name="OLE_LINK13"/>
      <w:bookmarkStart w:id="397" w:name="OLE_LINK14"/>
      <w:r>
        <w:rPr>
          <w:rFonts w:hint="eastAsia" w:ascii="宋体" w:hAnsi="宋体" w:eastAsia="宋体" w:cs="宋体"/>
          <w:b/>
          <w:spacing w:val="6"/>
          <w:sz w:val="32"/>
          <w:szCs w:val="32"/>
        </w:rPr>
        <w:t>残疾人福利性单位声明函</w:t>
      </w:r>
    </w:p>
    <w:bookmarkEnd w:id="396"/>
    <w:bookmarkEnd w:id="397"/>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w:t>
      </w:r>
      <w:r>
        <w:rPr>
          <w:rFonts w:hint="eastAsia" w:ascii="宋体" w:hAnsi="宋体" w:cs="宋体"/>
          <w:kern w:val="0"/>
          <w:sz w:val="24"/>
          <w:highlight w:val="yellow"/>
          <w:lang w:val="zh-CN"/>
        </w:rPr>
        <w:t>中小企业合同份额</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8"/>
      <w:r>
        <w:rPr>
          <w:rFonts w:hint="eastAsia" w:ascii="宋体" w:hAnsi="宋体" w:cs="宋体"/>
          <w:kern w:val="0"/>
          <w:sz w:val="24"/>
          <w:u w:val="single"/>
        </w:rPr>
        <w:t>）</w:t>
      </w:r>
      <w:r>
        <w:rPr>
          <w:rFonts w:hint="eastAsia" w:ascii="宋体" w:hAnsi="宋体" w:cs="宋体"/>
          <w:kern w:val="0"/>
          <w:sz w:val="24"/>
        </w:rPr>
        <w:t>提供的</w:t>
      </w:r>
      <w:r>
        <w:rPr>
          <w:rFonts w:hint="eastAsia" w:ascii="宋体" w:hAnsi="宋体" w:cs="宋体"/>
          <w:kern w:val="0"/>
          <w:sz w:val="24"/>
          <w:highlight w:val="yellow"/>
        </w:rPr>
        <w:t>服务由小微企业承接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kern w:val="0"/>
          <w:sz w:val="24"/>
          <w:lang w:val="en-US" w:eastAsia="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399"/>
      <w:r>
        <w:rPr>
          <w:rFonts w:hint="eastAsia" w:ascii="宋体" w:hAnsi="宋体" w:cs="宋体"/>
          <w:b/>
          <w:kern w:val="0"/>
          <w:sz w:val="24"/>
          <w:lang w:val="zh-CN"/>
        </w:rPr>
        <w:t>）</w:t>
      </w:r>
    </w:p>
    <w:p>
      <w:pPr>
        <w:snapToGrid/>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eastAsia="宋体" w:cs="宋体"/>
          <w:b/>
          <w:spacing w:val="6"/>
          <w:sz w:val="32"/>
          <w:szCs w:val="32"/>
        </w:rPr>
        <w:t>：</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eastAsia="宋体" w:cs="宋体"/>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21"/>
          <w:szCs w:val="21"/>
        </w:rPr>
      </w:pPr>
      <w:r>
        <w:rPr>
          <w:rFonts w:hint="eastAsia" w:ascii="宋体" w:hAnsi="宋体" w:cs="宋体"/>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none"/>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宋体" w:hAnsi="宋体" w:eastAsia="宋体" w:cs="宋体"/>
          <w:bCs/>
          <w:sz w:val="24"/>
        </w:rPr>
      </w:pPr>
    </w:p>
    <w:sectPr>
      <w:headerReference r:id="rId16" w:type="first"/>
      <w:footerReference r:id="rId19" w:type="first"/>
      <w:headerReference r:id="rId15" w:type="default"/>
      <w:footerReference r:id="rId17" w:type="default"/>
      <w:footerReference r:id="rId18"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both"/>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AEDD"/>
    <w:multiLevelType w:val="singleLevel"/>
    <w:tmpl w:val="8E63AEDD"/>
    <w:lvl w:ilvl="0" w:tentative="0">
      <w:start w:val="1"/>
      <w:numFmt w:val="decimal"/>
      <w:lvlText w:val="%1."/>
      <w:lvlJc w:val="left"/>
      <w:pPr>
        <w:ind w:left="425" w:hanging="425"/>
      </w:pPr>
      <w:rPr>
        <w:rFonts w:hint="default"/>
      </w:rPr>
    </w:lvl>
  </w:abstractNum>
  <w:abstractNum w:abstractNumId="1">
    <w:nsid w:val="069A03DF"/>
    <w:multiLevelType w:val="singleLevel"/>
    <w:tmpl w:val="069A03DF"/>
    <w:lvl w:ilvl="0" w:tentative="0">
      <w:start w:val="1"/>
      <w:numFmt w:val="decimal"/>
      <w:lvlText w:val="%1."/>
      <w:lvlJc w:val="left"/>
      <w:pPr>
        <w:ind w:left="425" w:hanging="425"/>
      </w:pPr>
      <w:rPr>
        <w:rFonts w:hint="default"/>
      </w:rPr>
    </w:lvl>
  </w:abstractNum>
  <w:abstractNum w:abstractNumId="2">
    <w:nsid w:val="6C1608D0"/>
    <w:multiLevelType w:val="singleLevel"/>
    <w:tmpl w:val="6C1608D0"/>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jI5MmVjM2VlZmI2NzBhNDMxNDg0NzQ4MDlkN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5A"/>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CF6675"/>
    <w:rsid w:val="03DD35E4"/>
    <w:rsid w:val="04076900"/>
    <w:rsid w:val="041A5A3B"/>
    <w:rsid w:val="042311BA"/>
    <w:rsid w:val="042B157A"/>
    <w:rsid w:val="044D3AE9"/>
    <w:rsid w:val="048F763B"/>
    <w:rsid w:val="049F330E"/>
    <w:rsid w:val="04AA775C"/>
    <w:rsid w:val="04AF1889"/>
    <w:rsid w:val="04F66F48"/>
    <w:rsid w:val="05251E14"/>
    <w:rsid w:val="05A16594"/>
    <w:rsid w:val="05A7762D"/>
    <w:rsid w:val="060E5941"/>
    <w:rsid w:val="06110FAF"/>
    <w:rsid w:val="06493CA7"/>
    <w:rsid w:val="065A6178"/>
    <w:rsid w:val="066F1CF3"/>
    <w:rsid w:val="068A59BD"/>
    <w:rsid w:val="06930BB8"/>
    <w:rsid w:val="07147821"/>
    <w:rsid w:val="07245D42"/>
    <w:rsid w:val="07264C62"/>
    <w:rsid w:val="0779354C"/>
    <w:rsid w:val="08061376"/>
    <w:rsid w:val="084242EE"/>
    <w:rsid w:val="08452D77"/>
    <w:rsid w:val="086401F8"/>
    <w:rsid w:val="08751CAA"/>
    <w:rsid w:val="087E4C40"/>
    <w:rsid w:val="08D66AD6"/>
    <w:rsid w:val="08DA33A3"/>
    <w:rsid w:val="08E80F13"/>
    <w:rsid w:val="09335624"/>
    <w:rsid w:val="0944690F"/>
    <w:rsid w:val="09535675"/>
    <w:rsid w:val="095F057D"/>
    <w:rsid w:val="09642282"/>
    <w:rsid w:val="096B09CE"/>
    <w:rsid w:val="09733572"/>
    <w:rsid w:val="09772C16"/>
    <w:rsid w:val="098353B5"/>
    <w:rsid w:val="09A92330"/>
    <w:rsid w:val="09B06B87"/>
    <w:rsid w:val="09C13146"/>
    <w:rsid w:val="09E04166"/>
    <w:rsid w:val="0A1C0718"/>
    <w:rsid w:val="0A3E7710"/>
    <w:rsid w:val="0A4240F4"/>
    <w:rsid w:val="0A5B7E63"/>
    <w:rsid w:val="0A884FAE"/>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86A1B"/>
    <w:rsid w:val="0F693536"/>
    <w:rsid w:val="0F7B0511"/>
    <w:rsid w:val="0F7B76D9"/>
    <w:rsid w:val="0F816ACD"/>
    <w:rsid w:val="0F9832DB"/>
    <w:rsid w:val="0FBF3FD2"/>
    <w:rsid w:val="0FBF7FF3"/>
    <w:rsid w:val="0FD4263C"/>
    <w:rsid w:val="10244F27"/>
    <w:rsid w:val="10595A0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70363"/>
    <w:rsid w:val="139B1A0A"/>
    <w:rsid w:val="139D25C7"/>
    <w:rsid w:val="13BF3CE4"/>
    <w:rsid w:val="141008D8"/>
    <w:rsid w:val="14125FE6"/>
    <w:rsid w:val="146664F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47FAA"/>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9205C"/>
    <w:rsid w:val="1C82772F"/>
    <w:rsid w:val="1C88086E"/>
    <w:rsid w:val="1CD56B9B"/>
    <w:rsid w:val="1D10240B"/>
    <w:rsid w:val="1D266CE1"/>
    <w:rsid w:val="1D2E105B"/>
    <w:rsid w:val="1D3963AF"/>
    <w:rsid w:val="1D6A673C"/>
    <w:rsid w:val="1D8E5791"/>
    <w:rsid w:val="1D9247AE"/>
    <w:rsid w:val="1DB567EC"/>
    <w:rsid w:val="1DF51A98"/>
    <w:rsid w:val="1E3073D1"/>
    <w:rsid w:val="1E3D060F"/>
    <w:rsid w:val="1E3F7D2E"/>
    <w:rsid w:val="1E4134E4"/>
    <w:rsid w:val="1E5062B3"/>
    <w:rsid w:val="1E523514"/>
    <w:rsid w:val="1E714A66"/>
    <w:rsid w:val="1E802593"/>
    <w:rsid w:val="1EA703CC"/>
    <w:rsid w:val="1EB7330C"/>
    <w:rsid w:val="1EEB65C1"/>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F73C42"/>
    <w:rsid w:val="231436F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0531E"/>
    <w:rsid w:val="26A53EF9"/>
    <w:rsid w:val="26A94201"/>
    <w:rsid w:val="26AC274F"/>
    <w:rsid w:val="27044A29"/>
    <w:rsid w:val="271D34C8"/>
    <w:rsid w:val="274D517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82B12"/>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27589C"/>
    <w:rsid w:val="2C841377"/>
    <w:rsid w:val="2CE82D6F"/>
    <w:rsid w:val="2D343236"/>
    <w:rsid w:val="2DC03B59"/>
    <w:rsid w:val="2DD15014"/>
    <w:rsid w:val="2DF72DE4"/>
    <w:rsid w:val="2E0220AF"/>
    <w:rsid w:val="2E4B082A"/>
    <w:rsid w:val="2E5D4E86"/>
    <w:rsid w:val="2E5D790B"/>
    <w:rsid w:val="2E9A3C18"/>
    <w:rsid w:val="2EBB0FEE"/>
    <w:rsid w:val="2EC63002"/>
    <w:rsid w:val="2F0A6B38"/>
    <w:rsid w:val="2F946CCB"/>
    <w:rsid w:val="2FD25781"/>
    <w:rsid w:val="2FFD7934"/>
    <w:rsid w:val="30546081"/>
    <w:rsid w:val="30733ACD"/>
    <w:rsid w:val="30754DF6"/>
    <w:rsid w:val="308C3862"/>
    <w:rsid w:val="309379D8"/>
    <w:rsid w:val="30A270F7"/>
    <w:rsid w:val="30DF1478"/>
    <w:rsid w:val="30EC586F"/>
    <w:rsid w:val="319C6071"/>
    <w:rsid w:val="31AC537E"/>
    <w:rsid w:val="31E3679B"/>
    <w:rsid w:val="31E732FD"/>
    <w:rsid w:val="32517576"/>
    <w:rsid w:val="32A13D2D"/>
    <w:rsid w:val="32BE5C2C"/>
    <w:rsid w:val="32F81C5D"/>
    <w:rsid w:val="32FB6478"/>
    <w:rsid w:val="33263B3F"/>
    <w:rsid w:val="336963EB"/>
    <w:rsid w:val="33816EEB"/>
    <w:rsid w:val="33EB55CD"/>
    <w:rsid w:val="33EC4C02"/>
    <w:rsid w:val="33FD7B69"/>
    <w:rsid w:val="340D2360"/>
    <w:rsid w:val="3410665D"/>
    <w:rsid w:val="34211214"/>
    <w:rsid w:val="342E63AB"/>
    <w:rsid w:val="34694A7D"/>
    <w:rsid w:val="34950E68"/>
    <w:rsid w:val="34986E94"/>
    <w:rsid w:val="34A10BE9"/>
    <w:rsid w:val="34AF62C9"/>
    <w:rsid w:val="34C5570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F38E6"/>
    <w:rsid w:val="39636459"/>
    <w:rsid w:val="396B7F6C"/>
    <w:rsid w:val="3988102B"/>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7BE5"/>
    <w:rsid w:val="3DE041CB"/>
    <w:rsid w:val="3E0D48F6"/>
    <w:rsid w:val="3E1868B4"/>
    <w:rsid w:val="3E377251"/>
    <w:rsid w:val="3E42664B"/>
    <w:rsid w:val="3E5A7334"/>
    <w:rsid w:val="3E673BEE"/>
    <w:rsid w:val="3E7B5D6B"/>
    <w:rsid w:val="3E843E66"/>
    <w:rsid w:val="3E8F51FE"/>
    <w:rsid w:val="3E926F87"/>
    <w:rsid w:val="3E9A59DE"/>
    <w:rsid w:val="3EAF4836"/>
    <w:rsid w:val="3EC33DFA"/>
    <w:rsid w:val="3F060E16"/>
    <w:rsid w:val="3F1D1096"/>
    <w:rsid w:val="3F2F0234"/>
    <w:rsid w:val="3F6363FE"/>
    <w:rsid w:val="3F756B8F"/>
    <w:rsid w:val="3F95482B"/>
    <w:rsid w:val="3FE73C89"/>
    <w:rsid w:val="4019356B"/>
    <w:rsid w:val="4050529A"/>
    <w:rsid w:val="40592157"/>
    <w:rsid w:val="406E1CAE"/>
    <w:rsid w:val="40A0133A"/>
    <w:rsid w:val="40BF1232"/>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4658F"/>
    <w:rsid w:val="44002FAD"/>
    <w:rsid w:val="444F0CEF"/>
    <w:rsid w:val="44660984"/>
    <w:rsid w:val="449101DD"/>
    <w:rsid w:val="44DE1391"/>
    <w:rsid w:val="451B225C"/>
    <w:rsid w:val="452410C9"/>
    <w:rsid w:val="45317DFB"/>
    <w:rsid w:val="454D4C68"/>
    <w:rsid w:val="456D3CE4"/>
    <w:rsid w:val="4579042C"/>
    <w:rsid w:val="457F0571"/>
    <w:rsid w:val="45851176"/>
    <w:rsid w:val="45C63B94"/>
    <w:rsid w:val="460E7DA5"/>
    <w:rsid w:val="46422483"/>
    <w:rsid w:val="4659254A"/>
    <w:rsid w:val="465B0637"/>
    <w:rsid w:val="465E3F0D"/>
    <w:rsid w:val="466A16E6"/>
    <w:rsid w:val="46893F2B"/>
    <w:rsid w:val="46C4686E"/>
    <w:rsid w:val="47380B78"/>
    <w:rsid w:val="477B778F"/>
    <w:rsid w:val="478203EC"/>
    <w:rsid w:val="47B025FA"/>
    <w:rsid w:val="4809698F"/>
    <w:rsid w:val="4811697D"/>
    <w:rsid w:val="487A3E25"/>
    <w:rsid w:val="488B5503"/>
    <w:rsid w:val="48937E21"/>
    <w:rsid w:val="489A0361"/>
    <w:rsid w:val="48B94FF3"/>
    <w:rsid w:val="48E37AAB"/>
    <w:rsid w:val="48FD4B4C"/>
    <w:rsid w:val="490A68E0"/>
    <w:rsid w:val="490C31DE"/>
    <w:rsid w:val="491055FE"/>
    <w:rsid w:val="495E60D1"/>
    <w:rsid w:val="495F5B3E"/>
    <w:rsid w:val="496F77D7"/>
    <w:rsid w:val="497654FD"/>
    <w:rsid w:val="49B64211"/>
    <w:rsid w:val="49F6167F"/>
    <w:rsid w:val="4A064FA0"/>
    <w:rsid w:val="4A16615C"/>
    <w:rsid w:val="4A392DEA"/>
    <w:rsid w:val="4A4424D7"/>
    <w:rsid w:val="4AB82D0F"/>
    <w:rsid w:val="4AEB7664"/>
    <w:rsid w:val="4AFD7C19"/>
    <w:rsid w:val="4B0567D1"/>
    <w:rsid w:val="4B0E78A9"/>
    <w:rsid w:val="4B236AAE"/>
    <w:rsid w:val="4B2E1D31"/>
    <w:rsid w:val="4B707271"/>
    <w:rsid w:val="4B9739F7"/>
    <w:rsid w:val="4BEE2503"/>
    <w:rsid w:val="4C140FE2"/>
    <w:rsid w:val="4C245A30"/>
    <w:rsid w:val="4CB6685F"/>
    <w:rsid w:val="4CC367FE"/>
    <w:rsid w:val="4D077F3C"/>
    <w:rsid w:val="4D123355"/>
    <w:rsid w:val="4D2A3B31"/>
    <w:rsid w:val="4D312C52"/>
    <w:rsid w:val="4D8240A4"/>
    <w:rsid w:val="4D905305"/>
    <w:rsid w:val="4D964A72"/>
    <w:rsid w:val="4D9C1254"/>
    <w:rsid w:val="4E3F6AE5"/>
    <w:rsid w:val="4E793892"/>
    <w:rsid w:val="4E800872"/>
    <w:rsid w:val="4E8519A6"/>
    <w:rsid w:val="4EC569ED"/>
    <w:rsid w:val="4ED50EA1"/>
    <w:rsid w:val="4EEC050C"/>
    <w:rsid w:val="4F104EC3"/>
    <w:rsid w:val="4F3E3AE6"/>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B5A23"/>
    <w:rsid w:val="5142540C"/>
    <w:rsid w:val="518832C8"/>
    <w:rsid w:val="5195201E"/>
    <w:rsid w:val="51A0432A"/>
    <w:rsid w:val="51A86090"/>
    <w:rsid w:val="51B7396D"/>
    <w:rsid w:val="522E4CC3"/>
    <w:rsid w:val="5244713B"/>
    <w:rsid w:val="52615633"/>
    <w:rsid w:val="526863BB"/>
    <w:rsid w:val="52977FD4"/>
    <w:rsid w:val="52A25790"/>
    <w:rsid w:val="52A96B6F"/>
    <w:rsid w:val="52B45975"/>
    <w:rsid w:val="52D94AA4"/>
    <w:rsid w:val="52EA3A62"/>
    <w:rsid w:val="52F50BB8"/>
    <w:rsid w:val="53097272"/>
    <w:rsid w:val="533735BB"/>
    <w:rsid w:val="53544462"/>
    <w:rsid w:val="536B49B0"/>
    <w:rsid w:val="5397158E"/>
    <w:rsid w:val="53A50F1C"/>
    <w:rsid w:val="54013861"/>
    <w:rsid w:val="54487265"/>
    <w:rsid w:val="544D6070"/>
    <w:rsid w:val="54605E1E"/>
    <w:rsid w:val="548E12A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A469E"/>
    <w:rsid w:val="5753678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96FA9"/>
    <w:rsid w:val="59A32035"/>
    <w:rsid w:val="59F80043"/>
    <w:rsid w:val="5A09252F"/>
    <w:rsid w:val="5A0B2778"/>
    <w:rsid w:val="5A2A7C7B"/>
    <w:rsid w:val="5A3E2560"/>
    <w:rsid w:val="5A5D3B6E"/>
    <w:rsid w:val="5A637A76"/>
    <w:rsid w:val="5A6D33BA"/>
    <w:rsid w:val="5A792B1F"/>
    <w:rsid w:val="5A874767"/>
    <w:rsid w:val="5AAD6F28"/>
    <w:rsid w:val="5AD63A24"/>
    <w:rsid w:val="5B2E1A1D"/>
    <w:rsid w:val="5B815DA7"/>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945651"/>
    <w:rsid w:val="5EDF0F7C"/>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71600"/>
    <w:rsid w:val="624F3E49"/>
    <w:rsid w:val="62632286"/>
    <w:rsid w:val="62885958"/>
    <w:rsid w:val="62F40B65"/>
    <w:rsid w:val="62FC2CFE"/>
    <w:rsid w:val="63024505"/>
    <w:rsid w:val="633D5518"/>
    <w:rsid w:val="635B1DB5"/>
    <w:rsid w:val="63711FED"/>
    <w:rsid w:val="63880DDC"/>
    <w:rsid w:val="638D750D"/>
    <w:rsid w:val="63AC6CC0"/>
    <w:rsid w:val="64055776"/>
    <w:rsid w:val="64240056"/>
    <w:rsid w:val="64281075"/>
    <w:rsid w:val="643E143A"/>
    <w:rsid w:val="648B6EEF"/>
    <w:rsid w:val="64C158BF"/>
    <w:rsid w:val="64CE2EAA"/>
    <w:rsid w:val="653C3090"/>
    <w:rsid w:val="65767CBF"/>
    <w:rsid w:val="65854376"/>
    <w:rsid w:val="658767BE"/>
    <w:rsid w:val="65892531"/>
    <w:rsid w:val="66195831"/>
    <w:rsid w:val="662E75B1"/>
    <w:rsid w:val="66342C2E"/>
    <w:rsid w:val="663E784C"/>
    <w:rsid w:val="668B6A45"/>
    <w:rsid w:val="67157571"/>
    <w:rsid w:val="672F3F24"/>
    <w:rsid w:val="673E055F"/>
    <w:rsid w:val="67551CE3"/>
    <w:rsid w:val="679B231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161F7"/>
    <w:rsid w:val="6B24787C"/>
    <w:rsid w:val="6B573233"/>
    <w:rsid w:val="6B5B6274"/>
    <w:rsid w:val="6B935D53"/>
    <w:rsid w:val="6BDC2A55"/>
    <w:rsid w:val="6C196F71"/>
    <w:rsid w:val="6C226FCB"/>
    <w:rsid w:val="6C31226F"/>
    <w:rsid w:val="6C552F0B"/>
    <w:rsid w:val="6C624D29"/>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27839"/>
    <w:rsid w:val="73C0646E"/>
    <w:rsid w:val="73C71419"/>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072A4"/>
    <w:rsid w:val="761D08E0"/>
    <w:rsid w:val="764135E8"/>
    <w:rsid w:val="765D347C"/>
    <w:rsid w:val="76826699"/>
    <w:rsid w:val="76C87133"/>
    <w:rsid w:val="76CD08D5"/>
    <w:rsid w:val="76DB4B92"/>
    <w:rsid w:val="77052AA4"/>
    <w:rsid w:val="77136511"/>
    <w:rsid w:val="77340A39"/>
    <w:rsid w:val="77351FD0"/>
    <w:rsid w:val="77472422"/>
    <w:rsid w:val="777F31F2"/>
    <w:rsid w:val="77B66150"/>
    <w:rsid w:val="77D1700D"/>
    <w:rsid w:val="77E87688"/>
    <w:rsid w:val="77EC04CC"/>
    <w:rsid w:val="78775729"/>
    <w:rsid w:val="78A42DB0"/>
    <w:rsid w:val="78A656AB"/>
    <w:rsid w:val="78B2245C"/>
    <w:rsid w:val="78E172CC"/>
    <w:rsid w:val="78EA1D1F"/>
    <w:rsid w:val="7904172F"/>
    <w:rsid w:val="790F7E27"/>
    <w:rsid w:val="792A231A"/>
    <w:rsid w:val="79316829"/>
    <w:rsid w:val="79440FF5"/>
    <w:rsid w:val="797E66A9"/>
    <w:rsid w:val="79A97383"/>
    <w:rsid w:val="79DF2D8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C6649"/>
    <w:rsid w:val="7E0E356E"/>
    <w:rsid w:val="7E1E5218"/>
    <w:rsid w:val="7E9A4E1F"/>
    <w:rsid w:val="7EA7723A"/>
    <w:rsid w:val="7EF56FBB"/>
    <w:rsid w:val="7F0768EB"/>
    <w:rsid w:val="7F143BEC"/>
    <w:rsid w:val="7F715AF2"/>
    <w:rsid w:val="7F886E69"/>
    <w:rsid w:val="7FE84AEA"/>
    <w:rsid w:val="7FF50CD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6"/>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9"/>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4"/>
    <w:link w:val="263"/>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2"/>
    <w:basedOn w:val="28"/>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15"/>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3"/>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396"/>
    <w:link w:val="394"/>
    <w:qFormat/>
    <w:uiPriority w:val="0"/>
    <w:pPr>
      <w:widowControl/>
      <w:tabs>
        <w:tab w:val="right" w:leader="dot" w:pos="8268"/>
      </w:tabs>
      <w:snapToGrid w:val="0"/>
      <w:spacing w:after="156" w:afterLines="50"/>
      <w:ind w:firstLine="200" w:firstLineChars="200"/>
    </w:pPr>
    <w:rPr>
      <w:kern w:val="0"/>
      <w:sz w:val="24"/>
      <w:szCs w:val="20"/>
    </w:rPr>
  </w:style>
  <w:style w:type="paragraph" w:customStyle="1" w:styleId="396">
    <w:name w:val="正文1"/>
    <w:basedOn w:val="35"/>
    <w:next w:val="397"/>
    <w:qFormat/>
    <w:uiPriority w:val="0"/>
    <w:pPr>
      <w:ind w:left="0" w:leftChars="0" w:firstLine="480" w:firstLineChars="200"/>
    </w:pPr>
    <w:rPr>
      <w:rFonts w:ascii="仿宋_GB2312" w:hAnsi="Courier New" w:eastAsia="仿宋_GB2312"/>
      <w:kern w:val="28"/>
      <w:sz w:val="24"/>
    </w:rPr>
  </w:style>
  <w:style w:type="paragraph" w:customStyle="1" w:styleId="397">
    <w:name w:val="正文文本1"/>
    <w:basedOn w:val="396"/>
    <w:next w:val="396"/>
    <w:qFormat/>
    <w:uiPriority w:val="0"/>
    <w:rPr>
      <w:rFonts w:eastAsia="黑体"/>
      <w:b/>
      <w:bCs/>
      <w:spacing w:val="20"/>
      <w:sz w:val="56"/>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25"/>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basedOn w:val="69"/>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表格内容"/>
    <w:qFormat/>
    <w:uiPriority w:val="2"/>
    <w:pPr>
      <w:jc w:val="center"/>
    </w:pPr>
    <w:rPr>
      <w:rFonts w:ascii="Times New Roman" w:hAnsi="Times New Roman" w:eastAsia="宋体" w:cs="Times New Roman"/>
      <w:sz w:val="24"/>
      <w:szCs w:val="28"/>
      <w:lang w:val="en-US" w:eastAsia="zh-CN" w:bidi="ar-SA"/>
    </w:rPr>
  </w:style>
  <w:style w:type="paragraph" w:customStyle="1" w:styleId="963">
    <w:name w:val="招标-标题1"/>
    <w:basedOn w:val="396"/>
    <w:qFormat/>
    <w:uiPriority w:val="0"/>
    <w:pPr>
      <w:spacing w:line="300" w:lineRule="auto"/>
      <w:ind w:left="560"/>
    </w:pPr>
    <w:rPr>
      <w:rFonts w:ascii="宋体" w:hAnsi="宋体"/>
      <w:b/>
      <w:bCs/>
      <w:szCs w:val="21"/>
    </w:rPr>
  </w:style>
  <w:style w:type="paragraph" w:customStyle="1" w:styleId="964">
    <w:name w:val="招标正文"/>
    <w:basedOn w:val="395"/>
    <w:qFormat/>
    <w:uiPriority w:val="0"/>
    <w:pPr>
      <w:spacing w:line="360" w:lineRule="auto"/>
      <w:ind w:firstLine="480"/>
    </w:pPr>
    <w:rPr>
      <w:rFonts w:ascii="宋体" w:hAnsi="宋体"/>
      <w:color w:val="000000"/>
      <w:sz w:val="21"/>
      <w:szCs w:val="21"/>
    </w:rPr>
  </w:style>
  <w:style w:type="paragraph" w:customStyle="1" w:styleId="965">
    <w:name w:val="列表段落"/>
    <w:basedOn w:val="396"/>
    <w:qFormat/>
    <w:uiPriority w:val="0"/>
    <w:pPr>
      <w:ind w:firstLine="420"/>
    </w:pPr>
    <w:rPr>
      <w:rFonts w:ascii="Calibri" w:hAnsi="Calibri"/>
      <w:sz w:val="22"/>
      <w:szCs w:val="22"/>
    </w:rPr>
  </w:style>
  <w:style w:type="paragraph" w:customStyle="1" w:styleId="966">
    <w:name w:val="正文首行缩进 21"/>
    <w:basedOn w:val="396"/>
    <w:qFormat/>
    <w:uiPriority w:val="0"/>
    <w:pPr>
      <w:spacing w:after="120"/>
      <w:ind w:left="420" w:firstLine="42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48073</Words>
  <Characters>54629</Characters>
  <Lines>287</Lines>
  <Paragraphs>81</Paragraphs>
  <TotalTime>0</TotalTime>
  <ScaleCrop>false</ScaleCrop>
  <LinksUpToDate>false</LinksUpToDate>
  <CharactersWithSpaces>59231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Administrator</cp:lastModifiedBy>
  <cp:lastPrinted>2023-05-16T06:34:00Z</cp:lastPrinted>
  <dcterms:modified xsi:type="dcterms:W3CDTF">2023-05-17T07:54:49Z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5B8B30AE8A3747CA97DC9EFD504BB94C_13</vt:lpwstr>
  </property>
</Properties>
</file>