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spacing w:line="360" w:lineRule="auto"/>
        <w:jc w:val="center"/>
        <w:rPr>
          <w:rFonts w:ascii="宋体" w:hAnsi="宋体" w:cs="宋体"/>
          <w:b/>
          <w:sz w:val="24"/>
        </w:rPr>
      </w:pPr>
    </w:p>
    <w:p>
      <w:pPr>
        <w:adjustRightInd/>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adjustRightInd/>
        <w:spacing w:line="360" w:lineRule="auto"/>
        <w:jc w:val="center"/>
        <w:rPr>
          <w:rFonts w:ascii="宋体" w:hAnsi="宋体" w:cs="宋体"/>
          <w:b/>
          <w:sz w:val="48"/>
          <w:szCs w:val="48"/>
        </w:rPr>
      </w:pPr>
    </w:p>
    <w:p>
      <w:pPr>
        <w:adjustRightInd/>
        <w:spacing w:line="360" w:lineRule="auto"/>
        <w:jc w:val="center"/>
        <w:rPr>
          <w:rFonts w:ascii="宋体" w:hAnsi="宋体" w:cs="宋体"/>
          <w:sz w:val="48"/>
          <w:szCs w:val="48"/>
        </w:rPr>
      </w:pPr>
      <w:r>
        <w:rPr>
          <w:rFonts w:hint="eastAsia" w:ascii="宋体" w:hAnsi="宋体" w:cs="宋体"/>
          <w:sz w:val="48"/>
          <w:szCs w:val="48"/>
        </w:rPr>
        <w:t>202</w:t>
      </w:r>
      <w:r>
        <w:rPr>
          <w:rFonts w:hint="eastAsia" w:ascii="宋体" w:hAnsi="宋体" w:cs="宋体"/>
          <w:sz w:val="48"/>
          <w:szCs w:val="48"/>
          <w:lang w:val="en-US" w:eastAsia="zh-CN"/>
        </w:rPr>
        <w:t>3</w:t>
      </w:r>
      <w:r>
        <w:rPr>
          <w:rFonts w:hint="eastAsia" w:ascii="宋体" w:hAnsi="宋体" w:cs="宋体"/>
          <w:sz w:val="48"/>
          <w:szCs w:val="48"/>
        </w:rPr>
        <w:t xml:space="preserve">年桐庐县中小学计算机更新改造项目招标文件 </w:t>
      </w:r>
    </w:p>
    <w:p>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pPr>
        <w:snapToGrid w:val="0"/>
        <w:spacing w:line="360" w:lineRule="auto"/>
        <w:jc w:val="center"/>
        <w:rPr>
          <w:rFonts w:ascii="宋体" w:hAnsi="宋体" w:cs="宋体"/>
          <w:color w:val="FF0000"/>
          <w:sz w:val="30"/>
          <w:szCs w:val="30"/>
        </w:rPr>
      </w:pPr>
      <w:r>
        <w:rPr>
          <w:rFonts w:hint="eastAsia" w:ascii="宋体" w:hAnsi="宋体" w:cs="宋体"/>
          <w:sz w:val="30"/>
          <w:szCs w:val="30"/>
        </w:rPr>
        <w:t>编号:</w:t>
      </w:r>
      <w:r>
        <w:rPr>
          <w:rFonts w:hint="eastAsia" w:ascii="宋体" w:hAnsi="宋体" w:cs="宋体"/>
          <w:color w:val="FF0000"/>
          <w:sz w:val="30"/>
          <w:szCs w:val="30"/>
        </w:rPr>
        <w:t>（</w:t>
      </w:r>
      <w:r>
        <w:rPr>
          <w:rFonts w:hint="eastAsia" w:ascii="宋体" w:hAnsi="宋体" w:cs="宋体"/>
          <w:color w:val="FF0000"/>
          <w:sz w:val="30"/>
          <w:szCs w:val="30"/>
          <w:lang w:val="en-US" w:eastAsia="zh-CN"/>
        </w:rPr>
        <w:t>TLZFCG2023-GK-005</w:t>
      </w:r>
      <w:r>
        <w:rPr>
          <w:rFonts w:hint="eastAsia" w:ascii="宋体" w:hAnsi="宋体" w:cs="宋体"/>
          <w:color w:val="FF0000"/>
          <w:sz w:val="30"/>
          <w:szCs w:val="30"/>
        </w:rPr>
        <w:t>）</w:t>
      </w:r>
    </w:p>
    <w:p>
      <w:pPr>
        <w:adjustRightInd/>
        <w:spacing w:line="360" w:lineRule="auto"/>
        <w:rPr>
          <w:rFonts w:ascii="宋体" w:hAnsi="宋体" w:cs="宋体"/>
          <w:sz w:val="28"/>
          <w:szCs w:val="20"/>
        </w:rPr>
      </w:pPr>
    </w:p>
    <w:p>
      <w:pPr>
        <w:spacing w:line="360" w:lineRule="auto"/>
        <w:jc w:val="center"/>
        <w:rPr>
          <w:rFonts w:ascii="宋体" w:hAnsi="宋体" w:cs="宋体"/>
          <w:b/>
          <w:sz w:val="44"/>
          <w:szCs w:val="44"/>
        </w:rPr>
      </w:pPr>
      <w:r>
        <w:rPr>
          <w:rFonts w:hint="eastAsia" w:ascii="宋体" w:hAnsi="宋体" w:cs="宋体"/>
          <w:b/>
          <w:sz w:val="44"/>
          <w:szCs w:val="44"/>
        </w:rPr>
        <w:t xml:space="preserve"> </w:t>
      </w:r>
    </w:p>
    <w:p>
      <w:pPr>
        <w:spacing w:line="360" w:lineRule="auto"/>
        <w:jc w:val="center"/>
        <w:rPr>
          <w:rFonts w:ascii="宋体" w:hAnsi="宋体" w:cs="宋体"/>
          <w:b/>
          <w:sz w:val="44"/>
          <w:szCs w:val="44"/>
        </w:rPr>
      </w:pPr>
    </w:p>
    <w:p>
      <w:pPr>
        <w:spacing w:line="360" w:lineRule="auto"/>
        <w:jc w:val="center"/>
        <w:rPr>
          <w:rFonts w:ascii="宋体" w:hAnsi="宋体" w:cs="宋体"/>
          <w:sz w:val="24"/>
        </w:rPr>
      </w:pPr>
    </w:p>
    <w:p>
      <w:pPr>
        <w:spacing w:line="360" w:lineRule="auto"/>
        <w:jc w:val="center"/>
        <w:rPr>
          <w:rFonts w:ascii="宋体" w:hAnsi="宋体" w:cs="宋体"/>
          <w:sz w:val="24"/>
        </w:rPr>
      </w:pPr>
    </w:p>
    <w:p>
      <w:pPr>
        <w:spacing w:line="360" w:lineRule="auto"/>
        <w:rPr>
          <w:rFonts w:ascii="宋体" w:hAnsi="宋体" w:cs="宋体"/>
          <w:sz w:val="32"/>
          <w:szCs w:val="32"/>
        </w:rPr>
      </w:pPr>
    </w:p>
    <w:p>
      <w:pPr>
        <w:snapToGrid w:val="0"/>
        <w:spacing w:line="360" w:lineRule="auto"/>
        <w:jc w:val="center"/>
        <w:rPr>
          <w:rFonts w:ascii="宋体" w:hAnsi="宋体" w:cs="宋体"/>
          <w:color w:val="0000FF"/>
          <w:sz w:val="32"/>
          <w:szCs w:val="32"/>
        </w:rPr>
      </w:pPr>
      <w:r>
        <w:rPr>
          <w:rFonts w:hint="eastAsia" w:ascii="宋体" w:hAnsi="宋体" w:cs="宋体"/>
          <w:color w:val="0000FF"/>
          <w:sz w:val="32"/>
          <w:szCs w:val="32"/>
        </w:rPr>
        <w:t>（桐庐县教育后勤服务中心）</w:t>
      </w:r>
    </w:p>
    <w:p>
      <w:pPr>
        <w:spacing w:line="360" w:lineRule="auto"/>
        <w:jc w:val="center"/>
        <w:rPr>
          <w:rFonts w:ascii="宋体" w:hAnsi="宋体" w:cs="宋体"/>
          <w:bCs/>
          <w:sz w:val="32"/>
          <w:szCs w:val="32"/>
        </w:rPr>
      </w:pPr>
      <w:r>
        <w:rPr>
          <w:rFonts w:hint="eastAsia" w:ascii="宋体" w:hAnsi="宋体" w:eastAsia="宋体" w:cs="宋体"/>
          <w:bCs/>
          <w:sz w:val="32"/>
          <w:szCs w:val="32"/>
        </w:rPr>
        <w:t>杭州市公共资源交易中心</w:t>
      </w:r>
      <w:r>
        <w:rPr>
          <w:rFonts w:hint="eastAsia" w:ascii="宋体" w:hAnsi="宋体" w:eastAsia="宋体" w:cs="宋体"/>
          <w:bCs/>
          <w:sz w:val="32"/>
          <w:szCs w:val="32"/>
          <w:lang w:val="en-US" w:eastAsia="zh-CN"/>
        </w:rPr>
        <w:t>桐庐分中心</w:t>
      </w:r>
    </w:p>
    <w:p>
      <w:pPr>
        <w:snapToGrid w:val="0"/>
        <w:spacing w:line="360" w:lineRule="auto"/>
        <w:jc w:val="center"/>
        <w:rPr>
          <w:rFonts w:ascii="宋体" w:hAnsi="宋体" w:cs="宋体"/>
          <w:bCs/>
          <w:color w:val="FF0000"/>
          <w:sz w:val="32"/>
          <w:szCs w:val="32"/>
        </w:rPr>
      </w:pPr>
      <w:r>
        <w:rPr>
          <w:rFonts w:hint="eastAsia" w:ascii="宋体" w:hAnsi="宋体" w:cs="宋体"/>
          <w:bCs/>
          <w:color w:val="FF0000"/>
          <w:sz w:val="32"/>
          <w:szCs w:val="32"/>
        </w:rPr>
        <w:t>二〇二</w:t>
      </w:r>
      <w:r>
        <w:rPr>
          <w:rFonts w:hint="eastAsia" w:ascii="宋体" w:hAnsi="宋体" w:cs="宋体"/>
          <w:bCs/>
          <w:color w:val="FF0000"/>
          <w:sz w:val="32"/>
          <w:szCs w:val="32"/>
          <w:lang w:val="en-US" w:eastAsia="zh-CN"/>
        </w:rPr>
        <w:t>三</w:t>
      </w:r>
      <w:r>
        <w:rPr>
          <w:rFonts w:hint="eastAsia" w:ascii="宋体" w:hAnsi="宋体" w:cs="宋体"/>
          <w:bCs/>
          <w:color w:val="FF0000"/>
          <w:sz w:val="32"/>
          <w:szCs w:val="32"/>
        </w:rPr>
        <w:t>年</w:t>
      </w:r>
      <w:r>
        <w:rPr>
          <w:rFonts w:hint="eastAsia" w:ascii="宋体" w:hAnsi="宋体" w:cs="宋体"/>
          <w:bCs/>
          <w:color w:val="FF0000"/>
          <w:sz w:val="32"/>
          <w:szCs w:val="32"/>
          <w:lang w:val="en-US" w:eastAsia="zh-CN"/>
        </w:rPr>
        <w:t>四</w:t>
      </w:r>
      <w:r>
        <w:rPr>
          <w:rFonts w:hint="eastAsia" w:ascii="宋体" w:hAnsi="宋体" w:cs="宋体"/>
          <w:bCs/>
          <w:color w:val="FF0000"/>
          <w:sz w:val="32"/>
          <w:szCs w:val="32"/>
        </w:rPr>
        <w:t>月</w:t>
      </w:r>
    </w:p>
    <w:p>
      <w:pPr>
        <w:spacing w:line="360" w:lineRule="auto"/>
        <w:jc w:val="center"/>
        <w:rPr>
          <w:rFonts w:ascii="宋体" w:hAnsi="宋体" w:cs="宋体"/>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p>
      <w:pPr>
        <w:pStyle w:val="3"/>
      </w:pPr>
    </w:p>
    <w:p>
      <w:pPr>
        <w:spacing w:line="360" w:lineRule="auto"/>
        <w:jc w:val="center"/>
        <w:rPr>
          <w:rFonts w:ascii="宋体" w:hAnsi="宋体" w:cs="宋体"/>
          <w:b/>
          <w:sz w:val="48"/>
          <w:szCs w:val="48"/>
        </w:rPr>
      </w:pPr>
      <w:r>
        <w:rPr>
          <w:rFonts w:hint="eastAsia" w:ascii="宋体" w:hAnsi="宋体" w:cs="宋体"/>
          <w:b/>
          <w:sz w:val="48"/>
          <w:szCs w:val="48"/>
        </w:rPr>
        <w:t>目  录</w:t>
      </w:r>
    </w:p>
    <w:p>
      <w:pPr>
        <w:spacing w:line="360" w:lineRule="auto"/>
        <w:rPr>
          <w:rFonts w:ascii="宋体" w:hAnsi="宋体" w:cs="宋体"/>
          <w:sz w:val="32"/>
          <w:szCs w:val="32"/>
        </w:rPr>
      </w:pPr>
    </w:p>
    <w:p>
      <w:pPr>
        <w:spacing w:line="360" w:lineRule="auto"/>
        <w:rPr>
          <w:rFonts w:ascii="宋体" w:hAnsi="宋体" w:cs="宋体"/>
          <w:sz w:val="32"/>
          <w:szCs w:val="32"/>
        </w:rPr>
      </w:pPr>
    </w:p>
    <w:p>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pPr>
        <w:spacing w:line="360" w:lineRule="auto"/>
        <w:ind w:firstLine="549" w:firstLineChars="229"/>
        <w:rPr>
          <w:rFonts w:ascii="宋体" w:hAnsi="宋体" w:cs="宋体"/>
          <w:sz w:val="24"/>
        </w:rPr>
      </w:pPr>
      <w:bookmarkStart w:id="0" w:name="_Hlt91233176"/>
      <w:bookmarkEnd w:id="0"/>
      <w:bookmarkStart w:id="1" w:name="_Toc91899869"/>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rPr>
          <w:rFonts w:ascii="宋体" w:hAnsi="宋体" w:cs="宋体"/>
          <w:sz w:val="24"/>
        </w:rPr>
      </w:pPr>
    </w:p>
    <w:bookmarkEnd w:id="1"/>
    <w:p>
      <w:pPr>
        <w:adjustRightInd/>
        <w:spacing w:line="360" w:lineRule="auto"/>
        <w:jc w:val="center"/>
        <w:outlineLvl w:val="0"/>
        <w:rPr>
          <w:rFonts w:hint="eastAsia" w:ascii="宋体" w:hAnsi="宋体" w:cs="宋体"/>
          <w:b/>
          <w:sz w:val="36"/>
          <w:szCs w:val="20"/>
        </w:rPr>
        <w:sectPr>
          <w:footerReference r:id="rId9" w:type="first"/>
          <w:footerReference r:id="rId8" w:type="default"/>
          <w:pgSz w:w="11906" w:h="16838"/>
          <w:pgMar w:top="680" w:right="1418" w:bottom="468" w:left="1418" w:header="851" w:footer="992" w:gutter="0"/>
          <w:cols w:space="720" w:num="1"/>
          <w:titlePg/>
          <w:docGrid w:linePitch="312" w:charSpace="0"/>
        </w:sectPr>
      </w:pPr>
      <w:bookmarkStart w:id="2" w:name="_Hlt74707423"/>
      <w:bookmarkEnd w:id="2"/>
      <w:bookmarkStart w:id="3" w:name="_Hlt74649545"/>
      <w:bookmarkEnd w:id="3"/>
      <w:bookmarkStart w:id="4" w:name="_Hlt74728647"/>
      <w:bookmarkEnd w:id="4"/>
      <w:bookmarkStart w:id="5" w:name="_Hlt74729822"/>
      <w:bookmarkEnd w:id="5"/>
      <w:bookmarkStart w:id="6" w:name="第二部分"/>
      <w:bookmarkStart w:id="7" w:name="_Toc91899870"/>
      <w:bookmarkStart w:id="8" w:name="_Toc91899871"/>
    </w:p>
    <w:p>
      <w:pPr>
        <w:adjustRightInd/>
        <w:spacing w:line="360" w:lineRule="auto"/>
        <w:jc w:val="center"/>
        <w:outlineLvl w:val="0"/>
        <w:rPr>
          <w:rFonts w:ascii="宋体" w:hAnsi="宋体" w:cs="宋体"/>
          <w:b/>
          <w:sz w:val="36"/>
          <w:szCs w:val="20"/>
        </w:rPr>
      </w:pPr>
      <w:r>
        <w:rPr>
          <w:rFonts w:hint="eastAsia" w:ascii="宋体" w:hAnsi="宋体" w:cs="宋体"/>
          <w:b/>
          <w:sz w:val="36"/>
          <w:szCs w:val="20"/>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u w:val="single"/>
        </w:rPr>
      </w:pPr>
      <w:r>
        <w:rPr>
          <w:rFonts w:hint="eastAsia" w:cs="仿宋_GB2312" w:asciiTheme="minorEastAsia" w:hAnsiTheme="minorEastAsia" w:eastAsiaTheme="minorEastAsia"/>
          <w:color w:val="0000FF"/>
          <w:sz w:val="24"/>
          <w:u w:val="single"/>
        </w:rPr>
        <w:t>（202</w:t>
      </w:r>
      <w:r>
        <w:rPr>
          <w:rFonts w:hint="eastAsia" w:cs="仿宋_GB2312" w:asciiTheme="minorEastAsia" w:hAnsiTheme="minorEastAsia" w:eastAsiaTheme="minorEastAsia"/>
          <w:color w:val="0000FF"/>
          <w:sz w:val="24"/>
          <w:u w:val="single"/>
          <w:lang w:val="en-US" w:eastAsia="zh-CN"/>
        </w:rPr>
        <w:t>3</w:t>
      </w:r>
      <w:r>
        <w:rPr>
          <w:rFonts w:hint="eastAsia" w:cs="仿宋_GB2312" w:asciiTheme="minorEastAsia" w:hAnsiTheme="minorEastAsia" w:eastAsiaTheme="minorEastAsia"/>
          <w:color w:val="0000FF"/>
          <w:sz w:val="24"/>
          <w:u w:val="single"/>
        </w:rPr>
        <w:t>年桐庐县中小学计算机更新改造项目）</w:t>
      </w:r>
      <w:r>
        <w:rPr>
          <w:rFonts w:hint="eastAsia" w:asciiTheme="minorEastAsia" w:hAnsiTheme="minorEastAsia" w:eastAsiaTheme="minorEastAsia"/>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cs="Times New Roman" w:asciiTheme="minorEastAsia" w:hAnsiTheme="minorEastAsia" w:eastAsiaTheme="minorEastAsia"/>
          <w:snapToGrid/>
          <w:kern w:val="2"/>
          <w:sz w:val="24"/>
          <w:szCs w:val="24"/>
        </w:rPr>
        <w:t>https://www.zcygov.cn/）获取（下载）招标文件，并于</w:t>
      </w:r>
      <w:r>
        <w:rPr>
          <w:rStyle w:val="76"/>
          <w:rFonts w:hint="eastAsia" w:cs="Times New Roman" w:asciiTheme="minorEastAsia" w:hAnsiTheme="minorEastAsia" w:eastAsiaTheme="minorEastAsia"/>
          <w:snapToGrid/>
          <w:kern w:val="2"/>
          <w:sz w:val="24"/>
          <w:szCs w:val="24"/>
        </w:rPr>
        <w:t>202</w:t>
      </w:r>
      <w:r>
        <w:rPr>
          <w:rStyle w:val="76"/>
          <w:rFonts w:hint="eastAsia" w:cs="Times New Roman" w:asciiTheme="minorEastAsia" w:hAnsiTheme="minorEastAsia" w:eastAsiaTheme="minorEastAsia"/>
          <w:snapToGrid/>
          <w:kern w:val="2"/>
          <w:sz w:val="24"/>
          <w:szCs w:val="24"/>
          <w:lang w:val="en-US" w:eastAsia="zh-CN"/>
        </w:rPr>
        <w:t>3</w:t>
      </w:r>
      <w:r>
        <w:rPr>
          <w:rStyle w:val="76"/>
          <w:rFonts w:hint="eastAsia" w:cs="Times New Roman" w:asciiTheme="minorEastAsia" w:hAnsiTheme="minorEastAsia" w:eastAsiaTheme="minorEastAsia"/>
          <w:snapToGrid/>
          <w:kern w:val="2"/>
          <w:sz w:val="24"/>
          <w:szCs w:val="24"/>
        </w:rPr>
        <w:t xml:space="preserve"> </w:t>
      </w:r>
      <w:r>
        <w:rPr>
          <w:rStyle w:val="76"/>
          <w:rFonts w:cs="Times New Roman" w:asciiTheme="minorEastAsia" w:hAnsiTheme="minorEastAsia" w:eastAsiaTheme="minorEastAsia"/>
          <w:snapToGrid/>
          <w:kern w:val="2"/>
          <w:sz w:val="24"/>
          <w:szCs w:val="24"/>
        </w:rPr>
        <w:t>年</w:t>
      </w:r>
      <w:r>
        <w:rPr>
          <w:rStyle w:val="76"/>
          <w:rFonts w:hint="eastAsia" w:cs="Times New Roman" w:asciiTheme="minorEastAsia" w:hAnsiTheme="minorEastAsia" w:eastAsiaTheme="minorEastAsia"/>
          <w:snapToGrid/>
          <w:kern w:val="2"/>
          <w:sz w:val="24"/>
          <w:szCs w:val="24"/>
          <w:lang w:val="en-US" w:eastAsia="zh-CN"/>
        </w:rPr>
        <w:t>4</w:t>
      </w:r>
      <w:r>
        <w:rPr>
          <w:rStyle w:val="76"/>
          <w:rFonts w:hint="eastAsia" w:cs="Times New Roman" w:asciiTheme="minorEastAsia" w:hAnsiTheme="minorEastAsia" w:eastAsiaTheme="minorEastAsia"/>
          <w:snapToGrid/>
          <w:kern w:val="2"/>
          <w:sz w:val="24"/>
          <w:szCs w:val="24"/>
        </w:rPr>
        <w:t>月</w:t>
      </w:r>
      <w:r>
        <w:rPr>
          <w:rStyle w:val="76"/>
          <w:rFonts w:hint="eastAsia" w:cs="Times New Roman" w:asciiTheme="minorEastAsia" w:hAnsiTheme="minorEastAsia" w:eastAsiaTheme="minorEastAsia"/>
          <w:snapToGrid/>
          <w:kern w:val="2"/>
          <w:sz w:val="24"/>
          <w:szCs w:val="24"/>
          <w:lang w:val="en-US" w:eastAsia="zh-CN"/>
        </w:rPr>
        <w:t>27</w:t>
      </w:r>
      <w:r>
        <w:rPr>
          <w:rStyle w:val="76"/>
          <w:rFonts w:hint="eastAsia" w:cs="Times New Roman" w:asciiTheme="minorEastAsia" w:hAnsiTheme="minorEastAsia" w:eastAsiaTheme="minorEastAsia"/>
          <w:snapToGrid/>
          <w:kern w:val="2"/>
          <w:sz w:val="24"/>
          <w:szCs w:val="24"/>
        </w:rPr>
        <w:t>日</w:t>
      </w:r>
      <w:r>
        <w:rPr>
          <w:rStyle w:val="76"/>
          <w:rFonts w:hint="eastAsia" w:cs="Times New Roman" w:asciiTheme="minorEastAsia" w:hAnsiTheme="minorEastAsia" w:eastAsiaTheme="minorEastAsia"/>
          <w:snapToGrid/>
          <w:kern w:val="2"/>
          <w:sz w:val="24"/>
          <w:szCs w:val="24"/>
          <w:lang w:val="en-US" w:eastAsia="zh-CN"/>
        </w:rPr>
        <w:t>10</w:t>
      </w:r>
      <w:r>
        <w:rPr>
          <w:rStyle w:val="76"/>
          <w:rFonts w:hint="eastAsia" w:cs="Times New Roman" w:asciiTheme="minorEastAsia" w:hAnsiTheme="minorEastAsia" w:eastAsiaTheme="minorEastAsia"/>
          <w:snapToGrid/>
          <w:kern w:val="2"/>
          <w:sz w:val="24"/>
          <w:szCs w:val="24"/>
        </w:rPr>
        <w:t>点</w:t>
      </w:r>
      <w:r>
        <w:rPr>
          <w:rStyle w:val="76"/>
          <w:rFonts w:hint="eastAsia" w:cs="Times New Roman" w:asciiTheme="minorEastAsia" w:hAnsiTheme="minorEastAsia" w:eastAsiaTheme="minorEastAsia"/>
          <w:snapToGrid/>
          <w:kern w:val="2"/>
          <w:sz w:val="24"/>
          <w:szCs w:val="24"/>
          <w:lang w:val="en-US" w:eastAsia="zh-CN"/>
        </w:rPr>
        <w:t>00</w:t>
      </w:r>
      <w:r>
        <w:rPr>
          <w:rStyle w:val="76"/>
          <w:rFonts w:hint="eastAsia" w:cs="Times New Roman" w:asciiTheme="minorEastAsia" w:hAnsiTheme="minorEastAsia" w:eastAsiaTheme="minorEastAsia"/>
          <w:snapToGrid/>
          <w:kern w:val="2"/>
          <w:sz w:val="24"/>
          <w:szCs w:val="24"/>
        </w:rPr>
        <w:t>分</w:t>
      </w:r>
      <w:r>
        <w:rPr>
          <w:rStyle w:val="76"/>
          <w:rFonts w:hint="eastAsia" w:cs="Times New Roman" w:asciiTheme="minorEastAsia" w:hAnsiTheme="minorEastAsia" w:eastAsiaTheme="minorEastAsia"/>
          <w:bCs/>
          <w:snapToGrid/>
          <w:kern w:val="2"/>
          <w:sz w:val="24"/>
          <w:szCs w:val="24"/>
        </w:rPr>
        <w:t>00秒</w:t>
      </w:r>
      <w:r>
        <w:rPr>
          <w:rStyle w:val="76"/>
          <w:rFonts w:hint="eastAsia" w:cs="Times New Roman" w:asciiTheme="minorEastAsia" w:hAnsiTheme="minorEastAsia" w:eastAsiaTheme="minorEastAsia"/>
          <w:bCs/>
          <w:snapToGrid/>
          <w:kern w:val="2"/>
          <w:sz w:val="24"/>
          <w:szCs w:val="24"/>
        </w:rPr>
        <w:fldChar w:fldCharType="end"/>
      </w:r>
      <w:r>
        <w:rPr>
          <w:rFonts w:hint="eastAsia" w:asciiTheme="minorEastAsia" w:hAnsiTheme="minorEastAsia" w:eastAsiaTheme="minorEastAsia"/>
          <w:bCs/>
          <w:sz w:val="24"/>
        </w:rPr>
        <w:t>（北京时间）前</w:t>
      </w:r>
      <w:r>
        <w:rPr>
          <w:rFonts w:hint="eastAsia" w:asciiTheme="minorEastAsia" w:hAnsiTheme="minorEastAsia" w:eastAsiaTheme="minorEastAsia"/>
          <w:sz w:val="24"/>
        </w:rPr>
        <w:t>递交（上传）投标文件。</w:t>
      </w:r>
    </w:p>
    <w:p>
      <w:pPr>
        <w:spacing w:line="360" w:lineRule="auto"/>
        <w:rPr>
          <w:rFonts w:ascii="宋体" w:hAnsi="宋体" w:cs="宋体"/>
          <w:b/>
          <w:sz w:val="24"/>
        </w:rPr>
      </w:pPr>
      <w:r>
        <w:rPr>
          <w:rFonts w:hint="eastAsia" w:ascii="宋体" w:hAnsi="宋体" w:cs="宋体"/>
          <w:b/>
          <w:sz w:val="24"/>
        </w:rPr>
        <w:t xml:space="preserve">一、项目基本情况                                            </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项目编号：</w:t>
      </w:r>
      <w:r>
        <w:rPr>
          <w:rFonts w:hint="eastAsia" w:ascii="宋体" w:hAnsi="宋体" w:cs="宋体"/>
          <w:color w:val="FF0000"/>
          <w:sz w:val="24"/>
        </w:rPr>
        <w:t>（</w:t>
      </w:r>
      <w:r>
        <w:rPr>
          <w:rFonts w:hint="eastAsia" w:ascii="宋体" w:hAnsi="宋体" w:cs="宋体"/>
          <w:color w:val="FF0000"/>
          <w:sz w:val="24"/>
          <w:lang w:val="en-US" w:eastAsia="zh-CN"/>
        </w:rPr>
        <w:t>TLZFCG2023-GK-005</w:t>
      </w:r>
      <w:r>
        <w:rPr>
          <w:rFonts w:hint="eastAsia" w:ascii="宋体" w:hAnsi="宋体" w:cs="宋体"/>
          <w:color w:val="FF0000"/>
          <w:sz w:val="24"/>
        </w:rPr>
        <w:t>）</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 xml:space="preserve"> 项目名称：</w:t>
      </w:r>
      <w:r>
        <w:rPr>
          <w:rFonts w:hint="eastAsia" w:ascii="宋体" w:hAnsi="宋体" w:cs="宋体"/>
          <w:color w:val="0000FF"/>
          <w:sz w:val="24"/>
        </w:rPr>
        <w:t>（202</w:t>
      </w:r>
      <w:r>
        <w:rPr>
          <w:rFonts w:hint="eastAsia" w:ascii="宋体" w:hAnsi="宋体" w:cs="宋体"/>
          <w:color w:val="0000FF"/>
          <w:sz w:val="24"/>
          <w:lang w:val="en-US" w:eastAsia="zh-CN"/>
        </w:rPr>
        <w:t>3</w:t>
      </w:r>
      <w:r>
        <w:rPr>
          <w:rFonts w:hint="eastAsia" w:ascii="宋体" w:hAnsi="宋体" w:cs="宋体"/>
          <w:color w:val="0000FF"/>
          <w:sz w:val="24"/>
        </w:rPr>
        <w:t>年桐庐县中小学计算机更新改造项目）</w:t>
      </w:r>
    </w:p>
    <w:p>
      <w:pPr>
        <w:spacing w:line="360" w:lineRule="auto"/>
        <w:rPr>
          <w:rFonts w:ascii="宋体" w:hAnsi="宋体" w:cs="宋体"/>
          <w:color w:val="0000FF"/>
          <w:sz w:val="24"/>
        </w:rPr>
      </w:pPr>
      <w:r>
        <w:rPr>
          <w:rFonts w:hint="eastAsia" w:ascii="宋体" w:hAnsi="宋体" w:cs="宋体"/>
          <w:sz w:val="24"/>
        </w:rPr>
        <w:t xml:space="preserve">   </w:t>
      </w:r>
      <w:r>
        <w:rPr>
          <w:rFonts w:hint="eastAsia" w:ascii="宋体" w:hAnsi="宋体" w:cs="宋体"/>
          <w:b/>
          <w:sz w:val="24"/>
        </w:rPr>
        <w:t xml:space="preserve"> 预算金额（元）：</w:t>
      </w:r>
      <w:r>
        <w:rPr>
          <w:rFonts w:hint="eastAsia" w:ascii="宋体" w:hAnsi="宋体" w:cs="宋体"/>
          <w:b/>
          <w:sz w:val="24"/>
          <w:lang w:val="en-US" w:eastAsia="zh-CN"/>
        </w:rPr>
        <w:t>5000000</w:t>
      </w:r>
      <w:r>
        <w:rPr>
          <w:rFonts w:hint="eastAsia" w:ascii="宋体" w:hAnsi="宋体" w:cs="宋体"/>
          <w:color w:val="0000FF"/>
          <w:sz w:val="24"/>
        </w:rPr>
        <w:t xml:space="preserve"> </w:t>
      </w:r>
    </w:p>
    <w:p>
      <w:pPr>
        <w:spacing w:line="360" w:lineRule="auto"/>
        <w:ind w:firstLine="480"/>
        <w:rPr>
          <w:rFonts w:hint="default" w:ascii="宋体" w:hAnsi="宋体" w:eastAsia="宋体" w:cs="宋体"/>
          <w:color w:val="0000FF"/>
          <w:sz w:val="24"/>
          <w:lang w:val="en-US" w:eastAsia="zh-CN"/>
        </w:rPr>
      </w:pPr>
      <w:r>
        <w:rPr>
          <w:rFonts w:hint="eastAsia" w:ascii="宋体" w:hAnsi="宋体" w:cs="宋体"/>
          <w:b/>
          <w:sz w:val="24"/>
        </w:rPr>
        <w:t>最高限价（元）：</w:t>
      </w:r>
      <w:r>
        <w:rPr>
          <w:rFonts w:hint="eastAsia" w:ascii="宋体" w:hAnsi="宋体" w:cs="宋体"/>
          <w:color w:val="0000FF"/>
          <w:sz w:val="24"/>
        </w:rPr>
        <w:t xml:space="preserve"> </w:t>
      </w:r>
      <w:r>
        <w:rPr>
          <w:rFonts w:hint="eastAsia" w:ascii="宋体" w:hAnsi="宋体" w:cs="宋体"/>
          <w:color w:val="0000FF"/>
          <w:sz w:val="24"/>
          <w:lang w:val="en-US" w:eastAsia="zh-CN"/>
        </w:rPr>
        <w:t>5000000</w:t>
      </w:r>
    </w:p>
    <w:p>
      <w:pPr>
        <w:pStyle w:val="7"/>
        <w:spacing w:line="360" w:lineRule="auto"/>
        <w:ind w:firstLine="480"/>
        <w:rPr>
          <w:rFonts w:hAnsi="宋体" w:cs="宋体"/>
          <w:bCs/>
          <w:snapToGrid/>
          <w:color w:val="auto"/>
          <w:kern w:val="2"/>
          <w:sz w:val="24"/>
          <w:szCs w:val="24"/>
        </w:rPr>
      </w:pPr>
      <w:r>
        <w:rPr>
          <w:rFonts w:hint="eastAsia" w:hAnsi="宋体" w:cs="宋体"/>
          <w:b/>
          <w:color w:val="auto"/>
          <w:sz w:val="24"/>
        </w:rPr>
        <w:t>采购需求：</w:t>
      </w:r>
      <w:r>
        <w:rPr>
          <w:rFonts w:hint="eastAsia" w:hAnsi="宋体" w:cs="宋体"/>
          <w:bCs/>
          <w:snapToGrid/>
          <w:color w:val="0000FF"/>
          <w:kern w:val="2"/>
          <w:sz w:val="24"/>
          <w:szCs w:val="24"/>
        </w:rPr>
        <w:t>（202</w:t>
      </w:r>
      <w:r>
        <w:rPr>
          <w:rFonts w:hint="eastAsia" w:hAnsi="宋体" w:cs="宋体"/>
          <w:bCs/>
          <w:snapToGrid/>
          <w:color w:val="0000FF"/>
          <w:kern w:val="2"/>
          <w:sz w:val="24"/>
          <w:szCs w:val="24"/>
          <w:lang w:val="en-US" w:eastAsia="zh-CN"/>
        </w:rPr>
        <w:t>3</w:t>
      </w:r>
      <w:r>
        <w:rPr>
          <w:rFonts w:hint="eastAsia" w:hAnsi="宋体" w:cs="宋体"/>
          <w:bCs/>
          <w:snapToGrid/>
          <w:color w:val="0000FF"/>
          <w:kern w:val="2"/>
          <w:sz w:val="24"/>
          <w:szCs w:val="24"/>
        </w:rPr>
        <w:t>年桐庐县中小学计算机更新改造项目）</w:t>
      </w:r>
      <w:r>
        <w:rPr>
          <w:rFonts w:hint="eastAsia" w:hAnsi="宋体" w:cs="宋体"/>
          <w:bCs/>
          <w:snapToGrid/>
          <w:color w:val="auto"/>
          <w:kern w:val="2"/>
          <w:sz w:val="24"/>
          <w:szCs w:val="24"/>
        </w:rPr>
        <w:t>主要内容：</w:t>
      </w:r>
      <w:r>
        <w:rPr>
          <w:rFonts w:hint="eastAsia" w:hAnsi="宋体" w:cs="宋体"/>
          <w:bCs/>
          <w:snapToGrid/>
          <w:color w:val="0000FF"/>
          <w:kern w:val="2"/>
          <w:sz w:val="24"/>
          <w:szCs w:val="24"/>
        </w:rPr>
        <w:t>计算机</w:t>
      </w:r>
      <w:r>
        <w:rPr>
          <w:rFonts w:hint="eastAsia" w:hAnsi="宋体" w:cs="宋体"/>
          <w:bCs/>
          <w:snapToGrid/>
          <w:color w:val="0000FF"/>
          <w:kern w:val="2"/>
          <w:sz w:val="24"/>
          <w:szCs w:val="24"/>
          <w:lang w:val="en-US" w:eastAsia="zh-CN"/>
        </w:rPr>
        <w:t>设备</w:t>
      </w:r>
      <w:r>
        <w:rPr>
          <w:rFonts w:hint="eastAsia" w:hAnsi="宋体" w:cs="宋体"/>
          <w:bCs/>
          <w:snapToGrid/>
          <w:color w:val="0000FF"/>
          <w:kern w:val="2"/>
          <w:sz w:val="24"/>
          <w:szCs w:val="24"/>
        </w:rPr>
        <w:t>。</w:t>
      </w:r>
      <w:r>
        <w:rPr>
          <w:rFonts w:hint="eastAsia" w:asciiTheme="minorEastAsia" w:hAnsiTheme="minorEastAsia" w:eastAsiaTheme="minorEastAsia"/>
          <w:snapToGrid/>
          <w:color w:val="auto"/>
          <w:kern w:val="2"/>
          <w:sz w:val="24"/>
          <w:szCs w:val="24"/>
        </w:rPr>
        <w:t>具体以招标文件第三部分采购需求为准。</w:t>
      </w:r>
    </w:p>
    <w:p>
      <w:pPr>
        <w:pStyle w:val="128"/>
        <w:ind w:firstLine="482"/>
        <w:outlineLvl w:val="2"/>
        <w:rPr>
          <w:rFonts w:ascii="宋体" w:hAnsi="宋体" w:cs="宋体"/>
          <w:color w:val="0000FF"/>
        </w:rPr>
      </w:pPr>
      <w:r>
        <w:rPr>
          <w:rFonts w:hint="eastAsia" w:ascii="宋体" w:hAnsi="宋体" w:cs="宋体"/>
          <w:b/>
        </w:rPr>
        <w:t>合同履约期限：</w:t>
      </w:r>
      <w:r>
        <w:rPr>
          <w:rFonts w:hint="eastAsia" w:ascii="宋体" w:hAnsi="宋体" w:cs="宋体"/>
          <w:b/>
          <w:color w:val="0000FF"/>
        </w:rPr>
        <w:t xml:space="preserve"> 签订合同后</w:t>
      </w:r>
      <w:r>
        <w:rPr>
          <w:rFonts w:hint="eastAsia" w:ascii="宋体" w:hAnsi="宋体" w:cs="宋体"/>
          <w:b/>
          <w:color w:val="0000FF"/>
          <w:lang w:val="en-US" w:eastAsia="zh-CN"/>
        </w:rPr>
        <w:t>60</w:t>
      </w:r>
      <w:r>
        <w:rPr>
          <w:rFonts w:hint="eastAsia" w:ascii="宋体" w:hAnsi="宋体" w:cs="宋体"/>
          <w:b/>
          <w:color w:val="0000FF"/>
        </w:rPr>
        <w:t>天内完成本项目的交货和安装。</w:t>
      </w:r>
    </w:p>
    <w:p>
      <w:pPr>
        <w:pStyle w:val="7"/>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2035453831"/>
          <w14:checkbox>
            <w14:checked w14:val="0"/>
            <w14:checkedState w14:val="00FE" w14:font="Wingdings"/>
            <w14:uncheckedState w14:val="2610" w14:font="MS Gothic"/>
          </w14:checkbox>
        </w:sdtPr>
        <w:sdtEndPr>
          <w:rPr>
            <w:rFonts w:hint="eastAsia" w:hAnsi="宋体" w:cs="宋体"/>
            <w:color w:val="auto"/>
            <w:kern w:val="0"/>
            <w:sz w:val="24"/>
          </w:rPr>
        </w:sdtEndPr>
        <w:sdtContent>
          <w:r>
            <w:rPr>
              <w:rFonts w:hint="eastAsia" w:ascii="MS Gothic" w:hAnsi="MS Gothic" w:eastAsia="宋体" w:cs="宋体"/>
              <w:snapToGrid w:val="0"/>
              <w:color w:val="auto"/>
              <w:kern w:val="0"/>
              <w:sz w:val="24"/>
              <w:szCs w:val="20"/>
              <w:lang w:val="en-US" w:eastAsia="zh-CN" w:bidi="ar-SA"/>
            </w:rPr>
            <w:t>☐</w:t>
          </w:r>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765526721"/>
          <w14:checkbox>
            <w14:checked w14:val="1"/>
            <w14:checkedState w14:val="00FE" w14:font="Wingdings"/>
            <w14:uncheckedState w14:val="2610" w14:font="MS Gothic"/>
          </w14:checkbox>
        </w:sdtPr>
        <w:sdtEndPr>
          <w:rPr>
            <w:rFonts w:hint="eastAsia" w:hAnsi="宋体" w:cs="宋体"/>
            <w:color w:val="auto"/>
            <w:kern w:val="0"/>
            <w:sz w:val="24"/>
          </w:rPr>
        </w:sdtEndPr>
        <w:sdtContent>
          <w:r>
            <w:rPr>
              <w:rFonts w:hint="eastAsia" w:ascii="Wingdings" w:hAnsi="Wingdings" w:eastAsia="宋体" w:cs="宋体"/>
              <w:snapToGrid w:val="0"/>
              <w:color w:val="auto"/>
              <w:kern w:val="0"/>
              <w:sz w:val="24"/>
              <w:szCs w:val="20"/>
              <w:lang w:val="en-US" w:eastAsia="zh-CN" w:bidi="ar-SA"/>
            </w:rPr>
            <w:t>þ</w:t>
          </w:r>
        </w:sdtContent>
      </w:sdt>
      <w:r>
        <w:rPr>
          <w:rFonts w:hint="eastAsia" w:hAnsi="宋体" w:cs="宋体"/>
          <w:b/>
          <w:color w:val="auto"/>
          <w:sz w:val="24"/>
        </w:rPr>
        <w:t>否</w:t>
      </w:r>
      <w:r>
        <w:rPr>
          <w:rFonts w:hint="eastAsia" w:hAnsi="宋体" w:cs="宋体"/>
          <w:color w:val="auto"/>
          <w:kern w:val="0"/>
          <w:sz w:val="24"/>
        </w:rPr>
        <w:t>。</w:t>
      </w:r>
    </w:p>
    <w:p>
      <w:pPr>
        <w:spacing w:line="360" w:lineRule="auto"/>
        <w:rPr>
          <w:rFonts w:ascii="宋体" w:hAnsi="宋体" w:cs="宋体"/>
          <w:b/>
          <w:sz w:val="24"/>
        </w:rPr>
      </w:pPr>
      <w:r>
        <w:rPr>
          <w:rFonts w:hint="eastAsia" w:ascii="宋体" w:hAnsi="宋体" w:cs="宋体"/>
          <w:b/>
          <w:sz w:val="24"/>
        </w:rPr>
        <w:t>二、</w:t>
      </w:r>
      <w:bookmarkStart w:id="9" w:name="_Hlk101132948"/>
      <w:r>
        <w:rPr>
          <w:rFonts w:hint="eastAsia" w:ascii="宋体" w:hAnsi="宋体" w:cs="宋体"/>
          <w:b/>
          <w:sz w:val="24"/>
        </w:rPr>
        <w:t>申请人的资格要求</w:t>
      </w:r>
      <w:bookmarkEnd w:id="9"/>
      <w:r>
        <w:rPr>
          <w:rFonts w:hint="eastAsia" w:ascii="宋体" w:hAnsi="宋体" w:cs="宋体"/>
          <w:b/>
          <w:sz w:val="24"/>
        </w:rPr>
        <w:t>：</w:t>
      </w:r>
    </w:p>
    <w:p>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pPr>
        <w:spacing w:line="360" w:lineRule="auto"/>
        <w:ind w:firstLine="480" w:firstLineChars="200"/>
        <w:rPr>
          <w:rFonts w:ascii="宋体" w:hAnsi="宋体" w:cs="宋体"/>
          <w:color w:val="0000FF"/>
          <w:sz w:val="24"/>
        </w:rPr>
      </w:pPr>
      <w:sdt>
        <w:sdtPr>
          <w:rPr>
            <w:rFonts w:hint="eastAsia" w:ascii="宋体" w:hAnsi="宋体" w:cs="宋体"/>
            <w:color w:val="0000FF"/>
            <w:kern w:val="0"/>
            <w:sz w:val="24"/>
          </w:rPr>
          <w:id w:val="1928616923"/>
          <w14:checkbox>
            <w14:checked w14:val="1"/>
            <w14:checkedState w14:val="00FE" w14:font="Wingdings"/>
            <w14:uncheckedState w14:val="2610" w14:font="MS Gothic"/>
          </w14:checkbox>
        </w:sdtPr>
        <w:sdtEndPr>
          <w:rPr>
            <w:rFonts w:hint="eastAsia" w:ascii="宋体" w:hAnsi="宋体" w:cs="宋体"/>
            <w:color w:val="0000FF"/>
            <w:kern w:val="0"/>
            <w:sz w:val="24"/>
          </w:rPr>
        </w:sdtEndPr>
        <w:sdtContent>
          <w:r>
            <w:rPr>
              <w:rFonts w:hint="eastAsia" w:ascii="Wingdings" w:hAnsi="Wingdings" w:eastAsia="宋体" w:cs="宋体"/>
              <w:color w:val="0000FF"/>
              <w:kern w:val="0"/>
              <w:sz w:val="24"/>
              <w:szCs w:val="24"/>
              <w:lang w:val="en-US" w:eastAsia="zh-CN" w:bidi="ar-SA"/>
            </w:rPr>
            <w:t>þ</w:t>
          </w:r>
        </w:sdtContent>
      </w:sdt>
      <w:r>
        <w:rPr>
          <w:rFonts w:hint="eastAsia" w:ascii="宋体" w:hAnsi="宋体" w:cs="宋体"/>
          <w:color w:val="0000FF"/>
          <w:sz w:val="24"/>
        </w:rPr>
        <w:t>无</w:t>
      </w:r>
    </w:p>
    <w:p>
      <w:pPr>
        <w:spacing w:line="360" w:lineRule="auto"/>
        <w:ind w:firstLine="480" w:firstLineChars="200"/>
        <w:rPr>
          <w:rFonts w:ascii="宋体" w:hAnsi="宋体" w:cs="宋体"/>
          <w:sz w:val="24"/>
        </w:rPr>
      </w:pPr>
      <w:r>
        <w:rPr>
          <w:rFonts w:ascii="宋体" w:hAnsi="宋体" w:cs="宋体"/>
          <w:sz w:val="24"/>
        </w:rPr>
        <w:t>4</w:t>
      </w:r>
      <w:r>
        <w:rPr>
          <w:rFonts w:hint="eastAsia" w:ascii="宋体" w:hAnsi="宋体" w:cs="宋体"/>
          <w:sz w:val="24"/>
        </w:rPr>
        <w:t>.本项目的特定资格要求：</w:t>
      </w:r>
      <w:r>
        <w:rPr>
          <w:rFonts w:hint="eastAsia" w:ascii="宋体" w:hAnsi="宋体" w:cs="宋体"/>
          <w:color w:val="0000FF"/>
          <w:sz w:val="24"/>
        </w:rPr>
        <w:t>无；</w:t>
      </w:r>
    </w:p>
    <w:p>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sz w:val="24"/>
        </w:rPr>
      </w:pPr>
      <w:r>
        <w:rPr>
          <w:rFonts w:hint="eastAsia" w:ascii="宋体" w:hAnsi="宋体" w:cs="宋体"/>
          <w:b/>
          <w:sz w:val="24"/>
        </w:rPr>
        <w:t xml:space="preserve">三、获取招标文件 </w:t>
      </w:r>
    </w:p>
    <w:p>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color w:val="FF0000"/>
          <w:sz w:val="24"/>
          <w:u w:val="single"/>
        </w:rPr>
        <w:t>202</w:t>
      </w:r>
      <w:r>
        <w:rPr>
          <w:rFonts w:hint="eastAsia" w:ascii="宋体" w:hAnsi="宋体" w:cs="宋体"/>
          <w:color w:val="FF0000"/>
          <w:sz w:val="24"/>
          <w:u w:val="single"/>
          <w:lang w:val="en-US" w:eastAsia="zh-CN"/>
        </w:rPr>
        <w:t>3</w:t>
      </w:r>
      <w:r>
        <w:rPr>
          <w:rFonts w:hint="eastAsia" w:ascii="宋体" w:hAnsi="宋体" w:cs="宋体"/>
          <w:color w:val="FF0000"/>
          <w:sz w:val="24"/>
          <w:u w:val="single"/>
        </w:rPr>
        <w:t>年</w:t>
      </w:r>
      <w:r>
        <w:rPr>
          <w:rFonts w:hint="eastAsia" w:ascii="宋体" w:hAnsi="宋体" w:cs="宋体"/>
          <w:color w:val="FF0000"/>
          <w:sz w:val="24"/>
          <w:u w:val="single"/>
          <w:lang w:val="en-US" w:eastAsia="zh-CN"/>
        </w:rPr>
        <w:t>4</w:t>
      </w:r>
      <w:r>
        <w:rPr>
          <w:rFonts w:hint="eastAsia" w:ascii="宋体" w:hAnsi="宋体" w:cs="宋体"/>
          <w:color w:val="FF0000"/>
          <w:sz w:val="24"/>
          <w:u w:val="single"/>
        </w:rPr>
        <w:t>月</w:t>
      </w:r>
      <w:r>
        <w:rPr>
          <w:rFonts w:hint="eastAsia" w:ascii="宋体" w:hAnsi="宋体" w:cs="宋体"/>
          <w:color w:val="FF0000"/>
          <w:sz w:val="24"/>
          <w:u w:val="single"/>
          <w:lang w:val="en-US" w:eastAsia="zh-CN"/>
        </w:rPr>
        <w:t>27</w:t>
      </w:r>
      <w:r>
        <w:rPr>
          <w:rFonts w:hint="eastAsia" w:ascii="宋体" w:hAnsi="宋体" w:cs="宋体"/>
          <w:color w:val="FF0000"/>
          <w:sz w:val="24"/>
          <w:u w:val="single"/>
        </w:rPr>
        <w:t>日</w:t>
      </w:r>
      <w:r>
        <w:rPr>
          <w:rFonts w:hint="eastAsia" w:ascii="宋体" w:hAnsi="宋体" w:cs="宋体"/>
          <w:sz w:val="24"/>
        </w:rPr>
        <w:t>，每天上午00:00至12:00 ，下午12:00至23:59（北京时间，线上获取法定节假日均可，线下获取文件法定节假日除外）</w:t>
      </w:r>
    </w:p>
    <w:p>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pPr>
        <w:spacing w:line="360" w:lineRule="auto"/>
        <w:rPr>
          <w:rFonts w:ascii="宋体" w:hAnsi="宋体" w:cs="宋体"/>
          <w:b/>
          <w:sz w:val="24"/>
        </w:rPr>
      </w:pPr>
      <w:r>
        <w:rPr>
          <w:rFonts w:hint="eastAsia" w:ascii="宋体" w:hAnsi="宋体" w:cs="宋体"/>
          <w:b/>
          <w:sz w:val="24"/>
        </w:rPr>
        <w:t>四、提交投标文件截止时间、开标时间和地点</w:t>
      </w:r>
    </w:p>
    <w:p>
      <w:pPr>
        <w:spacing w:line="360" w:lineRule="auto"/>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sz w:val="24"/>
          <w:u w:val="single"/>
        </w:rPr>
        <w:t xml:space="preserve"> </w:t>
      </w:r>
      <w:r>
        <w:rPr>
          <w:rFonts w:hint="eastAsia" w:ascii="宋体" w:hAnsi="宋体" w:cs="宋体"/>
          <w:color w:val="FF0000"/>
          <w:sz w:val="24"/>
          <w:u w:val="single"/>
        </w:rPr>
        <w:t>202</w:t>
      </w:r>
      <w:r>
        <w:rPr>
          <w:rFonts w:hint="eastAsia" w:ascii="宋体" w:hAnsi="宋体" w:cs="宋体"/>
          <w:color w:val="FF0000"/>
          <w:sz w:val="24"/>
          <w:u w:val="single"/>
          <w:lang w:val="en-US" w:eastAsia="zh-CN"/>
        </w:rPr>
        <w:t>3</w:t>
      </w:r>
      <w:r>
        <w:rPr>
          <w:rFonts w:hint="eastAsia" w:ascii="宋体" w:hAnsi="宋体" w:cs="宋体"/>
          <w:color w:val="FF0000"/>
          <w:sz w:val="24"/>
          <w:u w:val="single"/>
        </w:rPr>
        <w:t>年</w:t>
      </w:r>
      <w:r>
        <w:rPr>
          <w:rFonts w:hint="eastAsia" w:ascii="宋体" w:hAnsi="宋体" w:cs="宋体"/>
          <w:color w:val="FF0000"/>
          <w:sz w:val="24"/>
          <w:u w:val="single"/>
          <w:lang w:val="en-US" w:eastAsia="zh-CN"/>
        </w:rPr>
        <w:t>4</w:t>
      </w:r>
      <w:r>
        <w:rPr>
          <w:rFonts w:hint="eastAsia" w:ascii="宋体" w:hAnsi="宋体" w:cs="宋体"/>
          <w:color w:val="FF0000"/>
          <w:sz w:val="24"/>
          <w:u w:val="single"/>
        </w:rPr>
        <w:t>月</w:t>
      </w:r>
      <w:r>
        <w:rPr>
          <w:rFonts w:hint="eastAsia" w:ascii="宋体" w:hAnsi="宋体" w:cs="宋体"/>
          <w:color w:val="FF0000"/>
          <w:sz w:val="24"/>
          <w:u w:val="single"/>
          <w:lang w:val="en-US" w:eastAsia="zh-CN"/>
        </w:rPr>
        <w:t>27</w:t>
      </w:r>
      <w:r>
        <w:rPr>
          <w:rFonts w:hint="eastAsia" w:ascii="宋体" w:hAnsi="宋体" w:cs="宋体"/>
          <w:color w:val="FF0000"/>
          <w:sz w:val="24"/>
          <w:u w:val="single"/>
        </w:rPr>
        <w:t>日</w:t>
      </w:r>
      <w:r>
        <w:rPr>
          <w:rFonts w:hint="eastAsia" w:ascii="宋体" w:hAnsi="宋体" w:cs="宋体"/>
          <w:color w:val="FF0000"/>
          <w:sz w:val="24"/>
          <w:u w:val="single"/>
          <w:lang w:val="en-US" w:eastAsia="zh-CN"/>
        </w:rPr>
        <w:t>10</w:t>
      </w:r>
      <w:r>
        <w:rPr>
          <w:rFonts w:hint="eastAsia" w:ascii="宋体" w:hAnsi="宋体" w:cs="宋体"/>
          <w:color w:val="FF0000"/>
          <w:sz w:val="24"/>
          <w:u w:val="single"/>
        </w:rPr>
        <w:t>点</w:t>
      </w:r>
      <w:r>
        <w:rPr>
          <w:rFonts w:hint="eastAsia" w:ascii="宋体" w:hAnsi="宋体" w:cs="宋体"/>
          <w:color w:val="FF0000"/>
          <w:sz w:val="24"/>
          <w:u w:val="single"/>
          <w:lang w:val="en-US" w:eastAsia="zh-CN"/>
        </w:rPr>
        <w:t>00</w:t>
      </w:r>
      <w:r>
        <w:rPr>
          <w:rFonts w:hint="eastAsia" w:ascii="宋体" w:hAnsi="宋体" w:cs="宋体"/>
          <w:color w:val="FF0000"/>
          <w:sz w:val="24"/>
          <w:u w:val="single"/>
        </w:rPr>
        <w:t>分00秒</w:t>
      </w:r>
      <w:r>
        <w:rPr>
          <w:rFonts w:hint="eastAsia" w:ascii="宋体" w:hAnsi="宋体" w:cs="宋体"/>
          <w:sz w:val="24"/>
        </w:rPr>
        <w:t>（北京时间）</w:t>
      </w:r>
    </w:p>
    <w:p>
      <w:pPr>
        <w:spacing w:line="360"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bCs/>
          <w:sz w:val="24"/>
          <w:u w:val="single"/>
        </w:rPr>
      </w:pPr>
      <w:r>
        <w:rPr>
          <w:rFonts w:hint="eastAsia" w:ascii="宋体" w:hAnsi="宋体" w:cs="宋体"/>
          <w:b/>
          <w:sz w:val="24"/>
        </w:rPr>
        <w:t>开标时间：</w:t>
      </w:r>
      <w:r>
        <w:rPr>
          <w:rFonts w:hint="eastAsia" w:ascii="宋体" w:hAnsi="宋体" w:cs="宋体"/>
          <w:color w:val="FF0000"/>
          <w:sz w:val="24"/>
          <w:u w:val="single"/>
        </w:rPr>
        <w:t>202</w:t>
      </w:r>
      <w:r>
        <w:rPr>
          <w:rFonts w:hint="eastAsia" w:ascii="宋体" w:hAnsi="宋体" w:cs="宋体"/>
          <w:color w:val="FF0000"/>
          <w:sz w:val="24"/>
          <w:u w:val="single"/>
          <w:lang w:val="en-US" w:eastAsia="zh-CN"/>
        </w:rPr>
        <w:t>3</w:t>
      </w:r>
      <w:r>
        <w:rPr>
          <w:rFonts w:hint="eastAsia" w:ascii="宋体" w:hAnsi="宋体" w:cs="宋体"/>
          <w:color w:val="FF0000"/>
          <w:sz w:val="24"/>
          <w:u w:val="single"/>
        </w:rPr>
        <w:t>年</w:t>
      </w:r>
      <w:r>
        <w:rPr>
          <w:rFonts w:hint="eastAsia" w:ascii="宋体" w:hAnsi="宋体" w:cs="宋体"/>
          <w:color w:val="FF0000"/>
          <w:sz w:val="24"/>
          <w:u w:val="single"/>
          <w:lang w:val="en-US" w:eastAsia="zh-CN"/>
        </w:rPr>
        <w:t>4</w:t>
      </w:r>
      <w:r>
        <w:rPr>
          <w:rFonts w:hint="eastAsia" w:ascii="宋体" w:hAnsi="宋体" w:cs="宋体"/>
          <w:color w:val="FF0000"/>
          <w:sz w:val="24"/>
          <w:u w:val="single"/>
        </w:rPr>
        <w:t>月</w:t>
      </w:r>
      <w:r>
        <w:rPr>
          <w:rFonts w:hint="eastAsia" w:ascii="宋体" w:hAnsi="宋体" w:cs="宋体"/>
          <w:color w:val="FF0000"/>
          <w:sz w:val="24"/>
          <w:u w:val="single"/>
          <w:lang w:val="en-US" w:eastAsia="zh-CN"/>
        </w:rPr>
        <w:t>27</w:t>
      </w:r>
      <w:r>
        <w:rPr>
          <w:rFonts w:hint="eastAsia" w:ascii="宋体" w:hAnsi="宋体" w:cs="宋体"/>
          <w:color w:val="FF0000"/>
          <w:sz w:val="24"/>
          <w:u w:val="single"/>
        </w:rPr>
        <w:t>日</w:t>
      </w:r>
      <w:r>
        <w:rPr>
          <w:rFonts w:hint="eastAsia" w:ascii="宋体" w:hAnsi="宋体" w:cs="宋体"/>
          <w:color w:val="FF0000"/>
          <w:sz w:val="24"/>
          <w:u w:val="single"/>
          <w:lang w:val="en-US" w:eastAsia="zh-CN"/>
        </w:rPr>
        <w:t>10</w:t>
      </w:r>
      <w:r>
        <w:rPr>
          <w:rFonts w:hint="eastAsia" w:ascii="宋体" w:hAnsi="宋体" w:cs="宋体"/>
          <w:color w:val="FF0000"/>
          <w:sz w:val="24"/>
          <w:u w:val="single"/>
        </w:rPr>
        <w:t>点</w:t>
      </w:r>
      <w:r>
        <w:rPr>
          <w:rFonts w:hint="eastAsia" w:ascii="宋体" w:hAnsi="宋体" w:cs="宋体"/>
          <w:color w:val="FF0000"/>
          <w:sz w:val="24"/>
          <w:u w:val="single"/>
          <w:lang w:val="en-US" w:eastAsia="zh-CN"/>
        </w:rPr>
        <w:t>00</w:t>
      </w:r>
      <w:r>
        <w:rPr>
          <w:rFonts w:hint="eastAsia" w:ascii="宋体" w:hAnsi="宋体" w:cs="宋体"/>
          <w:color w:val="FF0000"/>
          <w:sz w:val="24"/>
          <w:u w:val="single"/>
        </w:rPr>
        <w:t>分00秒</w:t>
      </w:r>
      <w:r>
        <w:rPr>
          <w:rFonts w:hint="eastAsia" w:ascii="宋体" w:hAnsi="宋体" w:cs="宋体"/>
          <w:sz w:val="24"/>
        </w:rPr>
        <w:t>（北京时间）</w:t>
      </w:r>
    </w:p>
    <w:p>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pPr>
        <w:spacing w:line="360" w:lineRule="auto"/>
        <w:rPr>
          <w:rFonts w:ascii="宋体" w:hAnsi="宋体" w:cs="宋体"/>
          <w:sz w:val="24"/>
        </w:rPr>
      </w:pPr>
      <w:r>
        <w:rPr>
          <w:rFonts w:hint="eastAsia" w:ascii="宋体" w:hAnsi="宋体" w:cs="宋体"/>
          <w:b/>
          <w:sz w:val="24"/>
        </w:rPr>
        <w:t xml:space="preserve">五、公告期限 </w:t>
      </w:r>
    </w:p>
    <w:p>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pPr>
        <w:spacing w:line="360" w:lineRule="auto"/>
        <w:rPr>
          <w:rFonts w:ascii="宋体" w:hAnsi="宋体" w:cs="宋体"/>
          <w:b/>
          <w:sz w:val="24"/>
        </w:rPr>
      </w:pPr>
      <w:r>
        <w:rPr>
          <w:rFonts w:hint="eastAsia" w:ascii="宋体" w:hAnsi="宋体" w:cs="宋体"/>
          <w:b/>
          <w:sz w:val="24"/>
        </w:rPr>
        <w:t>六、其他补充事宜</w:t>
      </w:r>
    </w:p>
    <w:p>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sz w:val="24"/>
          <w:lang w:eastAsia="zh-CN"/>
        </w:rPr>
        <w:t>采购代理机构</w:t>
      </w:r>
      <w:r>
        <w:rPr>
          <w:rFonts w:hint="eastAsia" w:ascii="宋体" w:hAnsi="宋体" w:cs="宋体"/>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sz w:val="24"/>
        </w:rPr>
      </w:pPr>
      <w:r>
        <w:rPr>
          <w:rFonts w:hint="eastAsia" w:ascii="宋体" w:hAnsi="宋体" w:cs="宋体"/>
          <w:b/>
          <w:sz w:val="24"/>
        </w:rPr>
        <w:t>七、对本次采购提出询问、质疑、投诉，请按以下方式联系</w:t>
      </w:r>
    </w:p>
    <w:p>
      <w:pPr>
        <w:spacing w:line="360" w:lineRule="auto"/>
        <w:rPr>
          <w:rFonts w:ascii="宋体" w:hAnsi="宋体" w:cs="宋体"/>
          <w:sz w:val="24"/>
        </w:rPr>
      </w:pPr>
      <w:r>
        <w:rPr>
          <w:rFonts w:hint="eastAsia" w:ascii="宋体" w:hAnsi="宋体" w:cs="宋体"/>
          <w:sz w:val="24"/>
        </w:rPr>
        <w:t xml:space="preserve">    1.采购人信息</w:t>
      </w:r>
    </w:p>
    <w:p>
      <w:pPr>
        <w:spacing w:line="360" w:lineRule="auto"/>
        <w:rPr>
          <w:rFonts w:ascii="宋体" w:hAnsi="宋体" w:cs="宋体"/>
          <w:color w:val="0000FF"/>
          <w:sz w:val="24"/>
        </w:rPr>
      </w:pPr>
      <w:r>
        <w:rPr>
          <w:rFonts w:hint="eastAsia" w:ascii="宋体" w:hAnsi="宋体" w:cs="宋体"/>
          <w:sz w:val="24"/>
        </w:rPr>
        <w:t xml:space="preserve">   </w:t>
      </w:r>
      <w:r>
        <w:rPr>
          <w:rFonts w:hint="eastAsia" w:ascii="宋体" w:hAnsi="宋体" w:cs="宋体"/>
          <w:color w:val="0000FF"/>
          <w:sz w:val="24"/>
        </w:rPr>
        <w:t xml:space="preserve"> 名    称：桐庐县教育后勤服务中心 </w:t>
      </w:r>
    </w:p>
    <w:p>
      <w:pPr>
        <w:spacing w:line="360" w:lineRule="auto"/>
        <w:rPr>
          <w:rFonts w:ascii="宋体" w:hAnsi="宋体" w:cs="宋体"/>
          <w:color w:val="0000FF"/>
          <w:sz w:val="24"/>
        </w:rPr>
      </w:pPr>
      <w:r>
        <w:rPr>
          <w:rFonts w:hint="eastAsia" w:ascii="宋体" w:hAnsi="宋体" w:cs="宋体"/>
          <w:color w:val="0000FF"/>
          <w:sz w:val="24"/>
        </w:rPr>
        <w:t xml:space="preserve">    地    址：桐庐县琴溪路1392号  </w:t>
      </w:r>
    </w:p>
    <w:p>
      <w:pPr>
        <w:spacing w:line="360" w:lineRule="auto"/>
        <w:ind w:firstLine="480" w:firstLineChars="200"/>
        <w:rPr>
          <w:rFonts w:ascii="宋体" w:hAnsi="宋体" w:cs="宋体"/>
          <w:color w:val="0000FF"/>
          <w:sz w:val="24"/>
        </w:rPr>
      </w:pPr>
      <w:r>
        <w:rPr>
          <w:rFonts w:hint="eastAsia" w:ascii="宋体" w:hAnsi="宋体" w:cs="宋体"/>
          <w:color w:val="0000FF"/>
          <w:sz w:val="24"/>
        </w:rPr>
        <w:t>项目联系人（询问）：周敏</w:t>
      </w:r>
    </w:p>
    <w:p>
      <w:pPr>
        <w:spacing w:line="360" w:lineRule="auto"/>
        <w:rPr>
          <w:rFonts w:ascii="宋体" w:hAnsi="宋体" w:cs="宋体"/>
          <w:color w:val="0000FF"/>
          <w:sz w:val="24"/>
        </w:rPr>
      </w:pPr>
      <w:r>
        <w:rPr>
          <w:rFonts w:hint="eastAsia" w:ascii="宋体" w:hAnsi="宋体" w:cs="宋体"/>
          <w:color w:val="0000FF"/>
          <w:sz w:val="24"/>
        </w:rPr>
        <w:t xml:space="preserve">    项目联系方式（询问）： 0571-56981810</w:t>
      </w:r>
    </w:p>
    <w:p>
      <w:pPr>
        <w:spacing w:line="360" w:lineRule="auto"/>
        <w:rPr>
          <w:rFonts w:ascii="宋体" w:hAnsi="宋体" w:cs="宋体"/>
          <w:color w:val="0000FF"/>
          <w:sz w:val="24"/>
        </w:rPr>
      </w:pPr>
      <w:r>
        <w:rPr>
          <w:rFonts w:hint="eastAsia" w:ascii="宋体" w:hAnsi="宋体" w:cs="宋体"/>
          <w:color w:val="0000FF"/>
          <w:sz w:val="24"/>
        </w:rPr>
        <w:t xml:space="preserve">    质疑联系人： 王群英</w:t>
      </w:r>
    </w:p>
    <w:p>
      <w:pPr>
        <w:spacing w:line="360" w:lineRule="auto"/>
        <w:rPr>
          <w:rFonts w:ascii="宋体" w:hAnsi="宋体" w:cs="宋体"/>
          <w:color w:val="0000FF"/>
          <w:sz w:val="24"/>
        </w:rPr>
      </w:pPr>
      <w:r>
        <w:rPr>
          <w:rFonts w:hint="eastAsia" w:ascii="宋体" w:hAnsi="宋体" w:cs="宋体"/>
          <w:color w:val="0000FF"/>
          <w:sz w:val="24"/>
        </w:rPr>
        <w:t xml:space="preserve">    质疑联系方式： 0571-56981805</w:t>
      </w:r>
    </w:p>
    <w:p>
      <w:pPr>
        <w:spacing w:line="360" w:lineRule="auto"/>
        <w:rPr>
          <w:rFonts w:ascii="宋体" w:hAnsi="宋体" w:cs="宋体"/>
          <w:sz w:val="24"/>
        </w:rPr>
      </w:pPr>
      <w:r>
        <w:rPr>
          <w:rFonts w:hint="eastAsia" w:ascii="宋体" w:hAnsi="宋体" w:cs="宋体"/>
          <w:sz w:val="24"/>
        </w:rPr>
        <w:t xml:space="preserve">    2.采购代理机构信息            </w:t>
      </w:r>
    </w:p>
    <w:p>
      <w:pPr>
        <w:spacing w:line="360" w:lineRule="auto"/>
        <w:ind w:firstLine="480"/>
        <w:rPr>
          <w:rFonts w:ascii="宋体" w:hAnsi="宋体" w:cs="宋体"/>
          <w:sz w:val="24"/>
        </w:rPr>
      </w:pPr>
      <w:r>
        <w:rPr>
          <w:rFonts w:hint="eastAsia" w:ascii="宋体" w:hAnsi="宋体" w:cs="宋体"/>
          <w:sz w:val="24"/>
        </w:rPr>
        <w:t>名    称：杭州市公共资源交易中心桐庐分中心</w:t>
      </w:r>
    </w:p>
    <w:p>
      <w:pPr>
        <w:spacing w:line="360" w:lineRule="auto"/>
        <w:ind w:firstLine="480"/>
        <w:rPr>
          <w:rFonts w:ascii="宋体" w:hAnsi="宋体" w:cs="宋体"/>
          <w:sz w:val="24"/>
        </w:rPr>
      </w:pPr>
      <w:r>
        <w:rPr>
          <w:rFonts w:hint="eastAsia" w:ascii="宋体" w:hAnsi="宋体" w:cs="宋体"/>
          <w:sz w:val="24"/>
        </w:rPr>
        <w:t>地    址：杭州市桐庐县迎春南路258号国资大厦5楼</w:t>
      </w:r>
    </w:p>
    <w:p>
      <w:pPr>
        <w:spacing w:line="360" w:lineRule="auto"/>
        <w:rPr>
          <w:rFonts w:ascii="宋体" w:hAnsi="宋体" w:cs="宋体"/>
          <w:sz w:val="24"/>
        </w:rPr>
      </w:pPr>
      <w:r>
        <w:rPr>
          <w:rFonts w:hint="eastAsia" w:ascii="宋体" w:hAnsi="宋体" w:cs="宋体"/>
          <w:sz w:val="24"/>
        </w:rPr>
        <w:t xml:space="preserve">    项目联系人（询问）：</w:t>
      </w:r>
      <w:r>
        <w:rPr>
          <w:rFonts w:hint="eastAsia" w:ascii="宋体" w:hAnsi="宋体" w:cs="宋体"/>
          <w:sz w:val="24"/>
          <w:lang w:val="en-US" w:eastAsia="zh-CN"/>
        </w:rPr>
        <w:t>王赛栎</w:t>
      </w:r>
      <w:r>
        <w:rPr>
          <w:rFonts w:hint="eastAsia" w:ascii="宋体" w:hAnsi="宋体" w:cs="宋体"/>
          <w:sz w:val="24"/>
        </w:rPr>
        <w:t xml:space="preserve"> </w:t>
      </w:r>
    </w:p>
    <w:p>
      <w:pPr>
        <w:spacing w:line="360" w:lineRule="auto"/>
        <w:rPr>
          <w:rFonts w:hint="default" w:ascii="宋体" w:hAnsi="宋体" w:eastAsia="宋体" w:cs="宋体"/>
          <w:sz w:val="24"/>
          <w:lang w:val="en-US" w:eastAsia="zh-CN"/>
        </w:rPr>
      </w:pPr>
      <w:r>
        <w:rPr>
          <w:rFonts w:hint="eastAsia" w:ascii="宋体" w:hAnsi="宋体" w:cs="宋体"/>
          <w:sz w:val="24"/>
        </w:rPr>
        <w:t xml:space="preserve">    项目联系方式（询问）：</w:t>
      </w:r>
      <w:r>
        <w:rPr>
          <w:rFonts w:hint="eastAsia" w:ascii="宋体" w:hAnsi="宋体" w:cs="宋体"/>
          <w:sz w:val="24"/>
          <w:lang w:val="en-US" w:eastAsia="zh-CN"/>
        </w:rPr>
        <w:t>0571-64217659</w:t>
      </w:r>
    </w:p>
    <w:p>
      <w:pPr>
        <w:spacing w:line="360" w:lineRule="auto"/>
        <w:rPr>
          <w:rFonts w:ascii="宋体" w:hAnsi="宋体" w:cs="宋体"/>
          <w:sz w:val="24"/>
        </w:rPr>
      </w:pPr>
      <w:r>
        <w:rPr>
          <w:rFonts w:hint="eastAsia" w:ascii="宋体" w:hAnsi="宋体" w:cs="宋体"/>
          <w:sz w:val="24"/>
        </w:rPr>
        <w:t xml:space="preserve">    质疑联系人：陈璠   </w:t>
      </w:r>
    </w:p>
    <w:p>
      <w:pPr>
        <w:spacing w:line="360" w:lineRule="auto"/>
        <w:rPr>
          <w:rFonts w:ascii="宋体" w:hAnsi="宋体" w:cs="宋体"/>
          <w:sz w:val="24"/>
        </w:rPr>
      </w:pPr>
      <w:r>
        <w:rPr>
          <w:rFonts w:hint="eastAsia" w:ascii="宋体" w:hAnsi="宋体" w:cs="宋体"/>
          <w:sz w:val="24"/>
        </w:rPr>
        <w:t xml:space="preserve">    质疑联系方式：0571-89545845</w:t>
      </w:r>
    </w:p>
    <w:p>
      <w:pPr>
        <w:spacing w:line="360" w:lineRule="auto"/>
        <w:rPr>
          <w:rFonts w:ascii="宋体" w:hAnsi="宋体" w:cs="宋体"/>
          <w:sz w:val="24"/>
        </w:rPr>
      </w:pPr>
      <w:r>
        <w:rPr>
          <w:rFonts w:hint="eastAsia" w:ascii="宋体" w:hAnsi="宋体" w:cs="宋体"/>
          <w:sz w:val="24"/>
        </w:rPr>
        <w:t xml:space="preserve">    3.</w:t>
      </w:r>
      <w:r>
        <w:rPr>
          <w:rFonts w:hint="eastAsia"/>
        </w:rPr>
        <w:t xml:space="preserve"> </w:t>
      </w:r>
      <w:r>
        <w:rPr>
          <w:rFonts w:hint="eastAsia" w:ascii="宋体" w:hAnsi="宋体" w:cs="宋体"/>
          <w:sz w:val="24"/>
        </w:rPr>
        <w:t xml:space="preserve">同级政府采购监督管理部门            </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名    称：桐庐县财政局</w:t>
      </w:r>
    </w:p>
    <w:p>
      <w:pPr>
        <w:spacing w:line="360" w:lineRule="auto"/>
        <w:rPr>
          <w:rFonts w:ascii="宋体" w:hAnsi="宋体" w:cs="宋体"/>
          <w:sz w:val="24"/>
        </w:rPr>
      </w:pPr>
      <w:r>
        <w:rPr>
          <w:rFonts w:hint="eastAsia" w:ascii="宋体" w:hAnsi="宋体" w:cs="宋体"/>
          <w:sz w:val="24"/>
        </w:rPr>
        <w:t xml:space="preserve">    地    址：桐庐县春江路688号</w:t>
      </w:r>
    </w:p>
    <w:p>
      <w:pPr>
        <w:spacing w:line="360" w:lineRule="auto"/>
        <w:rPr>
          <w:rFonts w:ascii="宋体" w:hAnsi="宋体" w:cs="宋体"/>
          <w:sz w:val="24"/>
        </w:rPr>
      </w:pPr>
      <w:r>
        <w:rPr>
          <w:rFonts w:hint="eastAsia" w:ascii="宋体" w:hAnsi="宋体" w:cs="宋体"/>
          <w:sz w:val="24"/>
        </w:rPr>
        <w:t xml:space="preserve">    联系人 ：方翔</w:t>
      </w:r>
    </w:p>
    <w:p>
      <w:pPr>
        <w:spacing w:line="360" w:lineRule="auto"/>
        <w:ind w:firstLine="480"/>
        <w:rPr>
          <w:rFonts w:ascii="宋体" w:hAnsi="宋体" w:cs="宋体"/>
          <w:sz w:val="24"/>
        </w:rPr>
      </w:pPr>
      <w:r>
        <w:rPr>
          <w:rFonts w:hint="eastAsia" w:ascii="宋体" w:hAnsi="宋体" w:cs="宋体"/>
          <w:sz w:val="24"/>
        </w:rPr>
        <w:t xml:space="preserve">监督投诉电话：0571-58507058          </w:t>
      </w:r>
    </w:p>
    <w:p>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w:t>
      </w:r>
      <w:r>
        <w:rPr>
          <w:rFonts w:hint="eastAsia" w:ascii="宋体" w:hAnsi="宋体" w:cs="宋体"/>
          <w:sz w:val="24"/>
          <w:highlight w:val="none"/>
        </w:rPr>
        <w:t>95763</w:t>
      </w:r>
      <w:r>
        <w:rPr>
          <w:rFonts w:hint="eastAsia" w:ascii="宋体" w:hAnsi="宋体" w:cs="宋体"/>
          <w:sz w:val="24"/>
        </w:rPr>
        <w:t>获取热线服务帮助。</w:t>
      </w:r>
    </w:p>
    <w:p>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pPr>
        <w:pStyle w:val="33"/>
        <w:spacing w:line="360" w:lineRule="auto"/>
        <w:rPr>
          <w:rFonts w:ascii="宋体"/>
          <w:snapToGrid w:val="0"/>
        </w:rPr>
      </w:pPr>
      <w:r>
        <w:rPr>
          <w:rFonts w:hint="eastAsia" w:hAnsi="宋体" w:cs="宋体"/>
          <w:sz w:val="24"/>
        </w:rPr>
        <w:t xml:space="preserve">                        </w:t>
      </w:r>
      <w:r>
        <w:rPr>
          <w:rFonts w:hAnsi="宋体" w:cs="宋体"/>
          <w:b/>
          <w:sz w:val="36"/>
          <w:szCs w:val="20"/>
        </w:rPr>
        <w:t xml:space="preserve"> </w:t>
      </w:r>
      <w:r>
        <w:br w:type="page"/>
      </w:r>
    </w:p>
    <w:p>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6"/>
      <w:r>
        <w:rPr>
          <w:rFonts w:hint="eastAsia" w:ascii="宋体" w:hAnsi="宋体" w:cs="宋体"/>
          <w:b/>
          <w:sz w:val="36"/>
          <w:szCs w:val="20"/>
        </w:rPr>
        <w:t xml:space="preserve"> 投标人须知</w:t>
      </w:r>
      <w:bookmarkEnd w:id="7"/>
    </w:p>
    <w:p>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FF"/>
                <w:sz w:val="24"/>
              </w:rPr>
            </w:pPr>
            <w:r>
              <w:rPr>
                <w:rFonts w:hint="eastAsia" w:ascii="宋体" w:hAnsi="宋体" w:cs="宋体"/>
                <w:sz w:val="24"/>
              </w:rPr>
              <w:t>货物类，</w:t>
            </w:r>
            <w:r>
              <w:rPr>
                <w:rFonts w:hint="eastAsia" w:ascii="宋体" w:hAnsi="宋体" w:cs="宋体"/>
                <w:color w:val="0000FF"/>
                <w:sz w:val="24"/>
              </w:rPr>
              <w:t>单一产品或</w:t>
            </w:r>
            <w:r>
              <w:rPr>
                <w:rFonts w:hint="eastAsia" w:ascii="宋体" w:hAnsi="宋体" w:cs="宋体"/>
                <w:color w:val="0000FF"/>
                <w:kern w:val="0"/>
                <w:sz w:val="24"/>
              </w:rPr>
              <w:t>核心产品为：</w:t>
            </w:r>
            <w:r>
              <w:rPr>
                <w:rFonts w:hint="eastAsia" w:ascii="宋体" w:hAnsi="宋体" w:cs="宋体"/>
                <w:color w:val="0000FF"/>
                <w:sz w:val="24"/>
                <w:u w:val="single"/>
              </w:rPr>
              <w:t xml:space="preserve"> 教师机（</w:t>
            </w:r>
            <w:r>
              <w:rPr>
                <w:rFonts w:hint="eastAsia" w:ascii="宋体" w:hAnsi="宋体" w:cs="宋体"/>
                <w:color w:val="0000FF"/>
                <w:sz w:val="24"/>
                <w:u w:val="single"/>
                <w:lang w:val="en-US" w:eastAsia="zh-CN"/>
              </w:rPr>
              <w:t>I5</w:t>
            </w:r>
            <w:r>
              <w:rPr>
                <w:rFonts w:hint="eastAsia" w:ascii="宋体" w:hAnsi="宋体" w:cs="宋体"/>
                <w:color w:val="0000FF"/>
                <w:sz w:val="24"/>
                <w:u w:val="single"/>
              </w:rPr>
              <w:t>全套）、教师机（</w:t>
            </w:r>
            <w:r>
              <w:rPr>
                <w:rFonts w:hint="eastAsia" w:ascii="宋体" w:hAnsi="宋体" w:cs="宋体"/>
                <w:color w:val="0000FF"/>
                <w:sz w:val="24"/>
                <w:u w:val="single"/>
                <w:lang w:val="en-US" w:eastAsia="zh-CN"/>
              </w:rPr>
              <w:t>I5</w:t>
            </w:r>
            <w:r>
              <w:rPr>
                <w:rFonts w:hint="eastAsia" w:ascii="宋体" w:hAnsi="宋体" w:cs="宋体"/>
                <w:color w:val="0000FF"/>
                <w:sz w:val="24"/>
                <w:u w:val="single"/>
              </w:rPr>
              <w:t>主机）、学生计算机1（I5全套）、学生微型计算机2（i3全套）、学生微型计算机3（i3主机）</w:t>
            </w:r>
            <w:r>
              <w:rPr>
                <w:rFonts w:hint="eastAsia" w:ascii="宋体" w:hAnsi="宋体" w:cs="宋体"/>
                <w:color w:val="0000FF"/>
                <w:sz w:val="24"/>
                <w:u w:val="single"/>
                <w:lang w:eastAsia="zh-CN"/>
              </w:rPr>
              <w:t>、</w:t>
            </w:r>
            <w:r>
              <w:rPr>
                <w:rFonts w:hint="eastAsia" w:ascii="宋体" w:hAnsi="宋体" w:cs="宋体"/>
                <w:color w:val="0000FF"/>
                <w:sz w:val="24"/>
                <w:u w:val="single"/>
              </w:rPr>
              <w:t xml:space="preserve">笔记本电脑 </w:t>
            </w:r>
            <w:r>
              <w:rPr>
                <w:rFonts w:hint="eastAsia" w:ascii="宋体" w:hAnsi="宋体" w:cs="宋体"/>
                <w:color w:val="0000FF"/>
                <w:sz w:val="24"/>
              </w:rPr>
              <w:t>。</w:t>
            </w:r>
          </w:p>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0000FF"/>
                <w:kern w:val="0"/>
                <w:sz w:val="24"/>
              </w:rPr>
            </w:pPr>
            <w:r>
              <w:rPr>
                <w:rFonts w:hint="eastAsia" w:ascii="宋体" w:hAnsi="宋体" w:cs="宋体"/>
                <w:color w:val="0000FF"/>
                <w:kern w:val="0"/>
                <w:sz w:val="24"/>
              </w:rPr>
              <w:t>标的：</w:t>
            </w:r>
            <w:r>
              <w:rPr>
                <w:rFonts w:hint="eastAsia" w:ascii="宋体" w:hAnsi="宋体" w:cs="宋体"/>
                <w:color w:val="0000FF"/>
                <w:kern w:val="0"/>
                <w:sz w:val="24"/>
                <w:u w:val="single"/>
              </w:rPr>
              <w:t xml:space="preserve">  见采购需求中“采购内容、规格及要求” 中采购清单  </w:t>
            </w:r>
            <w:r>
              <w:rPr>
                <w:rFonts w:hint="eastAsia" w:ascii="宋体" w:hAnsi="宋体" w:cs="宋体"/>
                <w:color w:val="0000FF"/>
                <w:kern w:val="0"/>
                <w:sz w:val="24"/>
              </w:rPr>
              <w:t>，属于</w:t>
            </w:r>
            <w:r>
              <w:rPr>
                <w:rFonts w:hint="eastAsia" w:ascii="宋体" w:hAnsi="宋体" w:cs="宋体"/>
                <w:color w:val="0000FF"/>
                <w:kern w:val="0"/>
                <w:sz w:val="24"/>
                <w:u w:val="single"/>
              </w:rPr>
              <w:t xml:space="preserve">  </w:t>
            </w:r>
            <w:r>
              <w:rPr>
                <w:rFonts w:hint="eastAsia" w:ascii="宋体" w:hAnsi="宋体" w:cs="宋体"/>
                <w:color w:val="0000FF"/>
                <w:kern w:val="0"/>
                <w:sz w:val="24"/>
                <w:u w:val="single"/>
                <w:lang w:val="en-US" w:eastAsia="zh-CN"/>
              </w:rPr>
              <w:t>工业</w:t>
            </w:r>
            <w:r>
              <w:rPr>
                <w:rFonts w:hint="eastAsia" w:ascii="宋体" w:hAnsi="宋体" w:cs="宋体"/>
                <w:color w:val="0000FF"/>
                <w:kern w:val="0"/>
                <w:sz w:val="24"/>
                <w:u w:val="single"/>
              </w:rPr>
              <w:t xml:space="preserve">  </w:t>
            </w:r>
            <w:r>
              <w:rPr>
                <w:rFonts w:hint="eastAsia" w:ascii="宋体" w:hAnsi="宋体" w:cs="宋体"/>
                <w:color w:val="0000FF"/>
                <w:kern w:val="0"/>
                <w:sz w:val="24"/>
              </w:rPr>
              <w:t>行业；</w:t>
            </w:r>
          </w:p>
          <w:p>
            <w:pPr>
              <w:pStyle w:val="5"/>
              <w:rPr>
                <w:rFonts w:ascii="宋体" w:hAnsi="宋体" w:eastAsia="宋体" w:cs="宋体"/>
                <w:lang w:val="en-U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5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kern w:val="0"/>
                <w:sz w:val="24"/>
              </w:rPr>
            </w:pPr>
            <w:sdt>
              <w:sdtPr>
                <w:rPr>
                  <w:rFonts w:hint="eastAsia" w:ascii="宋体" w:hAnsi="宋体" w:cs="宋体"/>
                  <w:kern w:val="0"/>
                  <w:sz w:val="24"/>
                </w:rPr>
                <w:id w:val="-182842570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pPr>
              <w:spacing w:line="360" w:lineRule="auto"/>
              <w:rPr>
                <w:rFonts w:ascii="宋体" w:hAnsi="宋体" w:cs="宋体"/>
              </w:rPr>
            </w:pPr>
            <w:sdt>
              <w:sdtPr>
                <w:rPr>
                  <w:rFonts w:hint="eastAsia" w:ascii="宋体" w:hAnsi="宋体" w:cs="宋体"/>
                  <w:kern w:val="0"/>
                  <w:sz w:val="24"/>
                </w:rPr>
                <w:id w:val="-5285282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47728692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 xml:space="preserve"> A</w:t>
            </w:r>
            <w:r>
              <w:rPr>
                <w:rFonts w:hint="eastAsia" w:ascii="宋体" w:hAnsi="宋体" w:cs="宋体"/>
                <w:sz w:val="24"/>
              </w:rPr>
              <w:t>同意将非主体、</w:t>
            </w:r>
            <w:r>
              <w:rPr>
                <w:rFonts w:hint="eastAsia" w:ascii="宋体" w:hAnsi="宋体" w:cs="宋体"/>
                <w:color w:val="0000FF"/>
                <w:sz w:val="24"/>
              </w:rPr>
              <w:t>非关键性的</w:t>
            </w:r>
            <w:r>
              <w:rPr>
                <w:rFonts w:hint="eastAsia" w:ascii="宋体" w:hAnsi="宋体" w:cs="宋体"/>
                <w:color w:val="0000FF"/>
                <w:sz w:val="24"/>
                <w:u w:val="single"/>
              </w:rPr>
              <w:t xml:space="preserve">     </w:t>
            </w:r>
            <w:r>
              <w:rPr>
                <w:rFonts w:hint="eastAsia" w:ascii="宋体" w:hAnsi="宋体" w:cs="宋体"/>
                <w:color w:val="0000FF"/>
                <w:sz w:val="24"/>
                <w:u w:val="single"/>
                <w:lang w:val="en-US" w:eastAsia="zh-CN"/>
              </w:rPr>
              <w:t>运输</w:t>
            </w:r>
            <w:r>
              <w:rPr>
                <w:rFonts w:hint="eastAsia" w:ascii="宋体" w:hAnsi="宋体" w:cs="宋体"/>
                <w:color w:val="0000FF"/>
                <w:sz w:val="24"/>
                <w:u w:val="single"/>
              </w:rPr>
              <w:t xml:space="preserve">        </w:t>
            </w:r>
            <w:r>
              <w:rPr>
                <w:rFonts w:hint="eastAsia" w:ascii="宋体" w:hAnsi="宋体" w:cs="宋体"/>
                <w:color w:val="0000FF"/>
                <w:sz w:val="24"/>
              </w:rPr>
              <w:t>工作分包</w:t>
            </w:r>
            <w:r>
              <w:rPr>
                <w:rFonts w:hint="eastAsia" w:ascii="宋体" w:hAnsi="宋体" w:cs="宋体"/>
                <w:sz w:val="24"/>
              </w:rPr>
              <w:t>。</w:t>
            </w:r>
            <w:sdt>
              <w:sdtPr>
                <w:rPr>
                  <w:rFonts w:hint="eastAsia" w:ascii="宋体" w:hAnsi="宋体" w:cs="宋体"/>
                  <w:kern w:val="0"/>
                  <w:sz w:val="24"/>
                </w:rPr>
                <w:id w:val="-1276331357"/>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kern w:val="0"/>
                <w:sz w:val="24"/>
              </w:rPr>
              <w:t xml:space="preserve"> B</w:t>
            </w:r>
            <w:r>
              <w:rPr>
                <w:rFonts w:hint="eastAsia" w:ascii="宋体" w:hAnsi="宋体" w:cs="宋体"/>
                <w:sz w:val="24"/>
              </w:rPr>
              <w:t>不同意分包。</w:t>
            </w:r>
          </w:p>
          <w:p>
            <w:pPr>
              <w:spacing w:line="360" w:lineRule="auto"/>
              <w:rPr>
                <w:rFonts w:ascii="宋体" w:hAnsi="宋体" w:cs="宋体"/>
                <w:sz w:val="24"/>
              </w:rPr>
            </w:pPr>
            <w:r>
              <w:rPr>
                <w:rFonts w:hint="eastAsia" w:ascii="宋体" w:hAnsi="宋体" w:cs="宋体"/>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21296641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sz w:val="24"/>
                <w:szCs w:val="20"/>
              </w:rPr>
            </w:pPr>
            <w:sdt>
              <w:sdtPr>
                <w:rPr>
                  <w:rFonts w:hint="eastAsia" w:ascii="宋体" w:hAnsi="宋体" w:cs="宋体"/>
                  <w:kern w:val="0"/>
                  <w:sz w:val="24"/>
                </w:rPr>
                <w:id w:val="-99980297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63994648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cs="宋体"/>
                <w:kern w:val="0"/>
                <w:sz w:val="24"/>
              </w:rPr>
              <w:t>A</w:t>
            </w:r>
            <w:r>
              <w:rPr>
                <w:rFonts w:hint="eastAsia" w:ascii="宋体" w:hAnsi="宋体" w:cs="宋体"/>
                <w:sz w:val="24"/>
              </w:rPr>
              <w:t>不要求提供。</w:t>
            </w:r>
          </w:p>
          <w:p>
            <w:pPr>
              <w:spacing w:line="360" w:lineRule="auto"/>
              <w:rPr>
                <w:rFonts w:ascii="宋体" w:hAnsi="宋体" w:cs="宋体"/>
                <w:kern w:val="0"/>
                <w:sz w:val="24"/>
              </w:rPr>
            </w:pPr>
            <w:sdt>
              <w:sdtPr>
                <w:rPr>
                  <w:rFonts w:hint="eastAsia" w:ascii="宋体" w:hAnsi="宋体" w:cs="宋体"/>
                  <w:kern w:val="0"/>
                  <w:sz w:val="24"/>
                </w:rPr>
                <w:id w:val="1026831988"/>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B要求提供，</w:t>
            </w:r>
          </w:p>
          <w:p>
            <w:pPr>
              <w:spacing w:line="360" w:lineRule="auto"/>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z w:val="24"/>
                <w:u w:val="single"/>
              </w:rPr>
              <w:t xml:space="preserve">    </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pPr>
              <w:spacing w:line="360" w:lineRule="auto"/>
              <w:rPr>
                <w:rFonts w:ascii="宋体" w:hAnsi="宋体" w:cs="宋体"/>
                <w:sz w:val="24"/>
              </w:rPr>
            </w:pPr>
            <w:r>
              <w:rPr>
                <w:rFonts w:hint="eastAsia" w:ascii="宋体" w:hAnsi="宋体" w:cs="宋体"/>
                <w:sz w:val="24"/>
              </w:rPr>
              <w:t>（5）提供样品的时间：</w:t>
            </w:r>
            <w:r>
              <w:rPr>
                <w:rFonts w:hint="eastAsia" w:ascii="宋体" w:hAnsi="宋体" w:cs="宋体"/>
                <w:sz w:val="24"/>
                <w:u w:val="single"/>
              </w:rPr>
              <w:t xml:space="preserve">    </w:t>
            </w:r>
            <w:r>
              <w:rPr>
                <w:rFonts w:hint="eastAsia" w:ascii="宋体" w:hAnsi="宋体" w:cs="宋体"/>
                <w:kern w:val="0"/>
                <w:sz w:val="24"/>
              </w:rPr>
              <w:t>；地点：</w:t>
            </w:r>
            <w:r>
              <w:rPr>
                <w:rFonts w:hint="eastAsia" w:ascii="宋体" w:hAnsi="宋体" w:cs="宋体"/>
                <w:sz w:val="24"/>
                <w:u w:val="single"/>
              </w:rPr>
              <w:t xml:space="preserve">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w:t>
            </w:r>
            <w:r>
              <w:rPr>
                <w:rFonts w:hint="eastAsia" w:ascii="宋体" w:hAnsi="宋体" w:cs="宋体"/>
                <w:sz w:val="24"/>
              </w:rPr>
              <w:t>。请投标人在上述时间内提供样品并按规定位置安装完毕。超过截止时间的，采购人或采购代理机构将不予接收，并将清场并封闭样品现场。</w:t>
            </w:r>
          </w:p>
          <w:p>
            <w:pPr>
              <w:spacing w:line="360" w:lineRule="auto"/>
              <w:rPr>
                <w:rFonts w:ascii="宋体" w:hAnsi="宋体" w:cs="宋体"/>
                <w:sz w:val="24"/>
              </w:rPr>
            </w:pPr>
            <w:r>
              <w:rPr>
                <w:rFonts w:hint="eastAsia" w:ascii="宋体" w:hAnsi="宋体" w:cs="宋体"/>
                <w:sz w:val="24"/>
              </w:rPr>
              <w:t xml:space="preserve"> (6)采购活动结束后，对于未中标人提供的样品，采购人、</w:t>
            </w:r>
            <w:r>
              <w:rPr>
                <w:rFonts w:hint="eastAsia" w:ascii="宋体" w:hAnsi="宋体" w:cs="宋体"/>
                <w:sz w:val="24"/>
                <w:lang w:eastAsia="zh-CN"/>
              </w:rPr>
              <w:t>采购代理机构</w:t>
            </w:r>
            <w:r>
              <w:rPr>
                <w:rFonts w:hint="eastAsia" w:ascii="宋体" w:hAnsi="宋体" w:cs="宋体"/>
                <w:sz w:val="24"/>
              </w:rPr>
              <w:t>将通知未中标人在规定的时间内取回，逾期未取回的，采购人、</w:t>
            </w:r>
            <w:r>
              <w:rPr>
                <w:rFonts w:hint="eastAsia" w:ascii="宋体" w:hAnsi="宋体" w:cs="宋体"/>
                <w:sz w:val="24"/>
                <w:lang w:eastAsia="zh-CN"/>
              </w:rPr>
              <w:t>采购代理机构</w:t>
            </w:r>
            <w:r>
              <w:rPr>
                <w:rFonts w:hint="eastAsia" w:ascii="宋体" w:hAnsi="宋体" w:cs="宋体"/>
                <w:sz w:val="24"/>
              </w:rPr>
              <w:t>不负保管义务；对于中标人提供的样品，采购人将进行保管、封存，并作为履约验收的参考。</w:t>
            </w:r>
          </w:p>
          <w:p>
            <w:pPr>
              <w:spacing w:line="360" w:lineRule="auto"/>
              <w:rPr>
                <w:rFonts w:ascii="宋体" w:hAnsi="宋体" w:cs="宋体"/>
                <w:b/>
                <w:sz w:val="24"/>
              </w:rPr>
            </w:pPr>
            <w:r>
              <w:rPr>
                <w:rFonts w:hint="eastAsia" w:ascii="宋体" w:hAnsi="宋体" w:cs="宋体"/>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85934854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kern w:val="0"/>
                <w:sz w:val="24"/>
              </w:rPr>
            </w:pPr>
            <w:sdt>
              <w:sdtPr>
                <w:rPr>
                  <w:rFonts w:hint="eastAsia" w:ascii="宋体" w:hAnsi="宋体" w:cs="宋体"/>
                  <w:kern w:val="0"/>
                  <w:sz w:val="24"/>
                </w:rPr>
                <w:id w:val="117407171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pPr>
              <w:snapToGrid w:val="0"/>
              <w:spacing w:line="360" w:lineRule="auto"/>
              <w:rPr>
                <w:rFonts w:ascii="宋体" w:hAnsi="宋体" w:cs="宋体"/>
                <w:kern w:val="0"/>
                <w:sz w:val="24"/>
              </w:rPr>
            </w:pPr>
            <w:r>
              <w:rPr>
                <w:rFonts w:hint="eastAsia" w:ascii="宋体" w:hAnsi="宋体" w:cs="宋体"/>
                <w:kern w:val="0"/>
                <w:sz w:val="24"/>
              </w:rPr>
              <w:t>（1）在评标时安排每个投标人进行方案讲解演示。每个投标人时间不超过</w:t>
            </w:r>
            <w:r>
              <w:rPr>
                <w:rFonts w:hint="eastAsia" w:ascii="宋体" w:hAnsi="宋体" w:cs="宋体"/>
                <w:kern w:val="0"/>
                <w:sz w:val="24"/>
                <w:u w:val="single"/>
              </w:rPr>
              <w:t>20</w:t>
            </w:r>
            <w:r>
              <w:rPr>
                <w:rFonts w:hint="eastAsia" w:ascii="宋体" w:hAnsi="宋体" w:cs="宋体"/>
                <w:kern w:val="0"/>
                <w:sz w:val="24"/>
              </w:rPr>
              <w:t>分钟，讲解次序以投标文件解密时间先后次序为准，讲解演示人员不超过</w:t>
            </w:r>
            <w:r>
              <w:rPr>
                <w:rFonts w:hint="eastAsia" w:ascii="宋体" w:hAnsi="宋体" w:cs="宋体"/>
                <w:kern w:val="0"/>
                <w:sz w:val="24"/>
                <w:u w:val="single"/>
              </w:rPr>
              <w:t>3</w:t>
            </w:r>
            <w:r>
              <w:rPr>
                <w:rFonts w:hint="eastAsia" w:ascii="宋体" w:hAnsi="宋体" w:cs="宋体"/>
                <w:kern w:val="0"/>
                <w:sz w:val="24"/>
              </w:rPr>
              <w:t>人。讲解演示结束后按要求解答评标委员会提问。</w:t>
            </w:r>
          </w:p>
          <w:p>
            <w:pPr>
              <w:snapToGrid w:val="0"/>
              <w:spacing w:line="360" w:lineRule="auto"/>
              <w:rPr>
                <w:rFonts w:ascii="宋体" w:hAnsi="宋体" w:cs="宋体"/>
                <w:kern w:val="0"/>
                <w:sz w:val="24"/>
              </w:rPr>
            </w:pPr>
            <w:r>
              <w:rPr>
                <w:rFonts w:hint="eastAsia" w:ascii="宋体" w:hAnsi="宋体" w:cs="宋体"/>
                <w:kern w:val="0"/>
                <w:sz w:val="24"/>
              </w:rPr>
              <w:t>（2）方案讲解演示可选择以下其中一种方式：</w:t>
            </w:r>
          </w:p>
          <w:p>
            <w:pPr>
              <w:snapToGrid w:val="0"/>
              <w:spacing w:line="360" w:lineRule="auto"/>
              <w:rPr>
                <w:rFonts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kern w:val="0"/>
                <w:sz w:val="24"/>
              </w:rPr>
            </w:pPr>
            <w:r>
              <w:rPr>
                <w:rFonts w:hint="eastAsia" w:ascii="宋体" w:hAnsi="宋体" w:cs="宋体"/>
                <w:kern w:val="0"/>
                <w:sz w:val="24"/>
              </w:rPr>
              <w:t>方式二：交易中心现场讲解演示。现场讲解地点为</w:t>
            </w:r>
            <w:r>
              <w:rPr>
                <w:rFonts w:hint="eastAsia" w:ascii="宋体" w:hAnsi="宋体" w:cs="宋体"/>
                <w:sz w:val="24"/>
                <w:u w:val="single"/>
              </w:rPr>
              <w:t xml:space="preserve"> </w:t>
            </w:r>
            <w:r>
              <w:rPr>
                <w:rFonts w:hint="eastAsia" w:ascii="宋体" w:hAnsi="宋体" w:cs="宋体"/>
                <w:color w:val="FF0000"/>
                <w:sz w:val="24"/>
                <w:u w:val="single"/>
              </w:rPr>
              <w:t xml:space="preserve">     </w:t>
            </w:r>
            <w:r>
              <w:rPr>
                <w:rFonts w:hint="eastAsia" w:ascii="宋体" w:hAnsi="宋体" w:cs="宋体"/>
                <w:sz w:val="24"/>
                <w:u w:val="single"/>
              </w:rPr>
              <w:t xml:space="preserve"> </w:t>
            </w:r>
            <w:r>
              <w:rPr>
                <w:rFonts w:hint="eastAsia" w:ascii="宋体" w:hAnsi="宋体" w:cs="宋体"/>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（1）资格证明文件：见招标文件第二部分11.1。</w:t>
            </w:r>
          </w:p>
          <w:p>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508" w:hRule="atLeast"/>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rPr>
                <w:rFonts w:hAnsi="宋体" w:cs="宋体"/>
                <w:kern w:val="28"/>
                <w:sz w:val="24"/>
              </w:rPr>
            </w:pPr>
            <w:r>
              <w:rPr>
                <w:rFonts w:hint="eastAsia" w:hAnsi="宋体" w:cs="宋体"/>
                <w:kern w:val="28"/>
                <w:sz w:val="24"/>
                <w:szCs w:val="24"/>
              </w:rPr>
              <w:t>备份投标文件送达地点：</w:t>
            </w:r>
            <w:r>
              <w:rPr>
                <w:rFonts w:hint="eastAsia" w:hAnsi="宋体" w:cs="宋体"/>
                <w:color w:val="FF0000"/>
                <w:sz w:val="24"/>
                <w:u w:val="single"/>
              </w:rPr>
              <w:t xml:space="preserve"> </w:t>
            </w:r>
            <w:r>
              <w:rPr>
                <w:rFonts w:hint="eastAsia" w:hAnsi="宋体" w:cs="宋体"/>
                <w:kern w:val="28"/>
                <w:sz w:val="24"/>
                <w:szCs w:val="24"/>
                <w:u w:val="single"/>
              </w:rPr>
              <w:t>桐庐县迎春南路258号国资大厦5楼窗口</w:t>
            </w:r>
            <w:r>
              <w:rPr>
                <w:rFonts w:hint="eastAsia" w:hAnsi="宋体" w:cs="宋体"/>
                <w:kern w:val="28"/>
                <w:sz w:val="24"/>
                <w:szCs w:val="24"/>
              </w:rPr>
              <w:t>；备份投标文件签收人员联系电话：</w:t>
            </w:r>
            <w:r>
              <w:rPr>
                <w:rFonts w:hint="eastAsia" w:hAnsi="宋体" w:cs="宋体"/>
                <w:sz w:val="24"/>
                <w:u w:val="single"/>
              </w:rPr>
              <w:t xml:space="preserve"> 0571-64217659</w:t>
            </w:r>
            <w:r>
              <w:rPr>
                <w:rFonts w:hint="eastAsia" w:hAnsi="宋体" w:cs="宋体"/>
                <w:sz w:val="24"/>
                <w:szCs w:val="24"/>
              </w:rPr>
              <w:t>。</w:t>
            </w:r>
            <w:r>
              <w:rPr>
                <w:rFonts w:hint="eastAsia" w:hAnsi="宋体" w:cs="宋体"/>
                <w:b/>
                <w:sz w:val="24"/>
                <w:szCs w:val="24"/>
              </w:rPr>
              <w:t>采购人、</w:t>
            </w:r>
            <w:r>
              <w:rPr>
                <w:rFonts w:hint="eastAsia" w:hAnsi="宋体" w:cs="宋体"/>
                <w:b/>
                <w:sz w:val="24"/>
                <w:szCs w:val="24"/>
                <w:lang w:eastAsia="zh-CN"/>
              </w:rPr>
              <w:t>采购代理机构</w:t>
            </w:r>
            <w:r>
              <w:rPr>
                <w:rFonts w:hint="eastAsia" w:hAnsi="宋体" w:cs="宋体"/>
                <w:b/>
                <w:sz w:val="24"/>
                <w:szCs w:val="24"/>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cs="仿宋_GB2312" w:asciiTheme="minorEastAsia" w:hAnsiTheme="minorEastAsia" w:eastAsiaTheme="minorEastAsia"/>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tc>
        <w:tc>
          <w:tcPr>
            <w:tcW w:w="1843"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bl>
    <w:p>
      <w:pPr>
        <w:snapToGrid w:val="0"/>
        <w:spacing w:line="360" w:lineRule="auto"/>
        <w:jc w:val="center"/>
        <w:rPr>
          <w:rFonts w:ascii="宋体" w:hAnsi="宋体" w:cs="宋体"/>
          <w:b/>
          <w:sz w:val="32"/>
          <w:szCs w:val="20"/>
        </w:rPr>
      </w:pPr>
    </w:p>
    <w:bookmarkEnd w:id="8"/>
    <w:p>
      <w:pPr>
        <w:adjustRightInd/>
        <w:spacing w:line="360" w:lineRule="auto"/>
        <w:ind w:firstLine="3845" w:firstLineChars="1197"/>
        <w:outlineLvl w:val="0"/>
        <w:rPr>
          <w:rFonts w:ascii="宋体" w:hAnsi="宋体" w:cs="宋体"/>
          <w:b/>
          <w:sz w:val="32"/>
          <w:szCs w:val="20"/>
        </w:rPr>
      </w:pPr>
      <w:bookmarkStart w:id="10" w:name="_Toc164416483"/>
      <w:bookmarkStart w:id="11" w:name="第三部分"/>
      <w:r>
        <w:rPr>
          <w:rFonts w:hint="eastAsia" w:ascii="宋体" w:hAnsi="宋体" w:cs="宋体"/>
          <w:b/>
          <w:sz w:val="32"/>
          <w:szCs w:val="20"/>
        </w:rPr>
        <w:t>一、总则</w:t>
      </w:r>
    </w:p>
    <w:p>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sz w:val="24"/>
        </w:rPr>
      </w:pPr>
      <w:r>
        <w:rPr>
          <w:rFonts w:hint="eastAsia" w:ascii="宋体" w:hAnsi="宋体" w:cs="宋体"/>
          <w:b/>
          <w:sz w:val="24"/>
        </w:rPr>
        <w:t xml:space="preserve">   2.定义</w:t>
      </w:r>
    </w:p>
    <w:p>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pPr>
        <w:spacing w:line="360" w:lineRule="auto"/>
        <w:ind w:firstLine="480" w:firstLineChars="200"/>
        <w:rPr>
          <w:rFonts w:ascii="宋体" w:hAnsi="宋体" w:cs="宋体"/>
          <w:sz w:val="24"/>
        </w:rPr>
      </w:pPr>
      <w:r>
        <w:rPr>
          <w:rFonts w:hint="eastAsia" w:ascii="宋体" w:hAnsi="宋体" w:cs="宋体"/>
          <w:sz w:val="24"/>
        </w:rPr>
        <w:t>2.2 “</w:t>
      </w:r>
      <w:r>
        <w:rPr>
          <w:rFonts w:hint="eastAsia" w:ascii="宋体" w:hAnsi="宋体" w:cs="宋体"/>
          <w:sz w:val="24"/>
          <w:lang w:eastAsia="zh-CN"/>
        </w:rPr>
        <w:t>采购代理机构</w:t>
      </w:r>
      <w:r>
        <w:rPr>
          <w:rFonts w:hint="eastAsia" w:ascii="宋体" w:hAnsi="宋体" w:cs="宋体"/>
          <w:sz w:val="24"/>
        </w:rPr>
        <w:t>”系指招标公告中载明的本项目的</w:t>
      </w:r>
      <w:r>
        <w:rPr>
          <w:rFonts w:hint="eastAsia" w:ascii="宋体" w:hAnsi="宋体" w:cs="宋体"/>
          <w:sz w:val="24"/>
          <w:lang w:eastAsia="zh-CN"/>
        </w:rPr>
        <w:t>采购代理机构</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sz w:val="24"/>
        </w:rPr>
      </w:pPr>
      <w:r>
        <w:rPr>
          <w:rFonts w:hint="eastAsia" w:ascii="宋体" w:hAnsi="宋体" w:cs="宋体"/>
          <w:sz w:val="24"/>
        </w:rPr>
        <w:t>2.6“电子交易平台”</w:t>
      </w:r>
      <w:r>
        <w:rPr>
          <w:rFonts w:hint="eastAsia" w:ascii="宋体" w:hAnsi="宋体" w:cs="宋体"/>
          <w:sz w:val="24"/>
          <w:lang w:val="en-US" w:eastAsia="zh-CN"/>
        </w:rPr>
        <w:t>系</w:t>
      </w:r>
      <w:r>
        <w:rPr>
          <w:rFonts w:hint="eastAsia" w:ascii="宋体" w:hAnsi="宋体" w:cs="宋体"/>
          <w:sz w:val="24"/>
        </w:rPr>
        <w:t>指本项目政府采购活动所依托的政府采购云平台（https://www.zcygov.cn/）。</w:t>
      </w:r>
    </w:p>
    <w:p>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sz w:val="24"/>
          <w:lang w:eastAsia="zh-CN"/>
        </w:rPr>
        <w:t>采购代理机构</w:t>
      </w:r>
      <w:r>
        <w:rPr>
          <w:rFonts w:hint="eastAsia" w:ascii="宋体" w:hAnsi="宋体" w:cs="宋体"/>
          <w:sz w:val="24"/>
        </w:rPr>
        <w:t>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pPr>
        <w:spacing w:line="360" w:lineRule="auto"/>
        <w:ind w:firstLine="240" w:firstLineChars="100"/>
        <w:rPr>
          <w:rFonts w:ascii="宋体" w:hAnsi="宋体" w:cs="宋体"/>
          <w:sz w:val="24"/>
        </w:rPr>
      </w:pPr>
      <w:r>
        <w:rPr>
          <w:rFonts w:hint="eastAsia" w:ascii="宋体" w:hAnsi="宋体" w:cs="宋体"/>
          <w:sz w:val="24"/>
        </w:rPr>
        <w:t>3.2 支持绿色发展</w:t>
      </w:r>
    </w:p>
    <w:p>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2" w:name="_Hlk107568539"/>
      <w:r>
        <w:rPr>
          <w:rFonts w:hint="eastAsia" w:ascii="宋体" w:hAnsi="宋体" w:cs="宋体"/>
          <w:color w:val="000000" w:themeColor="text1"/>
          <w:sz w:val="24"/>
          <w14:textFill>
            <w14:solidFill>
              <w14:schemeClr w14:val="tx1"/>
            </w14:solidFill>
          </w14:textFill>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2"/>
    </w:p>
    <w:p>
      <w:pPr>
        <w:spacing w:line="360" w:lineRule="auto"/>
        <w:ind w:firstLine="240" w:firstLineChars="100"/>
        <w:rPr>
          <w:rFonts w:ascii="宋体" w:hAnsi="宋体" w:cs="宋体"/>
          <w:sz w:val="24"/>
        </w:rPr>
      </w:pPr>
      <w:r>
        <w:rPr>
          <w:rFonts w:hint="eastAsia" w:ascii="宋体" w:hAnsi="宋体" w:cs="宋体"/>
          <w:sz w:val="24"/>
        </w:rPr>
        <w:t>3.3支持中小企业发展</w:t>
      </w:r>
    </w:p>
    <w:p>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3.3.3对于未预留份额专门面向中小企业的政府采购货物项目，以及预留份额政府采购货物项目中的非预留部分标项，对小型和微型企业的投标报价给予10%-</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3" w:name="_Hlk101132181"/>
      <w:r>
        <w:rPr>
          <w:rFonts w:hint="eastAsia" w:ascii="宋体" w:hAnsi="宋体" w:cs="宋体"/>
          <w:sz w:val="24"/>
        </w:rPr>
        <w:t>联合协议或者分包意向协议约定小微企业的合同份额占到合同总金额30%以上的</w:t>
      </w:r>
      <w:bookmarkEnd w:id="13"/>
      <w:r>
        <w:rPr>
          <w:rFonts w:hint="eastAsia" w:ascii="宋体" w:hAnsi="宋体" w:cs="宋体"/>
          <w:sz w:val="24"/>
        </w:rPr>
        <w:t>，对联合体或者大中型企业的报价给予4%-</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ascii="宋体" w:hAnsi="宋体" w:cs="宋体"/>
          <w:sz w:val="24"/>
        </w:rPr>
      </w:pPr>
      <w:r>
        <w:rPr>
          <w:rFonts w:hint="eastAsia" w:ascii="宋体" w:hAnsi="宋体" w:cs="宋体"/>
          <w:sz w:val="24"/>
        </w:rPr>
        <w:t>3.5平等对待内外资企业和符合条件的破产重整企业</w:t>
      </w:r>
    </w:p>
    <w:p>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b/>
        </w:rPr>
        <w:t>4. 询问、质疑、投诉</w:t>
      </w:r>
    </w:p>
    <w:p>
      <w:pPr>
        <w:pStyle w:val="886"/>
        <w:shd w:val="clear" w:color="auto" w:fill="FFFFFF"/>
        <w:snapToGrid w:val="0"/>
        <w:spacing w:after="240" w:afterAutospacing="0" w:line="360" w:lineRule="auto"/>
        <w:ind w:firstLine="400"/>
        <w:contextualSpacing/>
        <w:rPr>
          <w:lang w:val="zh-CN"/>
        </w:rPr>
      </w:pPr>
      <w:r>
        <w:rPr>
          <w:rFonts w:hint="eastAsia"/>
          <w:lang w:val="zh-CN"/>
        </w:rPr>
        <w:t>4.1在线询问、质疑、投诉</w:t>
      </w:r>
    </w:p>
    <w:p>
      <w:pPr>
        <w:pStyle w:val="886"/>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w:t>
      </w:r>
      <w:r>
        <w:rPr>
          <w:rFonts w:hint="eastAsia" w:hAnsi="宋体" w:cs="宋体"/>
          <w:sz w:val="24"/>
          <w:lang w:eastAsia="zh-CN"/>
        </w:rPr>
        <w:t>采购代理机构</w:t>
      </w:r>
      <w:r>
        <w:rPr>
          <w:rFonts w:hint="eastAsia" w:hAnsi="宋体" w:cs="宋体"/>
          <w:sz w:val="24"/>
        </w:rPr>
        <w:t>提出质疑，否则，采购人或者</w:t>
      </w:r>
      <w:r>
        <w:rPr>
          <w:rFonts w:hint="eastAsia" w:hAnsi="宋体" w:cs="宋体"/>
          <w:sz w:val="24"/>
          <w:lang w:eastAsia="zh-CN"/>
        </w:rPr>
        <w:t>采购代理机构</w:t>
      </w:r>
      <w:r>
        <w:rPr>
          <w:rFonts w:hint="eastAsia" w:hAnsi="宋体" w:cs="宋体"/>
          <w:sz w:val="24"/>
        </w:rPr>
        <w:t>不予受理：</w:t>
      </w:r>
    </w:p>
    <w:p>
      <w:pPr>
        <w:pStyle w:val="7"/>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pPr>
        <w:pStyle w:val="33"/>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pPr>
        <w:pStyle w:val="33"/>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pPr>
        <w:pStyle w:val="886"/>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pPr>
      <w:r>
        <w:rPr>
          <w:rFonts w:hint="eastAsia"/>
        </w:rPr>
        <w:t>质疑函范本及制作说明详见附件2。</w:t>
      </w:r>
    </w:p>
    <w:p>
      <w:pPr>
        <w:pStyle w:val="886"/>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pPr>
        <w:pStyle w:val="886"/>
        <w:shd w:val="clear" w:color="auto" w:fill="FFFFFF"/>
        <w:snapToGrid w:val="0"/>
        <w:spacing w:after="240" w:afterAutospacing="0" w:line="360" w:lineRule="auto"/>
        <w:ind w:firstLine="400"/>
        <w:contextualSpacing/>
      </w:pPr>
      <w:r>
        <w:rPr>
          <w:rFonts w:hint="eastAsia"/>
          <w:lang w:val="zh-CN"/>
        </w:rPr>
        <w:t>4.3</w:t>
      </w:r>
      <w:r>
        <w:rPr>
          <w:rFonts w:hint="eastAsia"/>
        </w:rPr>
        <w:t>.5采购人或者</w:t>
      </w:r>
      <w:r>
        <w:rPr>
          <w:rFonts w:hint="eastAsia"/>
          <w:lang w:eastAsia="zh-CN"/>
        </w:rPr>
        <w:t>采购代理机构</w:t>
      </w:r>
      <w:r>
        <w:rPr>
          <w:rFonts w:hint="eastAsia"/>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lang w:eastAsia="zh-CN"/>
        </w:rPr>
        <w:t>采购代理机构</w:t>
      </w:r>
      <w:r>
        <w:rPr>
          <w:rFonts w:hint="eastAsia"/>
        </w:rPr>
        <w:t>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pPr>
        <w:pStyle w:val="886"/>
        <w:shd w:val="clear" w:color="auto" w:fill="FFFFFF"/>
        <w:snapToGrid w:val="0"/>
        <w:spacing w:after="240" w:afterAutospacing="0" w:line="360" w:lineRule="auto"/>
        <w:ind w:firstLine="400"/>
        <w:contextualSpacing/>
      </w:pPr>
      <w:r>
        <w:rPr>
          <w:rFonts w:hint="eastAsia"/>
        </w:rPr>
        <w:t>4.4.1质疑供应商对采购人、</w:t>
      </w:r>
      <w:r>
        <w:rPr>
          <w:rFonts w:hint="eastAsia"/>
          <w:lang w:eastAsia="zh-CN"/>
        </w:rPr>
        <w:t>采购代理机构</w:t>
      </w:r>
      <w:r>
        <w:rPr>
          <w:rFonts w:hint="eastAsia"/>
        </w:rPr>
        <w:t>的答复不满意或者采购人、</w:t>
      </w:r>
      <w:r>
        <w:rPr>
          <w:rFonts w:hint="eastAsia"/>
          <w:lang w:eastAsia="zh-CN"/>
        </w:rPr>
        <w:t>采购代理机构</w:t>
      </w:r>
      <w:r>
        <w:rPr>
          <w:rFonts w:hint="eastAsia"/>
        </w:rPr>
        <w:t>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pPr>
      <w:r>
        <w:rPr>
          <w:rFonts w:hint="eastAsia"/>
        </w:rPr>
        <w:t>4.4.3供应商投诉应当有明确的请求和必要的证明材料。</w:t>
      </w:r>
    </w:p>
    <w:p>
      <w:pPr>
        <w:pStyle w:val="886"/>
        <w:shd w:val="clear" w:color="auto" w:fill="FFFFFF"/>
        <w:snapToGrid w:val="0"/>
        <w:spacing w:after="240" w:afterAutospacing="0" w:line="360" w:lineRule="auto"/>
        <w:ind w:firstLine="400"/>
        <w:contextualSpacing/>
      </w:pPr>
      <w:r>
        <w:rPr>
          <w:rFonts w:hint="eastAsia"/>
        </w:rPr>
        <w:t>4.4.4 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pPr>
      <w:r>
        <w:rPr>
          <w:rFonts w:hint="eastAsia"/>
        </w:rPr>
        <w:t>投诉书范本及制作说明详见附件3。</w:t>
      </w:r>
    </w:p>
    <w:p>
      <w:pPr>
        <w:pStyle w:val="128"/>
        <w:snapToGrid w:val="0"/>
        <w:spacing w:before="0"/>
        <w:ind w:firstLine="360"/>
        <w:rPr>
          <w:rFonts w:ascii="宋体" w:hAnsi="宋体" w:cs="宋体"/>
          <w:sz w:val="18"/>
          <w:szCs w:val="18"/>
        </w:rPr>
      </w:pPr>
    </w:p>
    <w:p>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pPr>
        <w:pStyle w:val="33"/>
        <w:spacing w:line="360" w:lineRule="auto"/>
        <w:rPr>
          <w:rFonts w:hAnsi="宋体" w:cs="宋体"/>
          <w:b/>
          <w:sz w:val="24"/>
          <w:szCs w:val="24"/>
        </w:rPr>
      </w:pPr>
      <w:r>
        <w:rPr>
          <w:rFonts w:hint="eastAsia" w:hAnsi="宋体" w:cs="宋体"/>
          <w:b/>
          <w:sz w:val="24"/>
          <w:szCs w:val="24"/>
        </w:rPr>
        <w:t>5．招标文件的构成</w:t>
      </w:r>
    </w:p>
    <w:p>
      <w:pPr>
        <w:pStyle w:val="33"/>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pPr>
        <w:pStyle w:val="33"/>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pPr>
        <w:pStyle w:val="33"/>
        <w:spacing w:line="360" w:lineRule="auto"/>
        <w:rPr>
          <w:rFonts w:hAnsi="宋体" w:cs="宋体"/>
          <w:b/>
          <w:sz w:val="24"/>
          <w:szCs w:val="24"/>
        </w:rPr>
      </w:pPr>
      <w:r>
        <w:rPr>
          <w:rFonts w:hint="eastAsia" w:hAnsi="宋体" w:cs="宋体"/>
          <w:b/>
          <w:sz w:val="24"/>
          <w:szCs w:val="24"/>
        </w:rPr>
        <w:t>6. 招标文件的澄清、修改</w:t>
      </w:r>
    </w:p>
    <w:p>
      <w:pPr>
        <w:pStyle w:val="128"/>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w:t>
      </w:r>
      <w:r>
        <w:rPr>
          <w:rFonts w:hint="eastAsia" w:ascii="宋体" w:hAnsi="宋体" w:cs="宋体"/>
          <w:lang w:eastAsia="zh-CN"/>
        </w:rPr>
        <w:t>采购代理机构</w:t>
      </w:r>
      <w:r>
        <w:rPr>
          <w:rFonts w:hint="eastAsia" w:ascii="宋体" w:hAnsi="宋体" w:cs="宋体"/>
        </w:rPr>
        <w:t>提出。</w:t>
      </w:r>
    </w:p>
    <w:p>
      <w:pPr>
        <w:pStyle w:val="128"/>
        <w:snapToGrid w:val="0"/>
        <w:spacing w:before="0"/>
        <w:ind w:firstLine="480"/>
        <w:rPr>
          <w:rFonts w:ascii="宋体" w:hAnsi="宋体" w:cs="宋体"/>
        </w:rPr>
      </w:pPr>
      <w:r>
        <w:rPr>
          <w:rFonts w:hint="eastAsia" w:ascii="宋体" w:hAnsi="宋体" w:cs="宋体"/>
        </w:rPr>
        <w:t xml:space="preserve">6.2 </w:t>
      </w:r>
      <w:r>
        <w:rPr>
          <w:rFonts w:hint="eastAsia" w:ascii="宋体" w:hAnsi="宋体" w:cs="宋体"/>
          <w:lang w:eastAsia="zh-CN"/>
        </w:rPr>
        <w:t>采购代理机构</w:t>
      </w:r>
      <w:r>
        <w:rPr>
          <w:rFonts w:hint="eastAsia" w:ascii="宋体" w:hAnsi="宋体" w:cs="宋体"/>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5"/>
        <w:rPr>
          <w:rFonts w:hAnsi="宋体" w:cs="宋体"/>
          <w:sz w:val="18"/>
          <w:szCs w:val="18"/>
          <w:lang w:val="en-US"/>
        </w:rPr>
      </w:pPr>
      <w:r>
        <w:rPr>
          <w:rFonts w:hint="eastAsia" w:hAnsi="宋体" w:cs="宋体"/>
          <w:szCs w:val="24"/>
          <w:lang w:val="en-US"/>
        </w:rPr>
        <w:t xml:space="preserve">    </w:t>
      </w:r>
    </w:p>
    <w:p>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pPr>
        <w:pStyle w:val="33"/>
        <w:spacing w:line="360" w:lineRule="auto"/>
        <w:rPr>
          <w:rFonts w:hAnsi="宋体" w:cs="宋体"/>
          <w:b/>
          <w:sz w:val="24"/>
          <w:szCs w:val="24"/>
        </w:rPr>
      </w:pPr>
      <w:r>
        <w:rPr>
          <w:rFonts w:hint="eastAsia" w:hAnsi="宋体" w:cs="宋体"/>
          <w:b/>
          <w:sz w:val="24"/>
          <w:szCs w:val="24"/>
        </w:rPr>
        <w:t>7. 招标文件的获取</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pPr>
        <w:pStyle w:val="33"/>
        <w:spacing w:line="360" w:lineRule="auto"/>
        <w:rPr>
          <w:rFonts w:hAnsi="宋体" w:cs="宋体"/>
          <w:b/>
          <w:sz w:val="24"/>
          <w:szCs w:val="24"/>
        </w:rPr>
      </w:pPr>
      <w:r>
        <w:rPr>
          <w:rFonts w:hint="eastAsia" w:hAnsi="宋体" w:cs="宋体"/>
          <w:b/>
          <w:sz w:val="24"/>
          <w:szCs w:val="24"/>
        </w:rPr>
        <w:t>8.开标前答疑会或现场考察</w:t>
      </w:r>
    </w:p>
    <w:p>
      <w:pPr>
        <w:pStyle w:val="33"/>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pPr>
        <w:pStyle w:val="33"/>
        <w:spacing w:line="360" w:lineRule="auto"/>
        <w:rPr>
          <w:rFonts w:hAnsi="宋体" w:cs="宋体"/>
          <w:b/>
          <w:szCs w:val="24"/>
        </w:rPr>
      </w:pPr>
      <w:r>
        <w:rPr>
          <w:rFonts w:hint="eastAsia" w:hAnsi="宋体" w:cs="宋体"/>
          <w:b/>
          <w:kern w:val="28"/>
          <w:sz w:val="24"/>
          <w:szCs w:val="24"/>
        </w:rPr>
        <w:t>9.投标保证金</w:t>
      </w:r>
    </w:p>
    <w:p>
      <w:pPr>
        <w:pStyle w:val="7"/>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pPr>
        <w:pStyle w:val="33"/>
        <w:spacing w:line="360" w:lineRule="auto"/>
        <w:rPr>
          <w:rFonts w:hAnsi="宋体" w:cs="宋体"/>
          <w:b/>
          <w:sz w:val="24"/>
          <w:szCs w:val="24"/>
        </w:rPr>
      </w:pPr>
      <w:r>
        <w:rPr>
          <w:rFonts w:hint="eastAsia" w:hAnsi="宋体" w:cs="宋体"/>
          <w:b/>
          <w:sz w:val="24"/>
          <w:szCs w:val="24"/>
        </w:rPr>
        <w:t>10. 投标文件的语言</w:t>
      </w:r>
    </w:p>
    <w:p>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pPr>
        <w:pStyle w:val="33"/>
        <w:spacing w:line="360" w:lineRule="auto"/>
        <w:rPr>
          <w:rFonts w:hAnsi="宋体" w:cs="宋体"/>
          <w:b/>
          <w:sz w:val="24"/>
          <w:szCs w:val="24"/>
        </w:rPr>
      </w:pPr>
      <w:r>
        <w:rPr>
          <w:rFonts w:hint="eastAsia" w:hAnsi="宋体" w:cs="宋体"/>
          <w:b/>
          <w:sz w:val="24"/>
          <w:szCs w:val="24"/>
        </w:rPr>
        <w:t>11. 投标文件的组成</w:t>
      </w:r>
    </w:p>
    <w:p>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bookmarkStart w:id="14" w:name="_Hlk101259339"/>
      <w:r>
        <w:rPr>
          <w:rFonts w:hint="eastAsia" w:ascii="宋体" w:hAnsi="宋体" w:cs="宋体"/>
          <w:snapToGrid w:val="0"/>
          <w:kern w:val="28"/>
          <w:sz w:val="24"/>
          <w:szCs w:val="20"/>
        </w:rPr>
        <w:t>联合协议</w:t>
      </w:r>
      <w:bookmarkEnd w:id="14"/>
      <w:r>
        <w:rPr>
          <w:rFonts w:hint="eastAsia" w:ascii="宋体" w:hAnsi="宋体" w:cs="宋体"/>
          <w:snapToGrid w:val="0"/>
          <w:color w:val="FF0000"/>
          <w:kern w:val="28"/>
          <w:sz w:val="24"/>
          <w:szCs w:val="20"/>
        </w:rPr>
        <w:t>（如果有)</w:t>
      </w:r>
      <w:r>
        <w:rPr>
          <w:rFonts w:hint="eastAsia" w:ascii="宋体" w:hAnsi="宋体" w:cs="宋体"/>
          <w:snapToGrid w:val="0"/>
          <w:kern w:val="28"/>
          <w:sz w:val="24"/>
          <w:szCs w:val="20"/>
        </w:rPr>
        <w:t>；</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pPr>
        <w:snapToGrid w:val="0"/>
        <w:spacing w:line="360" w:lineRule="auto"/>
        <w:ind w:firstLine="960" w:firstLineChars="400"/>
        <w:rPr>
          <w:rFonts w:ascii="宋体" w:hAnsi="宋体" w:cs="宋体"/>
          <w:color w:val="FF0000"/>
          <w:sz w:val="24"/>
        </w:rPr>
      </w:pPr>
      <w:r>
        <w:rPr>
          <w:rFonts w:hint="eastAsia" w:ascii="宋体" w:hAnsi="宋体" w:cs="宋体"/>
          <w:color w:val="FF0000"/>
          <w:sz w:val="24"/>
        </w:rPr>
        <w:t>11.3.2中小企业声明函。</w:t>
      </w:r>
    </w:p>
    <w:p>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pPr>
        <w:pStyle w:val="128"/>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sz w:val="24"/>
        </w:rPr>
      </w:pPr>
      <w:r>
        <w:rPr>
          <w:rFonts w:hint="eastAsia" w:ascii="宋体" w:hAnsi="宋体" w:cs="宋体"/>
          <w:b/>
          <w:sz w:val="24"/>
        </w:rPr>
        <w:t>13.投标文件的签署、盖章</w:t>
      </w:r>
    </w:p>
    <w:p>
      <w:pPr>
        <w:pStyle w:val="128"/>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pPr>
        <w:pStyle w:val="128"/>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pPr>
        <w:pStyle w:val="128"/>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pPr>
        <w:pStyle w:val="128"/>
        <w:spacing w:before="0"/>
        <w:ind w:firstLine="0" w:firstLineChars="0"/>
        <w:rPr>
          <w:rFonts w:ascii="宋体" w:hAnsi="宋体" w:cs="宋体"/>
          <w:b/>
          <w:szCs w:val="24"/>
        </w:rPr>
      </w:pPr>
      <w:r>
        <w:rPr>
          <w:rFonts w:hint="eastAsia" w:ascii="宋体" w:hAnsi="宋体" w:cs="宋体"/>
          <w:b/>
          <w:szCs w:val="24"/>
        </w:rPr>
        <w:t>14. 投标文件的提交、补充、修改、撤回</w:t>
      </w:r>
    </w:p>
    <w:p>
      <w:pPr>
        <w:pStyle w:val="128"/>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8"/>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8"/>
        <w:spacing w:before="0"/>
        <w:ind w:firstLine="480"/>
        <w:rPr>
          <w:rFonts w:ascii="宋体" w:hAnsi="宋体" w:cs="宋体"/>
          <w:szCs w:val="24"/>
        </w:rPr>
      </w:pPr>
      <w:r>
        <w:rPr>
          <w:rFonts w:hint="eastAsia" w:ascii="宋体" w:hAnsi="宋体" w:cs="宋体"/>
          <w:szCs w:val="24"/>
        </w:rPr>
        <w:t>14.3采购人、</w:t>
      </w:r>
      <w:r>
        <w:rPr>
          <w:rFonts w:hint="eastAsia" w:ascii="宋体" w:hAnsi="宋体" w:cs="宋体"/>
          <w:szCs w:val="24"/>
          <w:lang w:eastAsia="zh-CN"/>
        </w:rPr>
        <w:t>采购代理机构</w:t>
      </w:r>
      <w:r>
        <w:rPr>
          <w:rFonts w:hint="eastAsia" w:ascii="宋体" w:hAnsi="宋体" w:cs="宋体"/>
          <w:szCs w:val="24"/>
        </w:rPr>
        <w:t>可以视情况延长投标文件提交的截止时间。在上述情况下，</w:t>
      </w:r>
      <w:r>
        <w:rPr>
          <w:rFonts w:hint="eastAsia" w:ascii="宋体" w:hAnsi="宋体" w:cs="宋体"/>
          <w:szCs w:val="24"/>
          <w:lang w:eastAsia="zh-CN"/>
        </w:rPr>
        <w:t>采购代理机构</w:t>
      </w:r>
      <w:r>
        <w:rPr>
          <w:rFonts w:hint="eastAsia" w:ascii="宋体" w:hAnsi="宋体" w:cs="宋体"/>
          <w:szCs w:val="24"/>
        </w:rPr>
        <w:t>与投标人以前在投标截止期方面的全部权利、责任和义务，将适用于延长至新的投标截止期。</w:t>
      </w:r>
    </w:p>
    <w:p>
      <w:pPr>
        <w:pStyle w:val="33"/>
        <w:spacing w:line="360" w:lineRule="auto"/>
        <w:rPr>
          <w:rFonts w:hAnsi="宋体" w:cs="宋体"/>
          <w:b/>
          <w:sz w:val="24"/>
          <w:szCs w:val="24"/>
        </w:rPr>
      </w:pPr>
      <w:r>
        <w:rPr>
          <w:rFonts w:hint="eastAsia" w:hAnsi="宋体" w:cs="宋体"/>
          <w:b/>
          <w:sz w:val="24"/>
          <w:szCs w:val="24"/>
        </w:rPr>
        <w:t>15.备份投标文件</w:t>
      </w:r>
    </w:p>
    <w:p>
      <w:pPr>
        <w:pStyle w:val="33"/>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w:t>
      </w:r>
      <w:r>
        <w:rPr>
          <w:rFonts w:hint="eastAsia" w:hAnsi="宋体" w:cs="宋体"/>
          <w:b/>
          <w:sz w:val="24"/>
          <w:szCs w:val="24"/>
          <w:lang w:eastAsia="zh-CN"/>
        </w:rPr>
        <w:t>采购代理机构</w:t>
      </w:r>
      <w:r>
        <w:rPr>
          <w:rFonts w:hint="eastAsia" w:hAnsi="宋体" w:cs="宋体"/>
          <w:b/>
          <w:sz w:val="24"/>
          <w:szCs w:val="24"/>
        </w:rPr>
        <w:t>不强制或变相强制投标人提交备份投标文件。</w:t>
      </w:r>
    </w:p>
    <w:p>
      <w:pPr>
        <w:pStyle w:val="33"/>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w:t>
      </w:r>
      <w:r>
        <w:rPr>
          <w:rFonts w:hint="eastAsia" w:hAnsi="宋体" w:cs="宋体"/>
          <w:sz w:val="24"/>
          <w:lang w:val="en-US" w:eastAsia="zh-CN"/>
        </w:rPr>
        <w:t>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pPr>
        <w:pStyle w:val="33"/>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w:t>
      </w:r>
      <w:r>
        <w:rPr>
          <w:rFonts w:hint="eastAsia" w:hAnsi="宋体" w:cs="宋体"/>
          <w:sz w:val="24"/>
          <w:szCs w:val="24"/>
          <w:lang w:eastAsia="zh-CN"/>
        </w:rPr>
        <w:t>采购代理机构</w:t>
      </w:r>
      <w:r>
        <w:rPr>
          <w:rFonts w:hint="eastAsia" w:hAnsi="宋体" w:cs="宋体"/>
          <w:sz w:val="24"/>
          <w:szCs w:val="24"/>
        </w:rPr>
        <w:t>，</w:t>
      </w:r>
      <w:r>
        <w:rPr>
          <w:rFonts w:hint="eastAsia" w:hAnsi="宋体" w:cs="宋体"/>
          <w:sz w:val="24"/>
          <w:szCs w:val="24"/>
          <w:lang w:eastAsia="zh-CN"/>
        </w:rPr>
        <w:t>采购代理机构</w:t>
      </w:r>
      <w:r>
        <w:rPr>
          <w:rFonts w:hint="eastAsia" w:hAnsi="宋体" w:cs="宋体"/>
          <w:sz w:val="24"/>
          <w:szCs w:val="24"/>
        </w:rPr>
        <w:t>将拒绝接受逾期送达的备份投标文件。</w:t>
      </w:r>
    </w:p>
    <w:p>
      <w:pPr>
        <w:pStyle w:val="33"/>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w:t>
      </w:r>
      <w:r>
        <w:rPr>
          <w:rFonts w:hint="eastAsia" w:hAnsi="宋体" w:cs="宋体"/>
          <w:sz w:val="24"/>
          <w:szCs w:val="24"/>
          <w:lang w:eastAsia="zh-CN"/>
        </w:rPr>
        <w:t>采购代理机构</w:t>
      </w:r>
      <w:r>
        <w:rPr>
          <w:rFonts w:hint="eastAsia" w:hAnsi="宋体" w:cs="宋体"/>
          <w:sz w:val="24"/>
          <w:szCs w:val="24"/>
        </w:rPr>
        <w:t>将拒绝接受逾期送达的备份投标文件。邮寄过程中，电子备份投标文件发生泄露、遗失、损坏或延期送达等情况的，由投标人自行负责。</w:t>
      </w:r>
    </w:p>
    <w:p>
      <w:pPr>
        <w:pStyle w:val="33"/>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pPr>
        <w:pStyle w:val="128"/>
        <w:spacing w:before="0"/>
        <w:ind w:firstLine="0" w:firstLineChars="0"/>
        <w:rPr>
          <w:rFonts w:ascii="宋体" w:hAnsi="宋体" w:cs="宋体"/>
          <w:b/>
          <w:szCs w:val="24"/>
        </w:rPr>
      </w:pPr>
      <w:r>
        <w:rPr>
          <w:rFonts w:hint="eastAsia" w:ascii="宋体" w:hAnsi="宋体" w:cs="宋体"/>
          <w:b/>
          <w:szCs w:val="24"/>
        </w:rPr>
        <w:t>16.投标文件的无效处理</w:t>
      </w:r>
    </w:p>
    <w:p>
      <w:pPr>
        <w:pStyle w:val="3"/>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pPr>
        <w:pStyle w:val="128"/>
        <w:spacing w:before="0"/>
        <w:ind w:firstLine="0" w:firstLineChars="0"/>
        <w:rPr>
          <w:rFonts w:ascii="宋体" w:hAnsi="宋体" w:cs="宋体"/>
          <w:b/>
          <w:szCs w:val="24"/>
        </w:rPr>
      </w:pPr>
      <w:r>
        <w:rPr>
          <w:rFonts w:hint="eastAsia" w:ascii="宋体" w:hAnsi="宋体" w:cs="宋体"/>
          <w:b/>
          <w:szCs w:val="24"/>
        </w:rPr>
        <w:t>17.投标有效期</w:t>
      </w:r>
    </w:p>
    <w:p>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pPr>
        <w:pStyle w:val="128"/>
        <w:spacing w:before="0"/>
        <w:ind w:firstLine="480"/>
        <w:rPr>
          <w:rFonts w:ascii="宋体" w:hAnsi="宋体" w:cs="宋体"/>
        </w:rPr>
      </w:pPr>
      <w:r>
        <w:rPr>
          <w:rFonts w:hint="eastAsia" w:ascii="宋体" w:hAnsi="宋体" w:cs="宋体"/>
        </w:rPr>
        <w:t>17.2投标文件合格投递后，自投标截止日期起，在投标有效期内有效。</w:t>
      </w:r>
    </w:p>
    <w:p>
      <w:pPr>
        <w:pStyle w:val="128"/>
        <w:spacing w:before="0"/>
        <w:ind w:firstLine="480"/>
        <w:rPr>
          <w:rFonts w:ascii="宋体" w:hAnsi="宋体" w:cs="宋体"/>
        </w:rPr>
      </w:pPr>
      <w:r>
        <w:rPr>
          <w:rFonts w:hint="eastAsia" w:ascii="宋体" w:hAnsi="宋体" w:cs="宋体"/>
        </w:rPr>
        <w:t>17.3在原定投标有效期满之前，如果出现特殊情况，</w:t>
      </w:r>
      <w:r>
        <w:rPr>
          <w:rFonts w:hint="eastAsia" w:ascii="宋体" w:hAnsi="宋体" w:cs="宋体"/>
          <w:lang w:eastAsia="zh-CN"/>
        </w:rPr>
        <w:t>采购代理机构</w:t>
      </w:r>
      <w:r>
        <w:rPr>
          <w:rFonts w:hint="eastAsia" w:ascii="宋体" w:hAnsi="宋体" w:cs="宋体"/>
        </w:rPr>
        <w:t>可以以书面形式通知投标人延长投标有效期。投标人同意延长的，不得要求或被允许修改其投标文件，投标人拒绝延长的，其投标无效。</w:t>
      </w:r>
    </w:p>
    <w:p>
      <w:pPr>
        <w:pStyle w:val="128"/>
        <w:spacing w:before="0"/>
        <w:ind w:firstLine="643"/>
        <w:rPr>
          <w:rFonts w:ascii="宋体" w:hAnsi="宋体" w:cs="宋体"/>
          <w:b/>
          <w:sz w:val="32"/>
        </w:rPr>
      </w:pPr>
    </w:p>
    <w:p>
      <w:pPr>
        <w:pStyle w:val="128"/>
        <w:spacing w:before="0"/>
        <w:ind w:firstLine="1928" w:firstLineChars="600"/>
        <w:rPr>
          <w:rFonts w:ascii="宋体" w:hAnsi="宋体" w:cs="宋体"/>
          <w:b/>
          <w:sz w:val="32"/>
        </w:rPr>
      </w:pPr>
      <w:r>
        <w:rPr>
          <w:rFonts w:hint="eastAsia" w:ascii="宋体" w:hAnsi="宋体" w:cs="宋体"/>
          <w:b/>
          <w:sz w:val="32"/>
        </w:rPr>
        <w:t>四、开标、资格审查与信用信息查询</w:t>
      </w:r>
    </w:p>
    <w:p>
      <w:pPr>
        <w:pStyle w:val="554"/>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pPr>
        <w:pStyle w:val="554"/>
        <w:spacing w:before="0" w:line="360" w:lineRule="auto"/>
        <w:ind w:left="0" w:firstLine="480" w:firstLineChars="200"/>
        <w:contextualSpacing/>
        <w:rPr>
          <w:rFonts w:ascii="宋体" w:hAnsi="宋体" w:cs="宋体"/>
          <w:sz w:val="24"/>
        </w:rPr>
      </w:pPr>
      <w:r>
        <w:rPr>
          <w:rFonts w:hint="eastAsia" w:ascii="宋体" w:hAnsi="宋体" w:cs="宋体"/>
          <w:sz w:val="24"/>
        </w:rPr>
        <w:t>18.1</w:t>
      </w:r>
      <w:r>
        <w:rPr>
          <w:rFonts w:hint="eastAsia" w:ascii="宋体" w:hAnsi="宋体" w:cs="宋体"/>
          <w:sz w:val="24"/>
          <w:lang w:eastAsia="zh-CN"/>
        </w:rPr>
        <w:t>采购代理机构</w:t>
      </w:r>
      <w:r>
        <w:rPr>
          <w:rFonts w:hint="eastAsia" w:ascii="宋体" w:hAnsi="宋体" w:cs="宋体"/>
          <w:sz w:val="24"/>
        </w:rPr>
        <w:t>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w:t>
      </w:r>
      <w:r>
        <w:rPr>
          <w:rFonts w:hint="eastAsia" w:ascii="宋体" w:hAnsi="宋体" w:cs="宋体"/>
          <w:sz w:val="24"/>
          <w:lang w:eastAsia="zh-CN"/>
        </w:rPr>
        <w:t>采购代理机构</w:t>
      </w:r>
      <w:r>
        <w:rPr>
          <w:rFonts w:hint="eastAsia" w:ascii="宋体" w:hAnsi="宋体" w:cs="宋体"/>
          <w:sz w:val="24"/>
        </w:rPr>
        <w:t>依托电子交易平台发起开始解密指令，投标人按照平台提示和招标文件的规定在半小时内完成在线解密。</w:t>
      </w:r>
    </w:p>
    <w:p>
      <w:pPr>
        <w:pStyle w:val="554"/>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pPr>
        <w:snapToGrid w:val="0"/>
        <w:spacing w:line="360" w:lineRule="auto"/>
        <w:ind w:firstLine="480" w:firstLineChars="200"/>
        <w:rPr>
          <w:rFonts w:ascii="宋体" w:hAnsi="宋体" w:cs="宋体"/>
          <w:sz w:val="24"/>
        </w:rPr>
      </w:pPr>
      <w:r>
        <w:rPr>
          <w:rFonts w:hint="eastAsia" w:ascii="宋体" w:hAnsi="宋体" w:cs="宋体"/>
          <w:kern w:val="0"/>
          <w:sz w:val="24"/>
        </w:rPr>
        <w:t>19.</w:t>
      </w:r>
      <w:r>
        <w:rPr>
          <w:rFonts w:hint="eastAsia" w:ascii="宋体" w:hAnsi="宋体" w:cs="宋体"/>
          <w:kern w:val="0"/>
          <w:sz w:val="24"/>
          <w:lang w:val="en-US" w:eastAsia="zh-CN"/>
        </w:rPr>
        <w:t>1</w:t>
      </w:r>
      <w:r>
        <w:rPr>
          <w:rFonts w:hint="eastAsia" w:ascii="宋体" w:hAnsi="宋体" w:cs="宋体"/>
          <w:sz w:val="24"/>
        </w:rPr>
        <w:t>采购人或</w:t>
      </w:r>
      <w:r>
        <w:rPr>
          <w:rFonts w:hint="eastAsia" w:ascii="宋体" w:hAnsi="宋体" w:cs="宋体"/>
          <w:sz w:val="24"/>
          <w:lang w:eastAsia="zh-CN"/>
        </w:rPr>
        <w:t>采购代理机构</w:t>
      </w:r>
      <w:r>
        <w:rPr>
          <w:rFonts w:hint="eastAsia" w:ascii="宋体" w:hAnsi="宋体" w:cs="宋体"/>
          <w:sz w:val="24"/>
        </w:rPr>
        <w:t>依据法律法规和招标文件的规定，对投标人的资格进行审查。</w:t>
      </w:r>
    </w:p>
    <w:p>
      <w:pPr>
        <w:pStyle w:val="128"/>
        <w:spacing w:before="0"/>
        <w:ind w:firstLine="480"/>
        <w:rPr>
          <w:rFonts w:ascii="宋体" w:hAnsi="宋体" w:cs="宋体"/>
        </w:rPr>
      </w:pPr>
      <w:r>
        <w:rPr>
          <w:rFonts w:hint="eastAsia" w:ascii="宋体" w:hAnsi="宋体" w:cs="宋体"/>
          <w:kern w:val="0"/>
          <w:szCs w:val="24"/>
        </w:rPr>
        <w:t>19.</w:t>
      </w:r>
      <w:r>
        <w:rPr>
          <w:rFonts w:hint="eastAsia" w:ascii="宋体" w:hAnsi="宋体" w:cs="宋体"/>
          <w:kern w:val="0"/>
          <w:szCs w:val="24"/>
          <w:lang w:val="en-US" w:eastAsia="zh-CN"/>
        </w:rPr>
        <w:t>2</w:t>
      </w:r>
      <w:r>
        <w:rPr>
          <w:rFonts w:hint="eastAsia" w:ascii="宋体" w:hAnsi="宋体" w:cs="宋体"/>
          <w:kern w:val="0"/>
          <w:szCs w:val="24"/>
        </w:rPr>
        <w:t>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pPr>
        <w:pStyle w:val="128"/>
        <w:spacing w:before="0"/>
        <w:ind w:firstLine="480"/>
        <w:rPr>
          <w:rFonts w:ascii="宋体" w:hAnsi="宋体" w:cs="宋体"/>
        </w:rPr>
      </w:pPr>
      <w:r>
        <w:rPr>
          <w:rFonts w:hint="eastAsia" w:ascii="宋体" w:hAnsi="宋体" w:cs="宋体"/>
          <w:kern w:val="0"/>
          <w:szCs w:val="24"/>
        </w:rPr>
        <w:t>19.</w:t>
      </w:r>
      <w:r>
        <w:rPr>
          <w:rFonts w:hint="eastAsia" w:ascii="宋体" w:hAnsi="宋体" w:cs="宋体"/>
          <w:lang w:val="en-US" w:eastAsia="zh-CN"/>
        </w:rPr>
        <w:t>3</w:t>
      </w:r>
      <w:r>
        <w:rPr>
          <w:rFonts w:hint="eastAsia" w:ascii="宋体" w:hAnsi="宋体" w:cs="宋体"/>
        </w:rPr>
        <w:t>对未通过资格审查的投标人，采购人或</w:t>
      </w:r>
      <w:r>
        <w:rPr>
          <w:rFonts w:hint="eastAsia" w:ascii="宋体" w:hAnsi="宋体" w:cs="宋体"/>
          <w:lang w:eastAsia="zh-CN"/>
        </w:rPr>
        <w:t>采购代理机构</w:t>
      </w:r>
      <w:r>
        <w:rPr>
          <w:rFonts w:hint="eastAsia" w:ascii="宋体" w:hAnsi="宋体" w:cs="宋体"/>
        </w:rPr>
        <w:t>告知其未通过的原因。</w:t>
      </w:r>
    </w:p>
    <w:p>
      <w:pPr>
        <w:pStyle w:val="128"/>
        <w:spacing w:before="0"/>
        <w:ind w:firstLine="480"/>
        <w:rPr>
          <w:rFonts w:ascii="宋体" w:hAnsi="宋体" w:cs="宋体"/>
        </w:rPr>
      </w:pPr>
      <w:r>
        <w:rPr>
          <w:rFonts w:hint="eastAsia" w:ascii="宋体" w:hAnsi="宋体" w:cs="宋体"/>
          <w:kern w:val="0"/>
          <w:szCs w:val="24"/>
        </w:rPr>
        <w:t>19.</w:t>
      </w:r>
      <w:r>
        <w:rPr>
          <w:rFonts w:hint="eastAsia" w:ascii="宋体" w:hAnsi="宋体" w:cs="宋体"/>
          <w:lang w:val="en-US" w:eastAsia="zh-CN"/>
        </w:rPr>
        <w:t>4</w:t>
      </w:r>
      <w:r>
        <w:rPr>
          <w:rFonts w:hint="eastAsia" w:ascii="宋体" w:hAnsi="宋体" w:cs="宋体"/>
        </w:rPr>
        <w:t>合格投标人不足3家的，不再评标。</w:t>
      </w:r>
    </w:p>
    <w:p>
      <w:pPr>
        <w:pStyle w:val="128"/>
        <w:spacing w:before="0"/>
        <w:ind w:firstLine="0" w:firstLineChars="0"/>
        <w:rPr>
          <w:rFonts w:ascii="宋体" w:hAnsi="宋体" w:cs="宋体"/>
          <w:b/>
          <w:szCs w:val="24"/>
        </w:rPr>
      </w:pPr>
      <w:r>
        <w:rPr>
          <w:rFonts w:hint="eastAsia" w:ascii="宋体" w:hAnsi="宋体" w:cs="宋体"/>
          <w:b/>
          <w:szCs w:val="24"/>
        </w:rPr>
        <w:t>20、信用信息查询</w:t>
      </w:r>
    </w:p>
    <w:p>
      <w:pPr>
        <w:pStyle w:val="128"/>
        <w:spacing w:before="0"/>
        <w:ind w:firstLine="495" w:firstLineChars="0"/>
        <w:rPr>
          <w:rFonts w:ascii="宋体" w:hAnsi="宋体" w:cs="宋体"/>
          <w:kern w:val="0"/>
          <w:szCs w:val="24"/>
        </w:rPr>
      </w:pPr>
      <w:r>
        <w:rPr>
          <w:rFonts w:hint="eastAsia" w:ascii="宋体" w:hAnsi="宋体" w:cs="宋体"/>
          <w:kern w:val="0"/>
          <w:szCs w:val="24"/>
        </w:rPr>
        <w:t>20.1信用信息查询渠道及截止时间：</w:t>
      </w:r>
      <w:r>
        <w:rPr>
          <w:rFonts w:hint="eastAsia" w:ascii="宋体" w:hAnsi="宋体" w:cs="宋体"/>
          <w:kern w:val="0"/>
          <w:szCs w:val="24"/>
          <w:lang w:eastAsia="zh-CN"/>
        </w:rPr>
        <w:t>采购代理机构</w:t>
      </w:r>
      <w:r>
        <w:rPr>
          <w:rFonts w:hint="eastAsia" w:ascii="宋体" w:hAnsi="宋体" w:cs="宋体"/>
          <w:kern w:val="0"/>
          <w:szCs w:val="24"/>
        </w:rPr>
        <w:t>将在资格审查时通过“信用中国”网站(www.creditchina.gov.cn)、中国政府采购网(www.ccgp.gov.cn)渠道查询投标人接受资格审查时的信用记录。</w:t>
      </w:r>
    </w:p>
    <w:p>
      <w:pPr>
        <w:pStyle w:val="128"/>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pPr>
        <w:pStyle w:val="128"/>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128"/>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pPr>
        <w:pStyle w:val="128"/>
        <w:spacing w:before="0"/>
        <w:ind w:firstLine="0" w:firstLineChars="0"/>
        <w:rPr>
          <w:rFonts w:ascii="宋体" w:hAnsi="宋体" w:cs="宋体"/>
          <w:kern w:val="0"/>
          <w:szCs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pPr>
        <w:spacing w:line="360" w:lineRule="auto"/>
        <w:rPr>
          <w:rFonts w:ascii="宋体" w:hAnsi="宋体" w:cs="宋体"/>
          <w:b/>
          <w:sz w:val="24"/>
        </w:rPr>
      </w:pPr>
      <w:bookmarkStart w:id="15"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pPr>
        <w:spacing w:line="360" w:lineRule="auto"/>
        <w:rPr>
          <w:rFonts w:ascii="宋体" w:hAnsi="宋体" w:cs="宋体"/>
          <w:b/>
          <w:sz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pPr>
        <w:pStyle w:val="3"/>
        <w:spacing w:line="360" w:lineRule="auto"/>
        <w:ind w:left="479" w:hanging="479" w:hangingChars="199"/>
        <w:rPr>
          <w:rFonts w:cs="宋体"/>
          <w:b/>
        </w:rPr>
      </w:pPr>
      <w:r>
        <w:rPr>
          <w:rFonts w:hint="eastAsia" w:cs="宋体"/>
          <w:b/>
        </w:rPr>
        <w:t>22. 确定中标供应商</w:t>
      </w:r>
    </w:p>
    <w:p>
      <w:pPr>
        <w:pStyle w:val="128"/>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8"/>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w:t>
      </w:r>
      <w:r>
        <w:rPr>
          <w:rFonts w:hint="eastAsia" w:ascii="宋体" w:hAnsi="宋体" w:cs="宋体"/>
          <w:sz w:val="24"/>
          <w:lang w:eastAsia="zh-CN"/>
        </w:rPr>
        <w:t>采购代理机构</w:t>
      </w:r>
      <w:r>
        <w:rPr>
          <w:rFonts w:hint="eastAsia" w:ascii="宋体" w:hAnsi="宋体" w:cs="宋体"/>
          <w:sz w:val="24"/>
        </w:rPr>
        <w:t>通过电子交易平台向中标人发出中标通知书，同时编制发布采购结果公告。</w:t>
      </w:r>
      <w:r>
        <w:rPr>
          <w:rFonts w:hint="eastAsia" w:ascii="宋体" w:hAnsi="宋体" w:cs="宋体"/>
          <w:sz w:val="24"/>
          <w:lang w:eastAsia="zh-CN"/>
        </w:rPr>
        <w:t>采购代理机构</w:t>
      </w:r>
      <w:r>
        <w:rPr>
          <w:rFonts w:hint="eastAsia" w:ascii="宋体" w:hAnsi="宋体" w:cs="宋体"/>
          <w:sz w:val="24"/>
        </w:rPr>
        <w:t>也可以以纸质形式进行中标通知。</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w:t>
      </w:r>
      <w:r>
        <w:rPr>
          <w:rFonts w:hint="eastAsia" w:ascii="宋体" w:hAnsi="宋体" w:cs="宋体"/>
          <w:sz w:val="24"/>
          <w:lang w:eastAsia="zh-CN"/>
        </w:rPr>
        <w:t>采购代理机构</w:t>
      </w:r>
      <w:r>
        <w:rPr>
          <w:rFonts w:hint="eastAsia" w:ascii="宋体" w:hAnsi="宋体" w:cs="宋体"/>
          <w:sz w:val="24"/>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pPr>
        <w:snapToGrid w:val="0"/>
        <w:spacing w:line="360" w:lineRule="auto"/>
        <w:ind w:left="120" w:leftChars="57" w:firstLine="482" w:firstLineChars="150"/>
        <w:jc w:val="center"/>
        <w:rPr>
          <w:rFonts w:ascii="宋体" w:hAnsi="宋体" w:cs="宋体"/>
          <w:b/>
          <w:sz w:val="32"/>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pPr>
        <w:pStyle w:val="3"/>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pPr>
        <w:pStyle w:val="3"/>
        <w:spacing w:line="360" w:lineRule="auto"/>
        <w:ind w:left="479" w:hanging="479" w:hangingChars="199"/>
        <w:rPr>
          <w:rFonts w:cs="宋体"/>
          <w:b/>
        </w:rPr>
      </w:pPr>
      <w:r>
        <w:rPr>
          <w:rFonts w:hint="eastAsia" w:cs="宋体"/>
          <w:b/>
        </w:rPr>
        <w:t>25. 合同的签订</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8"/>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28"/>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pPr>
        <w:pStyle w:val="128"/>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pPr>
        <w:pStyle w:val="128"/>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pPr>
        <w:pStyle w:val="3"/>
        <w:spacing w:line="360" w:lineRule="auto"/>
        <w:ind w:left="479" w:hanging="479" w:hangingChars="199"/>
        <w:rPr>
          <w:rFonts w:cs="宋体"/>
          <w:b/>
        </w:rPr>
      </w:pPr>
      <w:r>
        <w:rPr>
          <w:rFonts w:hint="eastAsia" w:cs="宋体"/>
          <w:b/>
        </w:rPr>
        <w:t>26. 履约保证金</w:t>
      </w:r>
    </w:p>
    <w:p>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w:t>
      </w:r>
      <w:r>
        <w:rPr>
          <w:rFonts w:hint="eastAsia" w:ascii="宋体" w:hAnsi="宋体" w:cs="宋体"/>
          <w:kern w:val="2"/>
          <w:sz w:val="24"/>
          <w:highlight w:val="none"/>
        </w:rPr>
        <w:t>鼓励根据项目特点、供应商诚信等因素免收履约保证金或降低缴纳比例</w:t>
      </w:r>
      <w:r>
        <w:rPr>
          <w:rFonts w:hint="eastAsia" w:ascii="宋体" w:hAnsi="宋体" w:cs="宋体"/>
          <w:kern w:val="2"/>
          <w:sz w:val="24"/>
        </w:rPr>
        <w:t>。</w:t>
      </w:r>
      <w:r>
        <w:rPr>
          <w:rFonts w:hint="eastAsia" w:ascii="宋体" w:hAnsi="宋体" w:cs="宋体"/>
          <w:sz w:val="24"/>
        </w:rPr>
        <w:t>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pPr>
        <w:pStyle w:val="5"/>
        <w:ind w:left="0" w:firstLine="480" w:firstLineChars="200"/>
        <w:rPr>
          <w:rFonts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5"/>
        <w:rPr>
          <w:highlight w:val="none"/>
        </w:rPr>
      </w:pPr>
      <w:r>
        <w:rPr>
          <w:rFonts w:ascii="宋体" w:hAnsi="宋体" w:eastAsia="宋体" w:cs="Times New Roman"/>
          <w:b/>
          <w:bCs/>
          <w:kern w:val="2"/>
          <w:sz w:val="24"/>
          <w:szCs w:val="32"/>
          <w:highlight w:val="none"/>
          <w:lang w:val="en-US"/>
        </w:rPr>
        <w:t>27.预付款</w:t>
      </w:r>
    </w:p>
    <w:p>
      <w:pPr>
        <w:adjustRightInd/>
        <w:spacing w:line="360" w:lineRule="auto"/>
        <w:ind w:firstLine="480" w:firstLineChars="200"/>
        <w:rPr>
          <w:rFonts w:hint="eastAsia" w:ascii="宋体" w:hAnsi="宋体" w:cs="Times New Roman"/>
          <w:kern w:val="2"/>
          <w:sz w:val="24"/>
          <w:highlight w:val="none"/>
        </w:rPr>
      </w:pPr>
      <w:r>
        <w:rPr>
          <w:rFonts w:hint="eastAsia" w:ascii="宋体" w:hAnsi="宋体" w:cs="Times New Roman"/>
          <w:kern w:val="2"/>
          <w:sz w:val="24"/>
          <w:highlight w:val="none"/>
        </w:rPr>
        <w:t>采购单位应当在政府采购合同中约定预付款，对中小企业合同预付款比例原则上不低于合同金额的</w:t>
      </w:r>
      <w:r>
        <w:rPr>
          <w:rFonts w:hint="eastAsia" w:ascii="宋体" w:hAnsi="宋体" w:cs="Times New Roman"/>
          <w:kern w:val="2"/>
          <w:sz w:val="24"/>
          <w:highlight w:val="none"/>
          <w:lang w:val="en-US" w:eastAsia="zh-CN"/>
        </w:rPr>
        <w:t>5</w:t>
      </w:r>
      <w:r>
        <w:rPr>
          <w:rFonts w:ascii="宋体" w:hAnsi="宋体" w:cs="Times New Roman"/>
          <w:kern w:val="2"/>
          <w:sz w:val="24"/>
          <w:highlight w:val="none"/>
        </w:rPr>
        <w:t>0％</w:t>
      </w:r>
      <w:r>
        <w:rPr>
          <w:rFonts w:hint="eastAsia" w:ascii="宋体" w:hAnsi="宋体" w:cs="Times New Roman"/>
          <w:kern w:val="2"/>
          <w:sz w:val="24"/>
          <w:highlight w:val="none"/>
        </w:rPr>
        <w:t>，不高于合同金额的</w:t>
      </w:r>
      <w:r>
        <w:rPr>
          <w:rFonts w:ascii="宋体" w:hAnsi="宋体" w:cs="Times New Roman"/>
          <w:kern w:val="2"/>
          <w:sz w:val="24"/>
          <w:highlight w:val="none"/>
        </w:rPr>
        <w:t>70%；项目分年安排预算的，每年预付款比例</w:t>
      </w:r>
      <w:r>
        <w:rPr>
          <w:rFonts w:hint="eastAsia" w:ascii="宋体" w:hAnsi="宋体"/>
          <w:sz w:val="24"/>
        </w:rPr>
        <w:t>不低于</w:t>
      </w:r>
      <w:r>
        <w:rPr>
          <w:rFonts w:ascii="宋体" w:hAnsi="宋体" w:cs="Times New Roman"/>
          <w:kern w:val="2"/>
          <w:sz w:val="24"/>
          <w:highlight w:val="none"/>
        </w:rPr>
        <w:t>项目年度计划支付资金额的40％</w:t>
      </w:r>
      <w:r>
        <w:rPr>
          <w:rFonts w:hint="eastAsia" w:ascii="宋体" w:hAnsi="宋体" w:cs="Times New Roman"/>
          <w:kern w:val="2"/>
          <w:sz w:val="24"/>
          <w:highlight w:val="none"/>
        </w:rPr>
        <w:t>，不高于合同金额的</w:t>
      </w:r>
      <w:r>
        <w:rPr>
          <w:rFonts w:ascii="宋体" w:hAnsi="宋体" w:cs="Times New Roman"/>
          <w:kern w:val="2"/>
          <w:sz w:val="24"/>
          <w:highlight w:val="none"/>
        </w:rPr>
        <w:t>70%；采购项目实施以人工投入为主的，</w:t>
      </w:r>
      <w:r>
        <w:rPr>
          <w:rFonts w:hint="eastAsia" w:ascii="宋体" w:hAnsi="宋体" w:cs="Times New Roman"/>
          <w:kern w:val="2"/>
          <w:sz w:val="24"/>
          <w:highlight w:val="none"/>
        </w:rPr>
        <w:t>可适当降低预付款比例，但不得低于</w:t>
      </w:r>
      <w:r>
        <w:rPr>
          <w:rFonts w:ascii="宋体" w:hAnsi="宋体" w:cs="Times New Roman"/>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kern w:val="2"/>
          <w:sz w:val="24"/>
          <w:highlight w:val="none"/>
        </w:rPr>
        <w:t>供应商</w:t>
      </w:r>
      <w:r>
        <w:rPr>
          <w:rFonts w:ascii="宋体" w:hAnsi="宋体" w:cs="Times New Roman"/>
          <w:kern w:val="2"/>
          <w:sz w:val="24"/>
          <w:highlight w:val="none"/>
        </w:rPr>
        <w:t>明确表示无需预付款或者主动要求降低预付款比例的，</w:t>
      </w:r>
      <w:r>
        <w:rPr>
          <w:rFonts w:hint="eastAsia" w:ascii="宋体" w:hAnsi="宋体" w:cs="Times New Roman"/>
          <w:kern w:val="2"/>
          <w:sz w:val="24"/>
          <w:highlight w:val="none"/>
        </w:rPr>
        <w:t>采购单位</w:t>
      </w:r>
      <w:r>
        <w:rPr>
          <w:rFonts w:ascii="宋体" w:hAnsi="宋体" w:cs="Times New Roman"/>
          <w:kern w:val="2"/>
          <w:sz w:val="24"/>
          <w:highlight w:val="none"/>
        </w:rPr>
        <w:t>可不适用前述规定。</w:t>
      </w:r>
      <w:r>
        <w:rPr>
          <w:rFonts w:hint="eastAsia" w:ascii="宋体" w:hAnsi="宋体" w:cs="Times New Roman"/>
          <w:kern w:val="2"/>
          <w:sz w:val="24"/>
          <w:highlight w:val="none"/>
        </w:rPr>
        <w:t>采购单位</w:t>
      </w:r>
      <w:r>
        <w:rPr>
          <w:rFonts w:ascii="宋体" w:hAnsi="宋体" w:cs="Times New Roman"/>
          <w:kern w:val="2"/>
          <w:sz w:val="24"/>
          <w:highlight w:val="none"/>
        </w:rPr>
        <w:t>根据项目特点、供应商诚信等因素，可以要求</w:t>
      </w:r>
      <w:r>
        <w:rPr>
          <w:rFonts w:hint="eastAsia" w:ascii="宋体" w:hAnsi="宋体" w:cs="Times New Roman"/>
          <w:kern w:val="2"/>
          <w:sz w:val="24"/>
          <w:highlight w:val="none"/>
        </w:rPr>
        <w:t>供应商</w:t>
      </w:r>
      <w:r>
        <w:rPr>
          <w:rFonts w:ascii="宋体" w:hAnsi="宋体" w:cs="Times New Roman"/>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kern w:val="2"/>
          <w:sz w:val="24"/>
          <w:highlight w:val="none"/>
        </w:rPr>
        <w:t>政府采购工程以及与工程建设有关的货物、服务，采用招标方式采购的，预付款从其相关规定。</w:t>
      </w:r>
    </w:p>
    <w:p>
      <w:pPr>
        <w:adjustRightInd/>
        <w:spacing w:line="360" w:lineRule="auto"/>
        <w:ind w:firstLine="480" w:firstLineChars="200"/>
        <w:rPr>
          <w:highlight w:val="none"/>
        </w:rPr>
      </w:pPr>
      <w:r>
        <w:rPr>
          <w:rFonts w:hint="eastAsia" w:ascii="宋体" w:hAnsi="宋体" w:cs="Times New Roman"/>
          <w:kern w:val="2"/>
          <w:sz w:val="24"/>
          <w:highlight w:val="none"/>
        </w:rPr>
        <w:t>供应商可登录政采云前台大厅选择金融服务</w:t>
      </w:r>
      <w:r>
        <w:rPr>
          <w:rFonts w:ascii="宋体" w:hAnsi="宋体" w:cs="Times New Roman"/>
          <w:kern w:val="2"/>
          <w:sz w:val="24"/>
          <w:highlight w:val="none"/>
        </w:rPr>
        <w:t xml:space="preserve"> - </w:t>
      </w:r>
      <w:r>
        <w:rPr>
          <w:rFonts w:hint="eastAsia" w:ascii="宋体" w:hAnsi="宋体" w:cs="Times New Roman"/>
          <w:kern w:val="2"/>
          <w:sz w:val="24"/>
          <w:highlight w:val="none"/>
        </w:rPr>
        <w:t>【保函保险服务】出具预付款保函，具体步骤：选择产品—填写供应商信息—选择中标项目—确认信息—等待保险</w:t>
      </w:r>
      <w:r>
        <w:rPr>
          <w:rFonts w:ascii="宋体" w:hAnsi="宋体" w:cs="Times New Roman"/>
          <w:kern w:val="2"/>
          <w:sz w:val="24"/>
          <w:highlight w:val="none"/>
        </w:rPr>
        <w:t>/保函受理—确认保单—支付保费—成功出单。政</w:t>
      </w:r>
      <w:r>
        <w:rPr>
          <w:rFonts w:hint="eastAsia" w:ascii="宋体" w:hAnsi="宋体" w:cs="Times New Roman"/>
          <w:kern w:val="2"/>
          <w:sz w:val="24"/>
          <w:highlight w:val="none"/>
        </w:rPr>
        <w:t>采云金融专线</w:t>
      </w:r>
      <w:r>
        <w:rPr>
          <w:rFonts w:ascii="宋体" w:hAnsi="宋体" w:cs="Times New Roman"/>
          <w:kern w:val="2"/>
          <w:sz w:val="24"/>
          <w:highlight w:val="none"/>
        </w:rPr>
        <w:t>400-903-9583。</w:t>
      </w:r>
    </w:p>
    <w:p/>
    <w:p>
      <w:pPr>
        <w:snapToGrid w:val="0"/>
        <w:spacing w:line="360" w:lineRule="auto"/>
        <w:ind w:firstLine="3357" w:firstLineChars="1045"/>
        <w:rPr>
          <w:rFonts w:ascii="宋体" w:hAnsi="宋体" w:cs="宋体"/>
          <w:b/>
          <w:sz w:val="32"/>
        </w:rPr>
      </w:pPr>
    </w:p>
    <w:p>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pPr>
        <w:pStyle w:val="128"/>
        <w:snapToGrid w:val="0"/>
        <w:spacing w:before="0"/>
        <w:ind w:firstLine="0" w:firstLineChars="0"/>
        <w:rPr>
          <w:rFonts w:ascii="宋体" w:hAnsi="宋体" w:cs="宋体"/>
        </w:rPr>
      </w:pPr>
      <w:r>
        <w:rPr>
          <w:rFonts w:ascii="宋体" w:hAnsi="宋体" w:cs="宋体"/>
          <w:b/>
          <w:bCs/>
          <w:kern w:val="2"/>
          <w:sz w:val="24"/>
          <w:szCs w:val="20"/>
        </w:rPr>
        <w:t>2</w:t>
      </w:r>
      <w:r>
        <w:rPr>
          <w:rFonts w:ascii="宋体" w:hAnsi="宋体" w:cs="宋体"/>
          <w:b/>
          <w:bCs/>
          <w:kern w:val="2"/>
          <w:sz w:val="24"/>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w:t>
      </w:r>
      <w:r>
        <w:rPr>
          <w:rFonts w:hint="eastAsia" w:ascii="宋体" w:hAnsi="宋体" w:cs="宋体"/>
          <w:lang w:eastAsia="zh-CN"/>
        </w:rPr>
        <w:t>采购代理机构</w:t>
      </w:r>
      <w:r>
        <w:rPr>
          <w:rFonts w:hint="eastAsia" w:ascii="宋体" w:hAnsi="宋体" w:cs="宋体"/>
        </w:rPr>
        <w:t>可中止电子交易活动：</w:t>
      </w:r>
    </w:p>
    <w:p>
      <w:pPr>
        <w:pStyle w:val="128"/>
        <w:snapToGrid w:val="0"/>
        <w:spacing w:before="0"/>
        <w:ind w:firstLine="480"/>
        <w:rPr>
          <w:rFonts w:ascii="宋体" w:hAnsi="宋体" w:cs="宋体"/>
        </w:rPr>
      </w:pPr>
      <w:r>
        <w:rPr>
          <w:rFonts w:hint="eastAsia" w:ascii="宋体" w:hAnsi="宋体" w:cs="宋体"/>
        </w:rPr>
        <w:t xml:space="preserve">28.1电子交易平台发生故障而无法登录访问的； </w:t>
      </w:r>
    </w:p>
    <w:p>
      <w:pPr>
        <w:pStyle w:val="128"/>
        <w:snapToGrid w:val="0"/>
        <w:spacing w:before="0"/>
        <w:ind w:firstLine="480"/>
        <w:rPr>
          <w:rFonts w:ascii="宋体" w:hAnsi="宋体" w:cs="宋体"/>
        </w:rPr>
      </w:pPr>
      <w:r>
        <w:rPr>
          <w:rFonts w:hint="eastAsia" w:ascii="宋体" w:hAnsi="宋体" w:cs="宋体"/>
        </w:rPr>
        <w:t>28.2电子交易平台应用或数据库出现错误，不能进行正常操作的；</w:t>
      </w:r>
    </w:p>
    <w:p>
      <w:pPr>
        <w:pStyle w:val="128"/>
        <w:snapToGrid w:val="0"/>
        <w:spacing w:before="0"/>
        <w:ind w:firstLine="480"/>
        <w:rPr>
          <w:rFonts w:ascii="宋体" w:hAnsi="宋体" w:cs="宋体"/>
        </w:rPr>
      </w:pPr>
      <w:r>
        <w:rPr>
          <w:rFonts w:hint="eastAsia" w:ascii="宋体" w:hAnsi="宋体" w:cs="宋体"/>
        </w:rPr>
        <w:t>28.3电子交易平台发现严重安全漏洞，有潜在泄密危险的；</w:t>
      </w:r>
    </w:p>
    <w:p>
      <w:pPr>
        <w:pStyle w:val="128"/>
        <w:snapToGrid w:val="0"/>
        <w:spacing w:before="0"/>
        <w:ind w:firstLine="480"/>
        <w:rPr>
          <w:rFonts w:ascii="宋体" w:hAnsi="宋体" w:cs="宋体"/>
        </w:rPr>
      </w:pPr>
      <w:r>
        <w:rPr>
          <w:rFonts w:hint="eastAsia" w:ascii="宋体" w:hAnsi="宋体" w:cs="宋体"/>
        </w:rPr>
        <w:t xml:space="preserve">28.4病毒发作导致不能进行正常操作的； </w:t>
      </w:r>
    </w:p>
    <w:p>
      <w:pPr>
        <w:pStyle w:val="128"/>
        <w:snapToGrid w:val="0"/>
        <w:spacing w:before="0"/>
        <w:ind w:firstLine="480"/>
        <w:rPr>
          <w:rFonts w:ascii="宋体" w:hAnsi="宋体" w:cs="宋体"/>
        </w:rPr>
      </w:pPr>
      <w:r>
        <w:rPr>
          <w:rFonts w:hint="eastAsia" w:ascii="宋体" w:hAnsi="宋体" w:cs="宋体"/>
        </w:rPr>
        <w:t>28.5其他无法保证电子交易的公平、公正和安全的情况。</w:t>
      </w:r>
    </w:p>
    <w:p>
      <w:pPr>
        <w:pStyle w:val="128"/>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sz w:val="24"/>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pPr>
        <w:pStyle w:val="3"/>
        <w:spacing w:line="360" w:lineRule="auto"/>
        <w:ind w:firstLine="0" w:firstLineChars="0"/>
        <w:rPr>
          <w:rFonts w:cs="宋体"/>
          <w:b/>
        </w:rPr>
      </w:pPr>
      <w:r>
        <w:rPr>
          <w:rFonts w:hint="eastAsia" w:cs="宋体"/>
          <w:b/>
        </w:rPr>
        <w:t>30.验收</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kern w:val="0"/>
          <w:sz w:val="24"/>
        </w:rPr>
        <w:sectPr>
          <w:footerReference r:id="rId11" w:type="first"/>
          <w:footerReference r:id="rId10" w:type="default"/>
          <w:pgSz w:w="11906" w:h="16838"/>
          <w:pgMar w:top="680" w:right="1418" w:bottom="468" w:left="1418" w:header="851" w:footer="992" w:gutter="0"/>
          <w:pgNumType w:start="1"/>
          <w:cols w:space="720" w:num="1"/>
          <w:docGrid w:linePitch="312" w:charSpace="0"/>
        </w:sect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5"/>
      <w:bookmarkStart w:id="16" w:name="_Hlt75236011"/>
      <w:bookmarkEnd w:id="16"/>
      <w:bookmarkStart w:id="17" w:name="_Hlt68072990"/>
      <w:bookmarkEnd w:id="17"/>
      <w:bookmarkStart w:id="18" w:name="_Hlt68057669"/>
      <w:bookmarkEnd w:id="18"/>
      <w:bookmarkStart w:id="19" w:name="_Hlt74707468"/>
      <w:bookmarkEnd w:id="19"/>
      <w:bookmarkStart w:id="20" w:name="_Hlt68403820"/>
      <w:bookmarkEnd w:id="20"/>
      <w:bookmarkStart w:id="21" w:name="_Hlt74730295"/>
      <w:bookmarkEnd w:id="21"/>
      <w:bookmarkStart w:id="22" w:name="_Hlt74714665"/>
      <w:bookmarkEnd w:id="22"/>
      <w:bookmarkStart w:id="23" w:name="_Hlt74729768"/>
      <w:bookmarkEnd w:id="23"/>
      <w:bookmarkStart w:id="24" w:name="_Hlt68073093"/>
      <w:bookmarkEnd w:id="24"/>
      <w:bookmarkStart w:id="25" w:name="_Hlt68072998"/>
      <w:bookmarkEnd w:id="25"/>
      <w:bookmarkStart w:id="26" w:name="_Hlt75236290"/>
      <w:bookmarkEnd w:id="26"/>
      <w:bookmarkStart w:id="27" w:name="_Hlt75236101"/>
      <w:bookmarkEnd w:id="27"/>
    </w:p>
    <w:bookmarkEnd w:id="10"/>
    <w:bookmarkEnd w:id="11"/>
    <w:p>
      <w:pPr>
        <w:pStyle w:val="5"/>
        <w:ind w:left="0" w:leftChars="0" w:firstLine="0" w:firstLineChars="0"/>
      </w:pPr>
      <w:bookmarkStart w:id="28" w:name="第四部分"/>
    </w:p>
    <w:p>
      <w:pPr>
        <w:spacing w:line="360" w:lineRule="auto"/>
        <w:jc w:val="center"/>
        <w:outlineLvl w:val="0"/>
        <w:rPr>
          <w:rFonts w:ascii="宋体" w:hAnsi="宋体" w:cs="宋体"/>
          <w:b/>
          <w:sz w:val="36"/>
          <w:szCs w:val="36"/>
        </w:rPr>
      </w:pPr>
      <w:r>
        <w:rPr>
          <w:rFonts w:hint="eastAsia" w:ascii="宋体" w:hAnsi="宋体" w:cs="宋体"/>
          <w:b/>
          <w:sz w:val="36"/>
          <w:szCs w:val="36"/>
        </w:rPr>
        <w:t>第三部分   采购需求</w:t>
      </w:r>
    </w:p>
    <w:p>
      <w:pPr>
        <w:pStyle w:val="518"/>
        <w:ind w:firstLine="482"/>
        <w:rPr>
          <w:rFonts w:ascii="宋体" w:hAnsi="宋体" w:cs="宋体"/>
          <w:kern w:val="0"/>
          <w:sz w:val="24"/>
        </w:rPr>
      </w:pPr>
      <w:r>
        <w:rPr>
          <w:rFonts w:hint="eastAsia" w:ascii="宋体" w:hAnsi="宋体" w:cs="宋体"/>
          <w:b/>
          <w:bCs/>
          <w:sz w:val="24"/>
        </w:rPr>
        <w:t>本项目</w:t>
      </w:r>
      <w:r>
        <w:rPr>
          <w:rFonts w:ascii="宋体" w:hAnsi="宋体" w:cs="宋体"/>
          <w:b/>
          <w:bCs/>
          <w:sz w:val="24"/>
        </w:rPr>
        <w:t>核心产品</w:t>
      </w:r>
      <w:r>
        <w:rPr>
          <w:rFonts w:hint="eastAsia" w:ascii="宋体" w:hAnsi="宋体" w:cs="宋体"/>
          <w:b/>
          <w:bCs/>
          <w:sz w:val="24"/>
        </w:rPr>
        <w:t>：</w:t>
      </w:r>
      <w:r>
        <w:rPr>
          <w:rFonts w:hint="eastAsia"/>
          <w:sz w:val="24"/>
        </w:rPr>
        <w:t>教师机</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en-US" w:eastAsia="zh-CN"/>
          <w14:textFill>
            <w14:solidFill>
              <w14:schemeClr w14:val="tx1"/>
            </w14:solidFill>
          </w14:textFill>
        </w:rPr>
        <w:t>I5</w:t>
      </w:r>
      <w:r>
        <w:rPr>
          <w:rFonts w:hint="eastAsia" w:ascii="宋体" w:hAnsi="宋体" w:cs="宋体"/>
          <w:color w:val="000000" w:themeColor="text1"/>
          <w:kern w:val="0"/>
          <w:sz w:val="24"/>
          <w14:textFill>
            <w14:solidFill>
              <w14:schemeClr w14:val="tx1"/>
            </w14:solidFill>
          </w14:textFill>
        </w:rPr>
        <w:t>全套）</w:t>
      </w:r>
      <w:r>
        <w:rPr>
          <w:rFonts w:hint="eastAsia" w:ascii="宋体" w:hAnsi="宋体" w:cs="宋体"/>
          <w:kern w:val="0"/>
          <w:sz w:val="24"/>
        </w:rPr>
        <w:t>、</w:t>
      </w:r>
      <w:r>
        <w:rPr>
          <w:rFonts w:hint="eastAsia"/>
          <w:sz w:val="24"/>
        </w:rPr>
        <w:t>教师机</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I5</w:t>
      </w:r>
      <w:r>
        <w:rPr>
          <w:rFonts w:hint="eastAsia"/>
          <w:color w:val="000000" w:themeColor="text1"/>
          <w:sz w:val="24"/>
          <w14:textFill>
            <w14:solidFill>
              <w14:schemeClr w14:val="tx1"/>
            </w14:solidFill>
          </w14:textFill>
        </w:rPr>
        <w:t>主机）</w:t>
      </w:r>
      <w:r>
        <w:rPr>
          <w:rFonts w:hint="eastAsia"/>
          <w:sz w:val="24"/>
        </w:rPr>
        <w:t>、学生计算机1（I5全套）、学生微型计算机2（</w:t>
      </w:r>
      <w:r>
        <w:rPr>
          <w:rFonts w:hint="eastAsia" w:ascii="宋体" w:hAnsi="宋体" w:cs="宋体"/>
          <w:kern w:val="0"/>
          <w:sz w:val="24"/>
        </w:rPr>
        <w:t>i3</w:t>
      </w:r>
      <w:r>
        <w:rPr>
          <w:rFonts w:hint="eastAsia"/>
          <w:sz w:val="24"/>
        </w:rPr>
        <w:t>全套）、</w:t>
      </w:r>
      <w:r>
        <w:rPr>
          <w:rFonts w:hint="eastAsia"/>
          <w:color w:val="000000" w:themeColor="text1"/>
          <w:sz w:val="24"/>
          <w14:textFill>
            <w14:solidFill>
              <w14:schemeClr w14:val="tx1"/>
            </w14:solidFill>
          </w14:textFill>
        </w:rPr>
        <w:t>学生微型计算机3（</w:t>
      </w:r>
      <w:r>
        <w:rPr>
          <w:rFonts w:hint="eastAsia" w:ascii="宋体" w:hAnsi="宋体" w:cs="宋体"/>
          <w:color w:val="000000" w:themeColor="text1"/>
          <w:kern w:val="0"/>
          <w:sz w:val="24"/>
          <w14:textFill>
            <w14:solidFill>
              <w14:schemeClr w14:val="tx1"/>
            </w14:solidFill>
          </w14:textFill>
        </w:rPr>
        <w:t>i3</w:t>
      </w:r>
      <w:r>
        <w:rPr>
          <w:rFonts w:hint="eastAsia"/>
          <w:color w:val="000000" w:themeColor="text1"/>
          <w:sz w:val="24"/>
          <w14:textFill>
            <w14:solidFill>
              <w14:schemeClr w14:val="tx1"/>
            </w14:solidFill>
          </w14:textFill>
        </w:rPr>
        <w:t>主机）</w:t>
      </w:r>
      <w:r>
        <w:rPr>
          <w:rFonts w:hint="eastAsia"/>
          <w:color w:val="000000" w:themeColor="text1"/>
          <w:sz w:val="24"/>
          <w:lang w:eastAsia="zh-CN"/>
          <w14:textFill>
            <w14:solidFill>
              <w14:schemeClr w14:val="tx1"/>
            </w14:solidFill>
          </w14:textFill>
        </w:rPr>
        <w:t>、</w:t>
      </w:r>
      <w:r>
        <w:rPr>
          <w:rFonts w:hint="eastAsia" w:ascii="宋体" w:hAnsi="宋体" w:cs="宋体"/>
          <w:kern w:val="0"/>
          <w:sz w:val="24"/>
        </w:rPr>
        <w:t>笔记本电脑</w:t>
      </w:r>
    </w:p>
    <w:p>
      <w:pPr>
        <w:pStyle w:val="3"/>
      </w:pPr>
    </w:p>
    <w:p>
      <w:pPr>
        <w:spacing w:line="360" w:lineRule="auto"/>
        <w:rPr>
          <w:rFonts w:ascii="宋体" w:hAnsi="宋体"/>
          <w:b/>
          <w:sz w:val="24"/>
        </w:rPr>
      </w:pPr>
      <w:r>
        <w:rPr>
          <w:rFonts w:hint="eastAsia" w:ascii="宋体" w:hAnsi="宋体"/>
          <w:b/>
          <w:sz w:val="24"/>
        </w:rPr>
        <w:t>一、采购内容、规格及要求</w:t>
      </w:r>
    </w:p>
    <w:p>
      <w:pPr>
        <w:pStyle w:val="5"/>
        <w:numPr>
          <w:ilvl w:val="0"/>
          <w:numId w:val="1"/>
        </w:numPr>
        <w:spacing w:line="400" w:lineRule="exact"/>
        <w:rPr>
          <w:rFonts w:ascii="宋体" w:hAnsi="宋体"/>
          <w:b w:val="0"/>
          <w:sz w:val="24"/>
          <w:szCs w:val="24"/>
        </w:rPr>
      </w:pPr>
      <w:r>
        <w:rPr>
          <w:rFonts w:hint="eastAsia" w:ascii="宋体" w:hAnsi="宋体"/>
          <w:b w:val="0"/>
          <w:sz w:val="24"/>
          <w:szCs w:val="24"/>
        </w:rPr>
        <w:t>采购清单</w:t>
      </w:r>
    </w:p>
    <w:tbl>
      <w:tblPr>
        <w:tblStyle w:val="62"/>
        <w:tblW w:w="808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089"/>
        <w:gridCol w:w="1108"/>
        <w:gridCol w:w="1083"/>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68" w:type="dxa"/>
            <w:vAlign w:val="center"/>
          </w:tcPr>
          <w:p>
            <w:pPr>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序号</w:t>
            </w:r>
          </w:p>
        </w:tc>
        <w:tc>
          <w:tcPr>
            <w:tcW w:w="3089" w:type="dxa"/>
            <w:vAlign w:val="center"/>
          </w:tcPr>
          <w:p>
            <w:pPr>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商品名称</w:t>
            </w:r>
          </w:p>
        </w:tc>
        <w:tc>
          <w:tcPr>
            <w:tcW w:w="1108" w:type="dxa"/>
            <w:vAlign w:val="center"/>
          </w:tcPr>
          <w:p>
            <w:pPr>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单位</w:t>
            </w:r>
          </w:p>
        </w:tc>
        <w:tc>
          <w:tcPr>
            <w:tcW w:w="1083" w:type="dxa"/>
            <w:vAlign w:val="center"/>
          </w:tcPr>
          <w:p>
            <w:pPr>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数量</w:t>
            </w:r>
          </w:p>
        </w:tc>
        <w:tc>
          <w:tcPr>
            <w:tcW w:w="2139" w:type="dxa"/>
          </w:tcPr>
          <w:p>
            <w:pPr>
              <w:jc w:val="center"/>
              <w:rPr>
                <w:b/>
                <w:color w:val="000000" w:themeColor="text1"/>
                <w:sz w:val="24"/>
                <w14:textFill>
                  <w14:solidFill>
                    <w14:schemeClr w14:val="tx1"/>
                  </w14:solidFill>
                </w14:textFill>
              </w:rPr>
            </w:pPr>
          </w:p>
          <w:p>
            <w:pPr>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68" w:type="dxa"/>
            <w:vAlign w:val="center"/>
          </w:tcPr>
          <w:p>
            <w:pPr>
              <w:widowControl/>
              <w:jc w:val="center"/>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3089"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教师机</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en-US" w:eastAsia="zh-CN"/>
                <w14:textFill>
                  <w14:solidFill>
                    <w14:schemeClr w14:val="tx1"/>
                  </w14:solidFill>
                </w14:textFill>
              </w:rPr>
              <w:t>I5</w:t>
            </w:r>
            <w:r>
              <w:rPr>
                <w:rFonts w:hint="eastAsia" w:ascii="宋体" w:hAnsi="宋体" w:cs="宋体"/>
                <w:color w:val="000000" w:themeColor="text1"/>
                <w:kern w:val="0"/>
                <w:sz w:val="24"/>
                <w14:textFill>
                  <w14:solidFill>
                    <w14:schemeClr w14:val="tx1"/>
                  </w14:solidFill>
                </w14:textFill>
              </w:rPr>
              <w:t>全套）</w:t>
            </w:r>
          </w:p>
        </w:tc>
        <w:tc>
          <w:tcPr>
            <w:tcW w:w="11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套</w:t>
            </w:r>
          </w:p>
        </w:tc>
        <w:tc>
          <w:tcPr>
            <w:tcW w:w="1083"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374</w:t>
            </w:r>
          </w:p>
        </w:tc>
        <w:tc>
          <w:tcPr>
            <w:tcW w:w="2139" w:type="dxa"/>
          </w:tcPr>
          <w:p>
            <w:pPr>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属于政府强制采购节能品目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p>
        </w:tc>
        <w:tc>
          <w:tcPr>
            <w:tcW w:w="3089"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教师机（</w:t>
            </w:r>
            <w:r>
              <w:rPr>
                <w:rFonts w:hint="eastAsia"/>
                <w:color w:val="000000" w:themeColor="text1"/>
                <w:sz w:val="24"/>
                <w:lang w:val="en-US" w:eastAsia="zh-CN"/>
                <w14:textFill>
                  <w14:solidFill>
                    <w14:schemeClr w14:val="tx1"/>
                  </w14:solidFill>
                </w14:textFill>
              </w:rPr>
              <w:t>I5</w:t>
            </w:r>
            <w:r>
              <w:rPr>
                <w:rFonts w:hint="eastAsia"/>
                <w:color w:val="000000" w:themeColor="text1"/>
                <w:sz w:val="24"/>
                <w14:textFill>
                  <w14:solidFill>
                    <w14:schemeClr w14:val="tx1"/>
                  </w14:solidFill>
                </w14:textFill>
              </w:rPr>
              <w:t>主机）</w:t>
            </w:r>
          </w:p>
        </w:tc>
        <w:tc>
          <w:tcPr>
            <w:tcW w:w="11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套</w:t>
            </w:r>
          </w:p>
        </w:tc>
        <w:tc>
          <w:tcPr>
            <w:tcW w:w="1083"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87</w:t>
            </w:r>
          </w:p>
        </w:tc>
        <w:tc>
          <w:tcPr>
            <w:tcW w:w="2139" w:type="dxa"/>
          </w:tcPr>
          <w:p>
            <w:pP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属于政府强制采购节能品目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6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p>
        </w:tc>
        <w:tc>
          <w:tcPr>
            <w:tcW w:w="3089"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学生计算机1（I5全套）</w:t>
            </w:r>
          </w:p>
        </w:tc>
        <w:tc>
          <w:tcPr>
            <w:tcW w:w="11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套</w:t>
            </w:r>
          </w:p>
        </w:tc>
        <w:tc>
          <w:tcPr>
            <w:tcW w:w="1083"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50</w:t>
            </w:r>
          </w:p>
        </w:tc>
        <w:tc>
          <w:tcPr>
            <w:tcW w:w="2139" w:type="dxa"/>
          </w:tcPr>
          <w:p>
            <w:pPr>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属于政府强制采购节能品目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6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p>
        </w:tc>
        <w:tc>
          <w:tcPr>
            <w:tcW w:w="3089"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学生微型计算机2（</w:t>
            </w:r>
            <w:r>
              <w:rPr>
                <w:rFonts w:hint="eastAsia" w:ascii="宋体" w:hAnsi="宋体" w:cs="宋体"/>
                <w:color w:val="000000" w:themeColor="text1"/>
                <w:kern w:val="0"/>
                <w:sz w:val="24"/>
                <w14:textFill>
                  <w14:solidFill>
                    <w14:schemeClr w14:val="tx1"/>
                  </w14:solidFill>
                </w14:textFill>
              </w:rPr>
              <w:t>i3</w:t>
            </w:r>
            <w:r>
              <w:rPr>
                <w:rFonts w:hint="eastAsia"/>
                <w:color w:val="000000" w:themeColor="text1"/>
                <w:sz w:val="24"/>
                <w14:textFill>
                  <w14:solidFill>
                    <w14:schemeClr w14:val="tx1"/>
                  </w14:solidFill>
                </w14:textFill>
              </w:rPr>
              <w:t>全套）</w:t>
            </w:r>
          </w:p>
        </w:tc>
        <w:tc>
          <w:tcPr>
            <w:tcW w:w="11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套</w:t>
            </w:r>
          </w:p>
        </w:tc>
        <w:tc>
          <w:tcPr>
            <w:tcW w:w="1083"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472</w:t>
            </w:r>
          </w:p>
        </w:tc>
        <w:tc>
          <w:tcPr>
            <w:tcW w:w="2139" w:type="dxa"/>
          </w:tcPr>
          <w:p>
            <w:pPr>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属于政府强制采购节能品目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6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p>
        </w:tc>
        <w:tc>
          <w:tcPr>
            <w:tcW w:w="3089"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学生微型计算机3（</w:t>
            </w:r>
            <w:r>
              <w:rPr>
                <w:rFonts w:hint="eastAsia" w:ascii="宋体" w:hAnsi="宋体" w:cs="宋体"/>
                <w:color w:val="000000" w:themeColor="text1"/>
                <w:kern w:val="0"/>
                <w:sz w:val="24"/>
                <w14:textFill>
                  <w14:solidFill>
                    <w14:schemeClr w14:val="tx1"/>
                  </w14:solidFill>
                </w14:textFill>
              </w:rPr>
              <w:t>i3</w:t>
            </w:r>
            <w:r>
              <w:rPr>
                <w:rFonts w:hint="eastAsia"/>
                <w:color w:val="000000" w:themeColor="text1"/>
                <w:sz w:val="24"/>
                <w14:textFill>
                  <w14:solidFill>
                    <w14:schemeClr w14:val="tx1"/>
                  </w14:solidFill>
                </w14:textFill>
              </w:rPr>
              <w:t>主机）</w:t>
            </w:r>
          </w:p>
        </w:tc>
        <w:tc>
          <w:tcPr>
            <w:tcW w:w="11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台</w:t>
            </w:r>
          </w:p>
        </w:tc>
        <w:tc>
          <w:tcPr>
            <w:tcW w:w="1083"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46</w:t>
            </w:r>
          </w:p>
        </w:tc>
        <w:tc>
          <w:tcPr>
            <w:tcW w:w="2139" w:type="dxa"/>
          </w:tcPr>
          <w:p>
            <w:pPr>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属于政府强制采购节能品目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w:t>
            </w:r>
          </w:p>
        </w:tc>
        <w:tc>
          <w:tcPr>
            <w:tcW w:w="3089" w:type="dxa"/>
            <w:vAlign w:val="center"/>
          </w:tcPr>
          <w:p>
            <w:pPr>
              <w:tabs>
                <w:tab w:val="center" w:pos="1436"/>
              </w:tabs>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笔记本电脑</w:t>
            </w:r>
          </w:p>
        </w:tc>
        <w:tc>
          <w:tcPr>
            <w:tcW w:w="11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套</w:t>
            </w:r>
          </w:p>
        </w:tc>
        <w:tc>
          <w:tcPr>
            <w:tcW w:w="1083"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104</w:t>
            </w:r>
          </w:p>
        </w:tc>
        <w:tc>
          <w:tcPr>
            <w:tcW w:w="2139" w:type="dxa"/>
          </w:tcPr>
          <w:p>
            <w:pPr>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属于政府强制采购节能品目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w:t>
            </w:r>
          </w:p>
        </w:tc>
        <w:tc>
          <w:tcPr>
            <w:tcW w:w="3089"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口交换机</w:t>
            </w:r>
          </w:p>
        </w:tc>
        <w:tc>
          <w:tcPr>
            <w:tcW w:w="11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台</w:t>
            </w:r>
          </w:p>
        </w:tc>
        <w:tc>
          <w:tcPr>
            <w:tcW w:w="1083"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36</w:t>
            </w:r>
          </w:p>
        </w:tc>
        <w:tc>
          <w:tcPr>
            <w:tcW w:w="2139" w:type="dxa"/>
          </w:tcPr>
          <w:p>
            <w:pPr>
              <w:jc w:val="right"/>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8</w:t>
            </w:r>
          </w:p>
        </w:tc>
        <w:tc>
          <w:tcPr>
            <w:tcW w:w="3089" w:type="dxa"/>
            <w:vAlign w:val="center"/>
          </w:tcPr>
          <w:p>
            <w:pP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网络机柜</w:t>
            </w:r>
          </w:p>
        </w:tc>
        <w:tc>
          <w:tcPr>
            <w:tcW w:w="1108" w:type="dxa"/>
            <w:vAlign w:val="center"/>
          </w:tcPr>
          <w:p>
            <w:pPr>
              <w:jc w:val="center"/>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个</w:t>
            </w:r>
          </w:p>
        </w:tc>
        <w:tc>
          <w:tcPr>
            <w:tcW w:w="1083" w:type="dxa"/>
            <w:vAlign w:val="center"/>
          </w:tcPr>
          <w:p>
            <w:pPr>
              <w:jc w:val="cente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11</w:t>
            </w:r>
          </w:p>
        </w:tc>
        <w:tc>
          <w:tcPr>
            <w:tcW w:w="2139" w:type="dxa"/>
          </w:tcPr>
          <w:p>
            <w:pPr>
              <w:jc w:val="right"/>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9</w:t>
            </w:r>
          </w:p>
        </w:tc>
        <w:tc>
          <w:tcPr>
            <w:tcW w:w="3089"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教师讲台桌</w:t>
            </w:r>
          </w:p>
        </w:tc>
        <w:tc>
          <w:tcPr>
            <w:tcW w:w="11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张</w:t>
            </w:r>
          </w:p>
        </w:tc>
        <w:tc>
          <w:tcPr>
            <w:tcW w:w="1083"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12</w:t>
            </w:r>
          </w:p>
        </w:tc>
        <w:tc>
          <w:tcPr>
            <w:tcW w:w="2139" w:type="dxa"/>
          </w:tcPr>
          <w:p>
            <w:pPr>
              <w:jc w:val="right"/>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10</w:t>
            </w:r>
          </w:p>
        </w:tc>
        <w:tc>
          <w:tcPr>
            <w:tcW w:w="3089"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两人电脑桌</w:t>
            </w:r>
          </w:p>
        </w:tc>
        <w:tc>
          <w:tcPr>
            <w:tcW w:w="11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张</w:t>
            </w:r>
          </w:p>
        </w:tc>
        <w:tc>
          <w:tcPr>
            <w:tcW w:w="1083"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261</w:t>
            </w:r>
          </w:p>
        </w:tc>
        <w:tc>
          <w:tcPr>
            <w:tcW w:w="2139" w:type="dxa"/>
          </w:tcPr>
          <w:p>
            <w:pPr>
              <w:jc w:val="right"/>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11</w:t>
            </w:r>
          </w:p>
        </w:tc>
        <w:tc>
          <w:tcPr>
            <w:tcW w:w="3089"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电脑凳</w:t>
            </w:r>
          </w:p>
        </w:tc>
        <w:tc>
          <w:tcPr>
            <w:tcW w:w="11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张</w:t>
            </w:r>
          </w:p>
        </w:tc>
        <w:tc>
          <w:tcPr>
            <w:tcW w:w="1083"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522</w:t>
            </w:r>
          </w:p>
        </w:tc>
        <w:tc>
          <w:tcPr>
            <w:tcW w:w="2139" w:type="dxa"/>
          </w:tcPr>
          <w:p>
            <w:pPr>
              <w:jc w:val="right"/>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12</w:t>
            </w:r>
          </w:p>
        </w:tc>
        <w:tc>
          <w:tcPr>
            <w:tcW w:w="3089"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电脑教室教学控制软件</w:t>
            </w:r>
          </w:p>
        </w:tc>
        <w:tc>
          <w:tcPr>
            <w:tcW w:w="11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套</w:t>
            </w:r>
          </w:p>
        </w:tc>
        <w:tc>
          <w:tcPr>
            <w:tcW w:w="1083"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12</w:t>
            </w:r>
          </w:p>
        </w:tc>
        <w:tc>
          <w:tcPr>
            <w:tcW w:w="2139" w:type="dxa"/>
          </w:tcPr>
          <w:p>
            <w:pPr>
              <w:jc w:val="right"/>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13</w:t>
            </w:r>
          </w:p>
        </w:tc>
        <w:tc>
          <w:tcPr>
            <w:tcW w:w="3089"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附件及系统集成（信息点）</w:t>
            </w:r>
          </w:p>
        </w:tc>
        <w:tc>
          <w:tcPr>
            <w:tcW w:w="11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套</w:t>
            </w:r>
          </w:p>
        </w:tc>
        <w:tc>
          <w:tcPr>
            <w:tcW w:w="1083"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533</w:t>
            </w:r>
          </w:p>
        </w:tc>
        <w:tc>
          <w:tcPr>
            <w:tcW w:w="2139" w:type="dxa"/>
          </w:tcPr>
          <w:p>
            <w:pPr>
              <w:jc w:val="left"/>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8"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14</w:t>
            </w:r>
          </w:p>
        </w:tc>
        <w:tc>
          <w:tcPr>
            <w:tcW w:w="3089"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陶瓷防静电地板</w:t>
            </w:r>
          </w:p>
        </w:tc>
        <w:tc>
          <w:tcPr>
            <w:tcW w:w="11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平方米</w:t>
            </w:r>
          </w:p>
          <w:p/>
        </w:tc>
        <w:tc>
          <w:tcPr>
            <w:tcW w:w="1083" w:type="dxa"/>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1200</w:t>
            </w:r>
          </w:p>
        </w:tc>
        <w:tc>
          <w:tcPr>
            <w:tcW w:w="2139" w:type="dxa"/>
          </w:tcPr>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安装面积按实结算（损耗考虑在综合报价中）</w:t>
            </w:r>
          </w:p>
        </w:tc>
      </w:tr>
    </w:tbl>
    <w:p>
      <w:pPr>
        <w:rPr>
          <w:sz w:val="24"/>
        </w:rPr>
      </w:pPr>
    </w:p>
    <w:p>
      <w:pPr>
        <w:pStyle w:val="5"/>
        <w:numPr>
          <w:ilvl w:val="0"/>
          <w:numId w:val="1"/>
        </w:numPr>
        <w:spacing w:line="400" w:lineRule="exact"/>
        <w:rPr>
          <w:rFonts w:ascii="宋体" w:hAnsi="宋体"/>
          <w:b w:val="0"/>
          <w:sz w:val="24"/>
          <w:szCs w:val="24"/>
        </w:rPr>
      </w:pPr>
      <w:r>
        <w:rPr>
          <w:rFonts w:hint="eastAsia" w:ascii="宋体" w:hAnsi="宋体"/>
          <w:b w:val="0"/>
          <w:sz w:val="24"/>
          <w:szCs w:val="24"/>
        </w:rPr>
        <w:t>技术参数要求</w:t>
      </w:r>
    </w:p>
    <w:p>
      <w:pPr>
        <w:rPr>
          <w:sz w:val="24"/>
        </w:rPr>
      </w:pPr>
    </w:p>
    <w:tbl>
      <w:tblPr>
        <w:tblStyle w:val="62"/>
        <w:tblW w:w="8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992"/>
        <w:gridCol w:w="6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83" w:type="dxa"/>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序号</w:t>
            </w:r>
          </w:p>
        </w:tc>
        <w:tc>
          <w:tcPr>
            <w:tcW w:w="992" w:type="dxa"/>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商品名称</w:t>
            </w:r>
          </w:p>
        </w:tc>
        <w:tc>
          <w:tcPr>
            <w:tcW w:w="6826" w:type="dxa"/>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dxa"/>
            <w:vAlign w:val="center"/>
          </w:tcPr>
          <w:p>
            <w:pPr>
              <w:numPr>
                <w:ilvl w:val="0"/>
                <w:numId w:val="2"/>
              </w:numPr>
              <w:jc w:val="center"/>
              <w:rPr>
                <w:rFonts w:ascii="宋体" w:hAnsi="宋体" w:cs="宋体"/>
                <w:color w:val="000000" w:themeColor="text1"/>
                <w:sz w:val="24"/>
                <w14:textFill>
                  <w14:solidFill>
                    <w14:schemeClr w14:val="tx1"/>
                  </w14:solidFill>
                </w14:textFill>
              </w:rPr>
            </w:pPr>
          </w:p>
        </w:tc>
        <w:tc>
          <w:tcPr>
            <w:tcW w:w="992" w:type="dxa"/>
            <w:vAlign w:val="center"/>
          </w:tcPr>
          <w:p>
            <w:pPr>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教师机1（</w:t>
            </w:r>
            <w:r>
              <w:rPr>
                <w:rFonts w:hint="eastAsia" w:ascii="宋体" w:hAnsi="宋体" w:cs="宋体"/>
                <w:color w:val="000000" w:themeColor="text1"/>
                <w:kern w:val="0"/>
                <w:sz w:val="24"/>
                <w:lang w:val="en-US" w:eastAsia="zh-CN"/>
                <w14:textFill>
                  <w14:solidFill>
                    <w14:schemeClr w14:val="tx1"/>
                  </w14:solidFill>
                </w14:textFill>
              </w:rPr>
              <w:t>I5</w:t>
            </w:r>
            <w:r>
              <w:rPr>
                <w:rFonts w:hint="eastAsia" w:ascii="宋体" w:hAnsi="宋体" w:cs="宋体"/>
                <w:color w:val="000000" w:themeColor="text1"/>
                <w:kern w:val="0"/>
                <w:sz w:val="24"/>
                <w14:textFill>
                  <w14:solidFill>
                    <w14:schemeClr w14:val="tx1"/>
                  </w14:solidFill>
                </w14:textFill>
              </w:rPr>
              <w:t>全套）</w:t>
            </w:r>
          </w:p>
        </w:tc>
        <w:tc>
          <w:tcPr>
            <w:tcW w:w="6826" w:type="dxa"/>
          </w:tcPr>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1．商用计算</w:t>
            </w:r>
            <w:r>
              <w:rPr>
                <w:rFonts w:ascii="宋体" w:hAnsi="宋体"/>
                <w:color w:val="000000" w:themeColor="text1"/>
                <w:sz w:val="24"/>
                <w14:textFill>
                  <w14:solidFill>
                    <w14:schemeClr w14:val="tx1"/>
                  </w14:solidFill>
                </w14:textFill>
              </w:rPr>
              <w:t>机；</w:t>
            </w:r>
            <w:r>
              <w:rPr>
                <w:rFonts w:hint="eastAsia" w:ascii="宋体" w:hAnsi="宋体"/>
                <w:color w:val="000000" w:themeColor="text1"/>
                <w:sz w:val="24"/>
                <w14:textFill>
                  <w14:solidFill>
                    <w14:schemeClr w14:val="tx1"/>
                  </w14:solidFill>
                </w14:textFill>
              </w:rPr>
              <w:t xml:space="preserve"> </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2．与主机同品牌，</w:t>
            </w:r>
            <w:r>
              <w:rPr>
                <w:rFonts w:hint="eastAsia"/>
                <w:lang w:val="en-US" w:eastAsia="zh-CN"/>
              </w:rPr>
              <w:t>＞21寸</w:t>
            </w:r>
            <w:r>
              <w:rPr>
                <w:rFonts w:hint="eastAsia" w:ascii="宋体" w:hAnsi="宋体"/>
                <w:color w:val="000000" w:themeColor="text1"/>
                <w:sz w:val="24"/>
                <w14:textFill>
                  <w14:solidFill>
                    <w14:schemeClr w14:val="tx1"/>
                  </w14:solidFill>
                </w14:textFill>
              </w:rPr>
              <w:t>宽屏防眩光液晶显示器</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（通过TUV低蓝光护眼认证）</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分辨率：1920*1080，仰角可调节</w:t>
            </w:r>
            <w:r>
              <w:rPr>
                <w:rFonts w:hint="eastAsia" w:ascii="仿宋" w:hAnsi="仿宋" w:eastAsia="仿宋" w:cs="仿宋"/>
                <w:color w:val="000000" w:themeColor="text1"/>
                <w:sz w:val="24"/>
                <w14:textFill>
                  <w14:solidFill>
                    <w14:schemeClr w14:val="tx1"/>
                  </w14:solidFill>
                </w14:textFill>
              </w:rPr>
              <w:t>。</w:t>
            </w:r>
          </w:p>
          <w:p>
            <w:pPr>
              <w:contextualSpacing/>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．▲Intel B660或H670芯片组相当或以上的。</w:t>
            </w:r>
          </w:p>
          <w:p>
            <w:pPr>
              <w:contextualSpacing/>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．▲C</w:t>
            </w:r>
            <w:r>
              <w:rPr>
                <w:rFonts w:ascii="宋体" w:hAnsi="宋体"/>
                <w:color w:val="000000" w:themeColor="text1"/>
                <w:sz w:val="24"/>
                <w14:textFill>
                  <w14:solidFill>
                    <w14:schemeClr w14:val="tx1"/>
                  </w14:solidFill>
                </w14:textFill>
              </w:rPr>
              <w:t>PU</w:t>
            </w:r>
            <w:r>
              <w:rPr>
                <w:rFonts w:hint="eastAsia" w:ascii="宋体" w:hAnsi="宋体"/>
                <w:color w:val="000000" w:themeColor="text1"/>
                <w:sz w:val="24"/>
                <w14:textFill>
                  <w14:solidFill>
                    <w14:schemeClr w14:val="tx1"/>
                  </w14:solidFill>
                </w14:textFill>
              </w:rPr>
              <w:t>英特尔酷睿</w:t>
            </w:r>
            <w:r>
              <w:rPr>
                <w:rFonts w:hint="eastAsia"/>
                <w:color w:val="000000" w:themeColor="text1"/>
                <w14:textFill>
                  <w14:solidFill>
                    <w14:schemeClr w14:val="tx1"/>
                  </w14:solidFill>
                </w14:textFill>
              </w:rPr>
              <w:t>i5-12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00</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u w:val="single"/>
                <w:lang w:val="en-US" w:eastAsia="zh-CN"/>
                <w14:textFill>
                  <w14:solidFill>
                    <w14:schemeClr w14:val="tx1"/>
                  </w14:solidFill>
                </w14:textFill>
              </w:rPr>
              <w:t>3</w:t>
            </w:r>
            <w:r>
              <w:rPr>
                <w:rFonts w:hint="eastAsia" w:ascii="宋体" w:hAnsi="宋体"/>
                <w:color w:val="000000" w:themeColor="text1"/>
                <w:sz w:val="24"/>
                <w:u w:val="single"/>
                <w14:textFill>
                  <w14:solidFill>
                    <w14:schemeClr w14:val="tx1"/>
                  </w14:solidFill>
                </w14:textFill>
              </w:rPr>
              <w:t>G</w:t>
            </w:r>
            <w:r>
              <w:rPr>
                <w:rFonts w:hint="eastAsia" w:ascii="宋体" w:hAnsi="宋体"/>
                <w:color w:val="000000" w:themeColor="text1"/>
                <w:sz w:val="24"/>
                <w14:textFill>
                  <w14:solidFill>
                    <w14:schemeClr w14:val="tx1"/>
                  </w14:solidFill>
                </w14:textFill>
              </w:rPr>
              <w:t>/18M/6核)</w:t>
            </w:r>
            <w:r>
              <w:rPr>
                <w:rFonts w:hint="eastAsia"/>
                <w:color w:val="000000" w:themeColor="text1"/>
                <w:sz w:val="24"/>
                <w14:textFill>
                  <w14:solidFill>
                    <w14:schemeClr w14:val="tx1"/>
                  </w14:solidFill>
                </w14:textFill>
              </w:rPr>
              <w:t>或以上</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w:t>
            </w:r>
          </w:p>
          <w:p>
            <w:pPr>
              <w:contextualSpacing/>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．▲内存≥</w:t>
            </w:r>
            <w:r>
              <w:rPr>
                <w:rFonts w:ascii="宋体" w:hAnsi="宋体"/>
                <w:color w:val="000000" w:themeColor="text1"/>
                <w:sz w:val="24"/>
                <w14:textFill>
                  <w14:solidFill>
                    <w14:schemeClr w14:val="tx1"/>
                  </w14:solidFill>
                </w14:textFill>
              </w:rPr>
              <w:t>8</w:t>
            </w:r>
            <w:r>
              <w:rPr>
                <w:rFonts w:hint="eastAsia" w:ascii="宋体" w:hAnsi="宋体"/>
                <w:color w:val="000000" w:themeColor="text1"/>
                <w:sz w:val="24"/>
                <w14:textFill>
                  <w14:solidFill>
                    <w14:schemeClr w14:val="tx1"/>
                  </w14:solidFill>
                </w14:textFill>
              </w:rPr>
              <w:t>G（单条） DDR4 3200Mhz</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支持双内存条插槽。</w:t>
            </w:r>
          </w:p>
          <w:p>
            <w:pPr>
              <w:contextualSpacing/>
              <w:jc w:val="left"/>
              <w:rPr>
                <w:rFonts w:ascii="宋体" w:hAnsi="宋体"/>
                <w:color w:val="FF0000"/>
                <w:sz w:val="24"/>
              </w:rPr>
            </w:pPr>
            <w:r>
              <w:rPr>
                <w:rFonts w:ascii="宋体" w:hAnsi="宋体"/>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．立式机箱，机箱钢板厚度尺寸≥0.7mm。</w:t>
            </w:r>
            <w:r>
              <w:rPr>
                <w:rFonts w:ascii="宋体" w:hAnsi="宋体"/>
                <w:color w:val="FF0000"/>
                <w:sz w:val="24"/>
              </w:rPr>
              <w:t xml:space="preserve"> </w:t>
            </w:r>
          </w:p>
          <w:p>
            <w:pPr>
              <w:contextualSpacing/>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7</w:t>
            </w:r>
            <w:r>
              <w:rPr>
                <w:rFonts w:hint="eastAsia" w:ascii="宋体" w:hAnsi="宋体"/>
                <w:color w:val="000000" w:themeColor="text1"/>
                <w:sz w:val="24"/>
                <w14:textFill>
                  <w14:solidFill>
                    <w14:schemeClr w14:val="tx1"/>
                  </w14:solidFill>
                </w14:textFill>
              </w:rPr>
              <w:t>. M.2接口PCIe NVme硬盘容量≥</w:t>
            </w:r>
            <w:r>
              <w:rPr>
                <w:rFonts w:ascii="宋体" w:hAnsi="宋体"/>
                <w:color w:val="000000" w:themeColor="text1"/>
                <w:sz w:val="24"/>
                <w14:textFill>
                  <w14:solidFill>
                    <w14:schemeClr w14:val="tx1"/>
                  </w14:solidFill>
                </w14:textFill>
              </w:rPr>
              <w:t>256</w:t>
            </w:r>
            <w:r>
              <w:rPr>
                <w:rFonts w:hint="eastAsia" w:ascii="宋体" w:hAnsi="宋体"/>
                <w:color w:val="000000" w:themeColor="text1"/>
                <w:sz w:val="24"/>
                <w14:textFill>
                  <w14:solidFill>
                    <w14:schemeClr w14:val="tx1"/>
                  </w14:solidFill>
                </w14:textFill>
              </w:rPr>
              <w:t>G固态硬盘+</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T机械硬盘，支持SATA硬盘接口；支持双硬盘同时使用；</w:t>
            </w:r>
          </w:p>
          <w:p>
            <w:pPr>
              <w:contextualSpacing/>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8</w:t>
            </w:r>
            <w:r>
              <w:rPr>
                <w:rFonts w:hint="eastAsia" w:ascii="宋体" w:hAnsi="宋体"/>
                <w:color w:val="000000" w:themeColor="text1"/>
                <w:sz w:val="24"/>
                <w14:textFill>
                  <w14:solidFill>
                    <w14:schemeClr w14:val="tx1"/>
                  </w14:solidFill>
                </w14:textFill>
              </w:rPr>
              <w:t>．</w:t>
            </w:r>
            <w:r>
              <w:rPr>
                <w:rFonts w:hint="eastAsia" w:ascii="宋体" w:hAnsi="宋体"/>
                <w:color w:val="auto"/>
                <w:sz w:val="24"/>
              </w:rPr>
              <w:t>Intel 730集成显卡</w:t>
            </w:r>
            <w:r>
              <w:rPr>
                <w:rFonts w:hint="eastAsia" w:ascii="宋体" w:hAnsi="宋体"/>
                <w:color w:val="000000" w:themeColor="text1"/>
                <w:sz w:val="24"/>
                <w14:textFill>
                  <w14:solidFill>
                    <w14:schemeClr w14:val="tx1"/>
                  </w14:solidFill>
                </w14:textFill>
              </w:rPr>
              <w:t>或以上，要求支持双屏显示；</w:t>
            </w:r>
          </w:p>
          <w:p>
            <w:pPr>
              <w:contextualSpacing/>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9</w:t>
            </w:r>
            <w:r>
              <w:rPr>
                <w:rFonts w:hint="eastAsia" w:ascii="宋体" w:hAnsi="宋体"/>
                <w:color w:val="000000" w:themeColor="text1"/>
                <w:sz w:val="24"/>
                <w14:textFill>
                  <w14:solidFill>
                    <w14:schemeClr w14:val="tx1"/>
                  </w14:solidFill>
                </w14:textFill>
              </w:rPr>
              <w:t>．USB接口总数≥6个 （其中：USB3.2及以上端口≥</w:t>
            </w: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个）；高清接口≥1个</w:t>
            </w:r>
            <w:r>
              <w:rPr>
                <w:rFonts w:hint="eastAsia" w:ascii="宋体" w:hAnsi="宋体"/>
                <w:color w:val="auto"/>
                <w:sz w:val="24"/>
              </w:rPr>
              <w:t>,VGA端口≥1个；</w:t>
            </w:r>
            <w:r>
              <w:rPr>
                <w:rFonts w:hint="eastAsia" w:ascii="宋体" w:hAnsi="宋体"/>
                <w:color w:val="000000" w:themeColor="text1"/>
                <w:sz w:val="24"/>
                <w14:textFill>
                  <w14:solidFill>
                    <w14:schemeClr w14:val="tx1"/>
                  </w14:solidFill>
                </w14:textFill>
              </w:rPr>
              <w:t>音频输入输出口。</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0</w:t>
            </w:r>
            <w:r>
              <w:rPr>
                <w:rFonts w:hint="eastAsia" w:ascii="宋体" w:hAnsi="宋体"/>
                <w:color w:val="000000" w:themeColor="text1"/>
                <w:sz w:val="24"/>
                <w14:textFill>
                  <w14:solidFill>
                    <w14:schemeClr w14:val="tx1"/>
                  </w14:solidFill>
                </w14:textFill>
              </w:rPr>
              <w:t>．10/100/1000M以太网卡；</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．电源≥240W内置电源、能效≥85%，具有国家级电源典型效率认证；</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．与主机同品牌原厂抗菌防水USB键盘/光电鼠标。</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．出厂</w:t>
            </w:r>
            <w:r>
              <w:rPr>
                <w:rFonts w:hint="eastAsia"/>
                <w:color w:val="000000" w:themeColor="text1"/>
                <w:sz w:val="24"/>
                <w14:textFill>
                  <w14:solidFill>
                    <w14:schemeClr w14:val="tx1"/>
                  </w14:solidFill>
                </w14:textFill>
              </w:rPr>
              <w:t>预装</w:t>
            </w:r>
            <w:r>
              <w:rPr>
                <w:rFonts w:hint="eastAsia" w:ascii="宋体" w:hAnsi="宋体"/>
                <w:color w:val="000000" w:themeColor="text1"/>
                <w:sz w:val="24"/>
                <w14:textFill>
                  <w14:solidFill>
                    <w14:schemeClr w14:val="tx1"/>
                  </w14:solidFill>
                </w14:textFill>
              </w:rPr>
              <w:t xml:space="preserve"> Windows10或以上（64位）中文版； </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．权威检验中心出具的MTBF平均无故障时间 ≥</w:t>
            </w:r>
            <w:r>
              <w:rPr>
                <w:rFonts w:ascii="宋体" w:hAnsi="宋体"/>
                <w:color w:val="000000" w:themeColor="text1"/>
                <w:sz w:val="24"/>
                <w14:textFill>
                  <w14:solidFill>
                    <w14:schemeClr w14:val="tx1"/>
                  </w14:solidFill>
                </w14:textFill>
              </w:rPr>
              <w:t>100</w:t>
            </w:r>
            <w:r>
              <w:rPr>
                <w:rFonts w:hint="eastAsia" w:ascii="宋体" w:hAnsi="宋体"/>
                <w:color w:val="000000" w:themeColor="text1"/>
                <w:sz w:val="24"/>
                <w14:textFill>
                  <w14:solidFill>
                    <w14:schemeClr w14:val="tx1"/>
                  </w14:solidFill>
                </w14:textFill>
              </w:rPr>
              <w:t>0000小时，提供证书</w:t>
            </w:r>
            <w:r>
              <w:rPr>
                <w:rFonts w:hint="eastAsia" w:ascii="宋体" w:hAnsi="宋体"/>
                <w:color w:val="000000" w:themeColor="text1"/>
                <w:sz w:val="24"/>
                <w:lang w:eastAsia="zh-CN"/>
                <w14:textFill>
                  <w14:solidFill>
                    <w14:schemeClr w14:val="tx1"/>
                  </w14:solidFill>
                </w14:textFill>
              </w:rPr>
              <w:t>原件或复印件扫描件</w:t>
            </w:r>
            <w:r>
              <w:rPr>
                <w:rFonts w:hint="eastAsia" w:ascii="宋体" w:hAnsi="宋体"/>
                <w:color w:val="000000" w:themeColor="text1"/>
                <w:sz w:val="24"/>
                <w14:textFill>
                  <w14:solidFill>
                    <w14:schemeClr w14:val="tx1"/>
                  </w14:solidFill>
                </w14:textFill>
              </w:rPr>
              <w:t>；</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15．主板集成硬盘保护、网络同传功能。</w:t>
            </w:r>
          </w:p>
          <w:p>
            <w:pPr>
              <w:contextualSpacing/>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6．整机（含显示器）三年质保，质保期内免费上门服务，通过序列号官网可查询质保服务内容，签订合同前提供原厂家针对该项目的售后服务承诺书</w:t>
            </w:r>
          </w:p>
          <w:p>
            <w:pPr>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17</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产品整机通过国家强制3C认证，提供证书</w:t>
            </w:r>
            <w:r>
              <w:rPr>
                <w:rFonts w:hint="eastAsia" w:ascii="宋体" w:hAnsi="宋体"/>
                <w:color w:val="000000" w:themeColor="text1"/>
                <w:sz w:val="24"/>
                <w:lang w:eastAsia="zh-CN"/>
                <w14:textFill>
                  <w14:solidFill>
                    <w14:schemeClr w14:val="tx1"/>
                  </w14:solidFill>
                </w14:textFill>
              </w:rPr>
              <w:t>原件或复印件扫描件</w:t>
            </w:r>
            <w:r>
              <w:rPr>
                <w:rFonts w:hint="eastAsia" w:ascii="宋体" w:hAnsi="宋体"/>
                <w:color w:val="000000" w:themeColor="text1"/>
                <w:sz w:val="24"/>
                <w14:textFill>
                  <w14:solidFill>
                    <w14:schemeClr w14:val="tx1"/>
                  </w14:solidFill>
                </w14:textFill>
              </w:rPr>
              <w:t>。</w:t>
            </w:r>
          </w:p>
          <w:p>
            <w:pPr>
              <w:contextualSpacing/>
              <w:jc w:val="left"/>
              <w:rPr>
                <w:rFonts w:ascii="宋体" w:hAnsi="宋体"/>
                <w:b/>
                <w:bCs/>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18. 产品整机需原厂出品，不支持另外加装。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83" w:type="dxa"/>
            <w:vAlign w:val="center"/>
          </w:tcPr>
          <w:p>
            <w:pPr>
              <w:numPr>
                <w:ilvl w:val="0"/>
                <w:numId w:val="2"/>
              </w:numPr>
              <w:jc w:val="center"/>
              <w:rPr>
                <w:rFonts w:ascii="宋体" w:hAnsi="宋体"/>
                <w:color w:val="000000" w:themeColor="text1"/>
                <w:sz w:val="24"/>
                <w14:textFill>
                  <w14:solidFill>
                    <w14:schemeClr w14:val="tx1"/>
                  </w14:solidFill>
                </w14:textFill>
              </w:rPr>
            </w:pPr>
          </w:p>
        </w:tc>
        <w:tc>
          <w:tcPr>
            <w:tcW w:w="992" w:type="dxa"/>
            <w:vAlign w:val="center"/>
          </w:tcPr>
          <w:p>
            <w:pPr>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教师机2（</w:t>
            </w:r>
            <w:r>
              <w:rPr>
                <w:rFonts w:hint="eastAsia" w:ascii="宋体" w:hAnsi="宋体" w:cs="宋体"/>
                <w:color w:val="000000" w:themeColor="text1"/>
                <w:kern w:val="0"/>
                <w:sz w:val="24"/>
                <w:lang w:val="en-US" w:eastAsia="zh-CN"/>
                <w14:textFill>
                  <w14:solidFill>
                    <w14:schemeClr w14:val="tx1"/>
                  </w14:solidFill>
                </w14:textFill>
              </w:rPr>
              <w:t>I5</w:t>
            </w:r>
            <w:r>
              <w:rPr>
                <w:rFonts w:hint="eastAsia" w:ascii="宋体" w:hAnsi="宋体" w:cs="宋体"/>
                <w:color w:val="000000" w:themeColor="text1"/>
                <w:kern w:val="0"/>
                <w:sz w:val="24"/>
                <w14:textFill>
                  <w14:solidFill>
                    <w14:schemeClr w14:val="tx1"/>
                  </w14:solidFill>
                </w14:textFill>
              </w:rPr>
              <w:t>主机）</w:t>
            </w:r>
          </w:p>
        </w:tc>
        <w:tc>
          <w:tcPr>
            <w:tcW w:w="6826" w:type="dxa"/>
          </w:tcPr>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1．商用计算</w:t>
            </w:r>
            <w:r>
              <w:rPr>
                <w:rFonts w:ascii="宋体" w:hAnsi="宋体"/>
                <w:color w:val="000000" w:themeColor="text1"/>
                <w:sz w:val="24"/>
                <w14:textFill>
                  <w14:solidFill>
                    <w14:schemeClr w14:val="tx1"/>
                  </w14:solidFill>
                </w14:textFill>
              </w:rPr>
              <w:t>机；</w:t>
            </w:r>
            <w:r>
              <w:rPr>
                <w:rFonts w:hint="eastAsia" w:ascii="宋体" w:hAnsi="宋体"/>
                <w:color w:val="000000" w:themeColor="text1"/>
                <w:sz w:val="24"/>
                <w14:textFill>
                  <w14:solidFill>
                    <w14:schemeClr w14:val="tx1"/>
                  </w14:solidFill>
                </w14:textFill>
              </w:rPr>
              <w:t xml:space="preserve"> </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2．▲Intel B660或H670芯片组相当或以上的。</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3．▲C</w:t>
            </w:r>
            <w:r>
              <w:rPr>
                <w:rFonts w:ascii="宋体" w:hAnsi="宋体"/>
                <w:color w:val="000000" w:themeColor="text1"/>
                <w:sz w:val="24"/>
                <w14:textFill>
                  <w14:solidFill>
                    <w14:schemeClr w14:val="tx1"/>
                  </w14:solidFill>
                </w14:textFill>
              </w:rPr>
              <w:t>PU</w:t>
            </w:r>
            <w:r>
              <w:rPr>
                <w:rFonts w:hint="eastAsia" w:ascii="宋体" w:hAnsi="宋体"/>
                <w:color w:val="000000" w:themeColor="text1"/>
                <w:sz w:val="24"/>
                <w14:textFill>
                  <w14:solidFill>
                    <w14:schemeClr w14:val="tx1"/>
                  </w14:solidFill>
                </w14:textFill>
              </w:rPr>
              <w:t>英特尔酷睿</w:t>
            </w:r>
            <w:r>
              <w:rPr>
                <w:rFonts w:hint="eastAsia"/>
                <w:color w:val="000000" w:themeColor="text1"/>
                <w14:textFill>
                  <w14:solidFill>
                    <w14:schemeClr w14:val="tx1"/>
                  </w14:solidFill>
                </w14:textFill>
              </w:rPr>
              <w:t>i5-12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00</w:t>
            </w:r>
            <w:r>
              <w:rPr>
                <w:rFonts w:hint="eastAsia"/>
                <w:color w:val="000000" w:themeColor="text1"/>
                <w:lang w:eastAsia="zh-CN"/>
                <w14:textFill>
                  <w14:solidFill>
                    <w14:schemeClr w14:val="tx1"/>
                  </w14:solidFill>
                </w14:textFill>
              </w:rPr>
              <w:t>（</w:t>
            </w:r>
            <w:r>
              <w:rPr>
                <w:rFonts w:hint="eastAsia" w:ascii="宋体" w:hAnsi="宋体"/>
                <w:color w:val="000000" w:themeColor="text1"/>
                <w:sz w:val="24"/>
                <w:u w:val="single"/>
                <w:lang w:val="en-US" w:eastAsia="zh-CN"/>
                <w14:textFill>
                  <w14:solidFill>
                    <w14:schemeClr w14:val="tx1"/>
                  </w14:solidFill>
                </w14:textFill>
              </w:rPr>
              <w:t>3.0</w:t>
            </w:r>
            <w:r>
              <w:rPr>
                <w:rFonts w:hint="eastAsia" w:ascii="宋体" w:hAnsi="宋体"/>
                <w:color w:val="000000" w:themeColor="text1"/>
                <w:sz w:val="24"/>
                <w:u w:val="single"/>
                <w14:textFill>
                  <w14:solidFill>
                    <w14:schemeClr w14:val="tx1"/>
                  </w14:solidFill>
                </w14:textFill>
              </w:rPr>
              <w:t>G</w:t>
            </w:r>
            <w:r>
              <w:rPr>
                <w:rFonts w:hint="eastAsia" w:ascii="宋体" w:hAnsi="宋体"/>
                <w:color w:val="000000" w:themeColor="text1"/>
                <w:sz w:val="24"/>
                <w14:textFill>
                  <w14:solidFill>
                    <w14:schemeClr w14:val="tx1"/>
                  </w14:solidFill>
                </w14:textFill>
              </w:rPr>
              <w:t>/18M/6核)</w:t>
            </w:r>
            <w:r>
              <w:rPr>
                <w:rFonts w:hint="eastAsia"/>
                <w:color w:val="000000" w:themeColor="text1"/>
                <w:sz w:val="24"/>
                <w14:textFill>
                  <w14:solidFill>
                    <w14:schemeClr w14:val="tx1"/>
                  </w14:solidFill>
                </w14:textFill>
              </w:rPr>
              <w:t>或以上</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4．▲内存≥</w:t>
            </w:r>
            <w:r>
              <w:rPr>
                <w:rFonts w:ascii="宋体" w:hAnsi="宋体"/>
                <w:color w:val="000000" w:themeColor="text1"/>
                <w:sz w:val="24"/>
                <w14:textFill>
                  <w14:solidFill>
                    <w14:schemeClr w14:val="tx1"/>
                  </w14:solidFill>
                </w14:textFill>
              </w:rPr>
              <w:t>8</w:t>
            </w:r>
            <w:r>
              <w:rPr>
                <w:rFonts w:hint="eastAsia" w:ascii="宋体" w:hAnsi="宋体"/>
                <w:color w:val="000000" w:themeColor="text1"/>
                <w:sz w:val="24"/>
                <w14:textFill>
                  <w14:solidFill>
                    <w14:schemeClr w14:val="tx1"/>
                  </w14:solidFill>
                </w14:textFill>
              </w:rPr>
              <w:t>G（单条） DDR4 3200Mhz</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支持双内存条插槽。</w:t>
            </w:r>
          </w:p>
          <w:p>
            <w:pPr>
              <w:contextualSpacing/>
              <w:jc w:val="left"/>
              <w:rPr>
                <w:rFonts w:hint="eastAsia" w:ascii="宋体" w:hAnsi="宋体" w:eastAsia="宋体"/>
                <w:color w:val="000000" w:themeColor="text1"/>
                <w:sz w:val="24"/>
                <w:lang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5．立式机箱</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14:textFill>
                  <w14:solidFill>
                    <w14:schemeClr w14:val="tx1"/>
                  </w14:solidFill>
                </w14:textFill>
              </w:rPr>
              <w:t>机箱钢板厚度尺寸≥0.7mm。</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 M.2接口PCIe NVme硬盘容量≥</w:t>
            </w:r>
            <w:r>
              <w:rPr>
                <w:rFonts w:ascii="宋体" w:hAnsi="宋体"/>
                <w:color w:val="000000" w:themeColor="text1"/>
                <w:sz w:val="24"/>
                <w14:textFill>
                  <w14:solidFill>
                    <w14:schemeClr w14:val="tx1"/>
                  </w14:solidFill>
                </w14:textFill>
              </w:rPr>
              <w:t>256</w:t>
            </w:r>
            <w:r>
              <w:rPr>
                <w:rFonts w:hint="eastAsia" w:ascii="宋体" w:hAnsi="宋体"/>
                <w:color w:val="000000" w:themeColor="text1"/>
                <w:sz w:val="24"/>
                <w14:textFill>
                  <w14:solidFill>
                    <w14:schemeClr w14:val="tx1"/>
                  </w14:solidFill>
                </w14:textFill>
              </w:rPr>
              <w:t>G固态硬盘+</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T机械硬盘，支持SATA硬盘接口；支持双硬盘同时使用；</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7．Intel 730集成显卡或以上，要求支持双屏显示；</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8．USB接口总数≥6个 （其中：USB3.2及以上端口≥</w:t>
            </w: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个）；高清接口≥1个,</w:t>
            </w:r>
            <w:r>
              <w:rPr>
                <w:rFonts w:hint="eastAsia" w:ascii="宋体" w:hAnsi="宋体"/>
                <w:color w:val="auto"/>
                <w:sz w:val="24"/>
              </w:rPr>
              <w:t>VGA端口≥1个；</w:t>
            </w:r>
            <w:r>
              <w:rPr>
                <w:rFonts w:hint="eastAsia" w:ascii="宋体" w:hAnsi="宋体"/>
                <w:color w:val="000000" w:themeColor="text1"/>
                <w:sz w:val="24"/>
                <w14:textFill>
                  <w14:solidFill>
                    <w14:schemeClr w14:val="tx1"/>
                  </w14:solidFill>
                </w14:textFill>
              </w:rPr>
              <w:t>音频输入输出口。</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9．10/100/1000M以太网卡；</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10．电源≥240W内置电源、能效≥85%，具有国家级电源典型效率认证；</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11．与主机同品牌原厂抗菌防水USB键盘/光电鼠标。</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12．出厂</w:t>
            </w:r>
            <w:r>
              <w:rPr>
                <w:rFonts w:hint="eastAsia"/>
                <w:color w:val="000000" w:themeColor="text1"/>
                <w:sz w:val="24"/>
                <w14:textFill>
                  <w14:solidFill>
                    <w14:schemeClr w14:val="tx1"/>
                  </w14:solidFill>
                </w14:textFill>
              </w:rPr>
              <w:t>预装</w:t>
            </w:r>
            <w:r>
              <w:rPr>
                <w:rFonts w:hint="eastAsia" w:ascii="宋体" w:hAnsi="宋体"/>
                <w:color w:val="000000" w:themeColor="text1"/>
                <w:sz w:val="24"/>
                <w14:textFill>
                  <w14:solidFill>
                    <w14:schemeClr w14:val="tx1"/>
                  </w14:solidFill>
                </w14:textFill>
              </w:rPr>
              <w:t xml:space="preserve"> Windows10或以上（64位）中文版； </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13．权威检验中心出具的MTBF平均无故障时间 ≥</w:t>
            </w:r>
            <w:r>
              <w:rPr>
                <w:rFonts w:ascii="宋体" w:hAnsi="宋体"/>
                <w:color w:val="000000" w:themeColor="text1"/>
                <w:sz w:val="24"/>
                <w14:textFill>
                  <w14:solidFill>
                    <w14:schemeClr w14:val="tx1"/>
                  </w14:solidFill>
                </w14:textFill>
              </w:rPr>
              <w:t>100</w:t>
            </w:r>
            <w:r>
              <w:rPr>
                <w:rFonts w:hint="eastAsia" w:ascii="宋体" w:hAnsi="宋体"/>
                <w:color w:val="000000" w:themeColor="text1"/>
                <w:sz w:val="24"/>
                <w14:textFill>
                  <w14:solidFill>
                    <w14:schemeClr w14:val="tx1"/>
                  </w14:solidFill>
                </w14:textFill>
              </w:rPr>
              <w:t>0000小时，提供证书</w:t>
            </w:r>
            <w:r>
              <w:rPr>
                <w:rFonts w:hint="eastAsia" w:ascii="宋体" w:hAnsi="宋体"/>
                <w:color w:val="000000" w:themeColor="text1"/>
                <w:sz w:val="24"/>
                <w:lang w:eastAsia="zh-CN"/>
                <w14:textFill>
                  <w14:solidFill>
                    <w14:schemeClr w14:val="tx1"/>
                  </w14:solidFill>
                </w14:textFill>
              </w:rPr>
              <w:t>原件或复印件扫描件</w:t>
            </w:r>
            <w:r>
              <w:rPr>
                <w:rFonts w:hint="eastAsia" w:ascii="宋体" w:hAnsi="宋体"/>
                <w:color w:val="000000" w:themeColor="text1"/>
                <w:sz w:val="24"/>
                <w14:textFill>
                  <w14:solidFill>
                    <w14:schemeClr w14:val="tx1"/>
                  </w14:solidFill>
                </w14:textFill>
              </w:rPr>
              <w:t>；</w:t>
            </w:r>
          </w:p>
          <w:p>
            <w:pPr>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14．主板集成硬盘保护、网络同传功能。</w:t>
            </w:r>
          </w:p>
          <w:p>
            <w:pPr>
              <w:contextualSpacing/>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5．整机（含显示器）三年质保，质保期内免费上门服务，通过序列号官网可查询质保服务内容，签订合同前提供原厂家针对该项目的售后服务承诺书</w:t>
            </w:r>
          </w:p>
          <w:p>
            <w:pPr>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16</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产品整机通过国家强制3C认证，提供证书</w:t>
            </w:r>
            <w:r>
              <w:rPr>
                <w:rFonts w:hint="eastAsia" w:ascii="宋体" w:hAnsi="宋体"/>
                <w:color w:val="000000" w:themeColor="text1"/>
                <w:sz w:val="24"/>
                <w:lang w:eastAsia="zh-CN"/>
                <w14:textFill>
                  <w14:solidFill>
                    <w14:schemeClr w14:val="tx1"/>
                  </w14:solidFill>
                </w14:textFill>
              </w:rPr>
              <w:t>原件或复印件扫描件</w:t>
            </w:r>
            <w:r>
              <w:rPr>
                <w:rFonts w:hint="eastAsia" w:ascii="宋体" w:hAnsi="宋体"/>
                <w:color w:val="000000" w:themeColor="text1"/>
                <w:sz w:val="24"/>
                <w14:textFill>
                  <w14:solidFill>
                    <w14:schemeClr w14:val="tx1"/>
                  </w14:solidFill>
                </w14:textFill>
              </w:rPr>
              <w:t>。</w:t>
            </w:r>
          </w:p>
          <w:p>
            <w:pPr>
              <w:contextualSpacing/>
              <w:jc w:val="left"/>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17. 产品整机需原厂出品，不支持另外加装。</w:t>
            </w:r>
            <w:r>
              <w:rPr>
                <w:color w:val="000000" w:themeColor="text1"/>
                <w:sz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0" w:hRule="atLeast"/>
          <w:jc w:val="center"/>
        </w:trPr>
        <w:tc>
          <w:tcPr>
            <w:tcW w:w="483" w:type="dxa"/>
            <w:vAlign w:val="center"/>
          </w:tcPr>
          <w:p>
            <w:pPr>
              <w:numPr>
                <w:ilvl w:val="0"/>
                <w:numId w:val="2"/>
              </w:numPr>
              <w:jc w:val="center"/>
              <w:rPr>
                <w:rFonts w:ascii="宋体" w:hAnsi="宋体"/>
                <w:color w:val="000000" w:themeColor="text1"/>
                <w:sz w:val="24"/>
                <w14:textFill>
                  <w14:solidFill>
                    <w14:schemeClr w14:val="tx1"/>
                  </w14:solidFill>
                </w14:textFill>
              </w:rPr>
            </w:pPr>
          </w:p>
        </w:tc>
        <w:tc>
          <w:tcPr>
            <w:tcW w:w="992" w:type="dxa"/>
            <w:vAlign w:val="center"/>
          </w:tcPr>
          <w:p>
            <w:pPr>
              <w:jc w:val="center"/>
              <w:rPr>
                <w:rFonts w:ascii="宋体" w:hAnsi="宋体" w:cs="宋体"/>
                <w:color w:val="000000" w:themeColor="text1"/>
                <w:kern w:val="0"/>
                <w:sz w:val="24"/>
                <w14:textFill>
                  <w14:solidFill>
                    <w14:schemeClr w14:val="tx1"/>
                  </w14:solidFill>
                </w14:textFill>
              </w:rPr>
            </w:pPr>
            <w:r>
              <w:rPr>
                <w:rFonts w:hint="eastAsia" w:ascii="宋体" w:hAnsi="宋体"/>
                <w:color w:val="000000" w:themeColor="text1"/>
                <w:sz w:val="24"/>
                <w14:textFill>
                  <w14:solidFill>
                    <w14:schemeClr w14:val="tx1"/>
                  </w14:solidFill>
                </w14:textFill>
              </w:rPr>
              <w:t>学生计算机1</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en-US" w:eastAsia="zh-CN"/>
                <w14:textFill>
                  <w14:solidFill>
                    <w14:schemeClr w14:val="tx1"/>
                  </w14:solidFill>
                </w14:textFill>
              </w:rPr>
              <w:t>I5</w:t>
            </w:r>
            <w:r>
              <w:rPr>
                <w:rFonts w:hint="eastAsia" w:ascii="宋体" w:hAnsi="宋体" w:cs="宋体"/>
                <w:color w:val="000000" w:themeColor="text1"/>
                <w:kern w:val="0"/>
                <w:sz w:val="24"/>
                <w14:textFill>
                  <w14:solidFill>
                    <w14:schemeClr w14:val="tx1"/>
                  </w14:solidFill>
                </w14:textFill>
              </w:rPr>
              <w:t>全套）</w:t>
            </w:r>
          </w:p>
        </w:tc>
        <w:tc>
          <w:tcPr>
            <w:tcW w:w="6826" w:type="dxa"/>
          </w:tcPr>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1．商用计算机； </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2．与主机同品牌，</w:t>
            </w:r>
            <w:r>
              <w:rPr>
                <w:rFonts w:hint="eastAsia"/>
                <w:lang w:val="en-US" w:eastAsia="zh-CN"/>
              </w:rPr>
              <w:t>＞21寸</w:t>
            </w:r>
            <w:r>
              <w:rPr>
                <w:rFonts w:hint="eastAsia"/>
                <w:color w:val="000000" w:themeColor="text1"/>
                <w:sz w:val="24"/>
                <w14:textFill>
                  <w14:solidFill>
                    <w14:schemeClr w14:val="tx1"/>
                  </w14:solidFill>
                </w14:textFill>
              </w:rPr>
              <w:t>宽屏防眩光液晶显示器，（通过TUV低蓝光护眼认证）；分辨率：1920*1080，仰角可调节。</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3．▲Intel </w:t>
            </w:r>
            <w:r>
              <w:rPr>
                <w:rFonts w:hint="eastAsia" w:ascii="宋体" w:hAnsi="宋体"/>
                <w:color w:val="000000" w:themeColor="text1"/>
                <w:sz w:val="24"/>
                <w14:textFill>
                  <w14:solidFill>
                    <w14:schemeClr w14:val="tx1"/>
                  </w14:solidFill>
                </w14:textFill>
              </w:rPr>
              <w:t>B660或H670</w:t>
            </w:r>
            <w:r>
              <w:rPr>
                <w:rFonts w:hint="eastAsia"/>
                <w:color w:val="000000" w:themeColor="text1"/>
                <w:sz w:val="24"/>
                <w14:textFill>
                  <w14:solidFill>
                    <w14:schemeClr w14:val="tx1"/>
                  </w14:solidFill>
                </w14:textFill>
              </w:rPr>
              <w:t>芯片组相当或以上的。</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4．▲CPU英特尔酷睿</w:t>
            </w:r>
            <w:r>
              <w:rPr>
                <w:rFonts w:hint="eastAsia"/>
                <w:color w:val="auto"/>
              </w:rPr>
              <w:t>i5-12</w:t>
            </w:r>
            <w:r>
              <w:rPr>
                <w:rFonts w:hint="eastAsia"/>
                <w:color w:val="auto"/>
                <w:lang w:val="en-US" w:eastAsia="zh-CN"/>
              </w:rPr>
              <w:t>5</w:t>
            </w:r>
            <w:r>
              <w:rPr>
                <w:rFonts w:hint="eastAsia"/>
                <w:color w:val="auto"/>
              </w:rPr>
              <w:t>0</w:t>
            </w:r>
            <w:bookmarkStart w:id="556" w:name="_GoBack"/>
            <w:bookmarkEnd w:id="556"/>
            <w:r>
              <w:rPr>
                <w:rFonts w:hint="eastAsia"/>
                <w:color w:val="auto"/>
              </w:rPr>
              <w:t>0</w:t>
            </w:r>
            <w:r>
              <w:rPr>
                <w:rFonts w:hint="eastAsia" w:ascii="宋体" w:hAnsi="宋体"/>
                <w:color w:val="auto"/>
                <w:sz w:val="24"/>
              </w:rPr>
              <w:t>(</w:t>
            </w:r>
            <w:r>
              <w:rPr>
                <w:rFonts w:hint="eastAsia" w:ascii="宋体" w:hAnsi="宋体"/>
                <w:color w:val="auto"/>
                <w:sz w:val="24"/>
                <w:u w:val="single"/>
                <w:lang w:val="en-US" w:eastAsia="zh-CN"/>
              </w:rPr>
              <w:t>3.0</w:t>
            </w:r>
            <w:r>
              <w:rPr>
                <w:rFonts w:hint="eastAsia" w:ascii="宋体" w:hAnsi="宋体"/>
                <w:color w:val="auto"/>
                <w:sz w:val="24"/>
                <w:u w:val="single"/>
              </w:rPr>
              <w:t>G</w:t>
            </w:r>
            <w:r>
              <w:rPr>
                <w:rFonts w:hint="eastAsia" w:ascii="宋体" w:hAnsi="宋体"/>
                <w:color w:val="auto"/>
                <w:sz w:val="24"/>
              </w:rPr>
              <w:t>/18M/6核)</w:t>
            </w:r>
            <w:r>
              <w:rPr>
                <w:rFonts w:hint="eastAsia"/>
                <w:color w:val="auto"/>
                <w:sz w:val="24"/>
              </w:rPr>
              <w:t>或以上</w:t>
            </w:r>
            <w:r>
              <w:rPr>
                <w:rFonts w:hint="eastAsia"/>
                <w:color w:val="000000" w:themeColor="text1"/>
                <w:sz w:val="24"/>
                <w14:textFill>
                  <w14:solidFill>
                    <w14:schemeClr w14:val="tx1"/>
                  </w14:solidFill>
                </w14:textFill>
              </w:rPr>
              <w:t xml:space="preserve">； </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5．▲内存≥8G（单条） DDR4 3200Mhz；支持双内存条插槽。</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6．立式机箱，机箱钢板厚度尺寸≥0.7mm。 </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 M.2接口PCIe NVme硬盘容量≥256G固态硬盘+1T机械硬盘，支持SATA硬盘接口；支持双硬盘同时使用；</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8．Intel 730集成显卡或以上，要求支持双屏显示；</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9．USB接口总数≥6个 （其中：USB3.2及以上端口≥4个）；高清接口≥1个</w:t>
            </w:r>
            <w:r>
              <w:rPr>
                <w:rFonts w:hint="eastAsia"/>
                <w:color w:val="auto"/>
                <w:sz w:val="24"/>
              </w:rPr>
              <w:t>,VGA端口≥1个</w:t>
            </w:r>
            <w:r>
              <w:rPr>
                <w:rFonts w:hint="eastAsia"/>
                <w:color w:val="000000" w:themeColor="text1"/>
                <w:sz w:val="24"/>
                <w14:textFill>
                  <w14:solidFill>
                    <w14:schemeClr w14:val="tx1"/>
                  </w14:solidFill>
                </w14:textFill>
              </w:rPr>
              <w:t>；音频输入输出口。</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10．10/100/1000M以太网卡；</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11．电源≥240W内置电源、能效≥85%，具有国家级电源典型效率认证；</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12．与主机同品牌原厂抗菌防水USB键盘/光电鼠标/标配耳麦（</w:t>
            </w:r>
            <w:r>
              <w:rPr>
                <w:rFonts w:hint="eastAsia" w:ascii="宋体" w:hAnsi="宋体" w:cs="宋体"/>
                <w:color w:val="000000" w:themeColor="text1"/>
                <w:kern w:val="0"/>
                <w:sz w:val="24"/>
                <w14:textFill>
                  <w14:solidFill>
                    <w14:schemeClr w14:val="tx1"/>
                  </w14:solidFill>
                </w14:textFill>
              </w:rPr>
              <w:t>与</w:t>
            </w:r>
            <w:r>
              <w:rPr>
                <w:rFonts w:hint="eastAsia"/>
                <w:color w:val="000000" w:themeColor="text1"/>
                <w:sz w:val="24"/>
                <w14:textFill>
                  <w14:solidFill>
                    <w14:schemeClr w14:val="tx1"/>
                  </w14:solidFill>
                </w14:textFill>
              </w:rPr>
              <w:t>音频输入输出</w:t>
            </w:r>
            <w:r>
              <w:rPr>
                <w:rFonts w:hint="eastAsia" w:ascii="宋体" w:hAnsi="宋体" w:cs="宋体"/>
                <w:color w:val="000000" w:themeColor="text1"/>
                <w:kern w:val="0"/>
                <w:sz w:val="24"/>
                <w14:textFill>
                  <w14:solidFill>
                    <w14:schemeClr w14:val="tx1"/>
                  </w14:solidFill>
                </w14:textFill>
              </w:rPr>
              <w:t>接口</w:t>
            </w:r>
            <w:r>
              <w:rPr>
                <w:rFonts w:hint="eastAsia"/>
                <w:color w:val="000000" w:themeColor="text1"/>
                <w:sz w:val="24"/>
                <w14:textFill>
                  <w14:solidFill>
                    <w14:schemeClr w14:val="tx1"/>
                  </w14:solidFill>
                </w14:textFill>
              </w:rPr>
              <w:t>匹配）。</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w:t>
            </w:r>
            <w:r>
              <w:rPr>
                <w:rFonts w:hint="eastAsia" w:ascii="宋体" w:hAnsi="宋体"/>
                <w:color w:val="000000" w:themeColor="text1"/>
                <w:sz w:val="24"/>
                <w14:textFill>
                  <w14:solidFill>
                    <w14:schemeClr w14:val="tx1"/>
                  </w14:solidFill>
                </w14:textFill>
              </w:rPr>
              <w:t>出厂预装Windows（64位）中文版</w:t>
            </w:r>
            <w:r>
              <w:rPr>
                <w:rFonts w:hint="eastAsia"/>
                <w:color w:val="000000" w:themeColor="text1"/>
                <w:sz w:val="24"/>
                <w14:textFill>
                  <w14:solidFill>
                    <w14:schemeClr w14:val="tx1"/>
                  </w14:solidFill>
                </w14:textFill>
              </w:rPr>
              <w:t xml:space="preserve">； </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14．权威检验中心出具的MTBF平均无故障时间 ≥1000000小时，提供证书</w:t>
            </w:r>
            <w:r>
              <w:rPr>
                <w:rFonts w:hint="eastAsia"/>
                <w:color w:val="000000" w:themeColor="text1"/>
                <w:sz w:val="24"/>
                <w:lang w:eastAsia="zh-CN"/>
                <w14:textFill>
                  <w14:solidFill>
                    <w14:schemeClr w14:val="tx1"/>
                  </w14:solidFill>
                </w14:textFill>
              </w:rPr>
              <w:t>原件或复印件扫描件</w:t>
            </w:r>
            <w:r>
              <w:rPr>
                <w:rFonts w:hint="eastAsia"/>
                <w:color w:val="000000" w:themeColor="text1"/>
                <w:sz w:val="24"/>
                <w14:textFill>
                  <w14:solidFill>
                    <w14:schemeClr w14:val="tx1"/>
                  </w14:solidFill>
                </w14:textFill>
              </w:rPr>
              <w:t>；</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15．主板集成硬盘保护、网络同传功能。</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16．整机（含显示器）三年质保，质保期内免费上门服务，通过序列号官网可查询质保服务内容，签订合同前提供原厂家针对该项目的售后服务承诺书</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17. 产品整机通过国家强制3C认证，提供证书</w:t>
            </w:r>
            <w:r>
              <w:rPr>
                <w:rFonts w:hint="eastAsia"/>
                <w:color w:val="000000" w:themeColor="text1"/>
                <w:sz w:val="24"/>
                <w:lang w:eastAsia="zh-CN"/>
                <w14:textFill>
                  <w14:solidFill>
                    <w14:schemeClr w14:val="tx1"/>
                  </w14:solidFill>
                </w14:textFill>
              </w:rPr>
              <w:t>原件或复印件扫描件</w:t>
            </w:r>
            <w:r>
              <w:rPr>
                <w:rFonts w:hint="eastAsia"/>
                <w:color w:val="000000" w:themeColor="text1"/>
                <w:sz w:val="24"/>
                <w14:textFill>
                  <w14:solidFill>
                    <w14:schemeClr w14:val="tx1"/>
                  </w14:solidFill>
                </w14:textFill>
              </w:rPr>
              <w:t>。</w:t>
            </w:r>
          </w:p>
          <w:p>
            <w:pPr>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18. 产品整机需原厂出品，不支持另外加装。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8" w:hRule="atLeast"/>
          <w:jc w:val="center"/>
        </w:trPr>
        <w:tc>
          <w:tcPr>
            <w:tcW w:w="483" w:type="dxa"/>
            <w:vAlign w:val="center"/>
          </w:tcPr>
          <w:p>
            <w:pPr>
              <w:widowControl/>
              <w:numPr>
                <w:ilvl w:val="0"/>
                <w:numId w:val="2"/>
              </w:numPr>
              <w:jc w:val="center"/>
              <w:rPr>
                <w:rFonts w:ascii="宋体" w:hAnsi="宋体" w:cs="宋体"/>
                <w:color w:val="000000" w:themeColor="text1"/>
                <w:kern w:val="0"/>
                <w:sz w:val="24"/>
                <w14:textFill>
                  <w14:solidFill>
                    <w14:schemeClr w14:val="tx1"/>
                  </w14:solidFill>
                </w14:textFill>
              </w:rPr>
            </w:pPr>
          </w:p>
        </w:tc>
        <w:tc>
          <w:tcPr>
            <w:tcW w:w="992" w:type="dxa"/>
            <w:vAlign w:val="center"/>
          </w:tcPr>
          <w:p>
            <w:pPr>
              <w:widowControl/>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学生微型计算机2</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en-US" w:eastAsia="zh-CN"/>
                <w14:textFill>
                  <w14:solidFill>
                    <w14:schemeClr w14:val="tx1"/>
                  </w14:solidFill>
                </w14:textFill>
              </w:rPr>
              <w:t>I3</w:t>
            </w:r>
            <w:r>
              <w:rPr>
                <w:rFonts w:hint="eastAsia" w:ascii="宋体" w:hAnsi="宋体" w:cs="宋体"/>
                <w:color w:val="000000" w:themeColor="text1"/>
                <w:kern w:val="0"/>
                <w:sz w:val="24"/>
                <w14:textFill>
                  <w14:solidFill>
                    <w14:schemeClr w14:val="tx1"/>
                  </w14:solidFill>
                </w14:textFill>
              </w:rPr>
              <w:t>全套）</w:t>
            </w:r>
          </w:p>
        </w:tc>
        <w:tc>
          <w:tcPr>
            <w:tcW w:w="6826" w:type="dxa"/>
          </w:tcPr>
          <w:p>
            <w:pPr>
              <w:numPr>
                <w:ilvl w:val="0"/>
                <w:numId w:val="3"/>
              </w:numPr>
              <w:contextualSpacing/>
              <w:rPr>
                <w:rFonts w:ascii="宋体" w:hAnsi="宋体" w:cs="宋体"/>
                <w:b w:val="0"/>
                <w:bCs w:val="0"/>
                <w:color w:val="000000" w:themeColor="text1"/>
                <w:kern w:val="0"/>
                <w:sz w:val="24"/>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 xml:space="preserve">商用计算机； </w:t>
            </w:r>
          </w:p>
          <w:p>
            <w:pPr>
              <w:contextualSpacing/>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2.与主机同品牌，</w:t>
            </w:r>
            <w:r>
              <w:rPr>
                <w:rFonts w:hint="eastAsia"/>
                <w:b w:val="0"/>
                <w:bCs w:val="0"/>
                <w:lang w:val="en-US" w:eastAsia="zh-CN"/>
              </w:rPr>
              <w:t>＞21寸</w:t>
            </w:r>
            <w:r>
              <w:rPr>
                <w:rFonts w:hint="eastAsia"/>
                <w:b w:val="0"/>
                <w:bCs w:val="0"/>
                <w:color w:val="000000" w:themeColor="text1"/>
                <w:sz w:val="24"/>
                <w14:textFill>
                  <w14:solidFill>
                    <w14:schemeClr w14:val="tx1"/>
                  </w14:solidFill>
                </w14:textFill>
              </w:rPr>
              <w:t>宽屏防眩光液晶显示器，（通过TUV低蓝光护眼认证）；分辨率：1920*1080，仰角可调节。</w:t>
            </w:r>
          </w:p>
          <w:p>
            <w:pPr>
              <w:contextualSpacing/>
              <w:rPr>
                <w:rFonts w:ascii="宋体" w:hAnsi="宋体" w:cs="宋体"/>
                <w:b w:val="0"/>
                <w:bCs w:val="0"/>
                <w:color w:val="000000" w:themeColor="text1"/>
                <w:kern w:val="0"/>
                <w:sz w:val="24"/>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3．</w:t>
            </w:r>
            <w:r>
              <w:rPr>
                <w:rFonts w:hint="eastAsia" w:ascii="宋体" w:hAnsi="宋体"/>
                <w:b w:val="0"/>
                <w:bCs w:val="0"/>
                <w:color w:val="000000" w:themeColor="text1"/>
                <w:sz w:val="24"/>
                <w14:textFill>
                  <w14:solidFill>
                    <w14:schemeClr w14:val="tx1"/>
                  </w14:solidFill>
                </w14:textFill>
              </w:rPr>
              <w:t>▲</w:t>
            </w:r>
            <w:r>
              <w:rPr>
                <w:rFonts w:hint="eastAsia" w:ascii="宋体" w:hAnsi="宋体"/>
                <w:b w:val="0"/>
                <w:bCs w:val="0"/>
                <w:color w:val="auto"/>
                <w:sz w:val="24"/>
                <w:u w:val="none"/>
              </w:rPr>
              <w:t>Intel</w:t>
            </w:r>
            <w:r>
              <w:rPr>
                <w:rFonts w:hint="eastAsia" w:ascii="宋体" w:hAnsi="宋体"/>
                <w:color w:val="auto"/>
                <w:sz w:val="24"/>
                <w:u w:val="none"/>
              </w:rPr>
              <w:t>Q670</w:t>
            </w:r>
            <w:r>
              <w:rPr>
                <w:rFonts w:hint="eastAsia" w:ascii="宋体" w:hAnsi="宋体"/>
                <w:b w:val="0"/>
                <w:bCs w:val="0"/>
                <w:color w:val="auto"/>
                <w:sz w:val="24"/>
                <w:u w:val="none"/>
              </w:rPr>
              <w:t>芯片组相当或以上的</w:t>
            </w:r>
            <w:r>
              <w:rPr>
                <w:rFonts w:hint="eastAsia" w:ascii="宋体" w:hAnsi="宋体"/>
                <w:b w:val="0"/>
                <w:bCs w:val="0"/>
                <w:color w:val="auto"/>
                <w:sz w:val="24"/>
              </w:rPr>
              <w:t>。</w:t>
            </w:r>
            <w:r>
              <w:rPr>
                <w:rFonts w:hint="eastAsia" w:ascii="宋体" w:hAnsi="宋体" w:cs="宋体"/>
                <w:b w:val="0"/>
                <w:bCs w:val="0"/>
                <w:color w:val="000000" w:themeColor="text1"/>
                <w:kern w:val="0"/>
                <w:sz w:val="24"/>
                <w14:textFill>
                  <w14:solidFill>
                    <w14:schemeClr w14:val="tx1"/>
                  </w14:solidFill>
                </w14:textFill>
              </w:rPr>
              <w:t xml:space="preserve"> </w:t>
            </w:r>
          </w:p>
          <w:p>
            <w:pPr>
              <w:contextualSpacing/>
              <w:rPr>
                <w:rFonts w:ascii="宋体" w:hAnsi="宋体" w:cs="宋体"/>
                <w:b w:val="0"/>
                <w:bCs w:val="0"/>
                <w:color w:val="000000" w:themeColor="text1"/>
                <w:kern w:val="0"/>
                <w:sz w:val="24"/>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4．</w:t>
            </w:r>
            <w:r>
              <w:rPr>
                <w:rFonts w:hint="eastAsia" w:ascii="宋体" w:hAnsi="宋体"/>
                <w:b w:val="0"/>
                <w:bCs w:val="0"/>
                <w:color w:val="000000" w:themeColor="text1"/>
                <w:sz w:val="24"/>
                <w14:textFill>
                  <w14:solidFill>
                    <w14:schemeClr w14:val="tx1"/>
                  </w14:solidFill>
                </w14:textFill>
              </w:rPr>
              <w:t>▲</w:t>
            </w:r>
            <w:r>
              <w:rPr>
                <w:rFonts w:hint="eastAsia"/>
                <w:b w:val="0"/>
                <w:bCs w:val="0"/>
                <w:color w:val="000000" w:themeColor="text1"/>
                <w:sz w:val="24"/>
                <w14:textFill>
                  <w14:solidFill>
                    <w14:schemeClr w14:val="tx1"/>
                  </w14:solidFill>
                </w14:textFill>
              </w:rPr>
              <w:t>CPU</w:t>
            </w:r>
            <w:r>
              <w:rPr>
                <w:rFonts w:hint="eastAsia" w:ascii="宋体" w:hAnsi="宋体" w:cs="宋体"/>
                <w:b w:val="0"/>
                <w:bCs w:val="0"/>
                <w:color w:val="000000" w:themeColor="text1"/>
                <w:kern w:val="0"/>
                <w:sz w:val="24"/>
                <w14:textFill>
                  <w14:solidFill>
                    <w14:schemeClr w14:val="tx1"/>
                  </w14:solidFill>
                </w14:textFill>
              </w:rPr>
              <w:t>英特尔酷睿i3-</w:t>
            </w:r>
            <w:r>
              <w:rPr>
                <w:rFonts w:ascii="宋体" w:hAnsi="宋体" w:cs="宋体"/>
                <w:b w:val="0"/>
                <w:bCs w:val="0"/>
                <w:color w:val="000000" w:themeColor="text1"/>
                <w:kern w:val="0"/>
                <w:sz w:val="24"/>
                <w14:textFill>
                  <w14:solidFill>
                    <w14:schemeClr w14:val="tx1"/>
                  </w14:solidFill>
                </w14:textFill>
              </w:rPr>
              <w:t>1</w:t>
            </w:r>
            <w:r>
              <w:rPr>
                <w:rFonts w:hint="eastAsia" w:ascii="宋体" w:hAnsi="宋体" w:cs="宋体"/>
                <w:b w:val="0"/>
                <w:bCs w:val="0"/>
                <w:color w:val="000000" w:themeColor="text1"/>
                <w:kern w:val="0"/>
                <w:sz w:val="24"/>
                <w14:textFill>
                  <w14:solidFill>
                    <w14:schemeClr w14:val="tx1"/>
                  </w14:solidFill>
                </w14:textFill>
              </w:rPr>
              <w:t>21</w:t>
            </w:r>
            <w:r>
              <w:rPr>
                <w:rFonts w:ascii="宋体" w:hAnsi="宋体" w:cs="宋体"/>
                <w:b w:val="0"/>
                <w:bCs w:val="0"/>
                <w:color w:val="000000" w:themeColor="text1"/>
                <w:kern w:val="0"/>
                <w:sz w:val="24"/>
                <w14:textFill>
                  <w14:solidFill>
                    <w14:schemeClr w14:val="tx1"/>
                  </w14:solidFill>
                </w14:textFill>
              </w:rPr>
              <w:t>0</w:t>
            </w:r>
            <w:r>
              <w:rPr>
                <w:rFonts w:hint="eastAsia" w:ascii="宋体" w:hAnsi="宋体" w:cs="宋体"/>
                <w:b w:val="0"/>
                <w:bCs w:val="0"/>
                <w:color w:val="000000" w:themeColor="text1"/>
                <w:kern w:val="0"/>
                <w:sz w:val="24"/>
                <w14:textFill>
                  <w14:solidFill>
                    <w14:schemeClr w14:val="tx1"/>
                  </w14:solidFill>
                </w14:textFill>
              </w:rPr>
              <w:t>0T或以上</w:t>
            </w:r>
            <w:r>
              <w:rPr>
                <w:rFonts w:hint="eastAsia" w:ascii="宋体" w:hAnsi="宋体" w:cs="宋体"/>
                <w:b w:val="0"/>
                <w:bCs w:val="0"/>
                <w:color w:val="000000" w:themeColor="text1"/>
                <w:kern w:val="0"/>
                <w:sz w:val="24"/>
                <w:lang w:eastAsia="zh-CN"/>
                <w14:textFill>
                  <w14:solidFill>
                    <w14:schemeClr w14:val="tx1"/>
                  </w14:solidFill>
                </w14:textFill>
              </w:rPr>
              <w:t>，</w:t>
            </w:r>
            <w:r>
              <w:rPr>
                <w:rFonts w:hint="eastAsia" w:ascii="宋体" w:hAnsi="宋体" w:cs="宋体"/>
                <w:b w:val="0"/>
                <w:bCs w:val="0"/>
                <w:color w:val="000000" w:themeColor="text1"/>
                <w:kern w:val="0"/>
                <w:sz w:val="24"/>
                <w14:textFill>
                  <w14:solidFill>
                    <w14:schemeClr w14:val="tx1"/>
                  </w14:solidFill>
                </w14:textFill>
              </w:rPr>
              <w:t xml:space="preserve">主频≥2.2G； </w:t>
            </w:r>
          </w:p>
          <w:p>
            <w:pPr>
              <w:contextualSpacing/>
              <w:rPr>
                <w:rFonts w:ascii="宋体" w:hAnsi="宋体" w:cs="宋体"/>
                <w:b w:val="0"/>
                <w:bCs w:val="0"/>
                <w:color w:val="000000" w:themeColor="text1"/>
                <w:kern w:val="0"/>
                <w:sz w:val="24"/>
                <w:u w:val="none"/>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5．</w:t>
            </w:r>
            <w:r>
              <w:rPr>
                <w:rFonts w:hint="eastAsia" w:ascii="宋体" w:hAnsi="宋体"/>
                <w:b w:val="0"/>
                <w:bCs w:val="0"/>
                <w:color w:val="000000" w:themeColor="text1"/>
                <w:sz w:val="24"/>
                <w14:textFill>
                  <w14:solidFill>
                    <w14:schemeClr w14:val="tx1"/>
                  </w14:solidFill>
                </w14:textFill>
              </w:rPr>
              <w:t>▲</w:t>
            </w:r>
            <w:r>
              <w:rPr>
                <w:rFonts w:hint="eastAsia" w:ascii="宋体" w:hAnsi="宋体" w:cs="宋体"/>
                <w:b w:val="0"/>
                <w:bCs w:val="0"/>
                <w:color w:val="000000" w:themeColor="text1"/>
                <w:kern w:val="0"/>
                <w:sz w:val="24"/>
                <w14:textFill>
                  <w14:solidFill>
                    <w14:schemeClr w14:val="tx1"/>
                  </w14:solidFill>
                </w14:textFill>
              </w:rPr>
              <w:t>内存≥</w:t>
            </w:r>
            <w:r>
              <w:rPr>
                <w:rFonts w:hint="eastAsia" w:ascii="宋体" w:hAnsi="宋体" w:cs="宋体"/>
                <w:b w:val="0"/>
                <w:bCs w:val="0"/>
                <w:color w:val="000000" w:themeColor="text1"/>
                <w:kern w:val="0"/>
                <w:sz w:val="24"/>
                <w:u w:val="none"/>
                <w14:textFill>
                  <w14:solidFill>
                    <w14:schemeClr w14:val="tx1"/>
                  </w14:solidFill>
                </w14:textFill>
              </w:rPr>
              <w:t xml:space="preserve">8G（单条）DDR4 </w:t>
            </w:r>
            <w:r>
              <w:rPr>
                <w:rFonts w:hint="eastAsia" w:ascii="宋体" w:hAnsi="宋体"/>
                <w:b w:val="0"/>
                <w:bCs w:val="0"/>
                <w:color w:val="000000" w:themeColor="text1"/>
                <w:sz w:val="24"/>
                <w:u w:val="none"/>
                <w14:textFill>
                  <w14:solidFill>
                    <w14:schemeClr w14:val="tx1"/>
                  </w14:solidFill>
                </w14:textFill>
              </w:rPr>
              <w:t xml:space="preserve"> </w:t>
            </w:r>
            <w:r>
              <w:rPr>
                <w:rFonts w:hint="eastAsia"/>
                <w:b w:val="0"/>
                <w:bCs w:val="0"/>
                <w:color w:val="000000" w:themeColor="text1"/>
                <w:sz w:val="24"/>
                <w:u w:val="none"/>
                <w14:textFill>
                  <w14:solidFill>
                    <w14:schemeClr w14:val="tx1"/>
                  </w14:solidFill>
                </w14:textFill>
              </w:rPr>
              <w:t>3200</w:t>
            </w:r>
            <w:r>
              <w:rPr>
                <w:rFonts w:hint="eastAsia" w:ascii="宋体" w:hAnsi="宋体"/>
                <w:b w:val="0"/>
                <w:bCs w:val="0"/>
                <w:color w:val="000000" w:themeColor="text1"/>
                <w:sz w:val="24"/>
                <w:u w:val="none"/>
                <w14:textFill>
                  <w14:solidFill>
                    <w14:schemeClr w14:val="tx1"/>
                  </w14:solidFill>
                </w14:textFill>
              </w:rPr>
              <w:t>Mhz</w:t>
            </w:r>
            <w:r>
              <w:rPr>
                <w:rFonts w:hint="eastAsia" w:ascii="宋体" w:hAnsi="宋体" w:cs="宋体"/>
                <w:b w:val="0"/>
                <w:bCs w:val="0"/>
                <w:color w:val="000000" w:themeColor="text1"/>
                <w:kern w:val="0"/>
                <w:sz w:val="24"/>
                <w:u w:val="none"/>
                <w14:textFill>
                  <w14:solidFill>
                    <w14:schemeClr w14:val="tx1"/>
                  </w14:solidFill>
                </w14:textFill>
              </w:rPr>
              <w:t>，支持双内存条插槽；</w:t>
            </w:r>
          </w:p>
          <w:p>
            <w:pPr>
              <w:rPr>
                <w:color w:val="auto"/>
              </w:rPr>
            </w:pPr>
            <w:r>
              <w:rPr>
                <w:rFonts w:hint="eastAsia" w:ascii="宋体" w:hAnsi="宋体" w:cs="宋体"/>
                <w:b w:val="0"/>
                <w:bCs w:val="0"/>
                <w:color w:val="000000" w:themeColor="text1"/>
                <w:kern w:val="0"/>
                <w:sz w:val="24"/>
                <w:u w:val="none"/>
                <w14:textFill>
                  <w14:solidFill>
                    <w14:schemeClr w14:val="tx1"/>
                  </w14:solidFill>
                </w14:textFill>
              </w:rPr>
              <w:t>6．</w:t>
            </w:r>
            <w:r>
              <w:rPr>
                <w:rFonts w:hint="eastAsia" w:ascii="宋体" w:hAnsi="宋体" w:cs="宋体"/>
                <w:b w:val="0"/>
                <w:bCs w:val="0"/>
                <w:color w:val="auto"/>
                <w:kern w:val="0"/>
                <w:sz w:val="24"/>
                <w:u w:val="none"/>
                <w:lang w:val="en-US" w:eastAsia="zh-CN"/>
              </w:rPr>
              <w:t>迷你</w:t>
            </w:r>
            <w:r>
              <w:rPr>
                <w:rFonts w:hint="eastAsia" w:ascii="宋体" w:hAnsi="宋体" w:cs="宋体"/>
                <w:b w:val="0"/>
                <w:bCs w:val="0"/>
                <w:color w:val="auto"/>
                <w:kern w:val="0"/>
                <w:sz w:val="24"/>
                <w:u w:val="none"/>
              </w:rPr>
              <w:t>机箱</w:t>
            </w:r>
            <w:r>
              <w:rPr>
                <w:rFonts w:hint="eastAsia" w:ascii="宋体" w:hAnsi="宋体" w:cs="宋体"/>
                <w:b w:val="0"/>
                <w:bCs w:val="0"/>
                <w:color w:val="auto"/>
                <w:kern w:val="0"/>
                <w:sz w:val="24"/>
                <w:u w:val="none"/>
                <w:lang w:eastAsia="zh-CN"/>
              </w:rPr>
              <w:t>，</w:t>
            </w:r>
            <w:r>
              <w:rPr>
                <w:rFonts w:hint="eastAsia" w:ascii="宋体" w:hAnsi="宋体" w:cs="宋体"/>
                <w:b w:val="0"/>
                <w:bCs w:val="0"/>
                <w:color w:val="auto"/>
                <w:kern w:val="0"/>
                <w:sz w:val="24"/>
                <w:u w:val="none"/>
                <w:lang w:val="en-US" w:eastAsia="zh-CN"/>
              </w:rPr>
              <w:t>可安装在</w:t>
            </w:r>
            <w:r>
              <w:rPr>
                <w:rFonts w:hint="eastAsia" w:ascii="宋体" w:hAnsi="宋体" w:cs="宋体"/>
                <w:b w:val="0"/>
                <w:bCs w:val="0"/>
                <w:color w:val="auto"/>
                <w:kern w:val="0"/>
                <w:sz w:val="24"/>
                <w:highlight w:val="none"/>
                <w:u w:val="none"/>
              </w:rPr>
              <w:t>显示器</w:t>
            </w:r>
            <w:r>
              <w:rPr>
                <w:rFonts w:hint="eastAsia" w:ascii="宋体" w:hAnsi="宋体" w:cs="宋体"/>
                <w:b w:val="0"/>
                <w:bCs w:val="0"/>
                <w:color w:val="auto"/>
                <w:kern w:val="0"/>
                <w:sz w:val="24"/>
                <w:highlight w:val="none"/>
                <w:u w:val="none"/>
                <w:lang w:val="en-US" w:eastAsia="zh-CN"/>
              </w:rPr>
              <w:t>背面且不影响显示器稳定性。</w:t>
            </w:r>
            <w:r>
              <w:rPr>
                <w:rFonts w:hint="eastAsia" w:ascii="宋体" w:hAnsi="宋体" w:cs="宋体"/>
                <w:b w:val="0"/>
                <w:bCs w:val="0"/>
                <w:color w:val="000000" w:themeColor="text1"/>
                <w:kern w:val="0"/>
                <w:sz w:val="24"/>
                <w:highlight w:val="none"/>
                <w14:textFill>
                  <w14:solidFill>
                    <w14:schemeClr w14:val="tx1"/>
                  </w14:solidFill>
                </w14:textFill>
              </w:rPr>
              <w:t>标配</w:t>
            </w:r>
            <w:r>
              <w:rPr>
                <w:rFonts w:hint="eastAsia" w:ascii="宋体" w:hAnsi="宋体" w:cs="宋体"/>
                <w:b w:val="0"/>
                <w:bCs w:val="0"/>
                <w:color w:val="000000" w:themeColor="text1"/>
                <w:kern w:val="0"/>
                <w:sz w:val="24"/>
                <w:highlight w:val="none"/>
                <w:lang w:val="en-US" w:eastAsia="zh-CN"/>
                <w14:textFill>
                  <w14:solidFill>
                    <w14:schemeClr w14:val="tx1"/>
                  </w14:solidFill>
                </w14:textFill>
              </w:rPr>
              <w:t>1个</w:t>
            </w:r>
            <w:r>
              <w:rPr>
                <w:rFonts w:hint="eastAsia" w:ascii="宋体" w:hAnsi="宋体"/>
                <w:b w:val="0"/>
                <w:bCs w:val="0"/>
                <w:color w:val="000000" w:themeColor="text1"/>
                <w:sz w:val="24"/>
                <w:highlight w:val="none"/>
                <w14:textFill>
                  <w14:solidFill>
                    <w14:schemeClr w14:val="tx1"/>
                  </w14:solidFill>
                </w14:textFill>
              </w:rPr>
              <w:t>学生微型计算机</w:t>
            </w:r>
            <w:r>
              <w:rPr>
                <w:rFonts w:hint="eastAsia" w:ascii="宋体" w:hAnsi="宋体"/>
                <w:b w:val="0"/>
                <w:bCs w:val="0"/>
                <w:color w:val="000000" w:themeColor="text1"/>
                <w:sz w:val="24"/>
                <w:highlight w:val="none"/>
                <w:lang w:val="en-US" w:eastAsia="zh-CN"/>
                <w14:textFill>
                  <w14:solidFill>
                    <w14:schemeClr w14:val="tx1"/>
                  </w14:solidFill>
                </w14:textFill>
              </w:rPr>
              <w:t>机箱</w:t>
            </w:r>
            <w:r>
              <w:rPr>
                <w:rFonts w:hint="eastAsia" w:ascii="宋体" w:hAnsi="宋体" w:cs="宋体"/>
                <w:b w:val="0"/>
                <w:bCs w:val="0"/>
                <w:color w:val="000000" w:themeColor="text1"/>
                <w:kern w:val="0"/>
                <w:sz w:val="24"/>
                <w:highlight w:val="none"/>
                <w:lang w:val="en-US" w:eastAsia="zh-CN"/>
                <w14:textFill>
                  <w14:solidFill>
                    <w14:schemeClr w14:val="tx1"/>
                  </w14:solidFill>
                </w14:textFill>
              </w:rPr>
              <w:t>的</w:t>
            </w:r>
            <w:r>
              <w:rPr>
                <w:rFonts w:hint="eastAsia" w:ascii="宋体" w:hAnsi="宋体" w:cs="宋体"/>
                <w:b w:val="0"/>
                <w:bCs w:val="0"/>
                <w:color w:val="000000" w:themeColor="text1"/>
                <w:kern w:val="0"/>
                <w:sz w:val="24"/>
                <w:highlight w:val="none"/>
                <w14:textFill>
                  <w14:solidFill>
                    <w14:schemeClr w14:val="tx1"/>
                  </w14:solidFill>
                </w14:textFill>
              </w:rPr>
              <w:t>固定</w:t>
            </w:r>
            <w:r>
              <w:rPr>
                <w:rFonts w:hint="eastAsia" w:ascii="宋体" w:hAnsi="宋体" w:cs="宋体"/>
                <w:b w:val="0"/>
                <w:bCs w:val="0"/>
                <w:color w:val="auto"/>
                <w:kern w:val="0"/>
                <w:sz w:val="24"/>
                <w:highlight w:val="none"/>
              </w:rPr>
              <w:t>安装</w:t>
            </w:r>
            <w:r>
              <w:rPr>
                <w:rFonts w:hint="eastAsia" w:ascii="宋体" w:hAnsi="宋体" w:cs="宋体"/>
                <w:b w:val="0"/>
                <w:bCs w:val="0"/>
                <w:color w:val="000000" w:themeColor="text1"/>
                <w:kern w:val="0"/>
                <w:sz w:val="24"/>
                <w:highlight w:val="none"/>
                <w14:textFill>
                  <w14:solidFill>
                    <w14:schemeClr w14:val="tx1"/>
                  </w14:solidFill>
                </w14:textFill>
              </w:rPr>
              <w:t>套件</w:t>
            </w:r>
            <w:r>
              <w:rPr>
                <w:rFonts w:hint="eastAsia" w:ascii="宋体" w:hAnsi="宋体" w:cs="宋体"/>
                <w:b w:val="0"/>
                <w:bCs w:val="0"/>
                <w:color w:val="auto"/>
                <w:kern w:val="0"/>
                <w:sz w:val="24"/>
                <w:highlight w:val="none"/>
                <w:lang w:eastAsia="zh-CN"/>
              </w:rPr>
              <w:t>（</w:t>
            </w:r>
            <w:r>
              <w:rPr>
                <w:rFonts w:hint="eastAsia" w:ascii="宋体" w:hAnsi="宋体" w:cs="宋体"/>
                <w:b w:val="0"/>
                <w:bCs w:val="0"/>
                <w:color w:val="auto"/>
                <w:kern w:val="0"/>
                <w:sz w:val="24"/>
                <w:highlight w:val="none"/>
                <w:lang w:val="en-US" w:eastAsia="zh-CN"/>
              </w:rPr>
              <w:t>按学校要求选择</w:t>
            </w:r>
            <w:r>
              <w:rPr>
                <w:rFonts w:hint="eastAsia" w:ascii="宋体" w:hAnsi="宋体" w:cs="宋体"/>
                <w:b w:val="0"/>
                <w:bCs w:val="0"/>
                <w:color w:val="auto"/>
                <w:kern w:val="0"/>
                <w:sz w:val="24"/>
                <w:highlight w:val="none"/>
              </w:rPr>
              <w:t>安装</w:t>
            </w:r>
            <w:r>
              <w:rPr>
                <w:rFonts w:hint="eastAsia" w:ascii="宋体" w:hAnsi="宋体" w:cs="宋体"/>
                <w:b w:val="0"/>
                <w:bCs w:val="0"/>
                <w:color w:val="auto"/>
                <w:kern w:val="0"/>
                <w:sz w:val="24"/>
                <w:highlight w:val="none"/>
                <w:lang w:val="en-US" w:eastAsia="zh-CN"/>
              </w:rPr>
              <w:t>在</w:t>
            </w:r>
            <w:r>
              <w:rPr>
                <w:rFonts w:hint="eastAsia" w:ascii="宋体" w:hAnsi="宋体" w:cs="宋体"/>
                <w:b w:val="0"/>
                <w:bCs w:val="0"/>
                <w:color w:val="auto"/>
                <w:kern w:val="0"/>
                <w:sz w:val="24"/>
                <w:highlight w:val="none"/>
              </w:rPr>
              <w:t>显示器</w:t>
            </w:r>
            <w:r>
              <w:rPr>
                <w:rFonts w:hint="eastAsia" w:ascii="宋体" w:hAnsi="宋体" w:cs="宋体"/>
                <w:b w:val="0"/>
                <w:bCs w:val="0"/>
                <w:color w:val="auto"/>
                <w:kern w:val="0"/>
                <w:sz w:val="24"/>
                <w:highlight w:val="none"/>
                <w:lang w:val="en-US" w:eastAsia="zh-CN"/>
              </w:rPr>
              <w:t>背面或电脑桌相应部位</w:t>
            </w:r>
            <w:r>
              <w:rPr>
                <w:rFonts w:hint="eastAsia" w:ascii="宋体" w:hAnsi="宋体" w:cs="宋体"/>
                <w:b w:val="0"/>
                <w:bCs w:val="0"/>
                <w:color w:val="auto"/>
                <w:kern w:val="0"/>
                <w:sz w:val="24"/>
                <w:highlight w:val="none"/>
                <w:lang w:eastAsia="zh-CN"/>
              </w:rPr>
              <w:t>）</w:t>
            </w:r>
            <w:r>
              <w:rPr>
                <w:rFonts w:hint="eastAsia" w:ascii="宋体" w:hAnsi="宋体" w:cs="宋体"/>
                <w:b w:val="0"/>
                <w:bCs w:val="0"/>
                <w:color w:val="auto"/>
                <w:kern w:val="0"/>
                <w:sz w:val="24"/>
                <w:lang w:val="en-US" w:eastAsia="zh-CN"/>
              </w:rPr>
              <w:t>；</w:t>
            </w:r>
          </w:p>
          <w:p>
            <w:pPr>
              <w:contextualSpacing/>
              <w:rPr>
                <w:rFonts w:ascii="宋体" w:hAnsi="宋体" w:cs="宋体"/>
                <w:b w:val="0"/>
                <w:bCs w:val="0"/>
                <w:color w:val="000000" w:themeColor="text1"/>
                <w:kern w:val="0"/>
                <w:sz w:val="24"/>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7. M.2接口PCIe NVme硬盘容量≥</w:t>
            </w:r>
            <w:r>
              <w:rPr>
                <w:rFonts w:hint="eastAsia" w:ascii="宋体" w:hAnsi="宋体" w:cs="宋体"/>
                <w:b w:val="0"/>
                <w:bCs w:val="0"/>
                <w:color w:val="auto"/>
                <w:kern w:val="0"/>
                <w:sz w:val="24"/>
                <w:lang w:val="en-US" w:eastAsia="zh-CN"/>
              </w:rPr>
              <w:t>256G</w:t>
            </w:r>
            <w:r>
              <w:rPr>
                <w:rFonts w:hint="eastAsia" w:ascii="宋体" w:hAnsi="宋体" w:cs="宋体"/>
                <w:b w:val="0"/>
                <w:bCs w:val="0"/>
                <w:color w:val="000000" w:themeColor="text1"/>
                <w:kern w:val="0"/>
                <w:sz w:val="24"/>
                <w14:textFill>
                  <w14:solidFill>
                    <w14:schemeClr w14:val="tx1"/>
                  </w14:solidFill>
                </w14:textFill>
              </w:rPr>
              <w:t>固态硬盘，支持SATA硬盘接口；支持双硬盘同时使用；</w:t>
            </w:r>
          </w:p>
          <w:p>
            <w:pPr>
              <w:contextualSpacing/>
              <w:rPr>
                <w:rFonts w:ascii="宋体" w:hAnsi="宋体" w:cs="宋体"/>
                <w:b w:val="0"/>
                <w:bCs w:val="0"/>
                <w:color w:val="000000" w:themeColor="text1"/>
                <w:kern w:val="0"/>
                <w:sz w:val="24"/>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8．集成</w:t>
            </w:r>
            <w:r>
              <w:rPr>
                <w:rFonts w:hint="eastAsia" w:ascii="宋体" w:hAnsi="宋体" w:cs="宋体"/>
                <w:b w:val="0"/>
                <w:bCs w:val="0"/>
                <w:color w:val="auto"/>
                <w:kern w:val="0"/>
                <w:sz w:val="24"/>
              </w:rPr>
              <w:t>显卡；</w:t>
            </w:r>
          </w:p>
          <w:p>
            <w:pPr>
              <w:contextualSpacing/>
              <w:rPr>
                <w:rFonts w:ascii="宋体" w:hAnsi="宋体" w:cs="宋体"/>
                <w:b w:val="0"/>
                <w:bCs w:val="0"/>
                <w:color w:val="000000" w:themeColor="text1"/>
                <w:kern w:val="0"/>
                <w:sz w:val="24"/>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9．USB3.2及以上端口≥4个，VGA端口≥1个，高清接口≥1个；音频输入输出口。</w:t>
            </w:r>
            <w:r>
              <w:rPr>
                <w:rFonts w:ascii="宋体" w:hAnsi="宋体" w:cs="宋体"/>
                <w:b w:val="0"/>
                <w:bCs w:val="0"/>
                <w:color w:val="000000" w:themeColor="text1"/>
                <w:kern w:val="0"/>
                <w:sz w:val="24"/>
                <w14:textFill>
                  <w14:solidFill>
                    <w14:schemeClr w14:val="tx1"/>
                  </w14:solidFill>
                </w14:textFill>
              </w:rPr>
              <w:t xml:space="preserve"> </w:t>
            </w:r>
          </w:p>
          <w:p>
            <w:pPr>
              <w:contextualSpacing/>
              <w:rPr>
                <w:rFonts w:ascii="宋体" w:hAnsi="宋体" w:cs="宋体"/>
                <w:b w:val="0"/>
                <w:bCs w:val="0"/>
                <w:color w:val="000000" w:themeColor="text1"/>
                <w:kern w:val="0"/>
                <w:sz w:val="24"/>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10．10/100/1000M以太网卡；</w:t>
            </w:r>
          </w:p>
          <w:p>
            <w:pPr>
              <w:contextualSpacing/>
              <w:rPr>
                <w:rFonts w:ascii="宋体" w:hAnsi="宋体" w:cs="宋体"/>
                <w:b w:val="0"/>
                <w:bCs w:val="0"/>
                <w:color w:val="000000" w:themeColor="text1"/>
                <w:kern w:val="0"/>
                <w:sz w:val="24"/>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11．</w:t>
            </w:r>
            <w:r>
              <w:rPr>
                <w:rFonts w:ascii="宋体" w:hAnsi="宋体" w:cs="宋体"/>
                <w:b w:val="0"/>
                <w:bCs w:val="0"/>
                <w:color w:val="000000" w:themeColor="text1"/>
                <w:kern w:val="0"/>
                <w:sz w:val="24"/>
                <w14:textFill>
                  <w14:solidFill>
                    <w14:schemeClr w14:val="tx1"/>
                  </w14:solidFill>
                </w14:textFill>
              </w:rPr>
              <w:t>主板</w:t>
            </w:r>
            <w:r>
              <w:rPr>
                <w:rFonts w:hint="eastAsia" w:ascii="宋体" w:hAnsi="宋体" w:cs="宋体"/>
                <w:b w:val="0"/>
                <w:bCs w:val="0"/>
                <w:color w:val="000000" w:themeColor="text1"/>
                <w:kern w:val="0"/>
                <w:sz w:val="24"/>
                <w14:textFill>
                  <w14:solidFill>
                    <w14:schemeClr w14:val="tx1"/>
                  </w14:solidFill>
                </w14:textFill>
              </w:rPr>
              <w:t>集成硬盘保护、网络同传功能。</w:t>
            </w:r>
          </w:p>
          <w:p>
            <w:pPr>
              <w:contextualSpacing/>
              <w:rPr>
                <w:rFonts w:ascii="宋体" w:hAnsi="宋体" w:cs="宋体"/>
                <w:b w:val="0"/>
                <w:bCs w:val="0"/>
                <w:color w:val="000000" w:themeColor="text1"/>
                <w:kern w:val="0"/>
                <w:sz w:val="24"/>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12．与主机同品牌原厂抗菌防水USB键盘/光电</w:t>
            </w:r>
            <w:r>
              <w:rPr>
                <w:rFonts w:hint="eastAsia" w:ascii="宋体" w:hAnsi="宋体"/>
                <w:b w:val="0"/>
                <w:bCs w:val="0"/>
                <w:color w:val="000000" w:themeColor="text1"/>
                <w:sz w:val="24"/>
                <w14:textFill>
                  <w14:solidFill>
                    <w14:schemeClr w14:val="tx1"/>
                  </w14:solidFill>
                </w14:textFill>
              </w:rPr>
              <w:t>鼠标</w:t>
            </w:r>
            <w:r>
              <w:rPr>
                <w:rFonts w:hint="eastAsia" w:ascii="宋体" w:hAnsi="宋体" w:cs="宋体"/>
                <w:b w:val="0"/>
                <w:bCs w:val="0"/>
                <w:color w:val="000000" w:themeColor="text1"/>
                <w:kern w:val="0"/>
                <w:sz w:val="24"/>
                <w14:textFill>
                  <w14:solidFill>
                    <w14:schemeClr w14:val="tx1"/>
                  </w14:solidFill>
                </w14:textFill>
              </w:rPr>
              <w:t>/标配耳麦（与音频输入输出接口匹配）；</w:t>
            </w:r>
          </w:p>
          <w:p>
            <w:pPr>
              <w:contextualSpacing/>
              <w:rPr>
                <w:rFonts w:ascii="宋体" w:hAnsi="宋体" w:cs="宋体"/>
                <w:b w:val="0"/>
                <w:bCs w:val="0"/>
                <w:color w:val="000000" w:themeColor="text1"/>
                <w:kern w:val="0"/>
                <w:sz w:val="24"/>
                <w:u w:val="single"/>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13．</w:t>
            </w:r>
            <w:r>
              <w:rPr>
                <w:rFonts w:hint="eastAsia" w:ascii="宋体" w:hAnsi="宋体"/>
                <w:b w:val="0"/>
                <w:bCs w:val="0"/>
                <w:color w:val="000000" w:themeColor="text1"/>
                <w:sz w:val="24"/>
                <w14:textFill>
                  <w14:solidFill>
                    <w14:schemeClr w14:val="tx1"/>
                  </w14:solidFill>
                </w14:textFill>
              </w:rPr>
              <w:t>出厂</w:t>
            </w:r>
            <w:r>
              <w:rPr>
                <w:rFonts w:hint="eastAsia"/>
                <w:b w:val="0"/>
                <w:bCs w:val="0"/>
                <w:color w:val="000000" w:themeColor="text1"/>
                <w:sz w:val="24"/>
                <w14:textFill>
                  <w14:solidFill>
                    <w14:schemeClr w14:val="tx1"/>
                  </w14:solidFill>
                </w14:textFill>
              </w:rPr>
              <w:t>预装</w:t>
            </w:r>
            <w:r>
              <w:rPr>
                <w:rFonts w:hint="eastAsia" w:ascii="宋体" w:hAnsi="宋体"/>
                <w:b w:val="0"/>
                <w:bCs w:val="0"/>
                <w:color w:val="000000" w:themeColor="text1"/>
                <w:sz w:val="24"/>
                <w14:textFill>
                  <w14:solidFill>
                    <w14:schemeClr w14:val="tx1"/>
                  </w14:solidFill>
                </w14:textFill>
              </w:rPr>
              <w:t xml:space="preserve"> Windows10或以上（64位）中文版；</w:t>
            </w:r>
          </w:p>
          <w:p>
            <w:pPr>
              <w:contextualSpacing/>
              <w:jc w:val="left"/>
              <w:rPr>
                <w:rFonts w:ascii="宋体" w:hAnsi="宋体"/>
                <w:b w:val="0"/>
                <w:bCs w:val="0"/>
                <w:color w:val="000000" w:themeColor="text1"/>
                <w:sz w:val="24"/>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14．权威检验中心出具的MTBF平均无故障时间 ≥1000000小时，</w:t>
            </w:r>
            <w:r>
              <w:rPr>
                <w:rFonts w:hint="eastAsia" w:ascii="宋体" w:hAnsi="宋体"/>
                <w:b w:val="0"/>
                <w:bCs w:val="0"/>
                <w:color w:val="000000" w:themeColor="text1"/>
                <w:sz w:val="24"/>
                <w14:textFill>
                  <w14:solidFill>
                    <w14:schemeClr w14:val="tx1"/>
                  </w14:solidFill>
                </w14:textFill>
              </w:rPr>
              <w:t>提供证书</w:t>
            </w:r>
            <w:r>
              <w:rPr>
                <w:rFonts w:hint="eastAsia" w:ascii="宋体" w:hAnsi="宋体"/>
                <w:b w:val="0"/>
                <w:bCs w:val="0"/>
                <w:color w:val="000000" w:themeColor="text1"/>
                <w:sz w:val="24"/>
                <w:lang w:eastAsia="zh-CN"/>
                <w14:textFill>
                  <w14:solidFill>
                    <w14:schemeClr w14:val="tx1"/>
                  </w14:solidFill>
                </w14:textFill>
              </w:rPr>
              <w:t>原件或复印件扫描件</w:t>
            </w:r>
            <w:r>
              <w:rPr>
                <w:rFonts w:hint="eastAsia" w:ascii="宋体" w:hAnsi="宋体"/>
                <w:b w:val="0"/>
                <w:bCs w:val="0"/>
                <w:color w:val="000000" w:themeColor="text1"/>
                <w:sz w:val="24"/>
                <w14:textFill>
                  <w14:solidFill>
                    <w14:schemeClr w14:val="tx1"/>
                  </w14:solidFill>
                </w14:textFill>
              </w:rPr>
              <w:t>；</w:t>
            </w:r>
          </w:p>
          <w:p>
            <w:pPr>
              <w:contextualSpacing/>
              <w:rPr>
                <w:rFonts w:hint="eastAsia" w:ascii="宋体" w:hAnsi="宋体" w:eastAsia="宋体" w:cs="宋体"/>
                <w:b w:val="0"/>
                <w:bCs w:val="0"/>
                <w:color w:val="000000" w:themeColor="text1"/>
                <w:kern w:val="0"/>
                <w:sz w:val="24"/>
                <w:lang w:eastAsia="zh-CN"/>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15．产品整机通过国家强制3C认证，提供证书</w:t>
            </w:r>
            <w:r>
              <w:rPr>
                <w:rFonts w:hint="eastAsia" w:ascii="宋体" w:hAnsi="宋体" w:cs="宋体"/>
                <w:b w:val="0"/>
                <w:bCs w:val="0"/>
                <w:color w:val="000000" w:themeColor="text1"/>
                <w:kern w:val="0"/>
                <w:sz w:val="24"/>
                <w:lang w:eastAsia="zh-CN"/>
                <w14:textFill>
                  <w14:solidFill>
                    <w14:schemeClr w14:val="tx1"/>
                  </w14:solidFill>
                </w14:textFill>
              </w:rPr>
              <w:t>原件或复印件扫描件</w:t>
            </w:r>
          </w:p>
          <w:p>
            <w:pPr>
              <w:contextualSpacing/>
              <w:rPr>
                <w:rFonts w:ascii="宋体" w:hAnsi="宋体" w:cs="宋体"/>
                <w:b w:val="0"/>
                <w:bCs w:val="0"/>
                <w:color w:val="000000" w:themeColor="text1"/>
                <w:kern w:val="0"/>
                <w:sz w:val="24"/>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16．整机（含显示器）三年质保，质保期内免费上门服务，</w:t>
            </w:r>
            <w:r>
              <w:rPr>
                <w:rFonts w:hint="eastAsia" w:ascii="宋体" w:hAnsi="宋体"/>
                <w:color w:val="000000" w:themeColor="text1"/>
                <w:sz w:val="24"/>
                <w14:textFill>
                  <w14:solidFill>
                    <w14:schemeClr w14:val="tx1"/>
                  </w14:solidFill>
                </w14:textFill>
              </w:rPr>
              <w:t>通过序列号官网可查询质保服务内容，签订合同前提供原厂家针对该项目的售后服务承诺书</w:t>
            </w:r>
          </w:p>
          <w:p>
            <w:pPr>
              <w:contextualSpacing/>
              <w:jc w:val="left"/>
              <w:rPr>
                <w:rFonts w:ascii="Arial" w:hAnsi="Arial"/>
                <w:b/>
                <w:bCs/>
                <w:color w:val="000000" w:themeColor="text1"/>
                <w:sz w:val="24"/>
                <w14:textFill>
                  <w14:solidFill>
                    <w14:schemeClr w14:val="tx1"/>
                  </w14:solidFill>
                </w14:textFill>
              </w:rPr>
            </w:pPr>
            <w:r>
              <w:rPr>
                <w:rFonts w:hint="eastAsia" w:ascii="宋体" w:hAnsi="宋体" w:cs="宋体"/>
                <w:b w:val="0"/>
                <w:bCs w:val="0"/>
                <w:color w:val="000000" w:themeColor="text1"/>
                <w:kern w:val="0"/>
                <w:sz w:val="24"/>
                <w14:textFill>
                  <w14:solidFill>
                    <w14:schemeClr w14:val="tx1"/>
                  </w14:solidFill>
                </w14:textFill>
              </w:rPr>
              <w:t>17.产品整机需原厂出品，不支持另外加装。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483" w:type="dxa"/>
            <w:vAlign w:val="center"/>
          </w:tcPr>
          <w:p>
            <w:pPr>
              <w:widowControl/>
              <w:numPr>
                <w:ilvl w:val="0"/>
                <w:numId w:val="2"/>
              </w:numPr>
              <w:jc w:val="center"/>
              <w:rPr>
                <w:rFonts w:ascii="宋体" w:hAnsi="宋体" w:cs="宋体"/>
                <w:color w:val="000000" w:themeColor="text1"/>
                <w:kern w:val="0"/>
                <w:sz w:val="24"/>
                <w14:textFill>
                  <w14:solidFill>
                    <w14:schemeClr w14:val="tx1"/>
                  </w14:solidFill>
                </w14:textFill>
              </w:rPr>
            </w:pPr>
          </w:p>
        </w:tc>
        <w:tc>
          <w:tcPr>
            <w:tcW w:w="992" w:type="dxa"/>
            <w:vAlign w:val="center"/>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学生微型计算机3</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en-US" w:eastAsia="zh-CN"/>
                <w14:textFill>
                  <w14:solidFill>
                    <w14:schemeClr w14:val="tx1"/>
                  </w14:solidFill>
                </w14:textFill>
              </w:rPr>
              <w:t>I3</w:t>
            </w:r>
            <w:r>
              <w:rPr>
                <w:rFonts w:hint="eastAsia" w:ascii="宋体" w:hAnsi="宋体" w:cs="宋体"/>
                <w:color w:val="000000" w:themeColor="text1"/>
                <w:kern w:val="0"/>
                <w:sz w:val="24"/>
                <w14:textFill>
                  <w14:solidFill>
                    <w14:schemeClr w14:val="tx1"/>
                  </w14:solidFill>
                </w14:textFill>
              </w:rPr>
              <w:t>主机）</w:t>
            </w:r>
          </w:p>
        </w:tc>
        <w:tc>
          <w:tcPr>
            <w:tcW w:w="6826" w:type="dxa"/>
          </w:tcPr>
          <w:p>
            <w:pPr>
              <w:contextualSpacing/>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1．商用计算机； </w:t>
            </w:r>
          </w:p>
          <w:p>
            <w:pPr>
              <w:contextualSpacing/>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 xml:space="preserve">▲Intel </w:t>
            </w:r>
            <w:r>
              <w:rPr>
                <w:rFonts w:hint="eastAsia" w:ascii="宋体" w:hAnsi="宋体"/>
                <w:color w:val="000000" w:themeColor="text1"/>
                <w:sz w:val="24"/>
                <w:highlight w:val="none"/>
                <w14:textFill>
                  <w14:solidFill>
                    <w14:schemeClr w14:val="tx1"/>
                  </w14:solidFill>
                </w14:textFill>
              </w:rPr>
              <w:t>B660或H670</w:t>
            </w:r>
            <w:r>
              <w:rPr>
                <w:rFonts w:hint="eastAsia" w:ascii="宋体" w:hAnsi="宋体"/>
                <w:color w:val="000000" w:themeColor="text1"/>
                <w:sz w:val="24"/>
                <w14:textFill>
                  <w14:solidFill>
                    <w14:schemeClr w14:val="tx1"/>
                  </w14:solidFill>
                </w14:textFill>
              </w:rPr>
              <w:t>芯片组相当或以上的。</w:t>
            </w:r>
            <w:r>
              <w:rPr>
                <w:rFonts w:hint="eastAsia" w:ascii="宋体" w:hAnsi="宋体" w:cs="宋体"/>
                <w:color w:val="000000" w:themeColor="text1"/>
                <w:kern w:val="0"/>
                <w:sz w:val="24"/>
                <w14:textFill>
                  <w14:solidFill>
                    <w14:schemeClr w14:val="tx1"/>
                  </w14:solidFill>
                </w14:textFill>
              </w:rPr>
              <w:t xml:space="preserve"> </w:t>
            </w:r>
          </w:p>
          <w:p>
            <w:pPr>
              <w:contextualSpacing/>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CPU</w:t>
            </w:r>
            <w:r>
              <w:rPr>
                <w:rFonts w:hint="eastAsia" w:ascii="宋体" w:hAnsi="宋体" w:cs="宋体"/>
                <w:color w:val="000000" w:themeColor="text1"/>
                <w:kern w:val="0"/>
                <w:sz w:val="24"/>
                <w14:textFill>
                  <w14:solidFill>
                    <w14:schemeClr w14:val="tx1"/>
                  </w14:solidFill>
                </w14:textFill>
              </w:rPr>
              <w:t>英特尔酷睿i3-</w:t>
            </w:r>
            <w:r>
              <w:rPr>
                <w:rFonts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14:textFill>
                  <w14:solidFill>
                    <w14:schemeClr w14:val="tx1"/>
                  </w14:solidFill>
                </w14:textFill>
              </w:rPr>
              <w:t>21</w:t>
            </w:r>
            <w:r>
              <w:rPr>
                <w:rFonts w:ascii="宋体" w:hAnsi="宋体" w:cs="宋体"/>
                <w:color w:val="000000" w:themeColor="text1"/>
                <w:kern w:val="0"/>
                <w:sz w:val="24"/>
                <w14:textFill>
                  <w14:solidFill>
                    <w14:schemeClr w14:val="tx1"/>
                  </w14:solidFill>
                </w14:textFill>
              </w:rPr>
              <w:t>0</w:t>
            </w:r>
            <w:r>
              <w:rPr>
                <w:rFonts w:hint="eastAsia" w:ascii="宋体" w:hAnsi="宋体" w:cs="宋体"/>
                <w:color w:val="000000" w:themeColor="text1"/>
                <w:kern w:val="0"/>
                <w:sz w:val="24"/>
                <w14:textFill>
                  <w14:solidFill>
                    <w14:schemeClr w14:val="tx1"/>
                  </w14:solidFill>
                </w14:textFill>
              </w:rPr>
              <w:t>0T或以上，主频≥2.2G；</w:t>
            </w:r>
          </w:p>
          <w:p>
            <w:pPr>
              <w:contextualSpacing/>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 xml:space="preserve">内存≥8G（单条）DDR4 </w:t>
            </w:r>
            <w:r>
              <w:rPr>
                <w:rFonts w:hint="eastAsia" w:ascii="宋体" w:hAnsi="宋体"/>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3200</w:t>
            </w:r>
            <w:r>
              <w:rPr>
                <w:rFonts w:hint="eastAsia" w:ascii="宋体" w:hAnsi="宋体"/>
                <w:color w:val="000000" w:themeColor="text1"/>
                <w:sz w:val="24"/>
                <w14:textFill>
                  <w14:solidFill>
                    <w14:schemeClr w14:val="tx1"/>
                  </w14:solidFill>
                </w14:textFill>
              </w:rPr>
              <w:t>Mhz</w:t>
            </w:r>
            <w:r>
              <w:rPr>
                <w:rFonts w:hint="eastAsia" w:ascii="宋体" w:hAnsi="宋体" w:cs="宋体"/>
                <w:color w:val="000000" w:themeColor="text1"/>
                <w:kern w:val="0"/>
                <w:sz w:val="24"/>
                <w14:textFill>
                  <w14:solidFill>
                    <w14:schemeClr w14:val="tx1"/>
                  </w14:solidFill>
                </w14:textFill>
              </w:rPr>
              <w:t>，支持双内存条插槽；</w:t>
            </w:r>
          </w:p>
          <w:p>
            <w:pPr>
              <w:contextualSpacing/>
              <w:rPr>
                <w:rFonts w:hint="eastAsia" w:ascii="宋体" w:hAnsi="宋体" w:cs="宋体"/>
                <w:b w:val="0"/>
                <w:bCs w:val="0"/>
                <w:color w:val="auto"/>
                <w:kern w:val="0"/>
                <w:sz w:val="24"/>
                <w:u w:val="none"/>
                <w:lang w:val="en-US" w:eastAsia="zh-CN"/>
              </w:rPr>
            </w:pPr>
            <w:r>
              <w:rPr>
                <w:rFonts w:hint="eastAsia" w:ascii="宋体" w:hAnsi="宋体" w:cs="宋体"/>
                <w:color w:val="000000" w:themeColor="text1"/>
                <w:kern w:val="0"/>
                <w:sz w:val="24"/>
                <w14:textFill>
                  <w14:solidFill>
                    <w14:schemeClr w14:val="tx1"/>
                  </w14:solidFill>
                </w14:textFill>
              </w:rPr>
              <w:t>5．</w:t>
            </w:r>
            <w:r>
              <w:rPr>
                <w:rFonts w:hint="eastAsia" w:ascii="宋体" w:hAnsi="宋体" w:cs="宋体"/>
                <w:b w:val="0"/>
                <w:bCs w:val="0"/>
                <w:color w:val="auto"/>
                <w:kern w:val="0"/>
                <w:sz w:val="24"/>
                <w:u w:val="none"/>
                <w:lang w:val="en-US" w:eastAsia="zh-CN"/>
              </w:rPr>
              <w:t>迷你</w:t>
            </w:r>
            <w:r>
              <w:rPr>
                <w:rFonts w:hint="eastAsia" w:ascii="宋体" w:hAnsi="宋体" w:cs="宋体"/>
                <w:b w:val="0"/>
                <w:bCs w:val="0"/>
                <w:color w:val="auto"/>
                <w:kern w:val="0"/>
                <w:sz w:val="24"/>
                <w:u w:val="none"/>
              </w:rPr>
              <w:t>机箱</w:t>
            </w:r>
            <w:r>
              <w:rPr>
                <w:rFonts w:hint="eastAsia" w:ascii="宋体" w:hAnsi="宋体" w:cs="宋体"/>
                <w:b w:val="0"/>
                <w:bCs w:val="0"/>
                <w:color w:val="auto"/>
                <w:kern w:val="0"/>
                <w:sz w:val="24"/>
                <w:u w:val="none"/>
                <w:lang w:eastAsia="zh-CN"/>
              </w:rPr>
              <w:t>，</w:t>
            </w:r>
            <w:r>
              <w:rPr>
                <w:rFonts w:hint="eastAsia" w:ascii="宋体" w:hAnsi="宋体" w:cs="宋体"/>
                <w:b w:val="0"/>
                <w:bCs w:val="0"/>
                <w:color w:val="auto"/>
                <w:kern w:val="0"/>
                <w:sz w:val="24"/>
                <w:u w:val="none"/>
                <w:lang w:val="en-US" w:eastAsia="zh-CN"/>
              </w:rPr>
              <w:t>可安全安装在</w:t>
            </w:r>
            <w:r>
              <w:rPr>
                <w:rFonts w:hint="eastAsia" w:ascii="宋体" w:hAnsi="宋体" w:cs="宋体"/>
                <w:b w:val="0"/>
                <w:bCs w:val="0"/>
                <w:color w:val="auto"/>
                <w:kern w:val="0"/>
                <w:sz w:val="24"/>
                <w:highlight w:val="none"/>
                <w:u w:val="none"/>
              </w:rPr>
              <w:t>显示器</w:t>
            </w:r>
            <w:r>
              <w:rPr>
                <w:rFonts w:hint="eastAsia" w:ascii="宋体" w:hAnsi="宋体" w:cs="宋体"/>
                <w:b w:val="0"/>
                <w:bCs w:val="0"/>
                <w:color w:val="auto"/>
                <w:kern w:val="0"/>
                <w:sz w:val="24"/>
                <w:highlight w:val="none"/>
                <w:u w:val="none"/>
                <w:lang w:val="en-US" w:eastAsia="zh-CN"/>
              </w:rPr>
              <w:t>背面且不影响显示器稳定性。</w:t>
            </w:r>
            <w:r>
              <w:rPr>
                <w:rFonts w:hint="eastAsia" w:ascii="宋体" w:hAnsi="宋体" w:cs="宋体"/>
                <w:b w:val="0"/>
                <w:bCs w:val="0"/>
                <w:color w:val="auto"/>
                <w:kern w:val="0"/>
                <w:sz w:val="24"/>
                <w:highlight w:val="none"/>
                <w:u w:val="none"/>
              </w:rPr>
              <w:t>标配</w:t>
            </w:r>
            <w:r>
              <w:rPr>
                <w:rFonts w:hint="eastAsia" w:ascii="宋体" w:hAnsi="宋体" w:cs="宋体"/>
                <w:b w:val="0"/>
                <w:bCs w:val="0"/>
                <w:color w:val="auto"/>
                <w:kern w:val="0"/>
                <w:sz w:val="24"/>
                <w:highlight w:val="none"/>
                <w:u w:val="none"/>
                <w:lang w:val="en-US" w:eastAsia="zh-CN"/>
              </w:rPr>
              <w:t>1个</w:t>
            </w:r>
            <w:r>
              <w:rPr>
                <w:rFonts w:hint="eastAsia" w:ascii="宋体" w:hAnsi="宋体"/>
                <w:b w:val="0"/>
                <w:bCs w:val="0"/>
                <w:color w:val="auto"/>
                <w:sz w:val="24"/>
                <w:highlight w:val="none"/>
                <w:u w:val="none"/>
              </w:rPr>
              <w:t>学生微型计算机</w:t>
            </w:r>
            <w:r>
              <w:rPr>
                <w:rFonts w:hint="eastAsia" w:ascii="宋体" w:hAnsi="宋体"/>
                <w:b w:val="0"/>
                <w:bCs w:val="0"/>
                <w:color w:val="auto"/>
                <w:sz w:val="24"/>
                <w:highlight w:val="none"/>
                <w:u w:val="none"/>
                <w:lang w:val="en-US" w:eastAsia="zh-CN"/>
              </w:rPr>
              <w:t>机箱</w:t>
            </w:r>
            <w:r>
              <w:rPr>
                <w:rFonts w:hint="eastAsia" w:ascii="宋体" w:hAnsi="宋体" w:cs="宋体"/>
                <w:b w:val="0"/>
                <w:bCs w:val="0"/>
                <w:color w:val="auto"/>
                <w:kern w:val="0"/>
                <w:sz w:val="24"/>
                <w:highlight w:val="none"/>
                <w:u w:val="none"/>
                <w:lang w:val="en-US" w:eastAsia="zh-CN"/>
              </w:rPr>
              <w:t>的</w:t>
            </w:r>
            <w:r>
              <w:rPr>
                <w:rFonts w:hint="eastAsia" w:ascii="宋体" w:hAnsi="宋体" w:cs="宋体"/>
                <w:b w:val="0"/>
                <w:bCs w:val="0"/>
                <w:color w:val="auto"/>
                <w:kern w:val="0"/>
                <w:sz w:val="24"/>
                <w:highlight w:val="none"/>
                <w:u w:val="none"/>
              </w:rPr>
              <w:t>固定安装套件</w:t>
            </w:r>
            <w:r>
              <w:rPr>
                <w:rFonts w:hint="eastAsia" w:ascii="宋体" w:hAnsi="宋体" w:cs="宋体"/>
                <w:b w:val="0"/>
                <w:bCs w:val="0"/>
                <w:color w:val="auto"/>
                <w:kern w:val="0"/>
                <w:sz w:val="24"/>
                <w:highlight w:val="none"/>
                <w:u w:val="none"/>
                <w:lang w:eastAsia="zh-CN"/>
              </w:rPr>
              <w:t>（</w:t>
            </w:r>
            <w:r>
              <w:rPr>
                <w:rFonts w:hint="eastAsia" w:ascii="宋体" w:hAnsi="宋体" w:cs="宋体"/>
                <w:b w:val="0"/>
                <w:bCs w:val="0"/>
                <w:color w:val="auto"/>
                <w:kern w:val="0"/>
                <w:sz w:val="24"/>
                <w:highlight w:val="none"/>
                <w:u w:val="none"/>
                <w:lang w:val="en-US" w:eastAsia="zh-CN"/>
              </w:rPr>
              <w:t>按学校要求选择</w:t>
            </w:r>
            <w:r>
              <w:rPr>
                <w:rFonts w:hint="eastAsia" w:ascii="宋体" w:hAnsi="宋体" w:cs="宋体"/>
                <w:b w:val="0"/>
                <w:bCs w:val="0"/>
                <w:color w:val="auto"/>
                <w:kern w:val="0"/>
                <w:sz w:val="24"/>
                <w:highlight w:val="none"/>
                <w:u w:val="none"/>
              </w:rPr>
              <w:t>安装</w:t>
            </w:r>
            <w:r>
              <w:rPr>
                <w:rFonts w:hint="eastAsia" w:ascii="宋体" w:hAnsi="宋体" w:cs="宋体"/>
                <w:b w:val="0"/>
                <w:bCs w:val="0"/>
                <w:color w:val="auto"/>
                <w:kern w:val="0"/>
                <w:sz w:val="24"/>
                <w:highlight w:val="none"/>
                <w:u w:val="none"/>
                <w:lang w:val="en-US" w:eastAsia="zh-CN"/>
              </w:rPr>
              <w:t>在</w:t>
            </w:r>
            <w:r>
              <w:rPr>
                <w:rFonts w:hint="eastAsia" w:ascii="宋体" w:hAnsi="宋体" w:cs="宋体"/>
                <w:b w:val="0"/>
                <w:bCs w:val="0"/>
                <w:color w:val="auto"/>
                <w:kern w:val="0"/>
                <w:sz w:val="24"/>
                <w:highlight w:val="none"/>
                <w:u w:val="none"/>
              </w:rPr>
              <w:t>显示器</w:t>
            </w:r>
            <w:r>
              <w:rPr>
                <w:rFonts w:hint="eastAsia" w:ascii="宋体" w:hAnsi="宋体" w:cs="宋体"/>
                <w:b w:val="0"/>
                <w:bCs w:val="0"/>
                <w:color w:val="auto"/>
                <w:kern w:val="0"/>
                <w:sz w:val="24"/>
                <w:highlight w:val="none"/>
                <w:u w:val="none"/>
                <w:lang w:val="en-US" w:eastAsia="zh-CN"/>
              </w:rPr>
              <w:t>背面或电脑桌相应部位</w:t>
            </w:r>
            <w:r>
              <w:rPr>
                <w:rFonts w:hint="eastAsia" w:ascii="宋体" w:hAnsi="宋体" w:cs="宋体"/>
                <w:b w:val="0"/>
                <w:bCs w:val="0"/>
                <w:color w:val="auto"/>
                <w:kern w:val="0"/>
                <w:sz w:val="24"/>
                <w:highlight w:val="none"/>
                <w:u w:val="none"/>
                <w:lang w:eastAsia="zh-CN"/>
              </w:rPr>
              <w:t>）</w:t>
            </w:r>
            <w:r>
              <w:rPr>
                <w:rFonts w:hint="eastAsia" w:ascii="宋体" w:hAnsi="宋体" w:cs="宋体"/>
                <w:b w:val="0"/>
                <w:bCs w:val="0"/>
                <w:color w:val="auto"/>
                <w:kern w:val="0"/>
                <w:sz w:val="24"/>
                <w:u w:val="none"/>
                <w:lang w:val="en-US" w:eastAsia="zh-CN"/>
              </w:rPr>
              <w:t>；</w:t>
            </w:r>
          </w:p>
          <w:p>
            <w:pPr>
              <w:contextualSpacing/>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 M.2接口PCIe NVme硬盘容量≥</w:t>
            </w:r>
            <w:r>
              <w:rPr>
                <w:rFonts w:hint="eastAsia" w:ascii="宋体" w:hAnsi="宋体" w:cs="宋体"/>
                <w:color w:val="auto"/>
                <w:kern w:val="0"/>
                <w:sz w:val="24"/>
                <w:lang w:val="en-US" w:eastAsia="zh-CN"/>
              </w:rPr>
              <w:t>256</w:t>
            </w:r>
            <w:r>
              <w:rPr>
                <w:rFonts w:hint="eastAsia" w:ascii="宋体" w:hAnsi="宋体" w:cs="宋体"/>
                <w:color w:val="000000" w:themeColor="text1"/>
                <w:kern w:val="0"/>
                <w:sz w:val="24"/>
                <w14:textFill>
                  <w14:solidFill>
                    <w14:schemeClr w14:val="tx1"/>
                  </w14:solidFill>
                </w14:textFill>
              </w:rPr>
              <w:t>G固态硬盘，支持SATA硬盘接口；支持双硬盘同时使用；</w:t>
            </w:r>
          </w:p>
          <w:p>
            <w:pPr>
              <w:contextualSpacing/>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7．集成显卡</w:t>
            </w:r>
            <w:r>
              <w:rPr>
                <w:rFonts w:hint="eastAsia" w:ascii="宋体" w:hAnsi="宋体" w:cs="宋体"/>
                <w:color w:val="000000" w:themeColor="text1"/>
                <w:kern w:val="0"/>
                <w:sz w:val="24"/>
                <w:lang w:eastAsia="zh-CN"/>
                <w14:textFill>
                  <w14:solidFill>
                    <w14:schemeClr w14:val="tx1"/>
                  </w14:solidFill>
                </w14:textFill>
              </w:rPr>
              <w:t>；</w:t>
            </w:r>
          </w:p>
          <w:p>
            <w:pPr>
              <w:contextualSpacing/>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8．USB3.2及以上端口≥4个</w:t>
            </w:r>
            <w:r>
              <w:rPr>
                <w:rFonts w:hint="eastAsia" w:ascii="宋体" w:hAnsi="宋体" w:cs="宋体"/>
                <w:color w:val="auto"/>
                <w:kern w:val="0"/>
                <w:sz w:val="24"/>
              </w:rPr>
              <w:t>，VGA端口≥1个，</w:t>
            </w:r>
            <w:r>
              <w:rPr>
                <w:rFonts w:hint="eastAsia" w:ascii="宋体" w:hAnsi="宋体" w:cs="宋体"/>
                <w:color w:val="000000" w:themeColor="text1"/>
                <w:kern w:val="0"/>
                <w:sz w:val="24"/>
                <w14:textFill>
                  <w14:solidFill>
                    <w14:schemeClr w14:val="tx1"/>
                  </w14:solidFill>
                </w14:textFill>
              </w:rPr>
              <w:t>高清接口≥1个；音频输入输出口。</w:t>
            </w:r>
            <w:r>
              <w:rPr>
                <w:rFonts w:ascii="宋体" w:hAnsi="宋体" w:cs="宋体"/>
                <w:color w:val="000000" w:themeColor="text1"/>
                <w:kern w:val="0"/>
                <w:sz w:val="24"/>
                <w14:textFill>
                  <w14:solidFill>
                    <w14:schemeClr w14:val="tx1"/>
                  </w14:solidFill>
                </w14:textFill>
              </w:rPr>
              <w:t xml:space="preserve"> </w:t>
            </w:r>
          </w:p>
          <w:p>
            <w:pPr>
              <w:contextualSpacing/>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9．10/100/1000M以太网卡；</w:t>
            </w:r>
          </w:p>
          <w:p>
            <w:pPr>
              <w:contextualSpacing/>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w:t>
            </w:r>
            <w:r>
              <w:rPr>
                <w:rFonts w:ascii="宋体" w:hAnsi="宋体" w:cs="宋体"/>
                <w:color w:val="000000" w:themeColor="text1"/>
                <w:kern w:val="0"/>
                <w:sz w:val="24"/>
                <w14:textFill>
                  <w14:solidFill>
                    <w14:schemeClr w14:val="tx1"/>
                  </w14:solidFill>
                </w14:textFill>
              </w:rPr>
              <w:t>主板</w:t>
            </w:r>
            <w:r>
              <w:rPr>
                <w:rFonts w:hint="eastAsia" w:ascii="宋体" w:hAnsi="宋体" w:cs="宋体"/>
                <w:color w:val="000000" w:themeColor="text1"/>
                <w:kern w:val="0"/>
                <w:sz w:val="24"/>
                <w14:textFill>
                  <w14:solidFill>
                    <w14:schemeClr w14:val="tx1"/>
                  </w14:solidFill>
                </w14:textFill>
              </w:rPr>
              <w:t>集成硬盘保护、网络同传功能。</w:t>
            </w:r>
          </w:p>
          <w:p>
            <w:pPr>
              <w:contextualSpacing/>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11．与主机同品牌原厂抗菌防水USB键盘/光电</w:t>
            </w:r>
            <w:r>
              <w:rPr>
                <w:rFonts w:hint="eastAsia" w:ascii="宋体" w:hAnsi="宋体"/>
                <w:color w:val="000000" w:themeColor="text1"/>
                <w:sz w:val="24"/>
                <w14:textFill>
                  <w14:solidFill>
                    <w14:schemeClr w14:val="tx1"/>
                  </w14:solidFill>
                </w14:textFill>
              </w:rPr>
              <w:t>鼠标</w:t>
            </w:r>
            <w:r>
              <w:rPr>
                <w:rFonts w:hint="eastAsia" w:ascii="宋体" w:hAnsi="宋体" w:cs="宋体"/>
                <w:color w:val="000000" w:themeColor="text1"/>
                <w:kern w:val="0"/>
                <w:sz w:val="24"/>
                <w14:textFill>
                  <w14:solidFill>
                    <w14:schemeClr w14:val="tx1"/>
                  </w14:solidFill>
                </w14:textFill>
              </w:rPr>
              <w:t>/标配耳麦（与音频输入输出接口匹配）；</w:t>
            </w:r>
          </w:p>
          <w:p>
            <w:pPr>
              <w:contextualSpacing/>
              <w:rPr>
                <w:rFonts w:ascii="宋体" w:hAnsi="宋体" w:cs="宋体"/>
                <w:color w:val="000000" w:themeColor="text1"/>
                <w:kern w:val="0"/>
                <w:sz w:val="24"/>
                <w:u w:val="single"/>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w:t>
            </w:r>
            <w:r>
              <w:rPr>
                <w:rFonts w:hint="eastAsia" w:ascii="宋体" w:hAnsi="宋体"/>
                <w:color w:val="000000" w:themeColor="text1"/>
                <w:sz w:val="24"/>
                <w14:textFill>
                  <w14:solidFill>
                    <w14:schemeClr w14:val="tx1"/>
                  </w14:solidFill>
                </w14:textFill>
              </w:rPr>
              <w:t>出厂</w:t>
            </w:r>
            <w:r>
              <w:rPr>
                <w:rFonts w:hint="eastAsia"/>
                <w:color w:val="000000" w:themeColor="text1"/>
                <w:sz w:val="24"/>
                <w14:textFill>
                  <w14:solidFill>
                    <w14:schemeClr w14:val="tx1"/>
                  </w14:solidFill>
                </w14:textFill>
              </w:rPr>
              <w:t>预装</w:t>
            </w:r>
            <w:r>
              <w:rPr>
                <w:rFonts w:hint="eastAsia" w:ascii="宋体" w:hAnsi="宋体"/>
                <w:color w:val="000000" w:themeColor="text1"/>
                <w:sz w:val="24"/>
                <w14:textFill>
                  <w14:solidFill>
                    <w14:schemeClr w14:val="tx1"/>
                  </w14:solidFill>
                </w14:textFill>
              </w:rPr>
              <w:t xml:space="preserve"> Windows10或以上（64位）中文版；</w:t>
            </w:r>
          </w:p>
          <w:p>
            <w:pPr>
              <w:contextualSpacing/>
              <w:jc w:val="left"/>
              <w:rPr>
                <w:rFonts w:ascii="宋体" w:hAnsi="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13．权威检验中心出具的MTBF平均无故障时间 ≥1000000小时，</w:t>
            </w:r>
            <w:r>
              <w:rPr>
                <w:rFonts w:hint="eastAsia" w:ascii="宋体" w:hAnsi="宋体"/>
                <w:color w:val="000000" w:themeColor="text1"/>
                <w:sz w:val="24"/>
                <w14:textFill>
                  <w14:solidFill>
                    <w14:schemeClr w14:val="tx1"/>
                  </w14:solidFill>
                </w14:textFill>
              </w:rPr>
              <w:t>提供证书</w:t>
            </w:r>
            <w:r>
              <w:rPr>
                <w:rFonts w:hint="eastAsia" w:ascii="宋体" w:hAnsi="宋体"/>
                <w:color w:val="000000" w:themeColor="text1"/>
                <w:sz w:val="24"/>
                <w:lang w:eastAsia="zh-CN"/>
                <w14:textFill>
                  <w14:solidFill>
                    <w14:schemeClr w14:val="tx1"/>
                  </w14:solidFill>
                </w14:textFill>
              </w:rPr>
              <w:t>原件或复印件扫描件</w:t>
            </w:r>
            <w:r>
              <w:rPr>
                <w:rFonts w:hint="eastAsia" w:ascii="宋体" w:hAnsi="宋体"/>
                <w:color w:val="000000" w:themeColor="text1"/>
                <w:sz w:val="24"/>
                <w14:textFill>
                  <w14:solidFill>
                    <w14:schemeClr w14:val="tx1"/>
                  </w14:solidFill>
                </w14:textFill>
              </w:rPr>
              <w:t>；</w:t>
            </w:r>
          </w:p>
          <w:p>
            <w:pPr>
              <w:contextualSpacing/>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14．产品整机通过国家强制3C认证，提供证书</w:t>
            </w:r>
            <w:r>
              <w:rPr>
                <w:rFonts w:hint="eastAsia" w:ascii="宋体" w:hAnsi="宋体" w:cs="宋体"/>
                <w:color w:val="000000" w:themeColor="text1"/>
                <w:kern w:val="0"/>
                <w:sz w:val="24"/>
                <w:lang w:eastAsia="zh-CN"/>
                <w14:textFill>
                  <w14:solidFill>
                    <w14:schemeClr w14:val="tx1"/>
                  </w14:solidFill>
                </w14:textFill>
              </w:rPr>
              <w:t>原件或复印件扫描件</w:t>
            </w:r>
          </w:p>
          <w:p>
            <w:pPr>
              <w:contextualSpacing/>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15．整机（含显示器）三年质保，质保期内免费上门服务，</w:t>
            </w:r>
            <w:r>
              <w:rPr>
                <w:rFonts w:hint="eastAsia" w:ascii="宋体" w:hAnsi="宋体"/>
                <w:color w:val="000000" w:themeColor="text1"/>
                <w:sz w:val="24"/>
                <w14:textFill>
                  <w14:solidFill>
                    <w14:schemeClr w14:val="tx1"/>
                  </w14:solidFill>
                </w14:textFill>
              </w:rPr>
              <w:t>通过序列号官网可查询质保服务内容，签订合同前提供原厂家针对该项目的售后服务承诺书</w:t>
            </w:r>
          </w:p>
          <w:p>
            <w:pPr>
              <w:contextualSpacing/>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16.产品整机需原厂出品，不支持另外加装。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Align w:val="center"/>
          </w:tcPr>
          <w:p>
            <w:pPr>
              <w:numPr>
                <w:ilvl w:val="0"/>
                <w:numId w:val="2"/>
              </w:numPr>
              <w:jc w:val="center"/>
              <w:rPr>
                <w:rFonts w:ascii="宋体" w:hAnsi="宋体" w:cs="宋体"/>
                <w:color w:val="000000" w:themeColor="text1"/>
                <w:kern w:val="0"/>
                <w:sz w:val="24"/>
                <w14:textFill>
                  <w14:solidFill>
                    <w14:schemeClr w14:val="tx1"/>
                  </w14:solidFill>
                </w14:textFill>
              </w:rPr>
            </w:pPr>
          </w:p>
        </w:tc>
        <w:tc>
          <w:tcPr>
            <w:tcW w:w="992" w:type="dxa"/>
            <w:vAlign w:val="center"/>
          </w:tcPr>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笔记本</w:t>
            </w:r>
          </w:p>
        </w:tc>
        <w:tc>
          <w:tcPr>
            <w:tcW w:w="6826" w:type="dxa"/>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1.商用便携式</w:t>
            </w:r>
            <w:r>
              <w:rPr>
                <w:rFonts w:hint="eastAsia" w:ascii="宋体" w:hAnsi="宋体" w:cs="宋体"/>
                <w:color w:val="000000" w:themeColor="text1"/>
                <w:kern w:val="0"/>
                <w:sz w:val="24"/>
                <w14:textFill>
                  <w14:solidFill>
                    <w14:schemeClr w14:val="tx1"/>
                  </w14:solidFill>
                </w14:textFill>
              </w:rPr>
              <w:t>轻薄型商用笔记本</w:t>
            </w:r>
            <w:r>
              <w:rPr>
                <w:rFonts w:hint="eastAsia"/>
                <w:color w:val="000000" w:themeColor="text1"/>
                <w:sz w:val="24"/>
                <w14:textFill>
                  <w14:solidFill>
                    <w14:schemeClr w14:val="tx1"/>
                  </w14:solidFill>
                </w14:textFill>
              </w:rPr>
              <w:t xml:space="preserve">； </w:t>
            </w:r>
          </w:p>
          <w:p>
            <w:pPr>
              <w:rPr>
                <w:color w:val="auto"/>
                <w:sz w:val="24"/>
              </w:rPr>
            </w:pPr>
            <w:r>
              <w:rPr>
                <w:rFonts w:hint="eastAsia"/>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CPU第十</w:t>
            </w:r>
            <w:r>
              <w:rPr>
                <w:rFonts w:hint="eastAsia"/>
                <w:color w:val="000000" w:themeColor="text1"/>
                <w:sz w:val="24"/>
                <w:lang w:val="en-US" w:eastAsia="zh-CN"/>
                <w14:textFill>
                  <w14:solidFill>
                    <w14:schemeClr w14:val="tx1"/>
                  </w14:solidFill>
                </w14:textFill>
              </w:rPr>
              <w:t>二</w:t>
            </w:r>
            <w:r>
              <w:rPr>
                <w:rFonts w:hint="eastAsia"/>
                <w:color w:val="000000" w:themeColor="text1"/>
                <w:sz w:val="24"/>
                <w14:textFill>
                  <w14:solidFill>
                    <w14:schemeClr w14:val="tx1"/>
                  </w14:solidFill>
                </w14:textFill>
              </w:rPr>
              <w:t>代英特尔®酷睿</w:t>
            </w:r>
            <w:r>
              <w:rPr>
                <w:rFonts w:ascii="仿宋" w:hAnsi="仿宋" w:eastAsia="仿宋" w:cs="仿宋"/>
                <w:color w:val="auto"/>
                <w:sz w:val="24"/>
                <w:szCs w:val="24"/>
              </w:rPr>
              <w:t>Intel i5-1235U</w:t>
            </w:r>
            <w:r>
              <w:rPr>
                <w:rFonts w:hint="eastAsia"/>
                <w:color w:val="auto"/>
                <w:sz w:val="24"/>
              </w:rPr>
              <w:t>处理器或以上；</w:t>
            </w:r>
          </w:p>
          <w:p>
            <w:pPr>
              <w:rPr>
                <w:color w:val="auto"/>
                <w:sz w:val="24"/>
              </w:rPr>
            </w:pPr>
            <w:r>
              <w:rPr>
                <w:rFonts w:hint="eastAsia"/>
                <w:color w:val="auto"/>
                <w:sz w:val="24"/>
              </w:rPr>
              <w:t>3.</w:t>
            </w:r>
            <w:r>
              <w:rPr>
                <w:rFonts w:hint="eastAsia" w:ascii="宋体" w:hAnsi="宋体"/>
                <w:color w:val="auto"/>
                <w:sz w:val="24"/>
              </w:rPr>
              <w:t xml:space="preserve"> ▲</w:t>
            </w:r>
            <w:r>
              <w:rPr>
                <w:rFonts w:hint="eastAsia"/>
                <w:color w:val="auto"/>
                <w:sz w:val="24"/>
              </w:rPr>
              <w:t>内存：≥</w:t>
            </w:r>
            <w:r>
              <w:rPr>
                <w:rFonts w:hint="eastAsia"/>
                <w:color w:val="auto"/>
                <w:sz w:val="24"/>
                <w:lang w:val="en-US" w:eastAsia="zh-CN"/>
              </w:rPr>
              <w:t>16</w:t>
            </w:r>
            <w:r>
              <w:rPr>
                <w:rFonts w:hint="eastAsia"/>
                <w:color w:val="auto"/>
                <w:sz w:val="24"/>
              </w:rPr>
              <w:t>GB(单条) ，支持双内存，至少有一空余插槽；</w:t>
            </w:r>
          </w:p>
          <w:p>
            <w:pPr>
              <w:rPr>
                <w:color w:val="000000" w:themeColor="text1"/>
                <w:sz w:val="24"/>
                <w14:textFill>
                  <w14:solidFill>
                    <w14:schemeClr w14:val="tx1"/>
                  </w14:solidFill>
                </w14:textFill>
              </w:rPr>
            </w:pPr>
            <w:r>
              <w:rPr>
                <w:rFonts w:hint="eastAsia"/>
                <w:color w:val="auto"/>
                <w:sz w:val="24"/>
              </w:rPr>
              <w:t>4.</w:t>
            </w:r>
            <w:r>
              <w:rPr>
                <w:rFonts w:hint="eastAsia" w:ascii="宋体" w:hAnsi="宋体"/>
                <w:color w:val="auto"/>
                <w:sz w:val="24"/>
              </w:rPr>
              <w:t xml:space="preserve"> ▲</w:t>
            </w:r>
            <w:r>
              <w:rPr>
                <w:rFonts w:hint="eastAsia"/>
                <w:color w:val="auto"/>
                <w:sz w:val="24"/>
              </w:rPr>
              <w:t>硬盘：≥</w:t>
            </w:r>
            <w:r>
              <w:rPr>
                <w:color w:val="auto"/>
                <w:sz w:val="24"/>
              </w:rPr>
              <w:t>512G M.2 PCIe NVME SSD</w:t>
            </w:r>
            <w:r>
              <w:rPr>
                <w:rFonts w:hint="eastAsia"/>
                <w:color w:val="auto"/>
                <w:sz w:val="24"/>
              </w:rPr>
              <w:t>；</w:t>
            </w:r>
            <w:r>
              <w:rPr>
                <w:color w:val="auto"/>
                <w:sz w:val="24"/>
              </w:rPr>
              <w:t xml:space="preserve"> </w:t>
            </w: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5.网络：支持wifi 6协议，内置无线网卡和</w:t>
            </w:r>
            <w:r>
              <w:rPr>
                <w:rFonts w:hint="eastAsia" w:ascii="宋体" w:hAnsi="宋体" w:cs="宋体"/>
                <w:color w:val="000000" w:themeColor="text1"/>
                <w:kern w:val="0"/>
                <w:sz w:val="24"/>
                <w14:textFill>
                  <w14:solidFill>
                    <w14:schemeClr w14:val="tx1"/>
                  </w14:solidFill>
                </w14:textFill>
              </w:rPr>
              <w:t>支持</w:t>
            </w:r>
            <w:r>
              <w:rPr>
                <w:rFonts w:ascii="宋体" w:hAnsi="宋体" w:cs="宋体"/>
                <w:color w:val="000000" w:themeColor="text1"/>
                <w:kern w:val="0"/>
                <w:sz w:val="24"/>
                <w14:textFill>
                  <w14:solidFill>
                    <w14:schemeClr w14:val="tx1"/>
                  </w14:solidFill>
                </w14:textFill>
              </w:rPr>
              <w:t>4</w:t>
            </w:r>
            <w:r>
              <w:rPr>
                <w:rFonts w:hint="eastAsia" w:ascii="宋体" w:hAnsi="宋体" w:cs="宋体"/>
                <w:color w:val="000000" w:themeColor="text1"/>
                <w:kern w:val="0"/>
                <w:sz w:val="24"/>
                <w14:textFill>
                  <w14:solidFill>
                    <w14:schemeClr w14:val="tx1"/>
                  </w14:solidFill>
                </w14:textFill>
              </w:rPr>
              <w:t>.0及以上</w:t>
            </w:r>
            <w:r>
              <w:rPr>
                <w:rFonts w:hint="eastAsia"/>
                <w:color w:val="000000" w:themeColor="text1"/>
                <w:sz w:val="24"/>
                <w14:textFill>
                  <w14:solidFill>
                    <w14:schemeClr w14:val="tx1"/>
                  </w14:solidFill>
                </w14:textFill>
              </w:rPr>
              <w:t>蓝牙；</w:t>
            </w:r>
            <w:r>
              <w:rPr>
                <w:color w:val="000000" w:themeColor="text1"/>
                <w:sz w:val="24"/>
                <w14:textFill>
                  <w14:solidFill>
                    <w14:schemeClr w14:val="tx1"/>
                  </w14:solidFill>
                </w14:textFill>
              </w:rPr>
              <w:t xml:space="preserve"> </w:t>
            </w: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屏幕尺寸：1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.0英寸，</w:t>
            </w:r>
            <w:r>
              <w:rPr>
                <w:color w:val="000000" w:themeColor="text1"/>
                <w:sz w:val="24"/>
                <w14:textFill>
                  <w14:solidFill>
                    <w14:schemeClr w14:val="tx1"/>
                  </w14:solidFill>
                </w14:textFill>
              </w:rPr>
              <w:t>1920*1080</w:t>
            </w:r>
            <w:r>
              <w:rPr>
                <w:rFonts w:hint="eastAsia"/>
                <w:color w:val="000000" w:themeColor="text1"/>
                <w:sz w:val="24"/>
                <w14:textFill>
                  <w14:solidFill>
                    <w14:schemeClr w14:val="tx1"/>
                  </w14:solidFill>
                </w14:textFill>
              </w:rPr>
              <w:t>防眩光显示屏（屏体材质），A面、D面为金属材质或碳纤维复合材质；</w:t>
            </w: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7.接口：Type-C接口≥1个、USB</w:t>
            </w:r>
            <w:r>
              <w:rPr>
                <w:color w:val="000000" w:themeColor="text1"/>
                <w:sz w:val="24"/>
                <w14:textFill>
                  <w14:solidFill>
                    <w14:schemeClr w14:val="tx1"/>
                  </w14:solidFill>
                </w14:textFill>
              </w:rPr>
              <w:t>3.1</w:t>
            </w:r>
            <w:r>
              <w:rPr>
                <w:rFonts w:hint="eastAsia"/>
                <w:color w:val="000000" w:themeColor="text1"/>
                <w:sz w:val="24"/>
                <w14:textFill>
                  <w14:solidFill>
                    <w14:schemeClr w14:val="tx1"/>
                  </w14:solidFill>
                </w14:textFill>
              </w:rPr>
              <w:t>接口≥2</w:t>
            </w:r>
            <w:r>
              <w:rPr>
                <w:rFonts w:hint="eastAsia"/>
                <w:color w:val="000000" w:themeColor="text1"/>
                <w:sz w:val="24"/>
                <w:u w:val="single"/>
                <w14:textFill>
                  <w14:solidFill>
                    <w14:schemeClr w14:val="tx1"/>
                  </w14:solidFill>
                </w14:textFill>
              </w:rPr>
              <w:t>个</w:t>
            </w:r>
            <w:r>
              <w:rPr>
                <w:rFonts w:hint="eastAsia"/>
                <w:color w:val="000000" w:themeColor="text1"/>
                <w:sz w:val="24"/>
                <w14:textFill>
                  <w14:solidFill>
                    <w14:schemeClr w14:val="tx1"/>
                  </w14:solidFill>
                </w14:textFill>
              </w:rPr>
              <w:t>，RJ45端口、带</w:t>
            </w:r>
            <w:r>
              <w:rPr>
                <w:color w:val="000000" w:themeColor="text1"/>
                <w:sz w:val="24"/>
                <w14:textFill>
                  <w14:solidFill>
                    <w14:schemeClr w14:val="tx1"/>
                  </w14:solidFill>
                </w14:textFill>
              </w:rPr>
              <w:t>HDMI接口</w:t>
            </w:r>
            <w:r>
              <w:rPr>
                <w:rFonts w:hint="eastAsia"/>
                <w:color w:val="000000" w:themeColor="text1"/>
                <w:sz w:val="24"/>
                <w14:textFill>
                  <w14:solidFill>
                    <w14:schemeClr w14:val="tx1"/>
                  </w14:solidFill>
                </w14:textFill>
              </w:rPr>
              <w:t>；1个耳机输出/麦克输出；</w:t>
            </w: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8.电池：锂聚合物≥4</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Whr</w:t>
            </w:r>
            <w:r>
              <w:rPr>
                <w:rFonts w:hint="eastAsia" w:ascii="宋体" w:hAnsi="宋体" w:cs="宋体"/>
                <w:color w:val="000000" w:themeColor="text1"/>
                <w:kern w:val="0"/>
                <w:sz w:val="24"/>
                <w14:textFill>
                  <w14:solidFill>
                    <w14:schemeClr w14:val="tx1"/>
                  </w14:solidFill>
                </w14:textFill>
              </w:rPr>
              <w:t>（续航时间不少于3小时）</w:t>
            </w:r>
            <w:r>
              <w:rPr>
                <w:rFonts w:hint="eastAsia"/>
                <w:color w:val="000000" w:themeColor="text1"/>
                <w:sz w:val="24"/>
                <w14:textFill>
                  <w14:solidFill>
                    <w14:schemeClr w14:val="tx1"/>
                  </w14:solidFill>
                </w14:textFill>
              </w:rPr>
              <w:t>；</w:t>
            </w: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9.重量≤1.6KG，厚度≤20mm（此数据以原厂产品彩页为准）；</w:t>
            </w: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10.操作系统：</w:t>
            </w:r>
            <w:r>
              <w:rPr>
                <w:rFonts w:hint="eastAsia" w:ascii="宋体" w:hAnsi="宋体"/>
                <w:color w:val="000000" w:themeColor="text1"/>
                <w:sz w:val="24"/>
                <w14:textFill>
                  <w14:solidFill>
                    <w14:schemeClr w14:val="tx1"/>
                  </w14:solidFill>
                </w14:textFill>
              </w:rPr>
              <w:t>出厂</w:t>
            </w:r>
            <w:r>
              <w:rPr>
                <w:rFonts w:hint="eastAsia"/>
                <w:color w:val="000000" w:themeColor="text1"/>
                <w:sz w:val="24"/>
                <w14:textFill>
                  <w14:solidFill>
                    <w14:schemeClr w14:val="tx1"/>
                  </w14:solidFill>
                </w14:textFill>
              </w:rPr>
              <w:t>预装</w:t>
            </w:r>
            <w:r>
              <w:rPr>
                <w:rFonts w:hint="eastAsia" w:ascii="宋体" w:hAnsi="宋体"/>
                <w:color w:val="000000" w:themeColor="text1"/>
                <w:sz w:val="24"/>
                <w14:textFill>
                  <w14:solidFill>
                    <w14:schemeClr w14:val="tx1"/>
                  </w14:solidFill>
                </w14:textFill>
              </w:rPr>
              <w:t xml:space="preserve"> Windows10或以上（64位）中文版；</w:t>
            </w: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11.其它：原厂包、光电鼠标等；</w:t>
            </w:r>
          </w:p>
          <w:p>
            <w:pPr>
              <w:contextualSpacing/>
              <w:jc w:val="left"/>
              <w:rPr>
                <w:rFonts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 xml:space="preserve"> 权威检验中心出具的MTBF平均无故障时间 ≥</w:t>
            </w:r>
            <w:r>
              <w:rPr>
                <w:rFonts w:ascii="宋体" w:hAnsi="宋体" w:cs="宋体"/>
                <w:color w:val="000000" w:themeColor="text1"/>
                <w:kern w:val="0"/>
                <w:sz w:val="24"/>
                <w14:textFill>
                  <w14:solidFill>
                    <w14:schemeClr w14:val="tx1"/>
                  </w14:solidFill>
                </w14:textFill>
              </w:rPr>
              <w:t>80</w:t>
            </w:r>
            <w:r>
              <w:rPr>
                <w:rFonts w:hint="eastAsia" w:ascii="宋体" w:hAnsi="宋体" w:cs="宋体"/>
                <w:color w:val="000000" w:themeColor="text1"/>
                <w:kern w:val="0"/>
                <w:sz w:val="24"/>
                <w14:textFill>
                  <w14:solidFill>
                    <w14:schemeClr w14:val="tx1"/>
                  </w14:solidFill>
                </w14:textFill>
              </w:rPr>
              <w:t>0000小时，</w:t>
            </w:r>
            <w:r>
              <w:rPr>
                <w:rFonts w:hint="eastAsia" w:ascii="宋体" w:hAnsi="宋体"/>
                <w:color w:val="000000" w:themeColor="text1"/>
                <w:sz w:val="24"/>
                <w14:textFill>
                  <w14:solidFill>
                    <w14:schemeClr w14:val="tx1"/>
                  </w14:solidFill>
                </w14:textFill>
              </w:rPr>
              <w:t>提供证书</w:t>
            </w:r>
            <w:r>
              <w:rPr>
                <w:rFonts w:hint="eastAsia" w:ascii="宋体" w:hAnsi="宋体"/>
                <w:color w:val="000000" w:themeColor="text1"/>
                <w:sz w:val="24"/>
                <w:lang w:eastAsia="zh-CN"/>
                <w14:textFill>
                  <w14:solidFill>
                    <w14:schemeClr w14:val="tx1"/>
                  </w14:solidFill>
                </w14:textFill>
              </w:rPr>
              <w:t>原件或复印件扫描件</w:t>
            </w: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 xml:space="preserve"> </w:t>
            </w:r>
          </w:p>
          <w:p>
            <w:pPr>
              <w:contextualSpacing/>
              <w:jc w:val="left"/>
              <w:rPr>
                <w:rFonts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13.整机1年原厂免费保修（电池免费保修1年），</w:t>
            </w:r>
            <w:r>
              <w:rPr>
                <w:rFonts w:hint="eastAsia" w:ascii="宋体" w:hAnsi="宋体" w:cs="宋体"/>
                <w:color w:val="000000" w:themeColor="text1"/>
                <w:kern w:val="0"/>
                <w:sz w:val="24"/>
                <w14:textFill>
                  <w14:solidFill>
                    <w14:schemeClr w14:val="tx1"/>
                  </w14:solidFill>
                </w14:textFill>
              </w:rPr>
              <w:t>质保期内免费上门服务，</w:t>
            </w:r>
            <w:r>
              <w:rPr>
                <w:rFonts w:hint="eastAsia" w:ascii="宋体" w:hAnsi="宋体"/>
                <w:color w:val="000000" w:themeColor="text1"/>
                <w:sz w:val="24"/>
                <w14:textFill>
                  <w14:solidFill>
                    <w14:schemeClr w14:val="tx1"/>
                  </w14:solidFill>
                </w14:textFill>
              </w:rPr>
              <w:t>通过序列号官网可查询质保服务内容，签订合同前提供原厂家针对该项目的售后服务承诺书</w:t>
            </w:r>
          </w:p>
          <w:p>
            <w:pPr>
              <w:rPr>
                <w:rFonts w:ascii="宋体" w:hAnsi="宋体"/>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14.产品整机需原厂出品，不支持另外加装。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483" w:type="dxa"/>
            <w:vAlign w:val="center"/>
          </w:tcPr>
          <w:p>
            <w:pPr>
              <w:numPr>
                <w:ilvl w:val="0"/>
                <w:numId w:val="2"/>
              </w:numPr>
              <w:jc w:val="center"/>
              <w:rPr>
                <w:rFonts w:ascii="宋体" w:hAnsi="宋体" w:cs="宋体"/>
                <w:color w:val="000000" w:themeColor="text1"/>
                <w:kern w:val="0"/>
                <w:sz w:val="24"/>
                <w14:textFill>
                  <w14:solidFill>
                    <w14:schemeClr w14:val="tx1"/>
                  </w14:solidFill>
                </w14:textFill>
              </w:rPr>
            </w:pPr>
          </w:p>
        </w:tc>
        <w:tc>
          <w:tcPr>
            <w:tcW w:w="992" w:type="dxa"/>
            <w:vAlign w:val="center"/>
          </w:tcPr>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口交换机</w:t>
            </w:r>
          </w:p>
        </w:tc>
        <w:tc>
          <w:tcPr>
            <w:tcW w:w="6826" w:type="dxa"/>
            <w:vAlign w:val="center"/>
          </w:tcPr>
          <w:p>
            <w:pPr>
              <w:autoSpaceDE w:val="0"/>
              <w:autoSpaceDN w:val="0"/>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24口千兆以太网交换机（含配套理线架）；</w:t>
            </w:r>
          </w:p>
          <w:p>
            <w:pPr>
              <w:autoSpaceDE w:val="0"/>
              <w:autoSpaceDN w:val="0"/>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传输速率1000Mbps；千兆电口（非复用）数量≥24口，千兆光口（SFP）≥4个；交换容量：192Gbps。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83" w:type="dxa"/>
            <w:vAlign w:val="center"/>
          </w:tcPr>
          <w:p>
            <w:pPr>
              <w:numPr>
                <w:ilvl w:val="0"/>
                <w:numId w:val="2"/>
              </w:numPr>
              <w:jc w:val="center"/>
              <w:rPr>
                <w:rFonts w:ascii="宋体" w:hAnsi="宋体" w:cs="宋体"/>
                <w:color w:val="000000" w:themeColor="text1"/>
                <w:kern w:val="0"/>
                <w:sz w:val="24"/>
                <w14:textFill>
                  <w14:solidFill>
                    <w14:schemeClr w14:val="tx1"/>
                  </w14:solidFill>
                </w14:textFill>
              </w:rPr>
            </w:pPr>
          </w:p>
        </w:tc>
        <w:tc>
          <w:tcPr>
            <w:tcW w:w="992" w:type="dxa"/>
            <w:vAlign w:val="center"/>
          </w:tcPr>
          <w:p>
            <w:pPr>
              <w:autoSpaceDE w:val="0"/>
              <w:autoSpaceDN w:val="0"/>
              <w:adjustRightInd w:val="0"/>
              <w:rPr>
                <w:rFonts w:hint="eastAsia" w:ascii="宋体" w:hAnsi="宋体"/>
                <w:color w:val="000000" w:themeColor="text1"/>
                <w:sz w:val="24"/>
                <w14:textFill>
                  <w14:solidFill>
                    <w14:schemeClr w14:val="tx1"/>
                  </w14:solidFill>
                </w14:textFill>
              </w:rPr>
            </w:pPr>
            <w:r>
              <w:rPr>
                <w:rFonts w:hint="eastAsia" w:ascii="宋体" w:hAnsi="宋体"/>
                <w:szCs w:val="21"/>
              </w:rPr>
              <w:t>网络机柜</w:t>
            </w:r>
          </w:p>
        </w:tc>
        <w:tc>
          <w:tcPr>
            <w:tcW w:w="6826" w:type="dxa"/>
            <w:vAlign w:val="center"/>
          </w:tcPr>
          <w:p>
            <w:pPr>
              <w:autoSpaceDE w:val="0"/>
              <w:autoSpaceDN w:val="0"/>
              <w:adjustRightInd w:val="0"/>
              <w:rPr>
                <w:rFonts w:ascii="宋体" w:hAnsi="宋体"/>
                <w:szCs w:val="21"/>
              </w:rPr>
            </w:pPr>
            <w:r>
              <w:rPr>
                <w:rFonts w:hint="eastAsia" w:ascii="宋体" w:hAnsi="宋体"/>
                <w:szCs w:val="21"/>
              </w:rPr>
              <w:t>22U服务器机柜（宽度≥600mm深度≥600mm；</w:t>
            </w:r>
            <w:r>
              <w:rPr>
                <w:rFonts w:hint="eastAsia" w:ascii="宋体" w:hAnsi="宋体"/>
                <w:color w:val="000000" w:themeColor="text1"/>
                <w:szCs w:val="21"/>
                <w14:textFill>
                  <w14:solidFill>
                    <w14:schemeClr w14:val="tx1"/>
                  </w14:solidFill>
                </w14:textFill>
              </w:rPr>
              <w:t>含8位PDU排插1只；</w:t>
            </w:r>
          </w:p>
          <w:p>
            <w:pPr>
              <w:autoSpaceDE w:val="0"/>
              <w:autoSpaceDN w:val="0"/>
              <w:adjustRightInd w:val="0"/>
              <w:rPr>
                <w:rFonts w:hint="eastAsia" w:ascii="宋体" w:hAnsi="宋体"/>
                <w:color w:val="000000" w:themeColor="text1"/>
                <w:sz w:val="24"/>
                <w14:textFill>
                  <w14:solidFill>
                    <w14:schemeClr w14:val="tx1"/>
                  </w14:solidFill>
                </w14:textFill>
              </w:rPr>
            </w:pPr>
            <w:r>
              <w:rPr>
                <w:rFonts w:hint="eastAsia" w:ascii="宋体" w:hAnsi="宋体"/>
                <w:szCs w:val="21"/>
              </w:rPr>
              <w:t>SPCC优质冷轧钢板制作。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83" w:type="dxa"/>
            <w:vAlign w:val="center"/>
          </w:tcPr>
          <w:p>
            <w:pPr>
              <w:numPr>
                <w:ilvl w:val="0"/>
                <w:numId w:val="2"/>
              </w:numPr>
              <w:jc w:val="center"/>
              <w:rPr>
                <w:rFonts w:ascii="宋体" w:hAnsi="宋体" w:cs="宋体"/>
                <w:color w:val="000000" w:themeColor="text1"/>
                <w:kern w:val="0"/>
                <w:sz w:val="24"/>
                <w14:textFill>
                  <w14:solidFill>
                    <w14:schemeClr w14:val="tx1"/>
                  </w14:solidFill>
                </w14:textFill>
              </w:rPr>
            </w:pPr>
          </w:p>
        </w:tc>
        <w:tc>
          <w:tcPr>
            <w:tcW w:w="992" w:type="dxa"/>
            <w:vAlign w:val="center"/>
          </w:tcPr>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教师讲台桌</w:t>
            </w:r>
          </w:p>
        </w:tc>
        <w:tc>
          <w:tcPr>
            <w:tcW w:w="6826" w:type="dxa"/>
            <w:vAlign w:val="center"/>
          </w:tcPr>
          <w:p>
            <w:pPr>
              <w:pStyle w:val="781"/>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尺寸约：</w:t>
            </w:r>
            <w:r>
              <w:rPr>
                <w:rFonts w:ascii="宋体" w:hAnsi="宋体"/>
                <w:color w:val="000000" w:themeColor="text1"/>
                <w:kern w:val="2"/>
                <w:sz w:val="24"/>
                <w:szCs w:val="24"/>
                <w14:textFill>
                  <w14:solidFill>
                    <w14:schemeClr w14:val="tx1"/>
                  </w14:solidFill>
                </w14:textFill>
              </w:rPr>
              <w:t>1</w:t>
            </w:r>
            <w:r>
              <w:rPr>
                <w:rFonts w:hint="eastAsia" w:ascii="宋体" w:hAnsi="宋体"/>
                <w:color w:val="000000" w:themeColor="text1"/>
                <w:kern w:val="2"/>
                <w:sz w:val="24"/>
                <w:szCs w:val="24"/>
                <w14:textFill>
                  <w14:solidFill>
                    <w14:schemeClr w14:val="tx1"/>
                  </w14:solidFill>
                </w14:textFill>
              </w:rPr>
              <w:t>400mm（长）×700mm(宽)×800mm(高)，整体钢木结构。</w:t>
            </w:r>
          </w:p>
          <w:p>
            <w:pPr>
              <w:pStyle w:val="781"/>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外观：与学生电脑桌款式一致，桌面下方左右放置</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带轮子</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kern w:val="2"/>
                <w:sz w:val="24"/>
                <w:szCs w:val="24"/>
                <w14:textFill>
                  <w14:solidFill>
                    <w14:schemeClr w14:val="tx1"/>
                  </w14:solidFill>
                </w14:textFill>
              </w:rPr>
              <w:t>活动抽屉柜和</w:t>
            </w:r>
            <w:r>
              <w:rPr>
                <w:rFonts w:ascii="宋体" w:hAnsi="宋体"/>
                <w:color w:val="000000" w:themeColor="text1"/>
                <w:kern w:val="2"/>
                <w:sz w:val="24"/>
                <w:szCs w:val="24"/>
                <w14:textFill>
                  <w14:solidFill>
                    <w14:schemeClr w14:val="tx1"/>
                  </w14:solidFill>
                </w14:textFill>
              </w:rPr>
              <w:t>活动主机托盘</w:t>
            </w:r>
            <w:r>
              <w:rPr>
                <w:rFonts w:hint="eastAsia" w:ascii="宋体" w:hAnsi="宋体"/>
                <w:color w:val="000000" w:themeColor="text1"/>
                <w:kern w:val="2"/>
                <w:sz w:val="24"/>
                <w:szCs w:val="24"/>
                <w14:textFill>
                  <w14:solidFill>
                    <w14:schemeClr w14:val="tx1"/>
                  </w14:solidFill>
                </w14:textFill>
              </w:rPr>
              <w:t>。</w:t>
            </w:r>
          </w:p>
          <w:p>
            <w:pPr>
              <w:contextualSpacing/>
              <w:rPr>
                <w:rFonts w:ascii="宋体" w:hAnsi="宋体"/>
                <w:b/>
                <w:color w:val="000000" w:themeColor="text1"/>
                <w:sz w:val="24"/>
                <w:u w:val="single"/>
                <w14:textFill>
                  <w14:solidFill>
                    <w14:schemeClr w14:val="tx1"/>
                  </w14:solidFill>
                </w14:textFill>
              </w:rPr>
            </w:pPr>
            <w:r>
              <w:rPr>
                <w:rFonts w:hint="eastAsia" w:ascii="宋体" w:hAnsi="宋体"/>
                <w:b/>
                <w:color w:val="000000" w:themeColor="text1"/>
                <w:sz w:val="24"/>
                <w:u w:val="single"/>
                <w14:textFill>
                  <w14:solidFill>
                    <w14:schemeClr w14:val="tx1"/>
                  </w14:solidFill>
                </w14:textFill>
              </w:rPr>
              <w:t>板厚：18mm；</w:t>
            </w:r>
            <w:r>
              <w:rPr>
                <w:rFonts w:hint="eastAsia" w:ascii="宋体" w:hAnsi="宋体"/>
                <w:b/>
                <w:color w:val="000000" w:themeColor="text1"/>
                <w:sz w:val="24"/>
                <w14:textFill>
                  <w14:solidFill>
                    <w14:schemeClr w14:val="tx1"/>
                  </w14:solidFill>
                </w14:textFill>
              </w:rPr>
              <w:t>板材材质：实木板（橡木齿接板）。</w:t>
            </w:r>
          </w:p>
          <w:p>
            <w:pPr>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 桌面板采用18mm的实木板（橡木齿接板），活动抽屉柜板材16mm的实木板（橡木齿接板），</w:t>
            </w:r>
            <w:r>
              <w:rPr>
                <w:rFonts w:ascii="宋体" w:hAnsi="宋体"/>
                <w:color w:val="000000" w:themeColor="text1"/>
                <w:sz w:val="24"/>
                <w14:textFill>
                  <w14:solidFill>
                    <w14:schemeClr w14:val="tx1"/>
                  </w14:solidFill>
                </w14:textFill>
              </w:rPr>
              <w:t>主机托盘</w:t>
            </w:r>
            <w:r>
              <w:rPr>
                <w:rFonts w:hint="eastAsia" w:ascii="宋体" w:hAnsi="宋体"/>
                <w:color w:val="000000" w:themeColor="text1"/>
                <w:sz w:val="24"/>
                <w14:textFill>
                  <w14:solidFill>
                    <w14:schemeClr w14:val="tx1"/>
                  </w14:solidFill>
                </w14:textFill>
              </w:rPr>
              <w:t>带轮</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橡木齿接板</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；颜色为原木清漆色（油漆：水性漆）</w:t>
            </w:r>
          </w:p>
          <w:p>
            <w:pPr>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2.桌架：桌面下方支撑架和立柱采用40*40mm，厚1.2mm方管，焊接拼接而成。立柱配脚套。</w:t>
            </w:r>
          </w:p>
          <w:p>
            <w:pPr>
              <w:pStyle w:val="781"/>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3.桌体：（桌面以下）</w:t>
            </w:r>
            <w:r>
              <w:rPr>
                <w:rFonts w:hint="eastAsia" w:ascii="宋体" w:hAnsi="宋体"/>
                <w:color w:val="000000" w:themeColor="text1"/>
                <w:sz w:val="24"/>
                <w:szCs w:val="24"/>
                <w14:textFill>
                  <w14:solidFill>
                    <w14:schemeClr w14:val="tx1"/>
                  </w14:solidFill>
                </w14:textFill>
              </w:rPr>
              <w:t>采用折边钢板冲焊接（厚度不低于1mm），前面板、背板和左右侧板采用焊接做成，</w:t>
            </w:r>
            <w:r>
              <w:rPr>
                <w:rFonts w:hint="eastAsia" w:ascii="宋体" w:hAnsi="宋体"/>
                <w:color w:val="000000" w:themeColor="text1"/>
                <w:kern w:val="2"/>
                <w:sz w:val="24"/>
                <w:szCs w:val="24"/>
                <w14:textFill>
                  <w14:solidFill>
                    <w14:schemeClr w14:val="tx1"/>
                  </w14:solidFill>
                </w14:textFill>
              </w:rPr>
              <w:t>活动抽屉柜</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主机托盘（</w:t>
            </w:r>
            <w:r>
              <w:rPr>
                <w:rFonts w:hint="eastAsia" w:ascii="宋体" w:hAnsi="宋体"/>
                <w:color w:val="000000" w:themeColor="text1"/>
                <w:sz w:val="24"/>
                <w:szCs w:val="24"/>
                <w14:textFill>
                  <w14:solidFill>
                    <w14:schemeClr w14:val="tx1"/>
                  </w14:solidFill>
                </w14:textFill>
              </w:rPr>
              <w:t>带轮</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与用户采购桌子和电脑相匹配，可定制。</w:t>
            </w:r>
          </w:p>
          <w:p>
            <w:pPr>
              <w:pStyle w:val="781"/>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4. 桌体（桌面以下）方管和钢板表面经过酸洗、磷化防腐防锈处理后静电喷塑，经久耐用。左右侧板预留布线位置，方便走线。</w:t>
            </w:r>
          </w:p>
          <w:p>
            <w:pPr>
              <w:pStyle w:val="781"/>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5</w:t>
            </w:r>
            <w:r>
              <w:rPr>
                <w:rFonts w:ascii="宋体" w:hAnsi="宋体"/>
                <w:color w:val="000000" w:themeColor="text1"/>
                <w:kern w:val="2"/>
                <w:sz w:val="24"/>
                <w:szCs w:val="24"/>
                <w14:textFill>
                  <w14:solidFill>
                    <w14:schemeClr w14:val="tx1"/>
                  </w14:solidFill>
                </w14:textFill>
              </w:rPr>
              <w:t>.</w:t>
            </w:r>
            <w:r>
              <w:rPr>
                <w:rFonts w:hint="eastAsia" w:ascii="宋体" w:hAnsi="宋体"/>
                <w:color w:val="000000" w:themeColor="text1"/>
                <w:kern w:val="2"/>
                <w:sz w:val="24"/>
                <w:szCs w:val="24"/>
                <w14:textFill>
                  <w14:solidFill>
                    <w14:schemeClr w14:val="tx1"/>
                  </w14:solidFill>
                </w14:textFill>
              </w:rPr>
              <w:t>达到E1级国家环保要求，无异味。</w:t>
            </w:r>
          </w:p>
          <w:p>
            <w:pPr>
              <w:pStyle w:val="781"/>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6. 原厂保修三年。</w:t>
            </w:r>
          </w:p>
          <w:p>
            <w:pPr>
              <w:pStyle w:val="781"/>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drawing>
                <wp:inline distT="0" distB="0" distL="0" distR="0">
                  <wp:extent cx="748030" cy="727075"/>
                  <wp:effectExtent l="0" t="0" r="13970" b="15875"/>
                  <wp:docPr id="21" name="图片 21" descr="C:\Users\ADMINI~1\AppData\Local\Temp\16505991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1650599177(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52406" cy="731505"/>
                          </a:xfrm>
                          <a:prstGeom prst="rect">
                            <a:avLst/>
                          </a:prstGeom>
                          <a:noFill/>
                          <a:ln>
                            <a:noFill/>
                          </a:ln>
                        </pic:spPr>
                      </pic:pic>
                    </a:graphicData>
                  </a:graphic>
                </wp:inline>
              </w:drawing>
            </w:r>
            <w:r>
              <w:rPr>
                <w:rFonts w:hint="eastAsia" w:ascii="宋体" w:hAnsi="宋体"/>
                <w:color w:val="000000" w:themeColor="text1"/>
                <w:kern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drawing>
                <wp:inline distT="0" distB="0" distL="0" distR="0">
                  <wp:extent cx="1022985" cy="450215"/>
                  <wp:effectExtent l="0" t="0" r="5715" b="6985"/>
                  <wp:docPr id="22" name="图片 22" descr="C:\Users\ADMINI~1\AppData\Local\Temp\1650599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1650599245(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24496" cy="450771"/>
                          </a:xfrm>
                          <a:prstGeom prst="rect">
                            <a:avLst/>
                          </a:prstGeom>
                          <a:noFill/>
                          <a:ln>
                            <a:noFill/>
                          </a:ln>
                        </pic:spPr>
                      </pic:pic>
                    </a:graphicData>
                  </a:graphic>
                </wp:inline>
              </w:drawing>
            </w:r>
          </w:p>
          <w:p>
            <w:pPr>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活动抽屉柜</w:t>
            </w:r>
            <w:r>
              <w:rPr>
                <w:rFonts w:ascii="宋体" w:hAnsi="宋体"/>
                <w:color w:val="000000" w:themeColor="text1"/>
                <w:sz w:val="24"/>
                <w14:textFill>
                  <w14:solidFill>
                    <w14:schemeClr w14:val="tx1"/>
                  </w14:solidFill>
                </w14:textFill>
              </w:rPr>
              <w:t>主</w:t>
            </w:r>
            <w:r>
              <w:rPr>
                <w:rFonts w:hint="eastAsia" w:ascii="宋体" w:hAnsi="宋体"/>
                <w:color w:val="000000" w:themeColor="text1"/>
                <w:sz w:val="24"/>
                <w14:textFill>
                  <w14:solidFill>
                    <w14:schemeClr w14:val="tx1"/>
                  </w14:solidFill>
                </w14:textFill>
              </w:rPr>
              <w:t>和</w:t>
            </w:r>
            <w:r>
              <w:rPr>
                <w:rFonts w:ascii="宋体" w:hAnsi="宋体"/>
                <w:color w:val="000000" w:themeColor="text1"/>
                <w:sz w:val="24"/>
                <w14:textFill>
                  <w14:solidFill>
                    <w14:schemeClr w14:val="tx1"/>
                  </w14:solidFill>
                </w14:textFill>
              </w:rPr>
              <w:t>机托盘</w:t>
            </w:r>
            <w:r>
              <w:rPr>
                <w:rFonts w:hint="eastAsia" w:ascii="宋体" w:hAnsi="宋体"/>
                <w:color w:val="000000" w:themeColor="text1"/>
                <w:sz w:val="24"/>
                <w14:textFill>
                  <w14:solidFill>
                    <w14:schemeClr w14:val="tx1"/>
                  </w14:solidFill>
                </w14:textFill>
              </w:rPr>
              <w:t>带轮的参考样图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1" w:hRule="atLeast"/>
          <w:jc w:val="center"/>
        </w:trPr>
        <w:tc>
          <w:tcPr>
            <w:tcW w:w="483" w:type="dxa"/>
            <w:vAlign w:val="center"/>
          </w:tcPr>
          <w:p>
            <w:pPr>
              <w:numPr>
                <w:ilvl w:val="0"/>
                <w:numId w:val="2"/>
              </w:numPr>
              <w:jc w:val="center"/>
              <w:rPr>
                <w:rFonts w:ascii="宋体" w:hAnsi="宋体" w:cs="宋体"/>
                <w:color w:val="000000" w:themeColor="text1"/>
                <w:kern w:val="0"/>
                <w:sz w:val="24"/>
                <w14:textFill>
                  <w14:solidFill>
                    <w14:schemeClr w14:val="tx1"/>
                  </w14:solidFill>
                </w14:textFill>
              </w:rPr>
            </w:pPr>
          </w:p>
        </w:tc>
        <w:tc>
          <w:tcPr>
            <w:tcW w:w="992" w:type="dxa"/>
            <w:vAlign w:val="center"/>
          </w:tcPr>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两人电脑桌</w:t>
            </w:r>
          </w:p>
        </w:tc>
        <w:tc>
          <w:tcPr>
            <w:tcW w:w="6826" w:type="dxa"/>
            <w:vAlign w:val="center"/>
          </w:tcPr>
          <w:p>
            <w:pPr>
              <w:pStyle w:val="781"/>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尺寸：</w:t>
            </w:r>
            <w:r>
              <w:rPr>
                <w:rFonts w:hint="eastAsia" w:ascii="宋体" w:hAnsi="宋体"/>
                <w:color w:val="000000" w:themeColor="text1"/>
                <w:sz w:val="24"/>
                <w:szCs w:val="24"/>
                <w14:textFill>
                  <w14:solidFill>
                    <w14:schemeClr w14:val="tx1"/>
                  </w14:solidFill>
                </w14:textFill>
              </w:rPr>
              <w:t xml:space="preserve"> 140</w:t>
            </w:r>
            <w:r>
              <w:rPr>
                <w:rFonts w:hint="eastAsia" w:ascii="宋体" w:hAnsi="宋体"/>
                <w:color w:val="auto"/>
                <w:sz w:val="24"/>
                <w:szCs w:val="24"/>
              </w:rPr>
              <w:t>0 mm （1300mm）（长）×600mm(宽)，</w:t>
            </w:r>
            <w:r>
              <w:rPr>
                <w:rFonts w:hint="eastAsia" w:ascii="宋体" w:hAnsi="宋体"/>
                <w:color w:val="auto"/>
                <w:kern w:val="2"/>
                <w:sz w:val="24"/>
                <w:szCs w:val="24"/>
              </w:rPr>
              <w:t>小学桌高</w:t>
            </w:r>
            <w:r>
              <w:rPr>
                <w:rFonts w:hint="eastAsia" w:ascii="宋体" w:hAnsi="宋体"/>
                <w:color w:val="auto"/>
                <w:kern w:val="2"/>
                <w:sz w:val="24"/>
                <w:szCs w:val="24"/>
                <w:lang w:val="en-US" w:eastAsia="zh-CN"/>
              </w:rPr>
              <w:t>70</w:t>
            </w:r>
            <w:r>
              <w:rPr>
                <w:rFonts w:ascii="宋体" w:hAnsi="宋体"/>
                <w:color w:val="auto"/>
                <w:kern w:val="2"/>
                <w:sz w:val="24"/>
                <w:szCs w:val="24"/>
              </w:rPr>
              <w:t>0</w:t>
            </w:r>
            <w:r>
              <w:rPr>
                <w:rFonts w:hint="eastAsia" w:ascii="宋体" w:hAnsi="宋体"/>
                <w:color w:val="auto"/>
                <w:kern w:val="2"/>
                <w:sz w:val="24"/>
                <w:szCs w:val="24"/>
              </w:rPr>
              <w:t>mm，初中桌高7</w:t>
            </w:r>
            <w:r>
              <w:rPr>
                <w:rFonts w:hint="eastAsia" w:ascii="宋体" w:hAnsi="宋体"/>
                <w:color w:val="auto"/>
                <w:kern w:val="2"/>
                <w:sz w:val="24"/>
                <w:szCs w:val="24"/>
                <w:lang w:val="en-US" w:eastAsia="zh-CN"/>
              </w:rPr>
              <w:t>4</w:t>
            </w:r>
            <w:r>
              <w:rPr>
                <w:rFonts w:ascii="宋体" w:hAnsi="宋体"/>
                <w:color w:val="auto"/>
                <w:kern w:val="2"/>
                <w:sz w:val="24"/>
                <w:szCs w:val="24"/>
              </w:rPr>
              <w:t>0</w:t>
            </w:r>
            <w:r>
              <w:rPr>
                <w:rFonts w:hint="eastAsia" w:ascii="宋体" w:hAnsi="宋体"/>
                <w:color w:val="auto"/>
                <w:kern w:val="2"/>
                <w:sz w:val="24"/>
                <w:szCs w:val="24"/>
              </w:rPr>
              <w:t>mm，高中桌面7</w:t>
            </w:r>
            <w:r>
              <w:rPr>
                <w:rFonts w:ascii="宋体" w:hAnsi="宋体"/>
                <w:color w:val="auto"/>
                <w:kern w:val="2"/>
                <w:sz w:val="24"/>
                <w:szCs w:val="24"/>
              </w:rPr>
              <w:t>60</w:t>
            </w:r>
            <w:r>
              <w:rPr>
                <w:rFonts w:hint="eastAsia" w:ascii="宋体" w:hAnsi="宋体"/>
                <w:color w:val="000000" w:themeColor="text1"/>
                <w:kern w:val="2"/>
                <w:sz w:val="24"/>
                <w:szCs w:val="24"/>
                <w14:textFill>
                  <w14:solidFill>
                    <w14:schemeClr w14:val="tx1"/>
                  </w14:solidFill>
                </w14:textFill>
              </w:rPr>
              <w:t>mm。（具体尺寸供货前与学校确认）</w:t>
            </w:r>
          </w:p>
          <w:p>
            <w:pPr>
              <w:pStyle w:val="781"/>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整体钢木结构，可坐两个学生。</w:t>
            </w:r>
          </w:p>
          <w:p>
            <w:pPr>
              <w:jc w:val="left"/>
              <w:rPr>
                <w:rFonts w:ascii="等线" w:hAnsi="等线"/>
                <w:b/>
                <w:color w:val="000000" w:themeColor="text1"/>
                <w:sz w:val="24"/>
                <w14:textFill>
                  <w14:solidFill>
                    <w14:schemeClr w14:val="tx1"/>
                  </w14:solidFill>
                </w14:textFill>
              </w:rPr>
            </w:pPr>
            <w:r>
              <w:rPr>
                <w:rFonts w:hint="eastAsia" w:ascii="等线" w:hAnsi="等线"/>
                <w:b/>
                <w:color w:val="000000" w:themeColor="text1"/>
                <w:sz w:val="24"/>
                <w14:textFill>
                  <w14:solidFill>
                    <w14:schemeClr w14:val="tx1"/>
                  </w14:solidFill>
                </w14:textFill>
              </w:rPr>
              <w:t>板厚：18mm；板材</w:t>
            </w:r>
            <w:r>
              <w:rPr>
                <w:rFonts w:hint="eastAsia" w:ascii="宋体" w:hAnsi="宋体"/>
                <w:b/>
                <w:color w:val="000000" w:themeColor="text1"/>
                <w:sz w:val="24"/>
                <w14:textFill>
                  <w14:solidFill>
                    <w14:schemeClr w14:val="tx1"/>
                  </w14:solidFill>
                </w14:textFill>
              </w:rPr>
              <w:t>材质</w:t>
            </w:r>
            <w:r>
              <w:rPr>
                <w:rFonts w:hint="eastAsia" w:ascii="等线" w:hAnsi="等线"/>
                <w:b/>
                <w:color w:val="000000" w:themeColor="text1"/>
                <w:sz w:val="24"/>
                <w14:textFill>
                  <w14:solidFill>
                    <w14:schemeClr w14:val="tx1"/>
                  </w14:solidFill>
                </w14:textFill>
              </w:rPr>
              <w:t>：实木板（橡木齿接板）。学生计算机主机嵌入放置在桌子下方对称或两端放置（具体由学校确定）。</w:t>
            </w:r>
          </w:p>
          <w:p>
            <w:pPr>
              <w:pStyle w:val="781"/>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1.桌面采用18mm的实木板（橡木齿接板），颜色为原木清漆色（油漆：水性漆）</w:t>
            </w:r>
          </w:p>
          <w:p>
            <w:pPr>
              <w:pStyle w:val="781"/>
              <w:spacing w:line="440" w:lineRule="atLeast"/>
              <w:contextualSpacing/>
              <w:rPr>
                <w:rFonts w:ascii="宋体" w:hAnsi="宋体"/>
                <w:color w:val="000000" w:themeColor="text1"/>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2.桌架：桌面下方</w:t>
            </w:r>
            <w:r>
              <w:rPr>
                <w:rFonts w:hint="eastAsia" w:ascii="宋体" w:hAnsi="宋体"/>
                <w:color w:val="000000" w:themeColor="text1"/>
                <w:sz w:val="24"/>
                <w:szCs w:val="24"/>
                <w14:textFill>
                  <w14:solidFill>
                    <w14:schemeClr w14:val="tx1"/>
                  </w14:solidFill>
                </w14:textFill>
              </w:rPr>
              <w:t>支撑架</w:t>
            </w:r>
            <w:r>
              <w:rPr>
                <w:rFonts w:hint="eastAsia" w:ascii="宋体" w:hAnsi="宋体"/>
                <w:color w:val="000000" w:themeColor="text1"/>
                <w:kern w:val="2"/>
                <w:sz w:val="24"/>
                <w:szCs w:val="24"/>
                <w14:textFill>
                  <w14:solidFill>
                    <w14:schemeClr w14:val="tx1"/>
                  </w14:solidFill>
                </w14:textFill>
              </w:rPr>
              <w:t>采用40*40mm，厚1.2mm方管，焊接拼接而成。</w:t>
            </w:r>
            <w:r>
              <w:rPr>
                <w:rFonts w:hint="eastAsia" w:ascii="宋体" w:hAnsi="宋体"/>
                <w:color w:val="000000" w:themeColor="text1"/>
                <w:sz w:val="24"/>
                <w:szCs w:val="24"/>
                <w14:textFill>
                  <w14:solidFill>
                    <w14:schemeClr w14:val="tx1"/>
                  </w14:solidFill>
                </w14:textFill>
              </w:rPr>
              <w:t>立柱配</w:t>
            </w:r>
            <w:r>
              <w:rPr>
                <w:rFonts w:hint="eastAsia" w:ascii="宋体" w:hAnsi="宋体"/>
                <w:color w:val="000000" w:themeColor="text1"/>
                <w:kern w:val="2"/>
                <w:sz w:val="24"/>
                <w:szCs w:val="24"/>
                <w14:textFill>
                  <w14:solidFill>
                    <w14:schemeClr w14:val="tx1"/>
                  </w14:solidFill>
                </w14:textFill>
              </w:rPr>
              <w:t>脚套</w:t>
            </w:r>
            <w:r>
              <w:rPr>
                <w:rFonts w:hint="eastAsia" w:ascii="宋体" w:hAnsi="宋体"/>
                <w:color w:val="000000" w:themeColor="text1"/>
                <w:sz w:val="24"/>
                <w:szCs w:val="24"/>
                <w14:textFill>
                  <w14:solidFill>
                    <w14:schemeClr w14:val="tx1"/>
                  </w14:solidFill>
                </w14:textFill>
              </w:rPr>
              <w:t>。</w:t>
            </w:r>
          </w:p>
          <w:p>
            <w:pPr>
              <w:pStyle w:val="781"/>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3.桌体（桌面以下）采用钢板冲焊接（厚度不低于1mm），前面板、背板和左右侧板采用折边钢板焊接做成。</w:t>
            </w:r>
          </w:p>
          <w:p>
            <w:pPr>
              <w:pStyle w:val="781"/>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4. 桌体（桌面以下）方管和钢板表面经过酸洗、磷化防腐防锈处理后静电喷塑，经久耐用。左右侧板预留布线位置，方便走线。</w:t>
            </w:r>
          </w:p>
          <w:p>
            <w:pPr>
              <w:pStyle w:val="781"/>
              <w:spacing w:line="440" w:lineRule="atLeast"/>
              <w:contextualSpacing/>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5</w:t>
            </w:r>
            <w:r>
              <w:rPr>
                <w:rFonts w:ascii="宋体" w:hAnsi="宋体"/>
                <w:color w:val="000000" w:themeColor="text1"/>
                <w:kern w:val="2"/>
                <w:sz w:val="24"/>
                <w:szCs w:val="24"/>
                <w14:textFill>
                  <w14:solidFill>
                    <w14:schemeClr w14:val="tx1"/>
                  </w14:solidFill>
                </w14:textFill>
              </w:rPr>
              <w:t>.</w:t>
            </w:r>
            <w:r>
              <w:rPr>
                <w:rFonts w:hint="eastAsia" w:ascii="宋体" w:hAnsi="宋体"/>
                <w:color w:val="000000" w:themeColor="text1"/>
                <w:kern w:val="2"/>
                <w:sz w:val="24"/>
                <w:szCs w:val="24"/>
                <w14:textFill>
                  <w14:solidFill>
                    <w14:schemeClr w14:val="tx1"/>
                  </w14:solidFill>
                </w14:textFill>
              </w:rPr>
              <w:t>达到E1级国家环保要求，无异味。</w:t>
            </w:r>
          </w:p>
          <w:p>
            <w:pPr>
              <w:pStyle w:val="781"/>
              <w:spacing w:line="440" w:lineRule="atLeast"/>
              <w:contextualSpacing/>
              <w:rPr>
                <w:rFonts w:ascii="宋体" w:hAnsi="宋体"/>
                <w:color w:val="000000" w:themeColor="text1"/>
                <w:kern w:val="2"/>
                <w:sz w:val="24"/>
                <w:szCs w:val="24"/>
                <w:highlight w:val="yellow"/>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6. 原厂保修三年。</w:t>
            </w:r>
          </w:p>
          <w:p>
            <w:pPr>
              <w:pStyle w:val="781"/>
              <w:spacing w:line="440" w:lineRule="atLeast"/>
              <w:contextualSpacing/>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114300" distR="114300">
                  <wp:extent cx="3003550" cy="1593850"/>
                  <wp:effectExtent l="0" t="0" r="6350" b="6350"/>
                  <wp:docPr id="15" name="图片 1" descr="23492ade5a9481b399b35fc28bb7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23492ade5a9481b399b35fc28bb78a2"/>
                          <pic:cNvPicPr>
                            <a:picLocks noChangeAspect="1"/>
                          </pic:cNvPicPr>
                        </pic:nvPicPr>
                        <pic:blipFill>
                          <a:blip r:embed="rId33"/>
                          <a:stretch>
                            <a:fillRect/>
                          </a:stretch>
                        </pic:blipFill>
                        <pic:spPr>
                          <a:xfrm>
                            <a:off x="0" y="0"/>
                            <a:ext cx="3003550" cy="1593850"/>
                          </a:xfrm>
                          <a:prstGeom prst="rect">
                            <a:avLst/>
                          </a:prstGeom>
                          <a:noFill/>
                          <a:ln>
                            <a:noFill/>
                          </a:ln>
                        </pic:spPr>
                      </pic:pic>
                    </a:graphicData>
                  </a:graphic>
                </wp:inline>
              </w:drawing>
            </w:r>
          </w:p>
          <w:p>
            <w:pPr>
              <w:pStyle w:val="781"/>
              <w:spacing w:line="440" w:lineRule="atLeast"/>
              <w:contextualSpacing/>
              <w:jc w:val="center"/>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（参考图）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83" w:type="dxa"/>
            <w:vAlign w:val="center"/>
          </w:tcPr>
          <w:p>
            <w:pPr>
              <w:numPr>
                <w:ilvl w:val="0"/>
                <w:numId w:val="2"/>
              </w:numPr>
              <w:jc w:val="center"/>
              <w:rPr>
                <w:rFonts w:ascii="宋体" w:hAnsi="宋体" w:cs="宋体"/>
                <w:color w:val="000000" w:themeColor="text1"/>
                <w:kern w:val="0"/>
                <w:sz w:val="24"/>
                <w14:textFill>
                  <w14:solidFill>
                    <w14:schemeClr w14:val="tx1"/>
                  </w14:solidFill>
                </w14:textFill>
              </w:rPr>
            </w:pPr>
          </w:p>
        </w:tc>
        <w:tc>
          <w:tcPr>
            <w:tcW w:w="992" w:type="dxa"/>
            <w:vAlign w:val="center"/>
          </w:tcPr>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电脑凳</w:t>
            </w:r>
          </w:p>
        </w:tc>
        <w:tc>
          <w:tcPr>
            <w:tcW w:w="6826" w:type="dxa"/>
            <w:vAlign w:val="center"/>
          </w:tcPr>
          <w:p>
            <w:pPr>
              <w:ind w:firstLine="470" w:firstLineChars="196"/>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凳子采用钢木结构；学生方凳规格：3</w:t>
            </w:r>
            <w:r>
              <w:rPr>
                <w:rFonts w:ascii="宋体" w:hAnsi="宋体"/>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 xml:space="preserve">0mm ×240mm；凳面高低可调，高度调节范围（H）为 </w:t>
            </w:r>
            <w:r>
              <w:rPr>
                <w:rFonts w:ascii="宋体" w:hAnsi="宋体"/>
                <w:color w:val="000000" w:themeColor="text1"/>
                <w:sz w:val="24"/>
                <w14:textFill>
                  <w14:solidFill>
                    <w14:schemeClr w14:val="tx1"/>
                  </w14:solidFill>
                </w14:textFill>
              </w:rPr>
              <w:t>360</w:t>
            </w:r>
            <w:r>
              <w:rPr>
                <w:rFonts w:hint="eastAsia" w:ascii="宋体" w:hAnsi="宋体"/>
                <w:color w:val="000000" w:themeColor="text1"/>
                <w:sz w:val="24"/>
                <w14:textFill>
                  <w14:solidFill>
                    <w14:schemeClr w14:val="tx1"/>
                  </w14:solidFill>
                </w14:textFill>
              </w:rPr>
              <w:t>mm ～ 4</w:t>
            </w: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0mm</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每</w:t>
            </w:r>
            <w:r>
              <w:rPr>
                <w:rFonts w:ascii="宋体" w:hAnsi="宋体"/>
                <w:color w:val="000000" w:themeColor="text1"/>
                <w:sz w:val="24"/>
                <w14:textFill>
                  <w14:solidFill>
                    <w14:schemeClr w14:val="tx1"/>
                  </w14:solidFill>
                </w14:textFill>
              </w:rPr>
              <w:t>档升降</w:t>
            </w:r>
            <w:r>
              <w:rPr>
                <w:rFonts w:hint="eastAsia" w:ascii="宋体" w:hAnsi="宋体"/>
                <w:color w:val="000000" w:themeColor="text1"/>
                <w:sz w:val="24"/>
                <w14:textFill>
                  <w14:solidFill>
                    <w14:schemeClr w14:val="tx1"/>
                  </w14:solidFill>
                </w14:textFill>
              </w:rPr>
              <w:t>20</w:t>
            </w:r>
            <w:r>
              <w:rPr>
                <w:rFonts w:ascii="宋体" w:hAnsi="宋体"/>
                <w:color w:val="000000" w:themeColor="text1"/>
                <w:sz w:val="24"/>
                <w14:textFill>
                  <w14:solidFill>
                    <w14:schemeClr w14:val="tx1"/>
                  </w14:solidFill>
                </w14:textFill>
              </w:rPr>
              <w:t>mm</w:t>
            </w:r>
            <w:r>
              <w:rPr>
                <w:rFonts w:hint="eastAsia" w:ascii="宋体" w:hAnsi="宋体"/>
                <w:color w:val="000000" w:themeColor="text1"/>
                <w:sz w:val="24"/>
                <w14:textFill>
                  <w14:solidFill>
                    <w14:schemeClr w14:val="tx1"/>
                  </w14:solidFill>
                </w14:textFill>
              </w:rPr>
              <w:t>；供货时：</w:t>
            </w:r>
            <w:r>
              <w:rPr>
                <w:rFonts w:hint="eastAsia" w:ascii="宋体" w:hAnsi="宋体"/>
                <w:b/>
                <w:color w:val="000000" w:themeColor="text1"/>
                <w:sz w:val="24"/>
                <w14:textFill>
                  <w14:solidFill>
                    <w14:schemeClr w14:val="tx1"/>
                  </w14:solidFill>
                </w14:textFill>
              </w:rPr>
              <w:t>小学座高统一调整为3</w:t>
            </w:r>
            <w:r>
              <w:rPr>
                <w:rFonts w:ascii="宋体" w:hAnsi="宋体"/>
                <w:b/>
                <w:color w:val="000000" w:themeColor="text1"/>
                <w:sz w:val="24"/>
                <w14:textFill>
                  <w14:solidFill>
                    <w14:schemeClr w14:val="tx1"/>
                  </w14:solidFill>
                </w14:textFill>
              </w:rPr>
              <w:t>60</w:t>
            </w:r>
            <w:r>
              <w:rPr>
                <w:rFonts w:hint="eastAsia" w:ascii="宋体" w:hAnsi="宋体"/>
                <w:b/>
                <w:color w:val="000000" w:themeColor="text1"/>
                <w:sz w:val="24"/>
                <w14:textFill>
                  <w14:solidFill>
                    <w14:schemeClr w14:val="tx1"/>
                  </w14:solidFill>
                </w14:textFill>
              </w:rPr>
              <w:t>mm、初中座高统一调整为4</w:t>
            </w:r>
            <w:r>
              <w:rPr>
                <w:rFonts w:ascii="宋体" w:hAnsi="宋体"/>
                <w:b/>
                <w:color w:val="000000" w:themeColor="text1"/>
                <w:sz w:val="24"/>
                <w14:textFill>
                  <w14:solidFill>
                    <w14:schemeClr w14:val="tx1"/>
                  </w14:solidFill>
                </w14:textFill>
              </w:rPr>
              <w:t>00</w:t>
            </w:r>
            <w:r>
              <w:rPr>
                <w:rFonts w:hint="eastAsia" w:ascii="宋体" w:hAnsi="宋体"/>
                <w:b/>
                <w:color w:val="000000" w:themeColor="text1"/>
                <w:sz w:val="24"/>
                <w14:textFill>
                  <w14:solidFill>
                    <w14:schemeClr w14:val="tx1"/>
                  </w14:solidFill>
                </w14:textFill>
              </w:rPr>
              <w:t>mm，高中座高统一调整为4</w:t>
            </w:r>
            <w:r>
              <w:rPr>
                <w:rFonts w:ascii="宋体" w:hAnsi="宋体"/>
                <w:b/>
                <w:color w:val="000000" w:themeColor="text1"/>
                <w:sz w:val="24"/>
                <w14:textFill>
                  <w14:solidFill>
                    <w14:schemeClr w14:val="tx1"/>
                  </w14:solidFill>
                </w14:textFill>
              </w:rPr>
              <w:t>40</w:t>
            </w:r>
            <w:r>
              <w:rPr>
                <w:rFonts w:hint="eastAsia" w:ascii="宋体" w:hAnsi="宋体"/>
                <w:b/>
                <w:color w:val="000000" w:themeColor="text1"/>
                <w:sz w:val="24"/>
                <w14:textFill>
                  <w14:solidFill>
                    <w14:schemeClr w14:val="tx1"/>
                  </w14:solidFill>
                </w14:textFill>
              </w:rPr>
              <w:t>mm</w:t>
            </w:r>
            <w:r>
              <w:rPr>
                <w:rFonts w:hint="eastAsia" w:ascii="宋体" w:hAnsi="宋体"/>
                <w:color w:val="000000" w:themeColor="text1"/>
                <w:sz w:val="24"/>
                <w14:textFill>
                  <w14:solidFill>
                    <w14:schemeClr w14:val="tx1"/>
                  </w14:solidFill>
                </w14:textFill>
              </w:rPr>
              <w:t>。</w:t>
            </w:r>
          </w:p>
          <w:p>
            <w:pPr>
              <w:ind w:firstLine="470" w:firstLineChars="196"/>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凳面板均采用18mm</w:t>
            </w:r>
            <w:r>
              <w:rPr>
                <w:rFonts w:hint="eastAsia" w:ascii="宋体" w:hAnsi="宋体"/>
                <w:color w:val="000000" w:themeColor="text1"/>
                <w:sz w:val="24"/>
                <w:shd w:val="clear" w:color="auto" w:fill="FFFFFF"/>
                <w14:textFill>
                  <w14:solidFill>
                    <w14:schemeClr w14:val="tx1"/>
                  </w14:solidFill>
                </w14:textFill>
              </w:rPr>
              <w:t>实木板</w:t>
            </w:r>
            <w:r>
              <w:rPr>
                <w:rFonts w:hint="eastAsia" w:ascii="宋体" w:hAnsi="宋体"/>
                <w:color w:val="000000" w:themeColor="text1"/>
                <w:sz w:val="24"/>
                <w14:textFill>
                  <w14:solidFill>
                    <w14:schemeClr w14:val="tx1"/>
                  </w14:solidFill>
                </w14:textFill>
              </w:rPr>
              <w:t>（橡木齿接板）。</w:t>
            </w:r>
          </w:p>
          <w:p>
            <w:pPr>
              <w:ind w:firstLine="470" w:firstLineChars="196"/>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凳脚管采用20</w:t>
            </w:r>
            <w:r>
              <w:rPr>
                <w:rFonts w:ascii="宋体" w:hAnsi="宋体"/>
                <w:color w:val="000000" w:themeColor="text1"/>
                <w:sz w:val="24"/>
                <w14:textFill>
                  <w14:solidFill>
                    <w14:schemeClr w14:val="tx1"/>
                  </w14:solidFill>
                </w14:textFill>
              </w:rPr>
              <w:t>*50*1.2mm椭圆管和</w:t>
            </w:r>
            <w:r>
              <w:rPr>
                <w:rFonts w:hint="eastAsia" w:ascii="宋体" w:hAnsi="宋体"/>
                <w:color w:val="000000" w:themeColor="text1"/>
                <w:sz w:val="24"/>
                <w14:textFill>
                  <w14:solidFill>
                    <w14:schemeClr w14:val="tx1"/>
                  </w14:solidFill>
                </w14:textFill>
              </w:rPr>
              <w:t>20</w:t>
            </w:r>
            <w:r>
              <w:rPr>
                <w:rFonts w:ascii="宋体" w:hAnsi="宋体"/>
                <w:color w:val="000000" w:themeColor="text1"/>
                <w:sz w:val="24"/>
                <w14:textFill>
                  <w14:solidFill>
                    <w14:schemeClr w14:val="tx1"/>
                  </w14:solidFill>
                </w14:textFill>
              </w:rPr>
              <w:t>*50*1.2mm脚步管，拉</w:t>
            </w:r>
            <w:r>
              <w:rPr>
                <w:rFonts w:hint="eastAsia" w:ascii="宋体" w:hAnsi="宋体"/>
                <w:color w:val="000000" w:themeColor="text1"/>
                <w:sz w:val="24"/>
                <w14:textFill>
                  <w14:solidFill>
                    <w14:schemeClr w14:val="tx1"/>
                  </w14:solidFill>
                </w14:textFill>
              </w:rPr>
              <w:t>管</w:t>
            </w:r>
            <w:r>
              <w:rPr>
                <w:rFonts w:ascii="宋体" w:hAnsi="宋体"/>
                <w:color w:val="000000" w:themeColor="text1"/>
                <w:sz w:val="24"/>
                <w14:textFill>
                  <w14:solidFill>
                    <w14:schemeClr w14:val="tx1"/>
                  </w14:solidFill>
                </w14:textFill>
              </w:rPr>
              <w:t>采用</w:t>
            </w:r>
            <w:r>
              <w:rPr>
                <w:rFonts w:hint="eastAsia" w:ascii="宋体" w:hAnsi="宋体"/>
                <w:color w:val="000000" w:themeColor="text1"/>
                <w:sz w:val="24"/>
                <w14:textFill>
                  <w14:solidFill>
                    <w14:schemeClr w14:val="tx1"/>
                  </w14:solidFill>
                </w14:textFill>
              </w:rPr>
              <w:t>30</w:t>
            </w:r>
            <w:r>
              <w:rPr>
                <w:rFonts w:ascii="宋体" w:hAnsi="宋体"/>
                <w:color w:val="000000" w:themeColor="text1"/>
                <w:sz w:val="24"/>
                <w14:textFill>
                  <w14:solidFill>
                    <w14:schemeClr w14:val="tx1"/>
                  </w14:solidFill>
                </w14:textFill>
              </w:rPr>
              <w:t>*50*1.2mm椭圆管，凳旁板采用优质冷轧板</w:t>
            </w:r>
            <w:r>
              <w:rPr>
                <w:rFonts w:hint="eastAsia" w:ascii="宋体" w:hAnsi="宋体"/>
                <w:color w:val="000000" w:themeColor="text1"/>
                <w:sz w:val="24"/>
                <w14:textFill>
                  <w14:solidFill>
                    <w14:schemeClr w14:val="tx1"/>
                  </w14:solidFill>
                </w14:textFill>
              </w:rPr>
              <w:t>冲压件</w:t>
            </w:r>
            <w:r>
              <w:rPr>
                <w:rFonts w:ascii="宋体" w:hAnsi="宋体"/>
                <w:color w:val="000000" w:themeColor="text1"/>
                <w:sz w:val="24"/>
                <w14:textFill>
                  <w14:solidFill>
                    <w14:schemeClr w14:val="tx1"/>
                  </w14:solidFill>
                </w14:textFill>
              </w:rPr>
              <w:t>，厚度为</w:t>
            </w:r>
            <w:r>
              <w:rPr>
                <w:rFonts w:hint="eastAsia" w:ascii="宋体" w:hAnsi="宋体"/>
                <w:color w:val="000000" w:themeColor="text1"/>
                <w:sz w:val="24"/>
                <w14:textFill>
                  <w14:solidFill>
                    <w14:schemeClr w14:val="tx1"/>
                  </w14:solidFill>
                </w14:textFill>
              </w:rPr>
              <w:t>δ≥1</w:t>
            </w:r>
            <w:r>
              <w:rPr>
                <w:rFonts w:ascii="宋体" w:hAnsi="宋体"/>
                <w:color w:val="000000" w:themeColor="text1"/>
                <w:sz w:val="24"/>
                <w14:textFill>
                  <w14:solidFill>
                    <w14:schemeClr w14:val="tx1"/>
                  </w14:solidFill>
                </w14:textFill>
              </w:rPr>
              <w:t>.2mm，经</w:t>
            </w:r>
            <w:r>
              <w:rPr>
                <w:rFonts w:hint="eastAsia" w:ascii="宋体" w:hAnsi="宋体"/>
                <w:color w:val="000000" w:themeColor="text1"/>
                <w:sz w:val="24"/>
                <w14:textFill>
                  <w14:solidFill>
                    <w14:schemeClr w14:val="tx1"/>
                  </w14:solidFill>
                </w14:textFill>
              </w:rPr>
              <w:t>二氧化碳</w:t>
            </w:r>
            <w:r>
              <w:rPr>
                <w:rFonts w:ascii="宋体" w:hAnsi="宋体"/>
                <w:color w:val="000000" w:themeColor="text1"/>
                <w:sz w:val="24"/>
                <w14:textFill>
                  <w14:solidFill>
                    <w14:schemeClr w14:val="tx1"/>
                  </w14:solidFill>
                </w14:textFill>
              </w:rPr>
              <w:t>气体保护焊接，保证无稀</w:t>
            </w:r>
            <w:r>
              <w:rPr>
                <w:rFonts w:hint="eastAsia" w:ascii="宋体" w:hAnsi="宋体"/>
                <w:color w:val="000000" w:themeColor="text1"/>
                <w:sz w:val="24"/>
                <w14:textFill>
                  <w14:solidFill>
                    <w14:schemeClr w14:val="tx1"/>
                  </w14:solidFill>
                </w14:textFill>
              </w:rPr>
              <w:t>焊、</w:t>
            </w:r>
            <w:r>
              <w:rPr>
                <w:rFonts w:ascii="宋体" w:hAnsi="宋体"/>
                <w:color w:val="000000" w:themeColor="text1"/>
                <w:sz w:val="24"/>
                <w14:textFill>
                  <w14:solidFill>
                    <w14:schemeClr w14:val="tx1"/>
                  </w14:solidFill>
                </w14:textFill>
              </w:rPr>
              <w:t>漏焊现象，铁件</w:t>
            </w:r>
            <w:r>
              <w:rPr>
                <w:rFonts w:hint="eastAsia" w:ascii="宋体" w:hAnsi="宋体"/>
                <w:color w:val="000000" w:themeColor="text1"/>
                <w:sz w:val="24"/>
                <w14:textFill>
                  <w14:solidFill>
                    <w14:schemeClr w14:val="tx1"/>
                  </w14:solidFill>
                </w14:textFill>
              </w:rPr>
              <w:t>经过</w:t>
            </w:r>
            <w:r>
              <w:rPr>
                <w:rFonts w:ascii="宋体" w:hAnsi="宋体"/>
                <w:color w:val="000000" w:themeColor="text1"/>
                <w:sz w:val="24"/>
                <w14:textFill>
                  <w14:solidFill>
                    <w14:schemeClr w14:val="tx1"/>
                  </w14:solidFill>
                </w14:textFill>
              </w:rPr>
              <w:t>酸洗、磷化</w:t>
            </w:r>
            <w:r>
              <w:rPr>
                <w:rFonts w:hint="eastAsia" w:ascii="宋体" w:hAnsi="宋体"/>
                <w:color w:val="000000" w:themeColor="text1"/>
                <w:sz w:val="24"/>
                <w14:textFill>
                  <w14:solidFill>
                    <w14:schemeClr w14:val="tx1"/>
                  </w14:solidFill>
                </w14:textFill>
              </w:rPr>
              <w:t>，静电</w:t>
            </w:r>
            <w:r>
              <w:rPr>
                <w:rFonts w:ascii="宋体" w:hAnsi="宋体"/>
                <w:color w:val="000000" w:themeColor="text1"/>
                <w:sz w:val="24"/>
                <w14:textFill>
                  <w14:solidFill>
                    <w14:schemeClr w14:val="tx1"/>
                  </w14:solidFill>
                </w14:textFill>
              </w:rPr>
              <w:t>喷塑</w:t>
            </w:r>
            <w:r>
              <w:rPr>
                <w:rFonts w:hint="eastAsia" w:ascii="宋体" w:hAnsi="宋体"/>
                <w:color w:val="000000" w:themeColor="text1"/>
                <w:sz w:val="24"/>
                <w14:textFill>
                  <w14:solidFill>
                    <w14:schemeClr w14:val="tx1"/>
                  </w14:solidFill>
                </w14:textFill>
              </w:rPr>
              <w:t>；</w:t>
            </w:r>
          </w:p>
          <w:p>
            <w:pPr>
              <w:ind w:firstLine="470" w:firstLineChars="196"/>
              <w:contextualSpacing/>
              <w:rPr>
                <w:rFonts w:hint="eastAsia" w:ascii="宋体" w:hAnsi="宋体"/>
                <w:color w:val="000000" w:themeColor="text1"/>
                <w:sz w:val="24"/>
                <w:lang w:val="en-US"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防滑脚套：1.材质：采用PP塑料（新料）一次注塑而成，耐磨抗老化</w:t>
            </w:r>
            <w:r>
              <w:rPr>
                <w:rFonts w:hint="eastAsia" w:ascii="宋体" w:hAnsi="宋体"/>
                <w:color w:val="000000" w:themeColor="text1"/>
                <w:sz w:val="24"/>
                <w:lang w:eastAsia="zh-CN"/>
                <w14:textFill>
                  <w14:solidFill>
                    <w14:schemeClr w14:val="tx1"/>
                  </w14:solidFill>
                </w14:textFill>
              </w:rPr>
              <w:t>，</w:t>
            </w:r>
            <w:r>
              <w:rPr>
                <w:rFonts w:hint="eastAsia" w:ascii="宋体" w:hAnsi="宋体"/>
                <w:strike w:val="0"/>
                <w:dstrike w:val="0"/>
                <w:color w:val="000000" w:themeColor="text1"/>
                <w:sz w:val="24"/>
                <w:u w:val="none"/>
                <w14:textFill>
                  <w14:solidFill>
                    <w14:schemeClr w14:val="tx1"/>
                  </w14:solidFill>
                </w14:textFill>
              </w:rPr>
              <w:t>有防滑</w:t>
            </w:r>
            <w:r>
              <w:rPr>
                <w:rFonts w:hint="eastAsia" w:ascii="宋体" w:hAnsi="宋体"/>
                <w:strike w:val="0"/>
                <w:dstrike w:val="0"/>
                <w:color w:val="000000" w:themeColor="text1"/>
                <w:sz w:val="24"/>
                <w:u w:val="none"/>
                <w:lang w:val="en-US" w:eastAsia="zh-CN"/>
                <w14:textFill>
                  <w14:solidFill>
                    <w14:schemeClr w14:val="tx1"/>
                  </w14:solidFill>
                </w14:textFill>
              </w:rPr>
              <w:t>功能</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lang w:val="en-US" w:eastAsia="zh-CN"/>
                <w14:textFill>
                  <w14:solidFill>
                    <w14:schemeClr w14:val="tx1"/>
                  </w14:solidFill>
                </w14:textFill>
              </w:rPr>
              <w:t>胶套壁厚不小于2.5mm，供货前经采购人确认。</w:t>
            </w:r>
          </w:p>
          <w:p>
            <w:pPr>
              <w:ind w:firstLine="470" w:firstLineChars="196"/>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凳子负载能承受不小于</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0</w:t>
            </w:r>
            <w:r>
              <w:rPr>
                <w:rFonts w:ascii="宋体" w:hAnsi="宋体"/>
                <w:color w:val="000000" w:themeColor="text1"/>
                <w:sz w:val="24"/>
                <w14:textFill>
                  <w14:solidFill>
                    <w14:schemeClr w14:val="tx1"/>
                  </w14:solidFill>
                </w14:textFill>
              </w:rPr>
              <w:t>0</w:t>
            </w:r>
            <w:r>
              <w:rPr>
                <w:rFonts w:hint="eastAsia" w:ascii="宋体" w:hAnsi="宋体"/>
                <w:color w:val="000000" w:themeColor="text1"/>
                <w:sz w:val="24"/>
                <w14:textFill>
                  <w14:solidFill>
                    <w14:schemeClr w14:val="tx1"/>
                  </w14:solidFill>
                </w14:textFill>
              </w:rPr>
              <w:t>0</w:t>
            </w:r>
            <w:r>
              <w:rPr>
                <w:rFonts w:ascii="宋体" w:hAnsi="宋体"/>
                <w:color w:val="000000" w:themeColor="text1"/>
                <w:sz w:val="24"/>
                <w14:textFill>
                  <w14:solidFill>
                    <w14:schemeClr w14:val="tx1"/>
                  </w14:solidFill>
                </w14:textFill>
              </w:rPr>
              <w:t>N</w:t>
            </w:r>
            <w:r>
              <w:rPr>
                <w:rFonts w:hint="eastAsia" w:ascii="宋体" w:hAnsi="宋体"/>
                <w:color w:val="000000" w:themeColor="text1"/>
                <w:sz w:val="24"/>
                <w14:textFill>
                  <w14:solidFill>
                    <w14:schemeClr w14:val="tx1"/>
                  </w14:solidFill>
                </w14:textFill>
              </w:rPr>
              <w:t xml:space="preserve">的力应无严重摇晃、变形；甲醛释放量（穿孔值）不低于E1级，甲醛释放量不大于1.5mg/L （符合GB18580-2001的规定）。 </w:t>
            </w:r>
          </w:p>
          <w:p>
            <w:pPr>
              <w:ind w:firstLine="480" w:firstLineChars="200"/>
              <w:contextualSpacing/>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drawing>
                <wp:inline distT="0" distB="0" distL="114300" distR="114300">
                  <wp:extent cx="1339850" cy="1670050"/>
                  <wp:effectExtent l="0" t="0" r="1270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4"/>
                          <a:stretch>
                            <a:fillRect/>
                          </a:stretch>
                        </pic:blipFill>
                        <pic:spPr>
                          <a:xfrm>
                            <a:off x="0" y="0"/>
                            <a:ext cx="1339850" cy="1670050"/>
                          </a:xfrm>
                          <a:prstGeom prst="rect">
                            <a:avLst/>
                          </a:prstGeom>
                          <a:noFill/>
                          <a:ln>
                            <a:noFill/>
                          </a:ln>
                        </pic:spPr>
                      </pic:pic>
                    </a:graphicData>
                  </a:graphic>
                </wp:inline>
              </w:drawing>
            </w:r>
            <w:r>
              <w:rPr>
                <w:rFonts w:ascii="宋体" w:hAnsi="宋体"/>
                <w:color w:val="000000" w:themeColor="text1"/>
                <w:sz w:val="24"/>
                <w14:textFill>
                  <w14:solidFill>
                    <w14:schemeClr w14:val="tx1"/>
                  </w14:solidFill>
                </w14:textFill>
              </w:rPr>
              <w:drawing>
                <wp:inline distT="0" distB="0" distL="114300" distR="114300">
                  <wp:extent cx="1536700" cy="1816100"/>
                  <wp:effectExtent l="0" t="0" r="6350" b="1270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5"/>
                          <a:stretch>
                            <a:fillRect/>
                          </a:stretch>
                        </pic:blipFill>
                        <pic:spPr>
                          <a:xfrm>
                            <a:off x="0" y="0"/>
                            <a:ext cx="1536700" cy="1816100"/>
                          </a:xfrm>
                          <a:prstGeom prst="rect">
                            <a:avLst/>
                          </a:prstGeom>
                          <a:noFill/>
                          <a:ln>
                            <a:noFill/>
                          </a:ln>
                        </pic:spPr>
                      </pic:pic>
                    </a:graphicData>
                  </a:graphic>
                </wp:inline>
              </w:drawing>
            </w:r>
          </w:p>
          <w:p>
            <w:pPr>
              <w:pStyle w:val="781"/>
              <w:spacing w:line="440" w:lineRule="atLeast"/>
              <w:contextualSpacing/>
              <w:rPr>
                <w:rFonts w:hint="default" w:ascii="宋体" w:hAnsi="宋体" w:eastAsia="宋体"/>
                <w:color w:val="000000" w:themeColor="text1"/>
                <w:kern w:val="2"/>
                <w:sz w:val="24"/>
                <w:szCs w:val="24"/>
                <w:lang w:val="en-US" w:eastAsia="zh-CN"/>
                <w14:textFill>
                  <w14:solidFill>
                    <w14:schemeClr w14:val="tx1"/>
                  </w14:solidFill>
                </w14:textFill>
              </w:rPr>
            </w:pPr>
            <w:r>
              <w:rPr>
                <w:rFonts w:hint="eastAsia" w:ascii="宋体" w:hAnsi="宋体"/>
                <w:color w:val="000000" w:themeColor="text1"/>
                <w:kern w:val="2"/>
                <w:sz w:val="24"/>
                <w:szCs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83" w:type="dxa"/>
            <w:vAlign w:val="center"/>
          </w:tcPr>
          <w:p>
            <w:pPr>
              <w:numPr>
                <w:ilvl w:val="0"/>
                <w:numId w:val="2"/>
              </w:numPr>
              <w:jc w:val="center"/>
              <w:rPr>
                <w:rFonts w:ascii="宋体" w:hAnsi="宋体" w:cs="宋体"/>
                <w:color w:val="000000" w:themeColor="text1"/>
                <w:kern w:val="0"/>
                <w:sz w:val="24"/>
                <w14:textFill>
                  <w14:solidFill>
                    <w14:schemeClr w14:val="tx1"/>
                  </w14:solidFill>
                </w14:textFill>
              </w:rPr>
            </w:pPr>
          </w:p>
        </w:tc>
        <w:tc>
          <w:tcPr>
            <w:tcW w:w="992" w:type="dxa"/>
            <w:vAlign w:val="center"/>
          </w:tcPr>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电脑教室教学控制软件</w:t>
            </w:r>
          </w:p>
        </w:tc>
        <w:tc>
          <w:tcPr>
            <w:tcW w:w="6826" w:type="dxa"/>
            <w:vAlign w:val="center"/>
          </w:tcPr>
          <w:p>
            <w:pPr>
              <w:widowControl/>
              <w:spacing w:line="255" w:lineRule="atLeast"/>
              <w:ind w:left="105" w:leftChars="50" w:firstLine="240" w:firstLineChars="100"/>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1.安装部署快捷，升级简易方便，全中文人性化界面设计，支持主窗口功能按钮、浮动工具条、右键菜单、快捷键多项操作方式。</w:t>
            </w:r>
          </w:p>
          <w:p>
            <w:pPr>
              <w:widowControl/>
              <w:spacing w:line="255" w:lineRule="atLeast"/>
              <w:ind w:left="105" w:leftChars="50" w:firstLine="240" w:firstLineChars="100"/>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2.采用核心的截屏及实时压缩技术，在网络条件较差时亦能体现良好的性能；可根据网络条件调节网络补偿强度，根据广播内容调节广播及录制效率，使广播达到最佳效果。</w:t>
            </w:r>
          </w:p>
          <w:p>
            <w:pPr>
              <w:widowControl/>
              <w:spacing w:line="255" w:lineRule="atLeast"/>
              <w:ind w:left="105" w:leftChars="50" w:firstLine="240" w:firstLineChars="100"/>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3.采用流媒体技术，流畅无延时，文件清晰度几乎无损耗，支持几乎所有常见的媒体音视频格式， Windows Media文件，VCD文件，DVD文件，Real文件，AVI文件，MP3等主流文件格式，支持720p、1080p的高清视频。</w:t>
            </w:r>
          </w:p>
          <w:p>
            <w:pPr>
              <w:widowControl/>
              <w:spacing w:line="255" w:lineRule="atLeast"/>
              <w:ind w:left="105" w:leftChars="50" w:firstLine="240" w:firstLineChars="100"/>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防杀进程、断线保护、卸载密码保护等辅助功能维护教学秩序。</w:t>
            </w:r>
          </w:p>
          <w:p>
            <w:pPr>
              <w:widowControl/>
              <w:spacing w:line="255" w:lineRule="atLeast"/>
              <w:ind w:left="105" w:leftChars="50" w:firstLine="240" w:firstLineChars="100"/>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4.文件分发和提交支持拖拽添加文件，可添加不同目录下的文件或文件目录。</w:t>
            </w:r>
          </w:p>
          <w:p>
            <w:pPr>
              <w:widowControl/>
              <w:spacing w:line="255" w:lineRule="atLeast"/>
              <w:ind w:left="105" w:leftChars="50" w:firstLine="240" w:firstLineChars="100"/>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5.全面支持Windows系列操作系统。</w:t>
            </w:r>
          </w:p>
          <w:p>
            <w:pPr>
              <w:widowControl/>
              <w:spacing w:line="255" w:lineRule="atLeast"/>
              <w:ind w:left="105" w:leftChars="50" w:firstLine="240" w:firstLineChars="100"/>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6.软件的加密方式支持：服务器端授权、在线序列号加密、离线文件加密等多种方式的激活方式。</w:t>
            </w:r>
          </w:p>
          <w:p>
            <w:pPr>
              <w:widowControl/>
              <w:spacing w:line="255" w:lineRule="atLeast"/>
              <w:ind w:left="105" w:leftChars="50" w:firstLine="240" w:firstLineChars="100"/>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7.功能具备课堂教学和课堂管理</w:t>
            </w:r>
          </w:p>
          <w:p>
            <w:pPr>
              <w:widowControl/>
              <w:spacing w:line="255" w:lineRule="atLeast"/>
              <w:ind w:left="105" w:leftChars="50" w:firstLine="240" w:firstLineChars="100"/>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课堂教学：屏幕广播、扩展屏广播模式、屏幕广播速度增强、屏幕笔、网络影院、视频直播、学生演示、屏幕录制、学生端屏幕录制、回放、文件分发、文件提交、网络快照、屏幕监视、多频道教学。</w:t>
            </w:r>
          </w:p>
          <w:p>
            <w:pPr>
              <w:widowControl/>
              <w:spacing w:line="255" w:lineRule="atLeast"/>
              <w:ind w:left="105" w:leftChars="50" w:firstLine="240" w:firstLineChars="100"/>
              <w:contextualSpacing/>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课堂管理：班级模型、签到、学生端属性查看、系统日志、黑屏肃静、远程命令、图标监看、自动锁屏、防杀进程、请求帮助、远程消息、远程设置等功能。</w:t>
            </w:r>
          </w:p>
          <w:p>
            <w:pPr>
              <w:widowControl/>
              <w:spacing w:line="255" w:lineRule="atLeast"/>
              <w:ind w:left="105" w:leftChars="50" w:firstLine="240" w:firstLineChars="100"/>
              <w:contextualSpacing/>
              <w:jc w:val="left"/>
              <w:rPr>
                <w:rFonts w:eastAsia="黑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提供功能偏离表，提供三年售后服务，满足机房实际需求。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83" w:type="dxa"/>
            <w:vAlign w:val="center"/>
          </w:tcPr>
          <w:p>
            <w:pPr>
              <w:numPr>
                <w:ilvl w:val="0"/>
                <w:numId w:val="2"/>
              </w:numPr>
              <w:jc w:val="center"/>
              <w:rPr>
                <w:rFonts w:ascii="宋体" w:hAnsi="宋体" w:cs="宋体"/>
                <w:color w:val="000000" w:themeColor="text1"/>
                <w:kern w:val="0"/>
                <w:sz w:val="24"/>
                <w14:textFill>
                  <w14:solidFill>
                    <w14:schemeClr w14:val="tx1"/>
                  </w14:solidFill>
                </w14:textFill>
              </w:rPr>
            </w:pPr>
          </w:p>
        </w:tc>
        <w:tc>
          <w:tcPr>
            <w:tcW w:w="992" w:type="dxa"/>
            <w:vAlign w:val="center"/>
          </w:tcPr>
          <w:p>
            <w:pPr>
              <w:autoSpaceDE w:val="0"/>
              <w:autoSpaceDN w:val="0"/>
              <w:rPr>
                <w:rFonts w:ascii="宋体" w:hAnsi="宋体"/>
                <w:color w:val="000000" w:themeColor="text1"/>
                <w:sz w:val="24"/>
                <w14:textFill>
                  <w14:solidFill>
                    <w14:schemeClr w14:val="tx1"/>
                  </w14:solidFill>
                </w14:textFill>
              </w:rPr>
            </w:pPr>
            <w:r>
              <w:rPr>
                <w:rFonts w:hint="eastAsia" w:ascii="宋体" w:hAnsi="宋体"/>
                <w:color w:val="000000" w:themeColor="text1"/>
                <w:spacing w:val="20"/>
                <w:sz w:val="24"/>
                <w14:textFill>
                  <w14:solidFill>
                    <w14:schemeClr w14:val="tx1"/>
                  </w14:solidFill>
                </w14:textFill>
              </w:rPr>
              <w:t>附件及系统集成</w:t>
            </w:r>
          </w:p>
        </w:tc>
        <w:tc>
          <w:tcPr>
            <w:tcW w:w="6826" w:type="dxa"/>
            <w:vAlign w:val="center"/>
          </w:tcPr>
          <w:p>
            <w:pPr>
              <w:snapToGrid w:val="0"/>
              <w:spacing w:before="50" w:after="50"/>
              <w:ind w:left="-44"/>
              <w:rPr>
                <w:rFonts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按实际集成信息点数结算</w:t>
            </w:r>
            <w:r>
              <w:rPr>
                <w:rFonts w:hint="eastAsia" w:ascii="宋体" w:hAnsi="宋体"/>
                <w:color w:val="000000" w:themeColor="text1"/>
                <w:sz w:val="24"/>
                <w14:textFill>
                  <w14:solidFill>
                    <w14:schemeClr w14:val="tx1"/>
                  </w14:solidFill>
                </w14:textFill>
              </w:rPr>
              <w:t>；</w:t>
            </w:r>
          </w:p>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附件及系统集成所需主要材料</w:t>
            </w:r>
          </w:p>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1.信息点插座及面板</w:t>
            </w:r>
            <w:r>
              <w:rPr>
                <w:rFonts w:hint="eastAsia" w:ascii="宋体" w:hAnsi="宋体"/>
                <w:color w:val="000000" w:themeColor="text1"/>
                <w:sz w:val="24"/>
                <w14:textFill>
                  <w14:solidFill>
                    <w14:schemeClr w14:val="tx1"/>
                  </w14:solidFill>
                </w14:textFill>
              </w:rPr>
              <w:t>：86系列三芯插座220V/10A，三芯插座和插座面板应符合GB1002中5的有关规定。</w:t>
            </w:r>
          </w:p>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2.网线、水晶头</w:t>
            </w:r>
            <w:r>
              <w:rPr>
                <w:rFonts w:hint="eastAsia" w:ascii="宋体" w:hAnsi="宋体"/>
                <w:color w:val="000000" w:themeColor="text1"/>
                <w:sz w:val="24"/>
                <w14:textFill>
                  <w14:solidFill>
                    <w14:schemeClr w14:val="tx1"/>
                  </w14:solidFill>
                </w14:textFill>
              </w:rPr>
              <w:t>：</w:t>
            </w:r>
            <w:r>
              <w:rPr>
                <w:rFonts w:hint="eastAsia" w:ascii="宋体" w:hAnsi="宋体"/>
                <w:b/>
                <w:color w:val="000000" w:themeColor="text1"/>
                <w:sz w:val="24"/>
                <w14:textFill>
                  <w14:solidFill>
                    <w14:schemeClr w14:val="tx1"/>
                  </w14:solidFill>
                </w14:textFill>
              </w:rPr>
              <w:t>6类</w:t>
            </w:r>
            <w:r>
              <w:rPr>
                <w:rFonts w:hint="eastAsia" w:ascii="宋体" w:hAnsi="宋体"/>
                <w:color w:val="000000" w:themeColor="text1"/>
                <w:sz w:val="24"/>
                <w14:textFill>
                  <w14:solidFill>
                    <w14:schemeClr w14:val="tx1"/>
                  </w14:solidFill>
                </w14:textFill>
              </w:rPr>
              <w:t>系列4对24WAG双绞线 （铜芯），符合</w:t>
            </w:r>
            <w:r>
              <w:rPr>
                <w:rFonts w:ascii="宋体" w:hAnsi="宋体"/>
                <w:color w:val="000000" w:themeColor="text1"/>
                <w:sz w:val="24"/>
                <w14:textFill>
                  <w14:solidFill>
                    <w14:schemeClr w14:val="tx1"/>
                  </w14:solidFill>
                </w14:textFill>
              </w:rPr>
              <w:t>YD-T1019</w:t>
            </w:r>
            <w:r>
              <w:rPr>
                <w:rFonts w:hint="eastAsia" w:ascii="宋体" w:hAnsi="宋体"/>
                <w:color w:val="000000" w:themeColor="text1"/>
                <w:sz w:val="24"/>
                <w14:textFill>
                  <w14:solidFill>
                    <w14:schemeClr w14:val="tx1"/>
                  </w14:solidFill>
                </w14:textFill>
              </w:rPr>
              <w:t>标准。</w:t>
            </w:r>
            <w:r>
              <w:rPr>
                <w:rFonts w:ascii="宋体" w:hAnsi="宋体"/>
                <w:color w:val="000000" w:themeColor="text1"/>
                <w:sz w:val="24"/>
                <w14:textFill>
                  <w14:solidFill>
                    <w14:schemeClr w14:val="tx1"/>
                  </w14:solidFill>
                </w14:textFill>
              </w:rPr>
              <w:t xml:space="preserve"> </w:t>
            </w:r>
          </w:p>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3.阻燃电源线</w:t>
            </w:r>
            <w:r>
              <w:rPr>
                <w:rFonts w:hint="eastAsia" w:ascii="宋体" w:hAnsi="宋体"/>
                <w:color w:val="000000" w:themeColor="text1"/>
                <w:sz w:val="24"/>
                <w14:textFill>
                  <w14:solidFill>
                    <w14:schemeClr w14:val="tx1"/>
                  </w14:solidFill>
                </w14:textFill>
              </w:rPr>
              <w:t>：BV、BVV型系列（铜芯），聚氯乙烯绝缘黄绿双色电源（中策永通）</w:t>
            </w:r>
          </w:p>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4.PVC波达线槽</w:t>
            </w:r>
            <w:r>
              <w:rPr>
                <w:rFonts w:hint="eastAsia" w:ascii="宋体" w:hAnsi="宋体"/>
                <w:color w:val="000000" w:themeColor="text1"/>
                <w:sz w:val="24"/>
                <w14:textFill>
                  <w14:solidFill>
                    <w14:schemeClr w14:val="tx1"/>
                  </w14:solidFill>
                </w14:textFill>
              </w:rPr>
              <w:t>（线槽≥20*60mm, 线缆在线槽内的占用空间不得超过线槽总空间的</w:t>
            </w:r>
            <w:r>
              <w:rPr>
                <w:rFonts w:ascii="宋体" w:hAnsi="宋体"/>
                <w:color w:val="000000" w:themeColor="text1"/>
                <w:sz w:val="24"/>
                <w14:textFill>
                  <w14:solidFill>
                    <w14:schemeClr w14:val="tx1"/>
                  </w14:solidFill>
                </w14:textFill>
              </w:rPr>
              <w:t>70%）</w:t>
            </w:r>
            <w:r>
              <w:rPr>
                <w:rFonts w:hint="eastAsia" w:ascii="宋体" w:hAnsi="宋体"/>
                <w:color w:val="000000" w:themeColor="text1"/>
                <w:sz w:val="24"/>
                <w14:textFill>
                  <w14:solidFill>
                    <w14:schemeClr w14:val="tx1"/>
                  </w14:solidFill>
                </w14:textFill>
              </w:rPr>
              <w:t>等，敷设时强电和弱电要求分开</w:t>
            </w:r>
          </w:p>
          <w:p>
            <w:pPr>
              <w:snapToGrid w:val="0"/>
              <w:spacing w:before="50" w:after="50"/>
              <w:ind w:left="-44"/>
              <w:rPr>
                <w:rFonts w:ascii="宋体" w:hAnsi="宋体"/>
                <w:b/>
                <w:color w:val="000000" w:themeColor="text1"/>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5.</w:t>
            </w:r>
            <w:r>
              <w:rPr>
                <w:rFonts w:hint="eastAsia" w:ascii="宋体" w:hAnsi="宋体"/>
                <w:b/>
                <w:color w:val="000000" w:themeColor="text1"/>
                <w:sz w:val="24"/>
                <w14:textFill>
                  <w14:solidFill>
                    <w14:schemeClr w14:val="tx1"/>
                  </w14:solidFill>
                </w14:textFill>
              </w:rPr>
              <w:t>空气开关（</w:t>
            </w:r>
            <w:r>
              <w:rPr>
                <w:rFonts w:hint="eastAsia" w:ascii="宋体" w:hAnsi="宋体"/>
                <w:color w:val="000000" w:themeColor="text1"/>
                <w:sz w:val="24"/>
                <w14:textFill>
                  <w14:solidFill>
                    <w14:schemeClr w14:val="tx1"/>
                  </w14:solidFill>
                </w14:textFill>
              </w:rPr>
              <w:t>带漏电保护器）：（含总开关1个、讲台与网络机柜1路、学生机4路，共6个</w:t>
            </w:r>
            <w:r>
              <w:rPr>
                <w:rFonts w:hint="eastAsia" w:ascii="宋体" w:hAnsi="宋体"/>
                <w:b/>
                <w:color w:val="000000" w:themeColor="text1"/>
                <w:sz w:val="24"/>
                <w14:textFill>
                  <w14:solidFill>
                    <w14:schemeClr w14:val="tx1"/>
                  </w14:solidFill>
                </w14:textFill>
              </w:rPr>
              <w:t>空气开关（</w:t>
            </w:r>
            <w:r>
              <w:rPr>
                <w:rFonts w:hint="eastAsia" w:ascii="宋体" w:hAnsi="宋体"/>
                <w:color w:val="000000" w:themeColor="text1"/>
                <w:sz w:val="24"/>
                <w14:textFill>
                  <w14:solidFill>
                    <w14:schemeClr w14:val="tx1"/>
                  </w14:solidFill>
                </w14:textFill>
              </w:rPr>
              <w:t>带漏电保护器）），需符合相关国家标准。</w:t>
            </w:r>
          </w:p>
          <w:p>
            <w:pPr>
              <w:snapToGrid w:val="0"/>
              <w:spacing w:before="50" w:after="50"/>
              <w:ind w:left="-44"/>
              <w:rPr>
                <w:rFonts w:ascii="宋体" w:hAnsi="宋体"/>
                <w:b/>
                <w:color w:val="000000" w:themeColor="text1"/>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 xml:space="preserve"> 配备1个静电地板吸盘</w:t>
            </w:r>
          </w:p>
          <w:p>
            <w:pPr>
              <w:snapToGrid w:val="0"/>
              <w:spacing w:before="50" w:after="50"/>
              <w:ind w:left="-44"/>
              <w:rPr>
                <w:rFonts w:ascii="宋体" w:hAnsi="宋体" w:cs="宋体"/>
                <w:b/>
                <w:color w:val="000000" w:themeColor="text1"/>
                <w:kern w:val="0"/>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7.</w:t>
            </w:r>
            <w:r>
              <w:rPr>
                <w:rFonts w:hint="eastAsia" w:ascii="宋体" w:hAnsi="宋体" w:cs="宋体"/>
                <w:b/>
                <w:color w:val="000000" w:themeColor="text1"/>
                <w:kern w:val="0"/>
                <w:sz w:val="24"/>
                <w14:textFill>
                  <w14:solidFill>
                    <w14:schemeClr w14:val="tx1"/>
                  </w14:solidFill>
                </w14:textFill>
              </w:rPr>
              <w:t xml:space="preserve"> 如机房无网线至该楼汇聚点，则需按规范布设一条6类网线至该楼汇聚点</w:t>
            </w:r>
          </w:p>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 xml:space="preserve"> 项目提交验收前须提供所有信息点</w:t>
            </w:r>
            <w:r>
              <w:rPr>
                <w:color w:val="000000" w:themeColor="text1"/>
                <w:sz w:val="24"/>
                <w14:textFill>
                  <w14:solidFill>
                    <w14:schemeClr w14:val="tx1"/>
                  </w14:solidFill>
                </w14:textFill>
              </w:rPr>
              <w:t>Fluke</w:t>
            </w:r>
            <w:r>
              <w:rPr>
                <w:rFonts w:hint="eastAsia"/>
                <w:color w:val="000000" w:themeColor="text1"/>
                <w:sz w:val="24"/>
                <w14:textFill>
                  <w14:solidFill>
                    <w14:schemeClr w14:val="tx1"/>
                  </w14:solidFill>
                </w14:textFill>
              </w:rPr>
              <w:t>测线服务。提供线缆测试仪</w:t>
            </w:r>
            <w:r>
              <w:rPr>
                <w:color w:val="000000" w:themeColor="text1"/>
                <w:sz w:val="24"/>
                <w14:textFill>
                  <w14:solidFill>
                    <w14:schemeClr w14:val="tx1"/>
                  </w14:solidFill>
                </w14:textFill>
              </w:rPr>
              <w:t>100%</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UTP</w:t>
            </w:r>
            <w:r>
              <w:rPr>
                <w:rFonts w:hint="eastAsia"/>
                <w:color w:val="000000" w:themeColor="text1"/>
                <w:sz w:val="24"/>
                <w14:textFill>
                  <w14:solidFill>
                    <w14:schemeClr w14:val="tx1"/>
                  </w14:solidFill>
                </w14:textFill>
              </w:rPr>
              <w:t>测试数据的原始数据文档（</w:t>
            </w:r>
            <w:r>
              <w:rPr>
                <w:color w:val="000000" w:themeColor="text1"/>
                <w:sz w:val="24"/>
                <w14:textFill>
                  <w14:solidFill>
                    <w14:schemeClr w14:val="tx1"/>
                  </w14:solidFill>
                </w14:textFill>
              </w:rPr>
              <w:t>.flw</w:t>
            </w:r>
            <w:r>
              <w:rPr>
                <w:rFonts w:hint="eastAsia"/>
                <w:color w:val="000000" w:themeColor="text1"/>
                <w:sz w:val="24"/>
                <w14:textFill>
                  <w14:solidFill>
                    <w14:schemeClr w14:val="tx1"/>
                  </w14:solidFill>
                </w14:textFill>
              </w:rPr>
              <w:t>格式），作为招标方抽检和资料存档之用，所用标注与线标一致。测试标准为：</w:t>
            </w:r>
            <w:r>
              <w:rPr>
                <w:color w:val="000000" w:themeColor="text1"/>
                <w:sz w:val="24"/>
                <w14:textFill>
                  <w14:solidFill>
                    <w14:schemeClr w14:val="tx1"/>
                  </w14:solidFill>
                </w14:textFill>
              </w:rPr>
              <w:t xml:space="preserve"> TIA / EIA UTP CAT6 Basic Link</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100%</w:t>
            </w:r>
            <w:r>
              <w:rPr>
                <w:rFonts w:hint="eastAsia"/>
                <w:color w:val="000000" w:themeColor="text1"/>
                <w:sz w:val="24"/>
                <w14:textFill>
                  <w14:solidFill>
                    <w14:schemeClr w14:val="tx1"/>
                  </w14:solidFill>
                </w14:textFill>
              </w:rPr>
              <w:t>全部通过。每个信息点要达到</w:t>
            </w:r>
            <w:r>
              <w:rPr>
                <w:color w:val="000000" w:themeColor="text1"/>
                <w:sz w:val="24"/>
                <w14:textFill>
                  <w14:solidFill>
                    <w14:schemeClr w14:val="tx1"/>
                  </w14:solidFill>
                </w14:textFill>
              </w:rPr>
              <w:t>3db</w:t>
            </w:r>
            <w:r>
              <w:rPr>
                <w:rFonts w:hint="eastAsia"/>
                <w:color w:val="000000" w:themeColor="text1"/>
                <w:sz w:val="24"/>
                <w14:textFill>
                  <w14:solidFill>
                    <w14:schemeClr w14:val="tx1"/>
                  </w14:solidFill>
                </w14:textFill>
              </w:rPr>
              <w:t>以上，低于</w:t>
            </w:r>
            <w:r>
              <w:rPr>
                <w:color w:val="000000" w:themeColor="text1"/>
                <w:sz w:val="24"/>
                <w14:textFill>
                  <w14:solidFill>
                    <w14:schemeClr w14:val="tx1"/>
                  </w14:solidFill>
                </w14:textFill>
              </w:rPr>
              <w:t>3db</w:t>
            </w:r>
            <w:r>
              <w:rPr>
                <w:rFonts w:hint="eastAsia"/>
                <w:color w:val="000000" w:themeColor="text1"/>
                <w:sz w:val="24"/>
                <w14:textFill>
                  <w14:solidFill>
                    <w14:schemeClr w14:val="tx1"/>
                  </w14:solidFill>
                </w14:textFill>
              </w:rPr>
              <w:t>的返工整改。</w:t>
            </w:r>
          </w:p>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要求提供详细附件清单，明确材料的品牌。</w:t>
            </w:r>
          </w:p>
          <w:p>
            <w:pPr>
              <w:snapToGrid w:val="0"/>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要求提供走线说明</w:t>
            </w:r>
            <w:r>
              <w:rPr>
                <w:rFonts w:hint="eastAsia" w:ascii="宋体" w:hAnsi="宋体"/>
                <w:color w:val="000000" w:themeColor="text1"/>
                <w:sz w:val="24"/>
                <w14:textFill>
                  <w14:solidFill>
                    <w14:schemeClr w14:val="tx1"/>
                  </w14:solidFill>
                </w14:textFill>
              </w:rPr>
              <w:t>（走线参照附图），布线要求见《浙江省中小学教育技术装备标准》引用标准和文件汇编：1）供电电源额定总容量应不小于计算机教室中设备总功率的1</w:t>
            </w: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倍；2）分路布线控制，每路线路负载不超过</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4台计算机，并设有过载保护装置。每路电源线采用单相</w:t>
            </w:r>
            <w:r>
              <w:rPr>
                <w:rFonts w:hint="eastAsia" w:ascii="宋体" w:hAnsi="宋体"/>
                <w:b/>
                <w:color w:val="000000" w:themeColor="text1"/>
                <w:sz w:val="24"/>
                <w:u w:val="single"/>
                <w14:textFill>
                  <w14:solidFill>
                    <w14:schemeClr w14:val="tx1"/>
                  </w14:solidFill>
                </w14:textFill>
              </w:rPr>
              <w:t>4</w:t>
            </w:r>
            <w:r>
              <w:rPr>
                <w:rFonts w:hint="eastAsia" w:ascii="宋体" w:hAnsi="宋体"/>
                <w:color w:val="000000" w:themeColor="text1"/>
                <w:sz w:val="24"/>
                <w14:textFill>
                  <w14:solidFill>
                    <w14:schemeClr w14:val="tx1"/>
                  </w14:solidFill>
                </w14:textFill>
              </w:rPr>
              <w:t>平方以上单芯铜线（1火线、1零线、1地线）。教师机及网络机柜电源线要求采用单相</w:t>
            </w:r>
            <w:r>
              <w:rPr>
                <w:rFonts w:hint="eastAsia" w:ascii="宋体" w:hAnsi="宋体"/>
                <w:b/>
                <w:color w:val="000000" w:themeColor="text1"/>
                <w:sz w:val="24"/>
                <w:u w:val="single"/>
                <w14:textFill>
                  <w14:solidFill>
                    <w14:schemeClr w14:val="tx1"/>
                  </w14:solidFill>
                </w14:textFill>
              </w:rPr>
              <w:t>2</w:t>
            </w:r>
            <w:r>
              <w:rPr>
                <w:rFonts w:hint="eastAsia" w:ascii="宋体" w:hAnsi="宋体"/>
                <w:color w:val="000000" w:themeColor="text1"/>
                <w:sz w:val="24"/>
                <w14:textFill>
                  <w14:solidFill>
                    <w14:schemeClr w14:val="tx1"/>
                  </w14:solidFill>
                </w14:textFill>
              </w:rPr>
              <w:t>平方以上单芯铜线（需接地）。</w:t>
            </w:r>
          </w:p>
          <w:p>
            <w:pPr>
              <w:snapToGrid w:val="0"/>
              <w:spacing w:before="50" w:after="50"/>
              <w:ind w:left="-44"/>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网络设备及网络机柜安装在教室后方（学校另行要求的按实际要求执行）。</w:t>
            </w:r>
            <w:r>
              <w:rPr>
                <w:rFonts w:hint="eastAsia"/>
                <w:color w:val="000000" w:themeColor="text1"/>
                <w:sz w:val="24"/>
                <w14:textFill>
                  <w14:solidFill>
                    <w14:schemeClr w14:val="tx1"/>
                  </w14:solidFill>
                </w14:textFill>
              </w:rPr>
              <w:t>需将学校原有多媒体投影系统（如有）接入教师管理机，实现同步投影。</w:t>
            </w:r>
          </w:p>
          <w:p>
            <w:pPr>
              <w:snapToGrid w:val="0"/>
              <w:spacing w:before="50" w:after="50"/>
              <w:ind w:left="-44"/>
              <w:rPr>
                <w:rFonts w:ascii="宋体" w:hAns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该项目为交钥匙工程，中标人有义务保证采购人项目的完整性，实际施工辅材，以现场踏勘为准，如项目实施过程中因缺少设备、配件或服务导致采购人系统无法正常运行，中标人须承诺免费提供；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83" w:type="dxa"/>
            <w:vAlign w:val="center"/>
          </w:tcPr>
          <w:p>
            <w:pPr>
              <w:numPr>
                <w:ilvl w:val="0"/>
                <w:numId w:val="2"/>
              </w:numPr>
              <w:jc w:val="center"/>
              <w:rPr>
                <w:rFonts w:ascii="宋体" w:hAnsi="宋体" w:cs="宋体"/>
                <w:color w:val="000000" w:themeColor="text1"/>
                <w:kern w:val="0"/>
                <w:sz w:val="24"/>
                <w14:textFill>
                  <w14:solidFill>
                    <w14:schemeClr w14:val="tx1"/>
                  </w14:solidFill>
                </w14:textFill>
              </w:rPr>
            </w:pPr>
          </w:p>
        </w:tc>
        <w:tc>
          <w:tcPr>
            <w:tcW w:w="992" w:type="dxa"/>
            <w:vAlign w:val="center"/>
          </w:tcPr>
          <w:p>
            <w:pPr>
              <w:autoSpaceDE w:val="0"/>
              <w:autoSpaceDN w:val="0"/>
              <w:rPr>
                <w:rFonts w:ascii="宋体" w:hAnsi="宋体"/>
                <w:color w:val="000000" w:themeColor="text1"/>
                <w:spacing w:val="20"/>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陶瓷防静电地板</w:t>
            </w:r>
          </w:p>
        </w:tc>
        <w:tc>
          <w:tcPr>
            <w:tcW w:w="6826" w:type="dxa"/>
            <w:vAlign w:val="center"/>
          </w:tcPr>
          <w:p>
            <w:pPr>
              <w:autoSpaceDE w:val="0"/>
              <w:autoSpaceDN w:val="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颜色：米黄色</w:t>
            </w:r>
          </w:p>
          <w:p>
            <w:pPr>
              <w:autoSpaceDE w:val="0"/>
              <w:autoSpaceDN w:val="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规格：600*600*40mm</w:t>
            </w:r>
          </w:p>
          <w:p>
            <w:pPr>
              <w:autoSpaceDE w:val="0"/>
              <w:autoSpaceDN w:val="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贴面材料：≥1.0cm陶瓷面</w:t>
            </w:r>
          </w:p>
          <w:p>
            <w:pPr>
              <w:autoSpaceDE w:val="0"/>
              <w:autoSpaceDN w:val="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填充材料：发泡水泥</w:t>
            </w:r>
          </w:p>
          <w:p>
            <w:pPr>
              <w:autoSpaceDE w:val="0"/>
              <w:autoSpaceDN w:val="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上钢板：≥0.5mm</w:t>
            </w:r>
          </w:p>
          <w:p>
            <w:pPr>
              <w:autoSpaceDE w:val="0"/>
              <w:autoSpaceDN w:val="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下钢板：≥0.4mm</w:t>
            </w:r>
          </w:p>
          <w:p>
            <w:pPr>
              <w:autoSpaceDE w:val="0"/>
              <w:autoSpaceDN w:val="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铺装防静电地板所需的支撑角柱、横梁钢管、金属封边以及地板吸盘等，配件主材为镀锌钢质材料，管壁厚度≧1.5mm</w:t>
            </w:r>
          </w:p>
          <w:p>
            <w:pPr>
              <w:autoSpaceDE w:val="0"/>
              <w:autoSpaceDN w:val="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根据电脑桌位置，在地板上开50mm的孔，并加线孔盖。</w:t>
            </w:r>
          </w:p>
          <w:p>
            <w:pPr>
              <w:autoSpaceDE w:val="0"/>
              <w:autoSpaceDN w:val="0"/>
              <w:rPr>
                <w:rFonts w:ascii="宋体" w:hAnsi="宋体"/>
                <w:b/>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9.</w:t>
            </w:r>
            <w:r>
              <w:rPr>
                <w:rFonts w:hint="eastAsia" w:ascii="宋体" w:hAnsi="宋体"/>
                <w:color w:val="000000" w:themeColor="text1"/>
                <w:sz w:val="24"/>
                <w14:textFill>
                  <w14:solidFill>
                    <w14:schemeClr w14:val="tx1"/>
                  </w14:solidFill>
                </w14:textFill>
              </w:rPr>
              <w:tab/>
            </w:r>
            <w:r>
              <w:rPr>
                <w:rFonts w:hint="eastAsia" w:ascii="宋体" w:hAnsi="宋体"/>
                <w:b/>
                <w:color w:val="000000" w:themeColor="text1"/>
                <w:sz w:val="24"/>
                <w:u w:val="single"/>
                <w14:textFill>
                  <w14:solidFill>
                    <w14:schemeClr w14:val="tx1"/>
                  </w14:solidFill>
                </w14:textFill>
              </w:rPr>
              <w:t>整块地板切割后靠墙处需用角铁支架固定</w:t>
            </w:r>
          </w:p>
          <w:p>
            <w:pPr>
              <w:autoSpaceDE w:val="0"/>
              <w:autoSpaceDN w:val="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0</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安装静电地板前需清理地面，施工后地板下无杂物灰尘。</w:t>
            </w:r>
          </w:p>
          <w:p>
            <w:pPr>
              <w:autoSpaceDE w:val="0"/>
              <w:autoSpaceDN w:val="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拆除原旧地板(如有)，搬至一楼。</w:t>
            </w:r>
          </w:p>
          <w:p>
            <w:pPr>
              <w:snapToGrid w:val="0"/>
              <w:spacing w:before="50" w:after="50"/>
              <w:ind w:left="-44"/>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供货前需用户确认样式</w:t>
            </w:r>
          </w:p>
        </w:tc>
      </w:tr>
    </w:tbl>
    <w:p>
      <w:pPr>
        <w:rPr>
          <w:rFonts w:ascii="宋体" w:hAnsi="宋体"/>
          <w:b/>
          <w:sz w:val="24"/>
        </w:rPr>
      </w:pPr>
    </w:p>
    <w:p>
      <w:pPr>
        <w:ind w:firstLine="482" w:firstLineChars="200"/>
        <w:rPr>
          <w:b/>
          <w:sz w:val="24"/>
        </w:rPr>
      </w:pPr>
      <w:r>
        <w:rPr>
          <w:rFonts w:hint="eastAsia"/>
          <w:b/>
          <w:sz w:val="24"/>
        </w:rPr>
        <w:t>特别说明：</w:t>
      </w:r>
    </w:p>
    <w:p>
      <w:pPr>
        <w:ind w:firstLine="480" w:firstLineChars="200"/>
        <w:rPr>
          <w:b/>
          <w:sz w:val="24"/>
        </w:rPr>
      </w:pPr>
      <w:r>
        <w:rPr>
          <w:rFonts w:hint="eastAsia" w:ascii="宋体" w:hAnsi="宋体"/>
          <w:color w:val="000000"/>
          <w:sz w:val="24"/>
        </w:rPr>
        <w:t>▲</w:t>
      </w:r>
      <w:r>
        <w:rPr>
          <w:rFonts w:hint="eastAsia"/>
          <w:b/>
          <w:sz w:val="24"/>
        </w:rPr>
        <w:t>1.教师机（</w:t>
      </w:r>
      <w:r>
        <w:rPr>
          <w:rFonts w:hint="eastAsia"/>
          <w:b/>
          <w:sz w:val="24"/>
          <w:lang w:val="en-US" w:eastAsia="zh-CN"/>
        </w:rPr>
        <w:t>I5</w:t>
      </w:r>
      <w:r>
        <w:rPr>
          <w:rFonts w:hint="eastAsia"/>
          <w:b/>
          <w:sz w:val="24"/>
        </w:rPr>
        <w:t>全套）、教师机（</w:t>
      </w:r>
      <w:r>
        <w:rPr>
          <w:rFonts w:hint="eastAsia"/>
          <w:b/>
          <w:sz w:val="24"/>
          <w:lang w:val="en-US" w:eastAsia="zh-CN"/>
        </w:rPr>
        <w:t>I5</w:t>
      </w:r>
      <w:r>
        <w:rPr>
          <w:rFonts w:hint="eastAsia"/>
          <w:b/>
          <w:sz w:val="24"/>
        </w:rPr>
        <w:t>主机）、学生计算机1（I5全套）、学生微型计算机2（i3全套）、学生微型计算机3（i3主机）</w:t>
      </w:r>
      <w:r>
        <w:rPr>
          <w:rFonts w:hint="eastAsia"/>
          <w:b/>
          <w:sz w:val="24"/>
          <w:lang w:eastAsia="zh-CN"/>
        </w:rPr>
        <w:t>、</w:t>
      </w:r>
      <w:r>
        <w:rPr>
          <w:rFonts w:hint="eastAsia"/>
          <w:b/>
          <w:sz w:val="24"/>
        </w:rPr>
        <w:t>笔记本电脑必须按要求提供</w:t>
      </w:r>
      <w:r>
        <w:rPr>
          <w:rFonts w:hint="eastAsia"/>
          <w:b/>
          <w:sz w:val="24"/>
          <w:lang w:val="en-US" w:eastAsia="zh-CN"/>
        </w:rPr>
        <w:t>所投</w:t>
      </w:r>
      <w:r>
        <w:rPr>
          <w:rFonts w:hint="eastAsia"/>
          <w:b/>
          <w:sz w:val="24"/>
        </w:rPr>
        <w:t>产品的节能产品认证证书或规定网站证书查询截图，否则将作为无效标处理。</w:t>
      </w:r>
    </w:p>
    <w:p>
      <w:pPr>
        <w:ind w:firstLine="482" w:firstLineChars="200"/>
        <w:rPr>
          <w:b/>
          <w:sz w:val="24"/>
        </w:rPr>
      </w:pPr>
      <w:r>
        <w:rPr>
          <w:rFonts w:hint="eastAsia"/>
          <w:b/>
          <w:sz w:val="24"/>
        </w:rPr>
        <w:t>2.投标人所提供的设备必须是全新的并且是202</w:t>
      </w:r>
      <w:r>
        <w:rPr>
          <w:rFonts w:hint="eastAsia"/>
          <w:b/>
          <w:sz w:val="24"/>
          <w:lang w:val="en-US" w:eastAsia="zh-CN"/>
        </w:rPr>
        <w:t>3</w:t>
      </w:r>
      <w:r>
        <w:rPr>
          <w:rFonts w:hint="eastAsia"/>
          <w:b/>
          <w:sz w:val="24"/>
        </w:rPr>
        <w:t>年1月1日以后生产的商用产品。</w:t>
      </w:r>
    </w:p>
    <w:p>
      <w:pPr>
        <w:ind w:firstLine="482" w:firstLineChars="200"/>
        <w:rPr>
          <w:rFonts w:ascii="宋体" w:hAnsi="宋体"/>
          <w:b/>
          <w:sz w:val="24"/>
        </w:rPr>
      </w:pPr>
      <w:r>
        <w:rPr>
          <w:rFonts w:hint="eastAsia" w:ascii="宋体" w:hAnsi="宋体"/>
          <w:b/>
          <w:sz w:val="24"/>
        </w:rPr>
        <w:t>3.</w:t>
      </w:r>
      <w:r>
        <w:rPr>
          <w:rFonts w:hint="eastAsia"/>
          <w:b/>
          <w:sz w:val="24"/>
        </w:rPr>
        <w:t>计算机要求整机</w:t>
      </w:r>
      <w:r>
        <w:rPr>
          <w:rFonts w:hint="eastAsia"/>
          <w:b/>
          <w:sz w:val="24"/>
          <w:lang w:val="en-US" w:eastAsia="zh-CN"/>
        </w:rPr>
        <w:t>原</w:t>
      </w:r>
      <w:r>
        <w:rPr>
          <w:rFonts w:hint="eastAsia"/>
          <w:b/>
          <w:sz w:val="24"/>
        </w:rPr>
        <w:t>厂保修三年，笔记本整机</w:t>
      </w:r>
      <w:r>
        <w:rPr>
          <w:rFonts w:hint="eastAsia"/>
          <w:b/>
          <w:sz w:val="24"/>
          <w:lang w:val="en-US" w:eastAsia="zh-CN"/>
        </w:rPr>
        <w:t>原</w:t>
      </w:r>
      <w:r>
        <w:rPr>
          <w:rFonts w:hint="eastAsia"/>
          <w:b/>
          <w:sz w:val="24"/>
        </w:rPr>
        <w:t>厂保修一年，上门服务，签</w:t>
      </w:r>
      <w:r>
        <w:rPr>
          <w:rFonts w:hint="eastAsia"/>
          <w:b/>
          <w:sz w:val="24"/>
          <w:lang w:val="en-US" w:eastAsia="zh-CN"/>
        </w:rPr>
        <w:t>订</w:t>
      </w:r>
      <w:r>
        <w:rPr>
          <w:rFonts w:hint="eastAsia"/>
          <w:b/>
          <w:sz w:val="24"/>
        </w:rPr>
        <w:t>合同前必须出具生产厂家免费保修年限承诺证明</w:t>
      </w:r>
      <w:r>
        <w:rPr>
          <w:rFonts w:hint="eastAsia" w:ascii="宋体" w:hAnsi="宋体"/>
          <w:b/>
          <w:sz w:val="24"/>
        </w:rPr>
        <w:t xml:space="preserve">原件。 </w:t>
      </w:r>
    </w:p>
    <w:p>
      <w:pPr>
        <w:ind w:firstLine="482" w:firstLineChars="200"/>
        <w:rPr>
          <w:b/>
          <w:sz w:val="24"/>
        </w:rPr>
      </w:pPr>
      <w:r>
        <w:rPr>
          <w:rFonts w:hint="eastAsia" w:ascii="宋体" w:hAnsi="宋体"/>
          <w:b/>
          <w:sz w:val="24"/>
        </w:rPr>
        <w:t>4.</w:t>
      </w:r>
      <w:r>
        <w:rPr>
          <w:rFonts w:hint="eastAsia"/>
          <w:b/>
          <w:sz w:val="24"/>
        </w:rPr>
        <w:t>为方便后期管理，建议投标人用同一个品牌参与学生机、教师机、笔记本电脑的投标。</w:t>
      </w:r>
    </w:p>
    <w:p>
      <w:pPr>
        <w:ind w:firstLine="482" w:firstLineChars="200"/>
        <w:rPr>
          <w:rFonts w:hint="eastAsia" w:ascii="宋体" w:hAnsi="宋体"/>
          <w:b/>
          <w:sz w:val="24"/>
        </w:rPr>
      </w:pPr>
      <w:r>
        <w:rPr>
          <w:rFonts w:hint="eastAsia" w:ascii="宋体" w:hAnsi="宋体"/>
          <w:b/>
          <w:sz w:val="24"/>
        </w:rPr>
        <w:t>5. 教师讲台桌面板、两人电脑桌面板、电脑凳面板要求使用相同材料（厚度按照参数表），技术参数中的规格</w:t>
      </w:r>
      <w:r>
        <w:rPr>
          <w:rFonts w:hint="eastAsia" w:ascii="宋体" w:hAnsi="宋体"/>
          <w:b/>
          <w:bCs/>
          <w:sz w:val="24"/>
        </w:rPr>
        <w:t>尺寸</w:t>
      </w:r>
      <w:r>
        <w:rPr>
          <w:rFonts w:hint="eastAsia" w:ascii="宋体" w:hAnsi="宋体"/>
          <w:b/>
          <w:sz w:val="24"/>
        </w:rPr>
        <w:t>为参考，允许根据学校实际合理偏差。</w:t>
      </w:r>
    </w:p>
    <w:p>
      <w:pPr>
        <w:pStyle w:val="2"/>
        <w:ind w:left="0" w:leftChars="0" w:firstLine="482" w:firstLineChars="200"/>
      </w:pPr>
      <w:r>
        <w:rPr>
          <w:rFonts w:hint="eastAsia"/>
          <w:b/>
          <w:sz w:val="24"/>
          <w:lang w:val="en-US" w:eastAsia="zh-CN"/>
        </w:rPr>
        <w:t>6.部分显示器需利旧使用，中标人所供主机与显示器须实现完美连接。</w:t>
      </w:r>
    </w:p>
    <w:p>
      <w:pPr>
        <w:snapToGrid w:val="0"/>
        <w:ind w:firstLine="482" w:firstLineChars="200"/>
        <w:rPr>
          <w:rFonts w:hint="eastAsia"/>
          <w:lang w:val="en-US" w:eastAsia="zh-CN"/>
        </w:rPr>
      </w:pPr>
      <w:r>
        <w:rPr>
          <w:rFonts w:hint="eastAsia"/>
          <w:b/>
          <w:sz w:val="24"/>
        </w:rPr>
        <w:t>7.本项目</w:t>
      </w:r>
      <w:r>
        <w:rPr>
          <w:rFonts w:hint="eastAsia"/>
          <w:b/>
          <w:sz w:val="24"/>
          <w:lang w:val="en-US" w:eastAsia="zh-CN"/>
        </w:rPr>
        <w:t>采购清单提供的为摸排数量，</w:t>
      </w:r>
      <w:r>
        <w:rPr>
          <w:rFonts w:hint="eastAsia"/>
          <w:b/>
          <w:sz w:val="24"/>
        </w:rPr>
        <w:t>所有设备采购数量以学校实际需求为准,最终结算价按综合单价（含材料费、安装制作费、税金和运费等一切费用）乘实际采购数量计算</w:t>
      </w:r>
      <w:r>
        <w:rPr>
          <w:rFonts w:hint="eastAsia"/>
          <w:b/>
          <w:sz w:val="24"/>
          <w:lang w:eastAsia="zh-CN"/>
        </w:rPr>
        <w:t>，</w:t>
      </w:r>
      <w:r>
        <w:rPr>
          <w:rFonts w:hint="eastAsia"/>
          <w:b/>
          <w:sz w:val="24"/>
          <w:lang w:val="en-US" w:eastAsia="zh-CN"/>
        </w:rPr>
        <w:t>投标人须谨慎报价</w:t>
      </w:r>
      <w:r>
        <w:rPr>
          <w:rFonts w:hint="eastAsia"/>
          <w:b/>
          <w:sz w:val="24"/>
        </w:rPr>
        <w:t>。</w:t>
      </w:r>
    </w:p>
    <w:p>
      <w:pPr>
        <w:spacing w:line="360" w:lineRule="auto"/>
        <w:ind w:firstLine="354" w:firstLineChars="147"/>
        <w:outlineLvl w:val="1"/>
        <w:rPr>
          <w:rFonts w:ascii="宋体" w:hAnsi="宋体" w:cs="宋体"/>
          <w:b/>
          <w:kern w:val="0"/>
          <w:sz w:val="24"/>
        </w:rPr>
      </w:pPr>
      <w:r>
        <w:rPr>
          <w:rFonts w:hint="eastAsia" w:ascii="宋体" w:hAnsi="宋体" w:cs="宋体"/>
          <w:b/>
          <w:kern w:val="0"/>
          <w:sz w:val="24"/>
        </w:rPr>
        <w:t>（二）标准学生电脑房材质要求及安装要求</w:t>
      </w:r>
    </w:p>
    <w:p>
      <w:pPr>
        <w:ind w:firstLine="482" w:firstLineChars="200"/>
        <w:rPr>
          <w:rFonts w:ascii="宋体" w:hAnsi="宋体"/>
          <w:b/>
          <w:sz w:val="24"/>
        </w:rPr>
      </w:pPr>
      <w:r>
        <w:rPr>
          <w:rFonts w:hint="eastAsia" w:ascii="宋体" w:hAnsi="宋体"/>
          <w:b/>
          <w:sz w:val="24"/>
        </w:rPr>
        <w:t>1.标准学生电脑机房布线采购技术要求</w:t>
      </w:r>
    </w:p>
    <w:p>
      <w:pPr>
        <w:ind w:firstLine="482" w:firstLineChars="200"/>
        <w:rPr>
          <w:rFonts w:ascii="宋体" w:hAnsi="宋体"/>
          <w:b/>
          <w:sz w:val="24"/>
        </w:rPr>
      </w:pPr>
      <w:r>
        <w:rPr>
          <w:rFonts w:hint="eastAsia" w:ascii="宋体" w:hAnsi="宋体"/>
          <w:b/>
          <w:sz w:val="24"/>
        </w:rPr>
        <w:t>机房布线整体质保期三年</w:t>
      </w:r>
    </w:p>
    <w:p>
      <w:pPr>
        <w:ind w:firstLine="480" w:firstLineChars="200"/>
        <w:rPr>
          <w:sz w:val="24"/>
        </w:rPr>
      </w:pPr>
      <w:r>
        <w:rPr>
          <w:rFonts w:hint="eastAsia"/>
          <w:sz w:val="24"/>
        </w:rPr>
        <w:t>特别说明：</w:t>
      </w:r>
    </w:p>
    <w:p>
      <w:pPr>
        <w:ind w:firstLine="480" w:firstLineChars="200"/>
        <w:rPr>
          <w:sz w:val="24"/>
        </w:rPr>
      </w:pPr>
      <w:r>
        <w:rPr>
          <w:rFonts w:hint="eastAsia" w:ascii="宋体" w:hAnsi="宋体" w:cs="Times New Roman"/>
          <w:sz w:val="24"/>
        </w:rPr>
        <w:t>(1)</w:t>
      </w:r>
      <w:r>
        <w:rPr>
          <w:rFonts w:hint="eastAsia"/>
          <w:sz w:val="24"/>
        </w:rPr>
        <w:t>线缆端子应用塑胶</w:t>
      </w:r>
      <w:r>
        <w:rPr>
          <w:sz w:val="24"/>
        </w:rPr>
        <w:t>接头</w:t>
      </w:r>
      <w:r>
        <w:rPr>
          <w:rFonts w:hint="eastAsia"/>
          <w:sz w:val="24"/>
        </w:rPr>
        <w:t>形式；</w:t>
      </w:r>
    </w:p>
    <w:p>
      <w:pPr>
        <w:ind w:firstLine="480" w:firstLineChars="200"/>
        <w:rPr>
          <w:rFonts w:ascii="新宋体" w:hAnsi="新宋体" w:eastAsia="新宋体"/>
          <w:sz w:val="24"/>
        </w:rPr>
      </w:pPr>
      <w:r>
        <w:rPr>
          <w:rFonts w:hint="eastAsia" w:ascii="宋体" w:hAnsi="宋体"/>
          <w:sz w:val="24"/>
        </w:rPr>
        <w:t>(2)标识牌: 根据用户制定永久标识牌1块，固定在讲台指定位置。要求有中标单位名称、保修时间、报修联系电话等信息；</w:t>
      </w:r>
    </w:p>
    <w:p>
      <w:pPr>
        <w:widowControl/>
        <w:spacing w:line="360" w:lineRule="auto"/>
        <w:ind w:firstLine="480" w:firstLineChars="200"/>
        <w:jc w:val="left"/>
        <w:rPr>
          <w:rFonts w:ascii="宋体" w:hAnsi="宋体"/>
          <w:sz w:val="24"/>
          <w:u w:val="single"/>
          <w:shd w:val="pct10" w:color="auto" w:fill="FFFFFF"/>
        </w:rPr>
      </w:pPr>
      <w:r>
        <w:rPr>
          <w:rFonts w:hint="eastAsia" w:ascii="宋体" w:hAnsi="宋体"/>
          <w:sz w:val="24"/>
        </w:rPr>
        <w:t>(3)本招标文件提供单个标准机房所用器材和材料，如有遗漏，由投标人自行考虑，在投标报价时综合考虑，成交实施后不得增加任何费用。</w:t>
      </w:r>
    </w:p>
    <w:p>
      <w:pPr>
        <w:pStyle w:val="5"/>
        <w:adjustRightInd w:val="0"/>
        <w:spacing w:line="276" w:lineRule="auto"/>
        <w:ind w:left="438" w:leftChars="88" w:hanging="253" w:hangingChars="105"/>
        <w:rPr>
          <w:rFonts w:ascii="宋体" w:hAnsi="宋体" w:eastAsia="宋体" w:cs="宋体"/>
          <w:bCs w:val="0"/>
          <w:kern w:val="0"/>
          <w:sz w:val="24"/>
          <w:szCs w:val="24"/>
        </w:rPr>
      </w:pPr>
      <w:r>
        <w:rPr>
          <w:rFonts w:hint="eastAsia" w:ascii="宋体" w:hAnsi="宋体" w:eastAsia="宋体" w:cs="宋体"/>
          <w:bCs w:val="0"/>
          <w:kern w:val="0"/>
          <w:sz w:val="24"/>
          <w:szCs w:val="24"/>
        </w:rPr>
        <w:t>（三）安装要求</w:t>
      </w:r>
    </w:p>
    <w:p>
      <w:pPr>
        <w:pStyle w:val="6"/>
        <w:tabs>
          <w:tab w:val="left" w:pos="709"/>
          <w:tab w:val="clear" w:pos="900"/>
        </w:tabs>
        <w:spacing w:line="276" w:lineRule="auto"/>
        <w:ind w:left="0" w:firstLine="482" w:firstLineChars="200"/>
        <w:rPr>
          <w:rFonts w:ascii="宋体" w:hAnsi="宋体" w:cs="宋体"/>
          <w:sz w:val="24"/>
          <w:szCs w:val="24"/>
        </w:rPr>
      </w:pPr>
      <w:r>
        <w:rPr>
          <w:rFonts w:hint="eastAsia" w:ascii="宋体" w:hAnsi="宋体"/>
          <w:sz w:val="24"/>
          <w:szCs w:val="24"/>
        </w:rPr>
        <w:t>1.计算机教室（机房）布局要求</w:t>
      </w:r>
    </w:p>
    <w:p>
      <w:pPr>
        <w:ind w:firstLine="480" w:firstLineChars="200"/>
        <w:rPr>
          <w:rFonts w:ascii="宋体" w:hAnsi="宋体"/>
          <w:sz w:val="24"/>
        </w:rPr>
      </w:pPr>
      <w:r>
        <w:rPr>
          <w:rFonts w:hint="eastAsia" w:ascii="宋体" w:hAnsi="宋体"/>
          <w:sz w:val="24"/>
        </w:rPr>
        <w:t>机房电脑的布局方式按照学校要求采用直列式或横排式等摆放方式（如下图教室计算机系统电脑的布局方式常用的摆放模式：电脑桌的直列式、横排式摆放方式图1-1和图1-2、图1-3、图1-3。）</w:t>
      </w:r>
    </w:p>
    <w:p>
      <w:pPr>
        <w:ind w:firstLine="360" w:firstLineChars="150"/>
        <w:rPr>
          <w:rFonts w:ascii="宋体" w:hAnsi="宋体"/>
          <w:sz w:val="24"/>
        </w:rPr>
      </w:pPr>
      <w:r>
        <w:rPr>
          <w:rFonts w:ascii="宋体" w:hAnsi="宋体"/>
          <w:sz w:val="24"/>
        </w:rPr>
        <w:drawing>
          <wp:inline distT="0" distB="0" distL="114300" distR="114300">
            <wp:extent cx="4953000" cy="1412875"/>
            <wp:effectExtent l="0" t="0" r="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6"/>
                    <a:stretch>
                      <a:fillRect/>
                    </a:stretch>
                  </pic:blipFill>
                  <pic:spPr>
                    <a:xfrm>
                      <a:off x="0" y="0"/>
                      <a:ext cx="4953000" cy="1412875"/>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图1-1横排式摆放方式</w:t>
      </w:r>
    </w:p>
    <w:p>
      <w:pPr>
        <w:rPr>
          <w:rFonts w:ascii="宋体" w:hAnsi="宋体"/>
          <w:sz w:val="24"/>
        </w:rPr>
      </w:pPr>
      <w:r>
        <w:rPr>
          <w:rFonts w:ascii="宋体" w:hAnsi="宋体"/>
          <w:sz w:val="24"/>
        </w:rPr>
        <w:drawing>
          <wp:inline distT="0" distB="0" distL="114300" distR="114300">
            <wp:extent cx="4502150" cy="1678940"/>
            <wp:effectExtent l="0" t="0" r="12700" b="165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7"/>
                    <a:stretch>
                      <a:fillRect/>
                    </a:stretch>
                  </pic:blipFill>
                  <pic:spPr>
                    <a:xfrm>
                      <a:off x="0" y="0"/>
                      <a:ext cx="4502150" cy="1678940"/>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图1-2横排式摆放方式</w:t>
      </w:r>
    </w:p>
    <w:p>
      <w:pPr>
        <w:spacing w:line="360" w:lineRule="auto"/>
        <w:ind w:firstLine="472" w:firstLineChars="196"/>
        <w:rPr>
          <w:rFonts w:ascii="宋体" w:hAnsi="宋体"/>
          <w:b/>
          <w:sz w:val="24"/>
        </w:rPr>
      </w:pPr>
    </w:p>
    <w:p>
      <w:pPr>
        <w:rPr>
          <w:rFonts w:ascii="宋体" w:hAnsi="宋体"/>
          <w:sz w:val="24"/>
        </w:rPr>
      </w:pPr>
      <w:r>
        <w:rPr>
          <w:rFonts w:ascii="宋体" w:hAnsi="宋体"/>
          <w:sz w:val="24"/>
        </w:rPr>
        <w:drawing>
          <wp:inline distT="0" distB="0" distL="114300" distR="114300">
            <wp:extent cx="5175250" cy="1666875"/>
            <wp:effectExtent l="0" t="0" r="6350" b="952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8"/>
                    <a:srcRect l="1791" r="1492" b="1173"/>
                    <a:stretch>
                      <a:fillRect/>
                    </a:stretch>
                  </pic:blipFill>
                  <pic:spPr>
                    <a:xfrm>
                      <a:off x="0" y="0"/>
                      <a:ext cx="5175250" cy="1666875"/>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图1-3直列式摆放方式</w:t>
      </w:r>
    </w:p>
    <w:p>
      <w:pPr>
        <w:rPr>
          <w:rFonts w:ascii="宋体" w:hAnsi="宋体"/>
          <w:sz w:val="24"/>
        </w:rPr>
      </w:pPr>
      <w:r>
        <w:rPr>
          <w:rFonts w:ascii="宋体" w:hAnsi="宋体"/>
          <w:sz w:val="24"/>
        </w:rPr>
        <w:drawing>
          <wp:inline distT="0" distB="0" distL="114300" distR="114300">
            <wp:extent cx="5295900" cy="1620520"/>
            <wp:effectExtent l="0" t="0" r="0"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9"/>
                    <a:srcRect l="3659" t="2541"/>
                    <a:stretch>
                      <a:fillRect/>
                    </a:stretch>
                  </pic:blipFill>
                  <pic:spPr>
                    <a:xfrm>
                      <a:off x="0" y="0"/>
                      <a:ext cx="5295900" cy="1620520"/>
                    </a:xfrm>
                    <a:prstGeom prst="rect">
                      <a:avLst/>
                    </a:prstGeom>
                    <a:noFill/>
                    <a:ln>
                      <a:noFill/>
                    </a:ln>
                  </pic:spPr>
                </pic:pic>
              </a:graphicData>
            </a:graphic>
          </wp:inline>
        </w:drawing>
      </w:r>
    </w:p>
    <w:p>
      <w:pPr>
        <w:spacing w:line="360" w:lineRule="auto"/>
        <w:ind w:firstLine="470" w:firstLineChars="196"/>
        <w:jc w:val="center"/>
        <w:rPr>
          <w:rFonts w:ascii="宋体" w:hAnsi="宋体"/>
          <w:b/>
          <w:sz w:val="24"/>
        </w:rPr>
      </w:pPr>
      <w:r>
        <w:rPr>
          <w:rFonts w:hint="eastAsia" w:ascii="宋体" w:hAnsi="宋体"/>
          <w:sz w:val="24"/>
        </w:rPr>
        <w:t>图1-4直列式摆放方式</w:t>
      </w:r>
    </w:p>
    <w:p>
      <w:pPr>
        <w:spacing w:line="276" w:lineRule="auto"/>
        <w:ind w:firstLine="482" w:firstLineChars="200"/>
        <w:rPr>
          <w:rFonts w:ascii="宋体" w:hAnsi="宋体"/>
          <w:b/>
          <w:sz w:val="24"/>
        </w:rPr>
      </w:pPr>
      <w:r>
        <w:rPr>
          <w:rFonts w:hint="eastAsia" w:ascii="宋体" w:hAnsi="宋体"/>
          <w:b/>
          <w:sz w:val="24"/>
        </w:rPr>
        <w:t>注：根据教室实际面积大小摆放学生桌子</w:t>
      </w:r>
    </w:p>
    <w:p>
      <w:pPr>
        <w:spacing w:line="276" w:lineRule="auto"/>
        <w:ind w:firstLine="482" w:firstLineChars="200"/>
        <w:rPr>
          <w:rFonts w:ascii="宋体" w:hAnsi="宋体"/>
          <w:b/>
          <w:sz w:val="24"/>
        </w:rPr>
      </w:pPr>
    </w:p>
    <w:p>
      <w:pPr>
        <w:pStyle w:val="6"/>
        <w:tabs>
          <w:tab w:val="left" w:pos="709"/>
          <w:tab w:val="clear" w:pos="900"/>
        </w:tabs>
        <w:spacing w:line="276" w:lineRule="auto"/>
        <w:ind w:left="0" w:firstLine="482" w:firstLineChars="200"/>
        <w:rPr>
          <w:rFonts w:ascii="宋体" w:hAnsi="宋体"/>
          <w:sz w:val="24"/>
          <w:szCs w:val="24"/>
        </w:rPr>
      </w:pPr>
      <w:r>
        <w:rPr>
          <w:rFonts w:hint="eastAsia" w:ascii="宋体" w:hAnsi="宋体"/>
          <w:sz w:val="24"/>
          <w:szCs w:val="24"/>
        </w:rPr>
        <w:t>2.计算机命名、编号要求</w:t>
      </w:r>
    </w:p>
    <w:p>
      <w:pPr>
        <w:spacing w:line="276" w:lineRule="auto"/>
        <w:ind w:firstLine="480" w:firstLineChars="200"/>
        <w:rPr>
          <w:rFonts w:ascii="宋体" w:hAnsi="宋体"/>
          <w:sz w:val="24"/>
        </w:rPr>
      </w:pPr>
      <w:r>
        <w:rPr>
          <w:rFonts w:hint="eastAsia" w:ascii="宋体" w:hAnsi="宋体"/>
          <w:sz w:val="24"/>
        </w:rPr>
        <w:t>电脑桌按下图摆放，学生机的计算机名按下图命名，并在电脑桌上贴上名称的不干胶标签。网线两端永久性机打标签按下图编号。</w:t>
      </w:r>
    </w:p>
    <w:p>
      <w:pPr>
        <w:spacing w:line="276" w:lineRule="auto"/>
        <w:ind w:firstLine="482" w:firstLineChars="200"/>
        <w:rPr>
          <w:rFonts w:ascii="宋体" w:hAnsi="宋体"/>
          <w:b/>
          <w:sz w:val="24"/>
        </w:rPr>
      </w:pPr>
      <w:r>
        <w:rPr>
          <w:rFonts w:hint="eastAsia" w:ascii="宋体" w:hAnsi="宋体"/>
          <w:b/>
          <w:sz w:val="24"/>
        </w:rPr>
        <w:t>（1）六人桌摆放方式</w:t>
      </w:r>
    </w:p>
    <w:p>
      <w:pPr>
        <w:spacing w:line="276" w:lineRule="auto"/>
        <w:ind w:firstLine="480" w:firstLineChars="200"/>
        <w:rPr>
          <w:rFonts w:ascii="宋体" w:hAnsi="宋体"/>
          <w:sz w:val="24"/>
        </w:rPr>
      </w:pPr>
      <w:r>
        <w:rPr>
          <w:rFonts w:ascii="宋体" w:hAnsi="宋体"/>
          <w:sz w:val="24"/>
        </w:rPr>
        <w:drawing>
          <wp:inline distT="0" distB="0" distL="114300" distR="114300">
            <wp:extent cx="5562600" cy="1306195"/>
            <wp:effectExtent l="0" t="0" r="0" b="825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40"/>
                    <a:stretch>
                      <a:fillRect/>
                    </a:stretch>
                  </pic:blipFill>
                  <pic:spPr>
                    <a:xfrm>
                      <a:off x="0" y="0"/>
                      <a:ext cx="5562600" cy="1306195"/>
                    </a:xfrm>
                    <a:prstGeom prst="rect">
                      <a:avLst/>
                    </a:prstGeom>
                    <a:noFill/>
                    <a:ln>
                      <a:noFill/>
                    </a:ln>
                  </pic:spPr>
                </pic:pic>
              </a:graphicData>
            </a:graphic>
          </wp:inline>
        </w:drawing>
      </w:r>
    </w:p>
    <w:p>
      <w:pPr>
        <w:spacing w:line="276" w:lineRule="auto"/>
        <w:ind w:firstLine="480" w:firstLineChars="200"/>
        <w:rPr>
          <w:rFonts w:ascii="宋体" w:hAnsi="宋体"/>
          <w:sz w:val="24"/>
        </w:rPr>
      </w:pPr>
    </w:p>
    <w:p>
      <w:pPr>
        <w:spacing w:line="276" w:lineRule="auto"/>
        <w:ind w:firstLine="482" w:firstLineChars="200"/>
        <w:rPr>
          <w:rFonts w:ascii="宋体" w:hAnsi="宋体"/>
          <w:b/>
          <w:sz w:val="24"/>
        </w:rPr>
      </w:pPr>
      <w:r>
        <w:rPr>
          <w:rFonts w:hint="eastAsia" w:ascii="宋体" w:hAnsi="宋体"/>
          <w:b/>
          <w:sz w:val="24"/>
        </w:rPr>
        <w:t>（2）两人桌摆放方式</w:t>
      </w:r>
    </w:p>
    <w:p>
      <w:pPr>
        <w:spacing w:line="276" w:lineRule="auto"/>
        <w:ind w:firstLine="480" w:firstLineChars="200"/>
        <w:rPr>
          <w:rFonts w:ascii="宋体" w:hAnsi="宋体"/>
          <w:sz w:val="24"/>
        </w:rPr>
      </w:pPr>
      <w:r>
        <w:rPr>
          <w:rFonts w:ascii="宋体" w:hAnsi="宋体"/>
          <w:sz w:val="24"/>
        </w:rPr>
        <w:drawing>
          <wp:inline distT="0" distB="0" distL="114300" distR="114300">
            <wp:extent cx="5009515" cy="1257300"/>
            <wp:effectExtent l="0" t="0" r="635"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41"/>
                    <a:stretch>
                      <a:fillRect/>
                    </a:stretch>
                  </pic:blipFill>
                  <pic:spPr>
                    <a:xfrm>
                      <a:off x="0" y="0"/>
                      <a:ext cx="5009515" cy="1257300"/>
                    </a:xfrm>
                    <a:prstGeom prst="rect">
                      <a:avLst/>
                    </a:prstGeom>
                    <a:noFill/>
                    <a:ln>
                      <a:noFill/>
                    </a:ln>
                  </pic:spPr>
                </pic:pic>
              </a:graphicData>
            </a:graphic>
          </wp:inline>
        </w:drawing>
      </w:r>
    </w:p>
    <w:p>
      <w:pPr>
        <w:spacing w:line="276" w:lineRule="auto"/>
        <w:ind w:firstLine="480" w:firstLineChars="200"/>
        <w:rPr>
          <w:rFonts w:ascii="宋体" w:hAnsi="宋体"/>
          <w:sz w:val="24"/>
        </w:rPr>
      </w:pPr>
    </w:p>
    <w:p>
      <w:pPr>
        <w:pStyle w:val="6"/>
        <w:tabs>
          <w:tab w:val="left" w:pos="709"/>
          <w:tab w:val="clear" w:pos="900"/>
        </w:tabs>
        <w:spacing w:line="276" w:lineRule="auto"/>
        <w:ind w:left="0" w:firstLine="482" w:firstLineChars="200"/>
        <w:rPr>
          <w:rFonts w:ascii="宋体" w:hAnsi="宋体"/>
          <w:sz w:val="24"/>
          <w:szCs w:val="24"/>
        </w:rPr>
      </w:pPr>
      <w:r>
        <w:rPr>
          <w:rFonts w:ascii="宋体" w:hAnsi="宋体"/>
          <w:sz w:val="24"/>
          <w:szCs w:val="24"/>
        </w:rPr>
        <w:t>3</w:t>
      </w:r>
      <w:r>
        <w:rPr>
          <w:rFonts w:hint="eastAsia" w:ascii="宋体" w:hAnsi="宋体"/>
          <w:sz w:val="24"/>
          <w:szCs w:val="24"/>
        </w:rPr>
        <w:t>.线路敷设要求</w:t>
      </w:r>
    </w:p>
    <w:p>
      <w:pPr>
        <w:ind w:firstLine="240" w:firstLineChars="100"/>
        <w:rPr>
          <w:rFonts w:ascii="宋体" w:hAnsi="宋体"/>
          <w:bCs/>
          <w:sz w:val="24"/>
        </w:rPr>
      </w:pPr>
      <w:r>
        <w:rPr>
          <w:rFonts w:hint="eastAsia" w:ascii="宋体" w:hAnsi="宋体"/>
          <w:bCs/>
          <w:sz w:val="24"/>
        </w:rPr>
        <w:t>（</w:t>
      </w:r>
      <w:r>
        <w:rPr>
          <w:rFonts w:ascii="宋体" w:hAnsi="宋体"/>
          <w:bCs/>
          <w:sz w:val="24"/>
        </w:rPr>
        <w:t>1</w:t>
      </w:r>
      <w:r>
        <w:rPr>
          <w:rFonts w:hint="eastAsia" w:ascii="宋体" w:hAnsi="宋体"/>
          <w:bCs/>
          <w:sz w:val="24"/>
        </w:rPr>
        <w:t>）教室计算机系统电力线和信号敷设与接线点设置位置模式，见图</w:t>
      </w:r>
      <w:r>
        <w:rPr>
          <w:rFonts w:ascii="宋体" w:hAnsi="宋体"/>
          <w:bCs/>
          <w:sz w:val="24"/>
        </w:rPr>
        <w:t>2-1</w:t>
      </w:r>
      <w:r>
        <w:rPr>
          <w:rFonts w:hint="eastAsia" w:ascii="宋体" w:hAnsi="宋体"/>
          <w:bCs/>
          <w:sz w:val="24"/>
        </w:rPr>
        <w:t>、图</w:t>
      </w:r>
      <w:r>
        <w:rPr>
          <w:rFonts w:ascii="宋体" w:hAnsi="宋体"/>
          <w:bCs/>
          <w:sz w:val="24"/>
        </w:rPr>
        <w:t>2-2</w:t>
      </w:r>
      <w:r>
        <w:rPr>
          <w:rFonts w:hint="eastAsia" w:ascii="宋体" w:hAnsi="宋体"/>
          <w:bCs/>
          <w:sz w:val="24"/>
        </w:rPr>
        <w:t>、图</w:t>
      </w:r>
      <w:r>
        <w:rPr>
          <w:rFonts w:ascii="宋体" w:hAnsi="宋体"/>
          <w:bCs/>
          <w:sz w:val="24"/>
        </w:rPr>
        <w:t>2</w:t>
      </w:r>
      <w:r>
        <w:rPr>
          <w:rFonts w:hint="eastAsia" w:ascii="宋体" w:hAnsi="宋体"/>
          <w:bCs/>
          <w:sz w:val="24"/>
        </w:rPr>
        <w:t>—</w:t>
      </w:r>
      <w:r>
        <w:rPr>
          <w:rFonts w:ascii="宋体" w:hAnsi="宋体"/>
          <w:bCs/>
          <w:sz w:val="24"/>
        </w:rPr>
        <w:t>3</w:t>
      </w:r>
      <w:r>
        <w:rPr>
          <w:rFonts w:hint="eastAsia" w:ascii="宋体" w:hAnsi="宋体"/>
          <w:bCs/>
          <w:sz w:val="24"/>
        </w:rPr>
        <w:t>、图</w:t>
      </w:r>
      <w:r>
        <w:rPr>
          <w:rFonts w:ascii="宋体" w:hAnsi="宋体"/>
          <w:bCs/>
          <w:sz w:val="24"/>
        </w:rPr>
        <w:t>2</w:t>
      </w:r>
      <w:r>
        <w:rPr>
          <w:rFonts w:hint="eastAsia" w:ascii="宋体" w:hAnsi="宋体"/>
          <w:bCs/>
          <w:sz w:val="24"/>
        </w:rPr>
        <w:t>—</w:t>
      </w:r>
      <w:r>
        <w:rPr>
          <w:rFonts w:ascii="宋体" w:hAnsi="宋体"/>
          <w:bCs/>
          <w:sz w:val="24"/>
        </w:rPr>
        <w:t>4</w:t>
      </w:r>
      <w:r>
        <w:rPr>
          <w:rFonts w:hint="eastAsia" w:ascii="宋体" w:hAnsi="宋体"/>
          <w:bCs/>
          <w:sz w:val="24"/>
        </w:rPr>
        <w:t>。</w:t>
      </w:r>
    </w:p>
    <w:p>
      <w:pPr>
        <w:jc w:val="center"/>
        <w:rPr>
          <w:rFonts w:ascii="宋体" w:hAnsi="宋体"/>
          <w:sz w:val="24"/>
        </w:rPr>
      </w:pPr>
      <w:r>
        <w:rPr>
          <w:rFonts w:ascii="宋体" w:hAnsi="宋体"/>
          <w:sz w:val="24"/>
        </w:rPr>
        <w:drawing>
          <wp:inline distT="0" distB="0" distL="114300" distR="114300">
            <wp:extent cx="5295900" cy="2007870"/>
            <wp:effectExtent l="0" t="0" r="0" b="1143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42"/>
                    <a:srcRect t="1418" b="3404"/>
                    <a:stretch>
                      <a:fillRect/>
                    </a:stretch>
                  </pic:blipFill>
                  <pic:spPr>
                    <a:xfrm>
                      <a:off x="0" y="0"/>
                      <a:ext cx="5295900" cy="2007870"/>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图2-1横排式摆放方式机房系统电力线和信号线缆敷设示意图</w:t>
      </w:r>
    </w:p>
    <w:p>
      <w:pPr>
        <w:jc w:val="center"/>
        <w:rPr>
          <w:rFonts w:ascii="宋体" w:hAnsi="宋体"/>
          <w:sz w:val="24"/>
        </w:rPr>
      </w:pPr>
      <w:r>
        <w:rPr>
          <w:rFonts w:ascii="宋体" w:hAnsi="宋体"/>
          <w:sz w:val="24"/>
        </w:rPr>
        <w:drawing>
          <wp:inline distT="0" distB="0" distL="114300" distR="114300">
            <wp:extent cx="5124450" cy="2085340"/>
            <wp:effectExtent l="0" t="0" r="0" b="1016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3"/>
                    <a:srcRect t="250"/>
                    <a:stretch>
                      <a:fillRect/>
                    </a:stretch>
                  </pic:blipFill>
                  <pic:spPr>
                    <a:xfrm>
                      <a:off x="0" y="0"/>
                      <a:ext cx="5124450" cy="2085340"/>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图2-2  横排式摆放方式机房系统电力线和信号线缆敷设示意图</w:t>
      </w:r>
    </w:p>
    <w:p>
      <w:pPr>
        <w:spacing w:line="360" w:lineRule="auto"/>
        <w:ind w:firstLine="960" w:firstLineChars="400"/>
        <w:jc w:val="left"/>
        <w:rPr>
          <w:rFonts w:ascii="宋体" w:hAnsi="宋体"/>
          <w:sz w:val="24"/>
        </w:rPr>
      </w:pPr>
      <w:r>
        <w:rPr>
          <w:rFonts w:ascii="宋体" w:hAnsi="宋体"/>
          <w:sz w:val="24"/>
        </w:rPr>
        <w:drawing>
          <wp:inline distT="0" distB="0" distL="114300" distR="114300">
            <wp:extent cx="4800600" cy="1461135"/>
            <wp:effectExtent l="0" t="0" r="0" b="571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44"/>
                    <a:stretch>
                      <a:fillRect/>
                    </a:stretch>
                  </pic:blipFill>
                  <pic:spPr>
                    <a:xfrm>
                      <a:off x="0" y="0"/>
                      <a:ext cx="4800600" cy="1461135"/>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图2—3  直列式摆放方式机房系统电力线和信号线缆敷设示意图</w:t>
      </w:r>
    </w:p>
    <w:p>
      <w:pPr>
        <w:ind w:firstLine="720" w:firstLineChars="300"/>
        <w:rPr>
          <w:rFonts w:ascii="宋体" w:hAnsi="宋体"/>
          <w:sz w:val="24"/>
        </w:rPr>
      </w:pPr>
      <w:r>
        <w:rPr>
          <w:rFonts w:ascii="宋体" w:hAnsi="宋体"/>
          <w:sz w:val="24"/>
        </w:rPr>
        <w:drawing>
          <wp:inline distT="0" distB="0" distL="114300" distR="114300">
            <wp:extent cx="4629150" cy="1490980"/>
            <wp:effectExtent l="0" t="0" r="0" b="1397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45"/>
                    <a:stretch>
                      <a:fillRect/>
                    </a:stretch>
                  </pic:blipFill>
                  <pic:spPr>
                    <a:xfrm>
                      <a:off x="0" y="0"/>
                      <a:ext cx="4629150" cy="1490980"/>
                    </a:xfrm>
                    <a:prstGeom prst="rect">
                      <a:avLst/>
                    </a:prstGeom>
                    <a:noFill/>
                    <a:ln>
                      <a:noFill/>
                    </a:ln>
                  </pic:spPr>
                </pic:pic>
              </a:graphicData>
            </a:graphic>
          </wp:inline>
        </w:drawing>
      </w:r>
    </w:p>
    <w:p>
      <w:pPr>
        <w:spacing w:line="276" w:lineRule="auto"/>
        <w:ind w:firstLine="480" w:firstLineChars="200"/>
        <w:jc w:val="center"/>
        <w:rPr>
          <w:rFonts w:ascii="宋体" w:hAnsi="宋体"/>
          <w:sz w:val="24"/>
        </w:rPr>
      </w:pPr>
      <w:r>
        <w:rPr>
          <w:rFonts w:hint="eastAsia" w:ascii="宋体" w:hAnsi="宋体"/>
          <w:sz w:val="24"/>
        </w:rPr>
        <w:t>图2-4   直列式摆放方式机房系统电力线和信号线缆敷设示意图</w:t>
      </w:r>
    </w:p>
    <w:p>
      <w:pPr>
        <w:spacing w:line="276" w:lineRule="auto"/>
        <w:ind w:firstLine="482" w:firstLineChars="200"/>
        <w:rPr>
          <w:rFonts w:ascii="宋体" w:hAnsi="宋体"/>
          <w:b/>
          <w:sz w:val="24"/>
        </w:rPr>
      </w:pPr>
      <w:r>
        <w:rPr>
          <w:rFonts w:hint="eastAsia" w:ascii="宋体" w:hAnsi="宋体"/>
          <w:b/>
          <w:sz w:val="24"/>
        </w:rPr>
        <w:t>（2）地面和墙面排布</w:t>
      </w:r>
    </w:p>
    <w:p>
      <w:pPr>
        <w:spacing w:line="276" w:lineRule="auto"/>
        <w:ind w:firstLine="480" w:firstLineChars="200"/>
        <w:rPr>
          <w:rFonts w:ascii="宋体" w:hAnsi="宋体"/>
          <w:sz w:val="24"/>
        </w:rPr>
      </w:pPr>
      <w:r>
        <w:rPr>
          <w:rFonts w:hint="eastAsia" w:ascii="宋体" w:hAnsi="宋体"/>
          <w:sz w:val="24"/>
        </w:rPr>
        <w:t>强、弱电缆线结构排布要求：应按数量多少进行直列式列、横排式分布，强电线布线以紧靠墙体或地面布线,减少线路外露，外露部分加装金属槽（</w:t>
      </w:r>
      <w:r>
        <w:rPr>
          <w:rFonts w:hint="eastAsia" w:ascii="宋体" w:hAnsi="宋体" w:cs="宋体"/>
          <w:kern w:val="0"/>
          <w:sz w:val="24"/>
        </w:rPr>
        <w:t>管）</w:t>
      </w:r>
      <w:r>
        <w:rPr>
          <w:rFonts w:hint="eastAsia" w:ascii="宋体" w:hAnsi="宋体"/>
          <w:sz w:val="24"/>
        </w:rPr>
        <w:t>。</w:t>
      </w:r>
    </w:p>
    <w:p>
      <w:pPr>
        <w:spacing w:line="276" w:lineRule="auto"/>
        <w:ind w:firstLine="480" w:firstLineChars="200"/>
        <w:rPr>
          <w:rFonts w:ascii="宋体" w:hAnsi="宋体" w:cs="宋体"/>
          <w:kern w:val="0"/>
          <w:sz w:val="24"/>
        </w:rPr>
      </w:pPr>
      <w:r>
        <w:rPr>
          <w:rFonts w:hint="eastAsia" w:ascii="宋体" w:hAnsi="宋体" w:cs="宋体"/>
          <w:kern w:val="0"/>
          <w:sz w:val="24"/>
        </w:rPr>
        <w:t>强电安装需完成从教室配电箱以后的所有布线和设备安装工作。</w:t>
      </w:r>
    </w:p>
    <w:p>
      <w:pPr>
        <w:spacing w:line="276" w:lineRule="auto"/>
        <w:ind w:firstLine="480" w:firstLineChars="200"/>
        <w:rPr>
          <w:rFonts w:ascii="宋体" w:hAnsi="宋体"/>
          <w:sz w:val="24"/>
        </w:rPr>
      </w:pPr>
      <w:r>
        <w:rPr>
          <w:rFonts w:hint="eastAsia" w:ascii="宋体" w:hAnsi="宋体" w:cs="宋体"/>
          <w:kern w:val="0"/>
          <w:sz w:val="24"/>
        </w:rPr>
        <w:t>结构化布线系统（综合布放）原则：所有线槽（管）综合布放应符合GB50311-2007中第6.5条、第7.0.2条的规定。</w:t>
      </w:r>
    </w:p>
    <w:p>
      <w:pPr>
        <w:spacing w:line="276" w:lineRule="auto"/>
        <w:ind w:firstLine="482" w:firstLineChars="200"/>
        <w:rPr>
          <w:rFonts w:ascii="宋体" w:hAnsi="宋体"/>
          <w:b/>
          <w:sz w:val="24"/>
        </w:rPr>
      </w:pPr>
      <w:r>
        <w:rPr>
          <w:rFonts w:hint="eastAsia" w:ascii="宋体" w:hAnsi="宋体"/>
          <w:b/>
          <w:sz w:val="24"/>
        </w:rPr>
        <w:t>（3）学生电脑房工程施工要求</w:t>
      </w:r>
    </w:p>
    <w:p>
      <w:pPr>
        <w:spacing w:line="276" w:lineRule="auto"/>
        <w:ind w:firstLine="480" w:firstLineChars="200"/>
        <w:rPr>
          <w:rFonts w:ascii="宋体" w:hAnsi="宋体" w:cs="宋体"/>
          <w:kern w:val="0"/>
          <w:sz w:val="24"/>
        </w:rPr>
      </w:pPr>
      <w:r>
        <w:rPr>
          <w:rFonts w:hint="eastAsia" w:ascii="宋体" w:hAnsi="宋体" w:cs="宋体"/>
          <w:kern w:val="0"/>
          <w:sz w:val="24"/>
        </w:rPr>
        <w:t>（</w:t>
      </w:r>
      <w:r>
        <w:rPr>
          <w:rFonts w:ascii="宋体" w:hAnsi="宋体" w:cs="宋体"/>
          <w:kern w:val="0"/>
          <w:sz w:val="24"/>
        </w:rPr>
        <w:t>A</w:t>
      </w:r>
      <w:r>
        <w:rPr>
          <w:rFonts w:hint="eastAsia" w:ascii="宋体" w:hAnsi="宋体" w:cs="宋体"/>
          <w:kern w:val="0"/>
          <w:sz w:val="24"/>
        </w:rPr>
        <w:t>）强、弱电分离布线，距离</w:t>
      </w:r>
      <w:r>
        <w:rPr>
          <w:rFonts w:ascii="宋体" w:hAnsi="宋体" w:cs="宋体"/>
          <w:kern w:val="0"/>
          <w:sz w:val="24"/>
        </w:rPr>
        <w:t>≥3</w:t>
      </w:r>
      <w:r>
        <w:rPr>
          <w:rFonts w:hint="eastAsia" w:ascii="宋体" w:hAnsi="宋体" w:cs="宋体"/>
          <w:kern w:val="0"/>
          <w:sz w:val="24"/>
        </w:rPr>
        <w:t>0厘米</w:t>
      </w:r>
      <w:r>
        <w:rPr>
          <w:rFonts w:hint="eastAsia" w:ascii="宋体" w:hAnsi="宋体"/>
          <w:sz w:val="24"/>
        </w:rPr>
        <w:t>。</w:t>
      </w:r>
    </w:p>
    <w:p>
      <w:pPr>
        <w:spacing w:line="276" w:lineRule="auto"/>
        <w:ind w:firstLine="480" w:firstLineChars="200"/>
        <w:rPr>
          <w:rFonts w:ascii="宋体" w:hAnsi="宋体" w:cs="宋体"/>
          <w:kern w:val="0"/>
          <w:sz w:val="24"/>
        </w:rPr>
      </w:pPr>
      <w:r>
        <w:rPr>
          <w:rFonts w:hint="eastAsia" w:ascii="宋体" w:hAnsi="宋体"/>
          <w:sz w:val="24"/>
        </w:rPr>
        <w:t>（</w:t>
      </w:r>
      <w:r>
        <w:rPr>
          <w:rFonts w:ascii="宋体" w:hAnsi="宋体"/>
          <w:sz w:val="24"/>
        </w:rPr>
        <w:t>B</w:t>
      </w:r>
      <w:r>
        <w:rPr>
          <w:rFonts w:hint="eastAsia" w:ascii="宋体" w:hAnsi="宋体"/>
          <w:sz w:val="24"/>
        </w:rPr>
        <w:t>）</w:t>
      </w:r>
      <w:r>
        <w:rPr>
          <w:rFonts w:ascii="宋体" w:hAnsi="宋体"/>
          <w:sz w:val="24"/>
        </w:rPr>
        <w:t>槽</w:t>
      </w:r>
      <w:r>
        <w:rPr>
          <w:rFonts w:hint="eastAsia" w:ascii="宋体" w:hAnsi="宋体"/>
          <w:sz w:val="24"/>
        </w:rPr>
        <w:t>板结构</w:t>
      </w:r>
      <w:r>
        <w:rPr>
          <w:rFonts w:ascii="宋体" w:hAnsi="宋体"/>
          <w:sz w:val="24"/>
        </w:rPr>
        <w:t>：由槽底、槽盖及附件组成，线槽内外应光滑</w:t>
      </w:r>
      <w:r>
        <w:rPr>
          <w:rFonts w:ascii="宋体" w:hAnsi="宋体" w:cs="宋体"/>
          <w:kern w:val="0"/>
          <w:sz w:val="24"/>
        </w:rPr>
        <w:t>无棱刺</w:t>
      </w:r>
      <w:r>
        <w:rPr>
          <w:rFonts w:hint="eastAsia" w:ascii="宋体" w:hAnsi="宋体" w:cs="宋体"/>
          <w:kern w:val="0"/>
          <w:sz w:val="24"/>
        </w:rPr>
        <w:t>、</w:t>
      </w:r>
      <w:r>
        <w:rPr>
          <w:rFonts w:ascii="宋体" w:hAnsi="宋体" w:cs="宋体"/>
          <w:kern w:val="0"/>
          <w:sz w:val="24"/>
        </w:rPr>
        <w:t>扭曲、翘边等现象。</w:t>
      </w:r>
    </w:p>
    <w:p>
      <w:pPr>
        <w:autoSpaceDE w:val="0"/>
        <w:autoSpaceDN w:val="0"/>
        <w:spacing w:line="276" w:lineRule="auto"/>
        <w:ind w:firstLine="480" w:firstLineChars="200"/>
        <w:jc w:val="left"/>
        <w:rPr>
          <w:rFonts w:ascii="宋体" w:hAnsi="宋体"/>
          <w:sz w:val="24"/>
          <w:u w:val="single"/>
        </w:rPr>
      </w:pPr>
      <w:r>
        <w:rPr>
          <w:rFonts w:hint="eastAsia" w:ascii="宋体" w:hAnsi="宋体" w:cs="宋体"/>
          <w:kern w:val="0"/>
          <w:sz w:val="24"/>
        </w:rPr>
        <w:t>（</w:t>
      </w:r>
      <w:r>
        <w:rPr>
          <w:rFonts w:ascii="宋体" w:hAnsi="宋体" w:cs="宋体"/>
          <w:kern w:val="0"/>
          <w:sz w:val="24"/>
        </w:rPr>
        <w:t>C</w:t>
      </w:r>
      <w:r>
        <w:rPr>
          <w:rFonts w:hint="eastAsia" w:ascii="宋体" w:hAnsi="宋体" w:cs="宋体"/>
          <w:kern w:val="0"/>
          <w:sz w:val="24"/>
        </w:rPr>
        <w:t>）</w:t>
      </w:r>
      <w:r>
        <w:rPr>
          <w:rFonts w:ascii="宋体" w:hAnsi="宋体" w:cs="宋体"/>
          <w:kern w:val="0"/>
          <w:sz w:val="24"/>
        </w:rPr>
        <w:t>线槽安装</w:t>
      </w:r>
      <w:r>
        <w:rPr>
          <w:rFonts w:hint="eastAsia" w:ascii="宋体" w:hAnsi="宋体" w:cs="宋体"/>
          <w:kern w:val="0"/>
          <w:sz w:val="24"/>
        </w:rPr>
        <w:t>：敷设走线</w:t>
      </w:r>
      <w:r>
        <w:rPr>
          <w:rFonts w:ascii="宋体" w:hAnsi="宋体" w:cs="宋体"/>
          <w:kern w:val="0"/>
          <w:sz w:val="24"/>
        </w:rPr>
        <w:t>横平竖直</w:t>
      </w:r>
      <w:r>
        <w:rPr>
          <w:rFonts w:hint="eastAsia" w:ascii="宋体" w:hAnsi="宋体" w:cs="宋体"/>
          <w:kern w:val="0"/>
          <w:sz w:val="24"/>
        </w:rPr>
        <w:t>,连接位偏差不得超过2mm，两</w:t>
      </w:r>
      <w:r>
        <w:rPr>
          <w:rFonts w:ascii="宋体" w:hAnsi="宋体" w:cs="宋体"/>
          <w:kern w:val="0"/>
          <w:sz w:val="24"/>
        </w:rPr>
        <w:t>线槽</w:t>
      </w:r>
      <w:r>
        <w:rPr>
          <w:rFonts w:hint="eastAsia" w:ascii="宋体" w:hAnsi="宋体" w:cs="宋体"/>
          <w:kern w:val="0"/>
          <w:sz w:val="24"/>
        </w:rPr>
        <w:t>连接</w:t>
      </w:r>
      <w:r>
        <w:rPr>
          <w:rFonts w:hint="eastAsia" w:ascii="宋体" w:hAnsi="宋体"/>
          <w:sz w:val="24"/>
        </w:rPr>
        <w:t>必须使用接口配件。</w:t>
      </w:r>
      <w:r>
        <w:rPr>
          <w:rFonts w:hint="eastAsia" w:ascii="宋体" w:hAnsi="宋体" w:cs="宋体"/>
          <w:kern w:val="0"/>
          <w:sz w:val="24"/>
        </w:rPr>
        <w:t>槽体</w:t>
      </w:r>
      <w:r>
        <w:rPr>
          <w:rFonts w:ascii="宋体" w:hAnsi="宋体" w:cs="宋体"/>
          <w:kern w:val="0"/>
          <w:sz w:val="24"/>
        </w:rPr>
        <w:t>沿</w:t>
      </w:r>
      <w:r>
        <w:rPr>
          <w:rFonts w:hint="eastAsia" w:ascii="宋体" w:hAnsi="宋体" w:cs="宋体"/>
          <w:kern w:val="0"/>
          <w:sz w:val="24"/>
        </w:rPr>
        <w:t>经过</w:t>
      </w:r>
      <w:r>
        <w:rPr>
          <w:rFonts w:ascii="宋体" w:hAnsi="宋体" w:cs="宋体"/>
          <w:kern w:val="0"/>
          <w:sz w:val="24"/>
        </w:rPr>
        <w:t>建筑物表面进行</w:t>
      </w:r>
      <w:r>
        <w:rPr>
          <w:rFonts w:hint="eastAsia" w:ascii="宋体" w:hAnsi="宋体" w:cs="宋体"/>
          <w:kern w:val="0"/>
          <w:sz w:val="24"/>
        </w:rPr>
        <w:t>固定，转弯与接缝处须有</w:t>
      </w:r>
      <w:r>
        <w:rPr>
          <w:rFonts w:ascii="宋体" w:hAnsi="宋体" w:cs="宋体"/>
          <w:kern w:val="0"/>
          <w:sz w:val="24"/>
        </w:rPr>
        <w:t>附件</w:t>
      </w:r>
      <w:r>
        <w:rPr>
          <w:rFonts w:hint="eastAsia" w:ascii="宋体" w:hAnsi="宋体" w:cs="宋体"/>
          <w:kern w:val="0"/>
          <w:sz w:val="24"/>
        </w:rPr>
        <w:t>固定点，直线</w:t>
      </w:r>
      <w:r>
        <w:rPr>
          <w:rFonts w:hint="eastAsia" w:ascii="宋体" w:hAnsi="宋体" w:cs="宋体"/>
          <w:kern w:val="0"/>
          <w:sz w:val="24"/>
          <w:u w:val="single"/>
        </w:rPr>
        <w:t>两固定点最大间距小于500</w:t>
      </w:r>
      <w:r>
        <w:rPr>
          <w:rFonts w:hint="eastAsia" w:ascii="宋体" w:hAnsi="宋体"/>
          <w:sz w:val="24"/>
          <w:u w:val="single"/>
        </w:rPr>
        <w:t>mm，固定采用膨胀螺丝或木楔子方式</w:t>
      </w:r>
      <w:r>
        <w:rPr>
          <w:rFonts w:hint="eastAsia" w:ascii="宋体" w:hAnsi="宋体"/>
          <w:sz w:val="24"/>
        </w:rPr>
        <w:t>；</w:t>
      </w:r>
      <w:r>
        <w:rPr>
          <w:rFonts w:hint="eastAsia" w:ascii="宋体" w:hAnsi="宋体" w:cs="宋体"/>
          <w:kern w:val="0"/>
          <w:sz w:val="24"/>
        </w:rPr>
        <w:t>槽体连接处应严密平整、无缝隙，槽内</w:t>
      </w:r>
      <w:r>
        <w:rPr>
          <w:rFonts w:ascii="宋体" w:hAnsi="宋体" w:cs="宋体"/>
          <w:kern w:val="0"/>
          <w:sz w:val="24"/>
        </w:rPr>
        <w:t>导线无裸露现象</w:t>
      </w:r>
      <w:r>
        <w:rPr>
          <w:rFonts w:hint="eastAsia" w:ascii="宋体" w:hAnsi="宋体" w:cs="宋体"/>
          <w:kern w:val="0"/>
          <w:sz w:val="24"/>
        </w:rPr>
        <w:t>；线槽</w:t>
      </w:r>
      <w:r>
        <w:rPr>
          <w:rFonts w:hint="eastAsia" w:ascii="宋体" w:hAnsi="宋体"/>
          <w:sz w:val="24"/>
        </w:rPr>
        <w:t>能承受200N</w:t>
      </w:r>
      <w:r>
        <w:rPr>
          <w:rStyle w:val="963"/>
          <w:rFonts w:hint="eastAsia" w:ascii="宋体" w:hAnsi="宋体"/>
          <w:sz w:val="24"/>
        </w:rPr>
        <w:t>的力</w:t>
      </w:r>
      <w:r>
        <w:rPr>
          <w:rFonts w:hint="eastAsia" w:ascii="宋体" w:hAnsi="宋体"/>
          <w:sz w:val="24"/>
        </w:rPr>
        <w:t>，</w:t>
      </w:r>
      <w:r>
        <w:rPr>
          <w:rFonts w:hint="eastAsia" w:ascii="宋体" w:hAnsi="宋体" w:cs="宋体"/>
          <w:kern w:val="0"/>
          <w:sz w:val="24"/>
        </w:rPr>
        <w:t>不应移动、松动、摇晃现象；</w:t>
      </w:r>
      <w:r>
        <w:rPr>
          <w:rFonts w:hint="eastAsia" w:ascii="宋体" w:hAnsi="宋体"/>
          <w:sz w:val="24"/>
          <w:u w:val="single"/>
        </w:rPr>
        <w:t>地面线槽还需做好防水密封处理</w:t>
      </w:r>
      <w:r>
        <w:rPr>
          <w:rFonts w:hint="eastAsia" w:ascii="宋体" w:hAnsi="宋体" w:cs="宋体"/>
          <w:kern w:val="0"/>
          <w:sz w:val="24"/>
        </w:rPr>
        <w:t>。明敷线槽节与节间用接头连接板拼凑固定，</w:t>
      </w:r>
      <w:r>
        <w:rPr>
          <w:rFonts w:hint="eastAsia" w:ascii="宋体" w:hAnsi="宋体" w:cs="宋体"/>
          <w:kern w:val="0"/>
          <w:sz w:val="24"/>
          <w:u w:val="single"/>
        </w:rPr>
        <w:t>两线槽拼接</w:t>
      </w:r>
      <w:r>
        <w:rPr>
          <w:rFonts w:hint="eastAsia" w:ascii="宋体" w:hAnsi="宋体" w:cs="宋体"/>
          <w:bCs/>
          <w:kern w:val="0"/>
          <w:sz w:val="24"/>
          <w:u w:val="single"/>
        </w:rPr>
        <w:t>缝隙不</w:t>
      </w:r>
      <w:r>
        <w:rPr>
          <w:rFonts w:hint="eastAsia" w:ascii="宋体" w:hAnsi="宋体" w:cs="宋体"/>
          <w:kern w:val="0"/>
          <w:sz w:val="24"/>
          <w:u w:val="single"/>
        </w:rPr>
        <w:t>得</w:t>
      </w:r>
      <w:r>
        <w:rPr>
          <w:rFonts w:hint="eastAsia" w:ascii="宋体" w:hAnsi="宋体" w:cs="宋体"/>
          <w:bCs/>
          <w:kern w:val="0"/>
          <w:sz w:val="24"/>
          <w:u w:val="single"/>
        </w:rPr>
        <w:t>大于0.3mm或所有</w:t>
      </w:r>
      <w:r>
        <w:rPr>
          <w:rFonts w:hint="eastAsia" w:ascii="宋体" w:hAnsi="宋体" w:cs="宋体"/>
          <w:kern w:val="0"/>
          <w:sz w:val="24"/>
          <w:u w:val="single"/>
        </w:rPr>
        <w:t>接头之间</w:t>
      </w:r>
      <w:r>
        <w:rPr>
          <w:rFonts w:hint="eastAsia" w:ascii="宋体" w:hAnsi="宋体"/>
          <w:sz w:val="24"/>
          <w:u w:val="single"/>
        </w:rPr>
        <w:t>可以允许</w:t>
      </w:r>
      <w:r>
        <w:rPr>
          <w:rFonts w:hint="eastAsia" w:ascii="宋体" w:hAnsi="宋体" w:cs="宋体"/>
          <w:kern w:val="0"/>
          <w:sz w:val="24"/>
          <w:u w:val="single"/>
        </w:rPr>
        <w:t>使用接头连接护套、</w:t>
      </w:r>
      <w:r>
        <w:rPr>
          <w:rFonts w:hint="eastAsia" w:ascii="宋体" w:hAnsi="宋体"/>
          <w:sz w:val="24"/>
          <w:u w:val="single"/>
        </w:rPr>
        <w:t>分支接头、转角及终端处应采用相应的附件。电线引出部分不得遭受损伤。</w:t>
      </w:r>
    </w:p>
    <w:p>
      <w:pPr>
        <w:autoSpaceDE w:val="0"/>
        <w:autoSpaceDN w:val="0"/>
        <w:spacing w:line="276" w:lineRule="auto"/>
        <w:ind w:firstLine="480" w:firstLineChars="200"/>
        <w:jc w:val="left"/>
        <w:rPr>
          <w:rFonts w:ascii="宋体" w:hAnsi="宋体" w:cs="宋体"/>
          <w:kern w:val="0"/>
          <w:sz w:val="24"/>
        </w:rPr>
      </w:pPr>
      <w:r>
        <w:rPr>
          <w:rFonts w:hint="eastAsia" w:ascii="宋体" w:hAnsi="宋体" w:cs="宋体"/>
          <w:kern w:val="0"/>
          <w:sz w:val="24"/>
        </w:rPr>
        <w:t>（</w:t>
      </w:r>
      <w:r>
        <w:rPr>
          <w:rFonts w:ascii="宋体" w:hAnsi="宋体" w:cs="宋体"/>
          <w:kern w:val="0"/>
          <w:sz w:val="24"/>
        </w:rPr>
        <w:t>D</w:t>
      </w:r>
      <w:r>
        <w:rPr>
          <w:rFonts w:hint="eastAsia" w:ascii="宋体" w:hAnsi="宋体" w:cs="宋体"/>
          <w:kern w:val="0"/>
          <w:sz w:val="24"/>
        </w:rPr>
        <w:t>）导线固定和连接：除接线板及设备连接处，连线中间要求无接头，导线绝缘保护良好。</w:t>
      </w:r>
    </w:p>
    <w:p>
      <w:pPr>
        <w:widowControl/>
        <w:spacing w:line="276" w:lineRule="auto"/>
        <w:ind w:firstLine="480" w:firstLineChars="200"/>
        <w:jc w:val="left"/>
        <w:rPr>
          <w:rFonts w:ascii="宋体" w:hAnsi="宋体"/>
          <w:sz w:val="24"/>
          <w:u w:val="single"/>
          <w:shd w:val="pct10" w:color="auto" w:fill="FFFFFF"/>
        </w:rPr>
      </w:pPr>
      <w:r>
        <w:rPr>
          <w:rFonts w:hint="eastAsia" w:ascii="宋体" w:hAnsi="宋体"/>
          <w:sz w:val="24"/>
        </w:rPr>
        <w:t>（</w:t>
      </w:r>
      <w:r>
        <w:rPr>
          <w:rFonts w:ascii="宋体" w:hAnsi="宋体"/>
          <w:sz w:val="24"/>
        </w:rPr>
        <w:t>E</w:t>
      </w:r>
      <w:r>
        <w:rPr>
          <w:rFonts w:hint="eastAsia" w:ascii="宋体" w:hAnsi="宋体"/>
          <w:sz w:val="24"/>
        </w:rPr>
        <w:t>）所</w:t>
      </w:r>
      <w:r>
        <w:rPr>
          <w:rFonts w:hint="eastAsia" w:ascii="宋体" w:hAnsi="宋体"/>
          <w:sz w:val="24"/>
          <w:u w:val="single"/>
        </w:rPr>
        <w:t>布线路上存在局部干扰源，且不能满足最小净距离要求时，宜用</w:t>
      </w:r>
      <w:r>
        <w:rPr>
          <w:rFonts w:hint="eastAsia" w:ascii="宋体" w:hAnsi="宋体" w:cs="宋体"/>
          <w:kern w:val="0"/>
          <w:sz w:val="24"/>
          <w:u w:val="single"/>
        </w:rPr>
        <w:t>金属线槽或</w:t>
      </w:r>
      <w:r>
        <w:rPr>
          <w:rFonts w:hint="eastAsia" w:ascii="宋体" w:hAnsi="宋体"/>
          <w:sz w:val="24"/>
          <w:u w:val="single"/>
        </w:rPr>
        <w:t>钢管。</w:t>
      </w:r>
    </w:p>
    <w:p>
      <w:pPr>
        <w:widowControl/>
        <w:spacing w:line="276" w:lineRule="auto"/>
        <w:ind w:firstLine="480" w:firstLineChars="200"/>
        <w:jc w:val="left"/>
        <w:rPr>
          <w:rFonts w:ascii="宋体" w:hAnsi="宋体"/>
          <w:sz w:val="24"/>
        </w:rPr>
      </w:pPr>
      <w:r>
        <w:rPr>
          <w:rFonts w:hint="eastAsia" w:ascii="宋体" w:hAnsi="宋体"/>
          <w:sz w:val="24"/>
        </w:rPr>
        <w:t>（</w:t>
      </w:r>
      <w:r>
        <w:rPr>
          <w:rFonts w:ascii="宋体" w:hAnsi="宋体"/>
          <w:sz w:val="24"/>
        </w:rPr>
        <w:t>F</w:t>
      </w:r>
      <w:r>
        <w:rPr>
          <w:rFonts w:hint="eastAsia" w:ascii="宋体" w:hAnsi="宋体"/>
          <w:sz w:val="24"/>
        </w:rPr>
        <w:t>）同一回路AC电缆线应穿入同一根管内。</w:t>
      </w:r>
    </w:p>
    <w:p>
      <w:pPr>
        <w:widowControl/>
        <w:spacing w:line="276" w:lineRule="auto"/>
        <w:ind w:firstLine="480" w:firstLineChars="200"/>
        <w:jc w:val="left"/>
        <w:rPr>
          <w:rFonts w:ascii="宋体" w:hAnsi="宋体"/>
          <w:sz w:val="24"/>
        </w:rPr>
      </w:pPr>
      <w:r>
        <w:rPr>
          <w:rFonts w:hint="eastAsia" w:ascii="宋体" w:hAnsi="宋体"/>
          <w:sz w:val="24"/>
        </w:rPr>
        <w:t>（</w:t>
      </w:r>
      <w:r>
        <w:rPr>
          <w:rFonts w:ascii="宋体" w:hAnsi="宋体"/>
          <w:sz w:val="24"/>
        </w:rPr>
        <w:t>G</w:t>
      </w:r>
      <w:r>
        <w:rPr>
          <w:rFonts w:hint="eastAsia" w:ascii="宋体" w:hAnsi="宋体"/>
          <w:sz w:val="24"/>
        </w:rPr>
        <w:t>）电源线与网线不得穿入同一根管内。</w:t>
      </w:r>
    </w:p>
    <w:p>
      <w:pPr>
        <w:spacing w:line="276" w:lineRule="auto"/>
        <w:ind w:firstLine="480" w:firstLineChars="200"/>
        <w:rPr>
          <w:rFonts w:ascii="宋体" w:hAnsi="宋体"/>
          <w:sz w:val="24"/>
        </w:rPr>
      </w:pPr>
      <w:r>
        <w:rPr>
          <w:rFonts w:hint="eastAsia" w:ascii="宋体" w:hAnsi="宋体"/>
          <w:sz w:val="24"/>
        </w:rPr>
        <w:t>（</w:t>
      </w:r>
      <w:r>
        <w:rPr>
          <w:rFonts w:ascii="宋体" w:hAnsi="宋体"/>
          <w:sz w:val="24"/>
        </w:rPr>
        <w:t>H</w:t>
      </w:r>
      <w:r>
        <w:rPr>
          <w:rFonts w:hint="eastAsia" w:ascii="宋体" w:hAnsi="宋体"/>
          <w:sz w:val="24"/>
        </w:rPr>
        <w:t>）穿入配</w:t>
      </w:r>
      <w:r>
        <w:rPr>
          <w:rFonts w:hint="eastAsia" w:ascii="宋体" w:hAnsi="宋体" w:cs="宋体"/>
          <w:kern w:val="0"/>
          <w:sz w:val="24"/>
        </w:rPr>
        <w:t>线槽（</w:t>
      </w:r>
      <w:r>
        <w:rPr>
          <w:rFonts w:hint="eastAsia" w:ascii="宋体" w:hAnsi="宋体"/>
          <w:sz w:val="24"/>
        </w:rPr>
        <w:t>管）导线的接头应设在接线盒内，接头搭接牢固，涮锡并用绝缘带包缠应均匀紧密。</w:t>
      </w:r>
    </w:p>
    <w:p>
      <w:pPr>
        <w:autoSpaceDE w:val="0"/>
        <w:autoSpaceDN w:val="0"/>
        <w:spacing w:line="276" w:lineRule="auto"/>
        <w:ind w:firstLine="480" w:firstLineChars="200"/>
        <w:jc w:val="left"/>
        <w:rPr>
          <w:rFonts w:ascii="宋体" w:hAnsi="宋体" w:cs="宋体"/>
          <w:kern w:val="0"/>
          <w:sz w:val="24"/>
        </w:rPr>
      </w:pPr>
      <w:r>
        <w:rPr>
          <w:rFonts w:hint="eastAsia" w:ascii="宋体" w:hAnsi="宋体" w:cs="宋体"/>
          <w:kern w:val="0"/>
          <w:sz w:val="24"/>
        </w:rPr>
        <w:t>（</w:t>
      </w:r>
      <w:r>
        <w:rPr>
          <w:rFonts w:ascii="宋体" w:hAnsi="宋体" w:cs="宋体"/>
          <w:kern w:val="0"/>
          <w:sz w:val="24"/>
        </w:rPr>
        <w:t>I</w:t>
      </w:r>
      <w:r>
        <w:rPr>
          <w:rFonts w:hint="eastAsia" w:ascii="宋体" w:hAnsi="宋体" w:cs="宋体"/>
          <w:kern w:val="0"/>
          <w:sz w:val="24"/>
        </w:rPr>
        <w:t>）保留主要所有设备附件中的原装电源线不得进行损坏。</w:t>
      </w:r>
    </w:p>
    <w:p>
      <w:pPr>
        <w:autoSpaceDE w:val="0"/>
        <w:autoSpaceDN w:val="0"/>
        <w:spacing w:line="276" w:lineRule="auto"/>
        <w:ind w:firstLine="480" w:firstLineChars="200"/>
        <w:jc w:val="left"/>
        <w:rPr>
          <w:rFonts w:ascii="宋体" w:hAnsi="宋体" w:cs="宋体"/>
          <w:kern w:val="0"/>
          <w:sz w:val="24"/>
        </w:rPr>
      </w:pPr>
      <w:r>
        <w:rPr>
          <w:rFonts w:hint="eastAsia" w:ascii="宋体" w:hAnsi="宋体" w:cs="宋体"/>
          <w:kern w:val="0"/>
          <w:sz w:val="24"/>
        </w:rPr>
        <w:t>（</w:t>
      </w:r>
      <w:r>
        <w:rPr>
          <w:rFonts w:ascii="宋体" w:hAnsi="宋体" w:cs="宋体"/>
          <w:kern w:val="0"/>
          <w:sz w:val="24"/>
        </w:rPr>
        <w:t>J</w:t>
      </w:r>
      <w:r>
        <w:rPr>
          <w:rFonts w:hint="eastAsia" w:ascii="宋体" w:hAnsi="宋体" w:cs="宋体"/>
          <w:kern w:val="0"/>
          <w:sz w:val="24"/>
        </w:rPr>
        <w:t>）所有插头和</w:t>
      </w:r>
      <w:r>
        <w:rPr>
          <w:rFonts w:hint="eastAsia" w:ascii="宋体" w:hAnsi="宋体"/>
          <w:sz w:val="24"/>
        </w:rPr>
        <w:t>三极</w:t>
      </w:r>
      <w:r>
        <w:rPr>
          <w:rFonts w:hint="eastAsia" w:ascii="宋体" w:hAnsi="宋体"/>
          <w:bCs/>
          <w:sz w:val="24"/>
        </w:rPr>
        <w:t>插座</w:t>
      </w:r>
      <w:r>
        <w:rPr>
          <w:rFonts w:hint="eastAsia" w:ascii="宋体" w:hAnsi="宋体"/>
          <w:sz w:val="24"/>
        </w:rPr>
        <w:t>软</w:t>
      </w:r>
      <w:r>
        <w:rPr>
          <w:rStyle w:val="70"/>
          <w:rFonts w:ascii="宋体" w:hAnsi="宋体" w:cs="Arial"/>
          <w:b w:val="0"/>
          <w:sz w:val="24"/>
        </w:rPr>
        <w:t>缆</w:t>
      </w:r>
      <w:r>
        <w:rPr>
          <w:rStyle w:val="70"/>
          <w:rFonts w:hint="eastAsia" w:ascii="宋体" w:hAnsi="宋体" w:cs="Arial"/>
          <w:b w:val="0"/>
          <w:sz w:val="24"/>
        </w:rPr>
        <w:t>及其</w:t>
      </w:r>
      <w:r>
        <w:rPr>
          <w:rFonts w:hint="eastAsia" w:ascii="宋体" w:hAnsi="宋体"/>
          <w:sz w:val="24"/>
        </w:rPr>
        <w:t>连接应符合GB2009.1中23的规定。</w:t>
      </w:r>
    </w:p>
    <w:p>
      <w:pPr>
        <w:widowControl/>
        <w:spacing w:line="276" w:lineRule="auto"/>
        <w:ind w:firstLine="480" w:firstLineChars="200"/>
        <w:jc w:val="left"/>
        <w:rPr>
          <w:rFonts w:ascii="宋体" w:hAnsi="宋体" w:cs="宋体"/>
          <w:kern w:val="0"/>
          <w:sz w:val="24"/>
        </w:rPr>
      </w:pPr>
      <w:r>
        <w:rPr>
          <w:rFonts w:hint="eastAsia" w:ascii="宋体" w:hAnsi="宋体" w:cs="宋体"/>
          <w:kern w:val="0"/>
          <w:sz w:val="24"/>
        </w:rPr>
        <w:t>（</w:t>
      </w:r>
      <w:r>
        <w:rPr>
          <w:rFonts w:ascii="宋体" w:hAnsi="宋体" w:cs="宋体"/>
          <w:kern w:val="0"/>
          <w:sz w:val="24"/>
        </w:rPr>
        <w:t>K</w:t>
      </w:r>
      <w:r>
        <w:rPr>
          <w:rFonts w:hint="eastAsia" w:ascii="宋体" w:hAnsi="宋体" w:cs="宋体"/>
          <w:kern w:val="0"/>
          <w:sz w:val="24"/>
        </w:rPr>
        <w:t>）所有AC插座必须采用</w:t>
      </w:r>
      <w:r>
        <w:rPr>
          <w:rFonts w:hint="eastAsia" w:ascii="宋体" w:hAnsi="宋体"/>
          <w:sz w:val="24"/>
        </w:rPr>
        <w:t>三极</w:t>
      </w:r>
      <w:r>
        <w:rPr>
          <w:rFonts w:hint="eastAsia" w:ascii="宋体" w:hAnsi="宋体"/>
          <w:bCs/>
          <w:sz w:val="24"/>
        </w:rPr>
        <w:t>插座，</w:t>
      </w:r>
      <w:r>
        <w:rPr>
          <w:rFonts w:hint="eastAsia" w:ascii="宋体" w:hAnsi="宋体" w:cs="宋体"/>
          <w:kern w:val="0"/>
          <w:sz w:val="24"/>
        </w:rPr>
        <w:t>接地线与教室系统接地线进行有效、可靠连接，其接地电阻不应大于0.05Ω。</w:t>
      </w:r>
    </w:p>
    <w:p>
      <w:pPr>
        <w:spacing w:line="276" w:lineRule="auto"/>
        <w:ind w:firstLine="482" w:firstLineChars="200"/>
        <w:rPr>
          <w:rFonts w:ascii="宋体" w:hAnsi="宋体"/>
          <w:b/>
          <w:sz w:val="24"/>
        </w:rPr>
      </w:pPr>
      <w:r>
        <w:rPr>
          <w:rFonts w:hint="eastAsia" w:ascii="宋体" w:hAnsi="宋体"/>
          <w:b/>
          <w:sz w:val="24"/>
        </w:rPr>
        <w:t>（4）网线布线的要求：</w:t>
      </w:r>
    </w:p>
    <w:p>
      <w:pPr>
        <w:spacing w:line="276" w:lineRule="auto"/>
        <w:ind w:firstLine="480" w:firstLineChars="200"/>
        <w:rPr>
          <w:rFonts w:ascii="宋体" w:hAnsi="宋体"/>
          <w:sz w:val="24"/>
        </w:rPr>
      </w:pPr>
      <w:r>
        <w:rPr>
          <w:rFonts w:hint="eastAsia" w:ascii="宋体" w:hAnsi="宋体"/>
          <w:sz w:val="24"/>
        </w:rPr>
        <w:t>（</w:t>
      </w:r>
      <w:r>
        <w:rPr>
          <w:rFonts w:ascii="宋体" w:hAnsi="宋体"/>
          <w:sz w:val="24"/>
        </w:rPr>
        <w:t>A</w:t>
      </w:r>
      <w:r>
        <w:rPr>
          <w:rFonts w:hint="eastAsia" w:ascii="宋体" w:hAnsi="宋体"/>
          <w:sz w:val="24"/>
        </w:rPr>
        <w:t>）网线位置应尽量远离配电柜等强电设备。</w:t>
      </w:r>
    </w:p>
    <w:p>
      <w:pPr>
        <w:spacing w:line="276" w:lineRule="auto"/>
        <w:ind w:firstLine="480" w:firstLineChars="200"/>
        <w:rPr>
          <w:rFonts w:ascii="宋体" w:hAnsi="宋体"/>
          <w:sz w:val="24"/>
        </w:rPr>
      </w:pPr>
      <w:r>
        <w:rPr>
          <w:rFonts w:hint="eastAsia" w:ascii="宋体" w:hAnsi="宋体"/>
          <w:sz w:val="24"/>
        </w:rPr>
        <w:t>（</w:t>
      </w:r>
      <w:r>
        <w:rPr>
          <w:rFonts w:ascii="宋体" w:hAnsi="宋体"/>
          <w:sz w:val="24"/>
        </w:rPr>
        <w:t>B</w:t>
      </w:r>
      <w:r>
        <w:rPr>
          <w:rFonts w:hint="eastAsia" w:ascii="宋体" w:hAnsi="宋体"/>
          <w:sz w:val="24"/>
        </w:rPr>
        <w:t>）网线走向应尽量避免于强电线路交叉布设。</w:t>
      </w:r>
    </w:p>
    <w:p>
      <w:pPr>
        <w:spacing w:line="276" w:lineRule="auto"/>
        <w:ind w:firstLine="480" w:firstLineChars="200"/>
        <w:rPr>
          <w:rFonts w:ascii="宋体" w:hAnsi="宋体"/>
          <w:sz w:val="24"/>
        </w:rPr>
      </w:pPr>
      <w:r>
        <w:rPr>
          <w:rFonts w:hint="eastAsia" w:ascii="宋体" w:hAnsi="宋体"/>
          <w:sz w:val="24"/>
        </w:rPr>
        <w:t>（</w:t>
      </w:r>
      <w:r>
        <w:rPr>
          <w:rFonts w:ascii="宋体" w:hAnsi="宋体"/>
          <w:sz w:val="24"/>
        </w:rPr>
        <w:t>C</w:t>
      </w:r>
      <w:r>
        <w:rPr>
          <w:rFonts w:hint="eastAsia" w:ascii="宋体" w:hAnsi="宋体"/>
          <w:sz w:val="24"/>
        </w:rPr>
        <w:t>）网线不宜有打结、绕圈、硬弯及损伤。</w:t>
      </w:r>
    </w:p>
    <w:p>
      <w:pPr>
        <w:tabs>
          <w:tab w:val="left" w:pos="1980"/>
        </w:tabs>
        <w:spacing w:line="276" w:lineRule="auto"/>
        <w:ind w:firstLine="480" w:firstLineChars="200"/>
        <w:rPr>
          <w:rFonts w:ascii="宋体" w:hAnsi="宋体"/>
          <w:sz w:val="24"/>
        </w:rPr>
      </w:pPr>
      <w:r>
        <w:rPr>
          <w:rFonts w:hint="eastAsia" w:ascii="宋体" w:hAnsi="宋体"/>
          <w:sz w:val="24"/>
        </w:rPr>
        <w:t>（</w:t>
      </w:r>
      <w:r>
        <w:rPr>
          <w:rFonts w:ascii="宋体" w:hAnsi="宋体"/>
          <w:sz w:val="24"/>
        </w:rPr>
        <w:t>D</w:t>
      </w:r>
      <w:r>
        <w:rPr>
          <w:rFonts w:hint="eastAsia" w:ascii="宋体" w:hAnsi="宋体"/>
          <w:sz w:val="24"/>
        </w:rPr>
        <w:t>）现场放线时不得用力拉拽，尽量防止人员踩踏和碾压网线。</w:t>
      </w:r>
    </w:p>
    <w:p>
      <w:pPr>
        <w:spacing w:line="276" w:lineRule="auto"/>
        <w:ind w:firstLine="480" w:firstLineChars="200"/>
        <w:jc w:val="left"/>
        <w:rPr>
          <w:rFonts w:ascii="宋体" w:hAnsi="宋体"/>
          <w:sz w:val="24"/>
        </w:rPr>
      </w:pPr>
      <w:r>
        <w:rPr>
          <w:rFonts w:hint="eastAsia" w:ascii="宋体" w:hAnsi="宋体"/>
          <w:sz w:val="24"/>
        </w:rPr>
        <w:t>（</w:t>
      </w:r>
      <w:r>
        <w:rPr>
          <w:rFonts w:ascii="宋体" w:hAnsi="宋体"/>
          <w:sz w:val="24"/>
        </w:rPr>
        <w:t>E</w:t>
      </w:r>
      <w:r>
        <w:rPr>
          <w:rFonts w:hint="eastAsia" w:ascii="宋体" w:hAnsi="宋体"/>
          <w:sz w:val="24"/>
        </w:rPr>
        <w:t>）RJ45水晶头应按照568B规格，水晶头8芯线的排列依次应该是白橙、橙、白绿、蓝、白蓝、绿、白棕、棕，网线两端应做好相应线标识（标识编号按机房布局设置）。</w:t>
      </w:r>
    </w:p>
    <w:p>
      <w:pPr>
        <w:spacing w:line="276" w:lineRule="auto"/>
        <w:ind w:firstLine="480" w:firstLineChars="200"/>
        <w:jc w:val="left"/>
        <w:rPr>
          <w:rFonts w:ascii="宋体" w:hAnsi="宋体"/>
          <w:sz w:val="24"/>
        </w:rPr>
      </w:pPr>
      <w:r>
        <w:rPr>
          <w:rFonts w:hint="eastAsia" w:ascii="宋体" w:hAnsi="宋体"/>
          <w:sz w:val="24"/>
        </w:rPr>
        <w:t>（F）</w:t>
      </w:r>
      <w:r>
        <w:rPr>
          <w:rFonts w:ascii="宋体" w:hAnsi="宋体"/>
          <w:sz w:val="24"/>
        </w:rPr>
        <w:t>线槽</w:t>
      </w:r>
      <w:r>
        <w:rPr>
          <w:rFonts w:hint="eastAsia" w:ascii="宋体" w:hAnsi="宋体"/>
          <w:sz w:val="24"/>
        </w:rPr>
        <w:t>（管）布线时，线缆在线槽内的占用空间不得超过线槽总空间的</w:t>
      </w:r>
      <w:r>
        <w:rPr>
          <w:rFonts w:ascii="宋体" w:hAnsi="宋体"/>
          <w:sz w:val="24"/>
        </w:rPr>
        <w:t>70%</w:t>
      </w:r>
      <w:r>
        <w:rPr>
          <w:rFonts w:hint="eastAsia" w:ascii="宋体" w:hAnsi="宋体"/>
          <w:sz w:val="24"/>
        </w:rPr>
        <w:t>（线槽≥20*60mm</w:t>
      </w:r>
      <w:r>
        <w:rPr>
          <w:rFonts w:ascii="宋体" w:hAnsi="宋体"/>
          <w:sz w:val="24"/>
        </w:rPr>
        <w:t>）</w:t>
      </w:r>
      <w:r>
        <w:rPr>
          <w:rFonts w:hint="eastAsia" w:ascii="宋体" w:hAnsi="宋体"/>
          <w:sz w:val="24"/>
        </w:rPr>
        <w:t>，线缆在线槽内不应有接头。</w:t>
      </w:r>
    </w:p>
    <w:p>
      <w:pPr>
        <w:spacing w:line="276" w:lineRule="auto"/>
        <w:ind w:firstLine="480" w:firstLineChars="200"/>
        <w:rPr>
          <w:rFonts w:ascii="宋体" w:hAnsi="宋体"/>
          <w:sz w:val="24"/>
        </w:rPr>
      </w:pPr>
      <w:r>
        <w:rPr>
          <w:rFonts w:hint="eastAsia" w:ascii="宋体" w:hAnsi="宋体"/>
          <w:sz w:val="24"/>
        </w:rPr>
        <w:t>附图1</w:t>
      </w:r>
    </w:p>
    <w:p>
      <w:pPr>
        <w:spacing w:line="276" w:lineRule="auto"/>
        <w:ind w:firstLine="480" w:firstLineChars="200"/>
        <w:rPr>
          <w:rFonts w:ascii="宋体" w:hAnsi="宋体"/>
          <w:sz w:val="24"/>
        </w:rPr>
      </w:pPr>
      <w:r>
        <w:rPr>
          <w:rFonts w:ascii="宋体" w:hAnsi="宋体"/>
          <w:sz w:val="24"/>
        </w:rPr>
        <w:drawing>
          <wp:inline distT="0" distB="0" distL="114300" distR="114300">
            <wp:extent cx="3962400" cy="1765935"/>
            <wp:effectExtent l="0" t="0" r="0" b="5715"/>
            <wp:docPr id="20" name="图片 15" descr="布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布线"/>
                    <pic:cNvPicPr>
                      <a:picLocks noChangeAspect="1"/>
                    </pic:cNvPicPr>
                  </pic:nvPicPr>
                  <pic:blipFill>
                    <a:blip r:embed="rId46"/>
                    <a:stretch>
                      <a:fillRect/>
                    </a:stretch>
                  </pic:blipFill>
                  <pic:spPr>
                    <a:xfrm>
                      <a:off x="0" y="0"/>
                      <a:ext cx="3962400" cy="1765935"/>
                    </a:xfrm>
                    <a:prstGeom prst="rect">
                      <a:avLst/>
                    </a:prstGeom>
                    <a:noFill/>
                    <a:ln>
                      <a:noFill/>
                    </a:ln>
                  </pic:spPr>
                </pic:pic>
              </a:graphicData>
            </a:graphic>
          </wp:inline>
        </w:drawing>
      </w:r>
    </w:p>
    <w:p>
      <w:pPr>
        <w:spacing w:line="276" w:lineRule="auto"/>
        <w:ind w:firstLine="480" w:firstLineChars="200"/>
        <w:rPr>
          <w:rFonts w:ascii="宋体" w:hAnsi="宋体"/>
          <w:sz w:val="24"/>
        </w:rPr>
      </w:pPr>
      <w:r>
        <w:rPr>
          <w:rFonts w:hint="eastAsia" w:ascii="宋体" w:hAnsi="宋体"/>
          <w:sz w:val="24"/>
        </w:rPr>
        <w:t>注：上图中电源线槽与网线槽相距30cm以上。电脑及显示器的电源线插头部分要求固定。</w:t>
      </w:r>
    </w:p>
    <w:p>
      <w:pPr>
        <w:pStyle w:val="6"/>
        <w:tabs>
          <w:tab w:val="left" w:pos="709"/>
          <w:tab w:val="clear" w:pos="900"/>
        </w:tabs>
        <w:spacing w:line="276" w:lineRule="auto"/>
        <w:ind w:left="0" w:firstLine="482" w:firstLineChars="200"/>
        <w:rPr>
          <w:rFonts w:ascii="宋体" w:hAnsi="宋体"/>
          <w:sz w:val="24"/>
          <w:szCs w:val="24"/>
        </w:rPr>
      </w:pPr>
      <w:r>
        <w:rPr>
          <w:rFonts w:ascii="宋体" w:hAnsi="宋体"/>
          <w:sz w:val="24"/>
          <w:szCs w:val="24"/>
        </w:rPr>
        <w:t>4</w:t>
      </w:r>
      <w:r>
        <w:rPr>
          <w:rFonts w:hint="eastAsia" w:ascii="宋体" w:hAnsi="宋体"/>
          <w:sz w:val="24"/>
          <w:szCs w:val="24"/>
        </w:rPr>
        <w:t>.系统设备安装要求</w:t>
      </w:r>
    </w:p>
    <w:p>
      <w:pPr>
        <w:spacing w:line="360" w:lineRule="auto"/>
        <w:ind w:firstLine="482" w:firstLineChars="200"/>
        <w:rPr>
          <w:rFonts w:ascii="宋体" w:hAnsi="宋体"/>
          <w:b/>
          <w:sz w:val="24"/>
        </w:rPr>
      </w:pPr>
      <w:r>
        <w:rPr>
          <w:rFonts w:hint="eastAsia" w:ascii="宋体" w:hAnsi="宋体"/>
          <w:b/>
          <w:sz w:val="24"/>
        </w:rPr>
        <w:t>(1)教师专用讲台和液晶显示器</w:t>
      </w:r>
    </w:p>
    <w:p>
      <w:pPr>
        <w:spacing w:line="276" w:lineRule="auto"/>
        <w:ind w:firstLine="480" w:firstLineChars="200"/>
        <w:rPr>
          <w:rFonts w:ascii="宋体" w:hAnsi="宋体" w:cs="宋体"/>
          <w:kern w:val="0"/>
          <w:sz w:val="24"/>
        </w:rPr>
      </w:pPr>
      <w:r>
        <w:rPr>
          <w:rFonts w:hint="eastAsia" w:ascii="宋体" w:hAnsi="宋体" w:cs="宋体"/>
          <w:kern w:val="0"/>
          <w:sz w:val="24"/>
        </w:rPr>
        <w:t>讲台整体固定在教室地面上，能承受任何一面1000N</w:t>
      </w:r>
      <w:r>
        <w:rPr>
          <w:rStyle w:val="963"/>
          <w:rFonts w:hint="eastAsia" w:ascii="宋体" w:hAnsi="宋体"/>
          <w:sz w:val="24"/>
        </w:rPr>
        <w:t>的力</w:t>
      </w:r>
      <w:r>
        <w:rPr>
          <w:rFonts w:hint="eastAsia" w:ascii="宋体" w:hAnsi="宋体" w:cs="宋体"/>
          <w:kern w:val="0"/>
          <w:sz w:val="24"/>
        </w:rPr>
        <w:t>，不应有移动、松动、摇晃和整体形变等现象。</w:t>
      </w:r>
    </w:p>
    <w:p>
      <w:pPr>
        <w:spacing w:line="360" w:lineRule="auto"/>
        <w:ind w:firstLine="482" w:firstLineChars="200"/>
        <w:rPr>
          <w:rFonts w:ascii="宋体" w:hAnsi="宋体"/>
          <w:b/>
          <w:sz w:val="24"/>
        </w:rPr>
      </w:pPr>
      <w:r>
        <w:rPr>
          <w:rFonts w:hint="eastAsia" w:ascii="宋体" w:hAnsi="宋体"/>
          <w:b/>
          <w:sz w:val="24"/>
        </w:rPr>
        <w:t>(2)学生计算机/液晶显示器、桌子</w:t>
      </w:r>
    </w:p>
    <w:p>
      <w:pPr>
        <w:spacing w:line="276" w:lineRule="auto"/>
        <w:ind w:firstLine="480" w:firstLineChars="200"/>
        <w:rPr>
          <w:rFonts w:ascii="宋体" w:hAnsi="宋体"/>
          <w:sz w:val="24"/>
        </w:rPr>
      </w:pPr>
      <w:r>
        <w:rPr>
          <w:rFonts w:hint="eastAsia" w:ascii="宋体" w:hAnsi="宋体"/>
          <w:sz w:val="24"/>
        </w:rPr>
        <w:t>（A）</w:t>
      </w:r>
      <w:r>
        <w:rPr>
          <w:rFonts w:hint="eastAsia" w:ascii="宋体" w:hAnsi="宋体" w:cs="宋体"/>
          <w:kern w:val="0"/>
          <w:sz w:val="24"/>
        </w:rPr>
        <w:t>液晶</w:t>
      </w:r>
      <w:r>
        <w:rPr>
          <w:rFonts w:hint="eastAsia" w:ascii="宋体" w:hAnsi="宋体"/>
          <w:sz w:val="24"/>
        </w:rPr>
        <w:t>显示器放置在桌面上，</w:t>
      </w:r>
      <w:r>
        <w:rPr>
          <w:rFonts w:hint="eastAsia" w:ascii="宋体" w:hAnsi="宋体"/>
          <w:b/>
          <w:sz w:val="24"/>
        </w:rPr>
        <w:t>必须加以固定</w:t>
      </w:r>
      <w:r>
        <w:rPr>
          <w:rFonts w:hint="eastAsia" w:ascii="宋体" w:hAnsi="宋体"/>
          <w:sz w:val="24"/>
        </w:rPr>
        <w:t>，并应符合防松动或移动现象的设计要求；</w:t>
      </w:r>
    </w:p>
    <w:p>
      <w:pPr>
        <w:spacing w:line="276" w:lineRule="auto"/>
        <w:ind w:firstLine="480" w:firstLineChars="200"/>
        <w:rPr>
          <w:rFonts w:ascii="宋体" w:hAnsi="宋体"/>
          <w:sz w:val="24"/>
        </w:rPr>
      </w:pPr>
      <w:r>
        <w:rPr>
          <w:rFonts w:hint="eastAsia" w:ascii="宋体" w:hAnsi="宋体"/>
          <w:sz w:val="24"/>
        </w:rPr>
        <w:t>（B）学生计算机主机应放置在桌子里的规定位置；</w:t>
      </w:r>
    </w:p>
    <w:p>
      <w:pPr>
        <w:spacing w:line="276" w:lineRule="auto"/>
        <w:ind w:firstLine="480" w:firstLineChars="200"/>
        <w:rPr>
          <w:rFonts w:ascii="宋体" w:hAnsi="宋体"/>
          <w:sz w:val="24"/>
        </w:rPr>
      </w:pPr>
      <w:r>
        <w:rPr>
          <w:rFonts w:hint="eastAsia" w:ascii="宋体" w:hAnsi="宋体"/>
          <w:sz w:val="24"/>
        </w:rPr>
        <w:t>（C）计算机主机接线应顺直、固定，但是一定要适当预留维修余量；</w:t>
      </w:r>
    </w:p>
    <w:p>
      <w:pPr>
        <w:spacing w:line="276" w:lineRule="auto"/>
        <w:ind w:firstLine="480" w:firstLineChars="200"/>
        <w:rPr>
          <w:rFonts w:ascii="宋体" w:hAnsi="宋体" w:cs="宋体"/>
          <w:kern w:val="0"/>
          <w:sz w:val="24"/>
        </w:rPr>
      </w:pPr>
      <w:r>
        <w:rPr>
          <w:rFonts w:hint="eastAsia" w:ascii="宋体" w:hAnsi="宋体"/>
          <w:sz w:val="24"/>
        </w:rPr>
        <w:t>（D）缆线应</w:t>
      </w:r>
      <w:r>
        <w:rPr>
          <w:rFonts w:hint="eastAsia" w:ascii="宋体" w:hAnsi="宋体" w:cs="宋体"/>
          <w:kern w:val="0"/>
          <w:sz w:val="24"/>
        </w:rPr>
        <w:t>布放应自然平直，不得产生扭绞、打圈、接头等现象，不应受外力的挤压和损伤，</w:t>
      </w:r>
      <w:r>
        <w:rPr>
          <w:rFonts w:hint="eastAsia" w:ascii="宋体" w:hAnsi="宋体"/>
          <w:sz w:val="24"/>
        </w:rPr>
        <w:t>缆线</w:t>
      </w:r>
      <w:r>
        <w:rPr>
          <w:rFonts w:hint="eastAsia" w:ascii="宋体" w:hAnsi="宋体" w:cs="宋体"/>
          <w:kern w:val="0"/>
          <w:sz w:val="24"/>
        </w:rPr>
        <w:t>应固定、</w:t>
      </w:r>
      <w:r>
        <w:rPr>
          <w:rFonts w:hint="eastAsia" w:ascii="宋体" w:hAnsi="宋体"/>
          <w:sz w:val="24"/>
        </w:rPr>
        <w:t>捆扎牢固（键盘和鼠标线均不捆扎）。</w:t>
      </w:r>
    </w:p>
    <w:p>
      <w:pPr>
        <w:spacing w:line="360" w:lineRule="auto"/>
        <w:ind w:firstLine="482" w:firstLineChars="200"/>
        <w:rPr>
          <w:rFonts w:ascii="宋体" w:hAnsi="宋体"/>
          <w:b/>
          <w:sz w:val="24"/>
        </w:rPr>
      </w:pPr>
      <w:r>
        <w:rPr>
          <w:rFonts w:hint="eastAsia" w:ascii="宋体" w:hAnsi="宋体"/>
          <w:b/>
          <w:sz w:val="24"/>
        </w:rPr>
        <w:t>(3)网络机柜、交换机</w:t>
      </w:r>
    </w:p>
    <w:p>
      <w:pPr>
        <w:spacing w:line="276" w:lineRule="auto"/>
        <w:ind w:firstLine="480" w:firstLineChars="200"/>
        <w:rPr>
          <w:rFonts w:ascii="宋体" w:hAnsi="宋体"/>
          <w:sz w:val="24"/>
        </w:rPr>
      </w:pPr>
      <w:r>
        <w:rPr>
          <w:rFonts w:hint="eastAsia" w:ascii="宋体" w:hAnsi="宋体"/>
          <w:sz w:val="24"/>
        </w:rPr>
        <w:t>（A）网络</w:t>
      </w:r>
      <w:r>
        <w:rPr>
          <w:rFonts w:hint="eastAsia" w:ascii="宋体" w:hAnsi="宋体" w:cs="Tahoma"/>
          <w:kern w:val="0"/>
          <w:sz w:val="24"/>
        </w:rPr>
        <w:t>机柜按学校要求结合实际情况放置，</w:t>
      </w:r>
      <w:r>
        <w:rPr>
          <w:rFonts w:hint="eastAsia" w:ascii="宋体" w:hAnsi="宋体"/>
          <w:sz w:val="24"/>
        </w:rPr>
        <w:t>网络</w:t>
      </w:r>
      <w:r>
        <w:rPr>
          <w:rFonts w:hint="eastAsia" w:ascii="宋体" w:hAnsi="宋体" w:cs="Tahoma"/>
          <w:kern w:val="0"/>
          <w:sz w:val="24"/>
        </w:rPr>
        <w:t>机柜墙距（或不用面）应符合GB50174中第2.3.4条的规定</w:t>
      </w:r>
      <w:r>
        <w:rPr>
          <w:rFonts w:hint="eastAsia" w:ascii="宋体" w:hAnsi="宋体"/>
          <w:sz w:val="24"/>
        </w:rPr>
        <w:t>，</w:t>
      </w:r>
      <w:r>
        <w:rPr>
          <w:rFonts w:hint="eastAsia" w:ascii="宋体" w:hAnsi="宋体" w:cs="Tahoma"/>
          <w:kern w:val="0"/>
          <w:sz w:val="24"/>
        </w:rPr>
        <w:t>不应小于500mm，当需要维修测试时，则距墙不应小于1200mm。</w:t>
      </w:r>
    </w:p>
    <w:p>
      <w:pPr>
        <w:spacing w:line="276" w:lineRule="auto"/>
        <w:ind w:firstLine="480" w:firstLineChars="200"/>
        <w:rPr>
          <w:rFonts w:ascii="宋体" w:hAnsi="宋体" w:cs="Tahoma"/>
          <w:kern w:val="0"/>
          <w:sz w:val="24"/>
          <w:shd w:val="pct10" w:color="auto" w:fill="FFFFFF"/>
        </w:rPr>
      </w:pPr>
      <w:r>
        <w:rPr>
          <w:rFonts w:hint="eastAsia" w:ascii="宋体" w:hAnsi="宋体"/>
          <w:sz w:val="24"/>
        </w:rPr>
        <w:t>（B）交换机固定位置在网络机柜底部，离机柜底框400mm的高度，网络交换机侧面与机柜之间距离不应小于50mm，两网络交换机之间距离不应小于50mm(示意图如下)。</w:t>
      </w:r>
    </w:p>
    <w:p>
      <w:pPr>
        <w:spacing w:line="276" w:lineRule="auto"/>
        <w:ind w:firstLine="480" w:firstLineChars="200"/>
        <w:rPr>
          <w:rFonts w:ascii="宋体" w:hAnsi="宋体"/>
          <w:sz w:val="24"/>
        </w:rPr>
      </w:pPr>
      <w:r>
        <w:rPr>
          <w:rFonts w:hint="eastAsia" w:ascii="宋体" w:hAnsi="宋体" w:cs="TimesNewRomanPSMT"/>
          <w:kern w:val="0"/>
          <w:sz w:val="24"/>
        </w:rPr>
        <w:t>（C）</w:t>
      </w:r>
      <w:r>
        <w:rPr>
          <w:rFonts w:hint="eastAsia" w:ascii="宋体" w:hAnsi="宋体"/>
          <w:sz w:val="24"/>
        </w:rPr>
        <w:t>将这些设备安放好，连接网线、电源线，冗长线（多余线</w:t>
      </w:r>
      <w:r>
        <w:rPr>
          <w:rFonts w:hint="eastAsia" w:ascii="宋体" w:hAnsi="宋体" w:cs="宋体"/>
          <w:bCs/>
          <w:kern w:val="0"/>
          <w:sz w:val="24"/>
        </w:rPr>
        <w:t>缆</w:t>
      </w:r>
      <w:r>
        <w:rPr>
          <w:rFonts w:hint="eastAsia" w:ascii="宋体" w:hAnsi="宋体"/>
          <w:sz w:val="24"/>
        </w:rPr>
        <w:t>）的线缆应盘收和捆扎、固定。捆扎带均采用</w:t>
      </w:r>
      <w:r>
        <w:rPr>
          <w:rFonts w:hint="eastAsia" w:ascii="宋体" w:hAnsi="宋体"/>
          <w:bCs/>
          <w:sz w:val="24"/>
        </w:rPr>
        <w:t>用尼龙绑扎带</w:t>
      </w:r>
      <w:r>
        <w:rPr>
          <w:rFonts w:hint="eastAsia" w:ascii="宋体" w:hAnsi="宋体"/>
          <w:sz w:val="24"/>
        </w:rPr>
        <w:t>，不得使用含有导电</w:t>
      </w:r>
      <w:r>
        <w:rPr>
          <w:rFonts w:hint="eastAsia" w:ascii="宋体" w:hAnsi="宋体"/>
          <w:bCs/>
          <w:sz w:val="24"/>
        </w:rPr>
        <w:t>扎带或</w:t>
      </w:r>
      <w:r>
        <w:rPr>
          <w:rFonts w:hint="eastAsia" w:ascii="宋体" w:hAnsi="宋体"/>
          <w:sz w:val="24"/>
        </w:rPr>
        <w:t>金属</w:t>
      </w:r>
      <w:r>
        <w:rPr>
          <w:rFonts w:hint="eastAsia" w:ascii="宋体" w:hAnsi="宋体"/>
          <w:bCs/>
          <w:sz w:val="24"/>
        </w:rPr>
        <w:t>绑扎带</w:t>
      </w:r>
      <w:r>
        <w:rPr>
          <w:rFonts w:hint="eastAsia" w:ascii="宋体" w:hAnsi="宋体"/>
          <w:sz w:val="24"/>
        </w:rPr>
        <w:t>。电缆线</w:t>
      </w:r>
      <w:r>
        <w:rPr>
          <w:rFonts w:hint="eastAsia" w:ascii="宋体" w:hAnsi="宋体" w:cs="宋体"/>
          <w:bCs/>
          <w:kern w:val="0"/>
          <w:sz w:val="24"/>
        </w:rPr>
        <w:t>应整齐、顺直、整齐，不得有挤压、扭结和线缆导体裸露等现象，</w:t>
      </w:r>
      <w:r>
        <w:rPr>
          <w:rFonts w:hint="eastAsia" w:ascii="宋体" w:hAnsi="宋体"/>
          <w:sz w:val="24"/>
        </w:rPr>
        <w:t>应根据实际情况，适当增大捆扎密度。</w:t>
      </w:r>
    </w:p>
    <w:p>
      <w:pPr>
        <w:spacing w:line="276" w:lineRule="auto"/>
        <w:ind w:firstLine="480" w:firstLineChars="200"/>
        <w:rPr>
          <w:rFonts w:ascii="宋体" w:hAnsi="宋体"/>
          <w:sz w:val="24"/>
        </w:rPr>
      </w:pPr>
      <w:r>
        <w:rPr>
          <w:rFonts w:hint="eastAsia" w:ascii="宋体" w:hAnsi="宋体"/>
          <w:sz w:val="24"/>
        </w:rPr>
        <w:t>（D）机柜里的线路严格按照机柜布线标准统一布置，并做好设备防雷防静电接地装置，保持机柜内线缆整洁美观，机柜内双绞线捆扎示意图如下。</w:t>
      </w:r>
    </w:p>
    <w:p>
      <w:pPr>
        <w:spacing w:line="276" w:lineRule="auto"/>
        <w:ind w:firstLine="480" w:firstLineChars="200"/>
        <w:rPr>
          <w:rFonts w:ascii="宋体" w:hAnsi="宋体"/>
          <w:sz w:val="24"/>
        </w:rPr>
      </w:pPr>
      <w:r>
        <w:rPr>
          <w:rFonts w:hint="eastAsia" w:ascii="宋体" w:hAnsi="宋体"/>
          <w:sz w:val="24"/>
        </w:rPr>
        <w:t>上述要求如有未含之处，请参照《浙江省农村中小学现代远程工程建设项目工程验收指南》执行。</w:t>
      </w:r>
    </w:p>
    <w:p>
      <w:pPr>
        <w:ind w:left="5340" w:leftChars="200" w:hanging="4920" w:hangingChars="2050"/>
        <w:rPr>
          <w:sz w:val="24"/>
        </w:rPr>
      </w:pPr>
      <w:r>
        <w:rPr>
          <w:sz w:val="24"/>
        </w:rPr>
        <w:drawing>
          <wp:inline distT="0" distB="0" distL="114300" distR="114300">
            <wp:extent cx="2205990" cy="1541780"/>
            <wp:effectExtent l="0" t="0" r="3810" b="1270"/>
            <wp:docPr id="11" name="图片 16" descr="C:\Users\helios\Desktop\微信图片_20180118164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C:\Users\helios\Desktop\微信图片_20180118164354.png"/>
                    <pic:cNvPicPr>
                      <a:picLocks noChangeAspect="1"/>
                    </pic:cNvPicPr>
                  </pic:nvPicPr>
                  <pic:blipFill>
                    <a:blip r:embed="rId47"/>
                    <a:stretch>
                      <a:fillRect/>
                    </a:stretch>
                  </pic:blipFill>
                  <pic:spPr>
                    <a:xfrm>
                      <a:off x="0" y="0"/>
                      <a:ext cx="2205990" cy="1541780"/>
                    </a:xfrm>
                    <a:prstGeom prst="rect">
                      <a:avLst/>
                    </a:prstGeom>
                    <a:noFill/>
                    <a:ln>
                      <a:noFill/>
                    </a:ln>
                  </pic:spPr>
                </pic:pic>
              </a:graphicData>
            </a:graphic>
          </wp:inline>
        </w:drawing>
      </w:r>
      <w:r>
        <w:rPr>
          <w:sz w:val="24"/>
        </w:rPr>
        <w:drawing>
          <wp:inline distT="0" distB="0" distL="114300" distR="114300">
            <wp:extent cx="2260600" cy="1574165"/>
            <wp:effectExtent l="0" t="0" r="6350" b="6985"/>
            <wp:docPr id="14" name="图片 17" descr="C:\Users\helios\Desktop\微信图片_20180118164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C:\Users\helios\Desktop\微信图片_20180118164349.png"/>
                    <pic:cNvPicPr>
                      <a:picLocks noChangeAspect="1"/>
                    </pic:cNvPicPr>
                  </pic:nvPicPr>
                  <pic:blipFill>
                    <a:blip r:embed="rId48"/>
                    <a:stretch>
                      <a:fillRect/>
                    </a:stretch>
                  </pic:blipFill>
                  <pic:spPr>
                    <a:xfrm>
                      <a:off x="0" y="0"/>
                      <a:ext cx="2260600" cy="1574165"/>
                    </a:xfrm>
                    <a:prstGeom prst="rect">
                      <a:avLst/>
                    </a:prstGeom>
                    <a:noFill/>
                    <a:ln>
                      <a:noFill/>
                    </a:ln>
                  </pic:spPr>
                </pic:pic>
              </a:graphicData>
            </a:graphic>
          </wp:inline>
        </w:drawing>
      </w:r>
    </w:p>
    <w:p>
      <w:pPr>
        <w:spacing w:line="276" w:lineRule="auto"/>
        <w:ind w:firstLine="480" w:firstLineChars="200"/>
        <w:jc w:val="center"/>
        <w:rPr>
          <w:sz w:val="24"/>
        </w:rPr>
      </w:pPr>
      <w:r>
        <w:rPr>
          <w:rFonts w:hint="eastAsia"/>
          <w:sz w:val="24"/>
        </w:rPr>
        <w:t>（捆扎参考图）</w:t>
      </w:r>
    </w:p>
    <w:p>
      <w:pPr>
        <w:pStyle w:val="5"/>
        <w:rPr>
          <w:sz w:val="24"/>
          <w:szCs w:val="24"/>
        </w:rPr>
      </w:pPr>
    </w:p>
    <w:p>
      <w:pPr>
        <w:spacing w:line="276" w:lineRule="auto"/>
        <w:ind w:firstLine="480" w:firstLineChars="200"/>
        <w:jc w:val="center"/>
        <w:rPr>
          <w:sz w:val="24"/>
        </w:rPr>
      </w:pPr>
    </w:p>
    <w:p>
      <w:pPr>
        <w:ind w:firstLine="480"/>
        <w:rPr>
          <w:sz w:val="24"/>
        </w:rPr>
      </w:pPr>
      <w:r>
        <w:rPr>
          <w:sz w:val="24"/>
        </w:rPr>
        <w:drawing>
          <wp:inline distT="0" distB="0" distL="114300" distR="114300">
            <wp:extent cx="4610100" cy="1350645"/>
            <wp:effectExtent l="0" t="0" r="0" b="1905"/>
            <wp:docPr id="2" name="图片 18" descr="https://img.alicdn.com/imgextra/i2/1068571276/TB2BXWFqXXXXXa8XpXXXXXXXXXX_!!106857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https://img.alicdn.com/imgextra/i2/1068571276/TB2BXWFqXXXXXa8XpXXXXXXXXXX_!!1068571276.jpg"/>
                    <pic:cNvPicPr>
                      <a:picLocks noChangeAspect="1"/>
                    </pic:cNvPicPr>
                  </pic:nvPicPr>
                  <pic:blipFill>
                    <a:blip r:embed="rId49"/>
                    <a:srcRect t="10730"/>
                    <a:stretch>
                      <a:fillRect/>
                    </a:stretch>
                  </pic:blipFill>
                  <pic:spPr>
                    <a:xfrm>
                      <a:off x="0" y="0"/>
                      <a:ext cx="4610100" cy="1350645"/>
                    </a:xfrm>
                    <a:prstGeom prst="rect">
                      <a:avLst/>
                    </a:prstGeom>
                    <a:noFill/>
                    <a:ln>
                      <a:noFill/>
                    </a:ln>
                  </pic:spPr>
                </pic:pic>
              </a:graphicData>
            </a:graphic>
          </wp:inline>
        </w:drawing>
      </w:r>
    </w:p>
    <w:p>
      <w:pPr>
        <w:ind w:firstLine="480"/>
        <w:jc w:val="center"/>
        <w:rPr>
          <w:sz w:val="24"/>
        </w:rPr>
      </w:pPr>
      <w:r>
        <w:rPr>
          <w:rFonts w:hint="eastAsia"/>
          <w:sz w:val="24"/>
        </w:rPr>
        <w:t>（标签参考图）</w:t>
      </w:r>
    </w:p>
    <w:p>
      <w:pPr>
        <w:spacing w:line="276" w:lineRule="auto"/>
        <w:ind w:firstLine="480" w:firstLineChars="200"/>
        <w:rPr>
          <w:rFonts w:ascii="宋体" w:hAnsi="宋体"/>
          <w:sz w:val="24"/>
        </w:rPr>
      </w:pPr>
      <w:r>
        <w:rPr>
          <w:rFonts w:hint="eastAsia" w:ascii="宋体" w:hAnsi="宋体"/>
          <w:sz w:val="24"/>
        </w:rPr>
        <w:t xml:space="preserve">   </w:t>
      </w:r>
    </w:p>
    <w:p>
      <w:pPr>
        <w:spacing w:line="276" w:lineRule="auto"/>
        <w:ind w:firstLine="480" w:firstLineChars="200"/>
        <w:rPr>
          <w:rFonts w:ascii="宋体" w:hAnsi="宋体"/>
          <w:sz w:val="24"/>
        </w:rPr>
      </w:pPr>
      <w:r>
        <w:rPr>
          <w:rFonts w:hint="eastAsia" w:ascii="宋体"/>
          <w:sz w:val="24"/>
        </w:rPr>
        <w:drawing>
          <wp:inline distT="0" distB="0" distL="114300" distR="114300">
            <wp:extent cx="1758950" cy="1014730"/>
            <wp:effectExtent l="0" t="0" r="12700" b="1397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50"/>
                    <a:stretch>
                      <a:fillRect/>
                    </a:stretch>
                  </pic:blipFill>
                  <pic:spPr>
                    <a:xfrm>
                      <a:off x="0" y="0"/>
                      <a:ext cx="1758950" cy="1014730"/>
                    </a:xfrm>
                    <a:prstGeom prst="rect">
                      <a:avLst/>
                    </a:prstGeom>
                    <a:noFill/>
                    <a:ln>
                      <a:noFill/>
                    </a:ln>
                  </pic:spPr>
                </pic:pic>
              </a:graphicData>
            </a:graphic>
          </wp:inline>
        </w:drawing>
      </w:r>
      <w:r>
        <w:rPr>
          <w:rFonts w:hint="eastAsia" w:ascii="宋体"/>
          <w:sz w:val="24"/>
        </w:rPr>
        <w:t xml:space="preserve">           </w:t>
      </w:r>
      <w:r>
        <w:rPr>
          <w:rFonts w:hint="eastAsia" w:ascii="宋体"/>
          <w:sz w:val="24"/>
        </w:rPr>
        <w:drawing>
          <wp:inline distT="0" distB="0" distL="114300" distR="114300">
            <wp:extent cx="1657350" cy="904875"/>
            <wp:effectExtent l="0" t="0" r="0" b="952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51"/>
                    <a:stretch>
                      <a:fillRect/>
                    </a:stretch>
                  </pic:blipFill>
                  <pic:spPr>
                    <a:xfrm>
                      <a:off x="0" y="0"/>
                      <a:ext cx="1657350" cy="904875"/>
                    </a:xfrm>
                    <a:prstGeom prst="rect">
                      <a:avLst/>
                    </a:prstGeom>
                    <a:noFill/>
                    <a:ln>
                      <a:noFill/>
                    </a:ln>
                  </pic:spPr>
                </pic:pic>
              </a:graphicData>
            </a:graphic>
          </wp:inline>
        </w:drawing>
      </w:r>
    </w:p>
    <w:p>
      <w:pPr>
        <w:spacing w:line="276" w:lineRule="auto"/>
        <w:ind w:firstLine="3720" w:firstLineChars="1550"/>
        <w:rPr>
          <w:rFonts w:ascii="宋体" w:hAnsi="宋体"/>
          <w:sz w:val="24"/>
        </w:rPr>
      </w:pPr>
      <w:r>
        <w:rPr>
          <w:rFonts w:hint="eastAsia" w:ascii="宋体" w:hAnsi="宋体"/>
          <w:sz w:val="24"/>
        </w:rPr>
        <w:t>底部机柜安装示意图</w:t>
      </w:r>
    </w:p>
    <w:p>
      <w:pPr>
        <w:spacing w:line="276" w:lineRule="auto"/>
        <w:rPr>
          <w:rFonts w:ascii="宋体" w:hAnsi="宋体"/>
          <w:b/>
          <w:bCs/>
          <w:sz w:val="24"/>
        </w:rPr>
      </w:pPr>
      <w:r>
        <w:rPr>
          <w:rFonts w:hint="eastAsia" w:ascii="宋体" w:hAnsi="宋体"/>
          <w:b/>
          <w:bCs/>
          <w:sz w:val="24"/>
        </w:rPr>
        <w:t>二、项目售后服务要求</w:t>
      </w:r>
    </w:p>
    <w:p>
      <w:pPr>
        <w:spacing w:line="276" w:lineRule="auto"/>
        <w:ind w:firstLine="480" w:firstLineChars="200"/>
        <w:rPr>
          <w:rFonts w:ascii="宋体" w:hAnsi="宋体"/>
          <w:sz w:val="24"/>
        </w:rPr>
      </w:pPr>
      <w:r>
        <w:rPr>
          <w:rFonts w:hint="eastAsia" w:ascii="宋体" w:hAnsi="宋体"/>
          <w:sz w:val="24"/>
        </w:rPr>
        <w:t>1.质保期内因不能排除的故障而影响工作的情况每发生一次，其质保期相应延长60天，保质期内因设备本身缺陷造成各种故障应由中标方（</w:t>
      </w:r>
      <w:r>
        <w:rPr>
          <w:rFonts w:hint="eastAsia" w:ascii="宋体" w:hAnsi="宋体"/>
          <w:sz w:val="24"/>
          <w:lang w:val="zh-CN"/>
        </w:rPr>
        <w:t>供应商</w:t>
      </w:r>
      <w:r>
        <w:rPr>
          <w:rFonts w:hint="eastAsia" w:ascii="宋体" w:hAnsi="宋体"/>
          <w:sz w:val="24"/>
        </w:rPr>
        <w:t>）免费技术服务和维修。</w:t>
      </w:r>
    </w:p>
    <w:p>
      <w:pPr>
        <w:spacing w:line="276" w:lineRule="auto"/>
        <w:ind w:firstLine="480" w:firstLineChars="200"/>
        <w:rPr>
          <w:rFonts w:ascii="宋体" w:hAnsi="宋体"/>
          <w:sz w:val="24"/>
        </w:rPr>
      </w:pPr>
      <w:r>
        <w:rPr>
          <w:rFonts w:hint="eastAsia" w:ascii="宋体" w:hAnsi="宋体"/>
          <w:sz w:val="24"/>
        </w:rPr>
        <w:t>2.所投设备应提供不少于</w:t>
      </w:r>
      <w:r>
        <w:rPr>
          <w:rFonts w:hint="eastAsia" w:ascii="宋体" w:hAnsi="宋体"/>
          <w:b/>
          <w:bCs/>
          <w:sz w:val="24"/>
        </w:rPr>
        <w:t>三年（笔记本不少于一年）</w:t>
      </w:r>
      <w:r>
        <w:rPr>
          <w:rFonts w:hint="eastAsia" w:ascii="宋体" w:hAnsi="宋体"/>
          <w:sz w:val="24"/>
        </w:rPr>
        <w:t>的免费上门和免费保修服务（特殊说明的产品除外）。</w:t>
      </w:r>
    </w:p>
    <w:p>
      <w:pPr>
        <w:spacing w:line="276" w:lineRule="auto"/>
        <w:ind w:firstLine="480" w:firstLineChars="200"/>
        <w:rPr>
          <w:rFonts w:ascii="宋体" w:hAnsi="宋体"/>
          <w:sz w:val="24"/>
        </w:rPr>
      </w:pPr>
      <w:r>
        <w:rPr>
          <w:rFonts w:hint="eastAsia" w:ascii="宋体" w:hAnsi="宋体"/>
          <w:sz w:val="24"/>
        </w:rPr>
        <w:t>3.技术保障措施：在保修期内提供免费上门维护、升级服务，如设备出现故障，中标商接到</w:t>
      </w:r>
      <w:r>
        <w:rPr>
          <w:rFonts w:hint="eastAsia" w:ascii="宋体" w:hAnsi="宋体"/>
          <w:sz w:val="24"/>
          <w:lang w:val="zh-CN"/>
        </w:rPr>
        <w:t>用户</w:t>
      </w:r>
      <w:r>
        <w:rPr>
          <w:rFonts w:hint="eastAsia" w:ascii="宋体" w:hAnsi="宋体"/>
          <w:sz w:val="24"/>
        </w:rPr>
        <w:t>报修电话后，</w:t>
      </w:r>
      <w:r>
        <w:rPr>
          <w:rFonts w:hint="eastAsia" w:ascii="宋体" w:hAnsi="宋体"/>
          <w:sz w:val="24"/>
          <w:lang w:val="zh-CN"/>
        </w:rPr>
        <w:t>1小时内响应并提出解决方案，在4小时以内完成用户提出的维修要求，如需更换设备或送修，必须在3个工作日内负责解决</w:t>
      </w:r>
      <w:r>
        <w:rPr>
          <w:rFonts w:hint="eastAsia" w:ascii="宋体" w:hAnsi="宋体"/>
          <w:sz w:val="24"/>
        </w:rPr>
        <w:t>；3天内无法修复的需提供同档次设备替换故障设备。</w:t>
      </w:r>
      <w:r>
        <w:rPr>
          <w:rFonts w:hint="eastAsia" w:ascii="宋体" w:hAnsi="宋体"/>
          <w:sz w:val="24"/>
          <w:lang w:val="zh-CN"/>
        </w:rPr>
        <w:t>为此，投标人应提供相应承诺书。</w:t>
      </w:r>
    </w:p>
    <w:p>
      <w:pPr>
        <w:spacing w:line="276" w:lineRule="auto"/>
        <w:ind w:firstLine="480" w:firstLineChars="200"/>
        <w:rPr>
          <w:rFonts w:ascii="宋体" w:hAnsi="宋体"/>
          <w:sz w:val="24"/>
        </w:rPr>
      </w:pPr>
      <w:r>
        <w:rPr>
          <w:rFonts w:hint="eastAsia" w:ascii="宋体" w:hAnsi="宋体"/>
          <w:sz w:val="24"/>
        </w:rPr>
        <w:t>4.要求每间机房在显眼处，张贴二维码保修标签，既可以通过微信又可以通过钉钉客户端扫描后显示该套设备名称、所属项目名称、项目编号、中标人、设备组成、报修电话、过保日期等信息，以上信息科按要求定制。</w:t>
      </w:r>
    </w:p>
    <w:p>
      <w:pPr>
        <w:spacing w:line="276" w:lineRule="auto"/>
        <w:ind w:firstLine="480" w:firstLineChars="200"/>
        <w:rPr>
          <w:rFonts w:ascii="宋体" w:hAnsi="宋体"/>
          <w:sz w:val="24"/>
        </w:rPr>
      </w:pPr>
      <w:r>
        <w:rPr>
          <w:rFonts w:hint="eastAsia" w:ascii="宋体" w:hAnsi="宋体"/>
          <w:sz w:val="24"/>
        </w:rPr>
        <w:t>5.可以通过扫码直接进行故障报修，扫码客户端至少包括微信、钉钉。报修页面要求有故障描述、故障照片、故障视频等信息可供用户填写，要求报修页面提供学校信息、联系人及联系电话、地址，以上信息默认为学校预先提供的内容，但报修人可以进行修改。</w:t>
      </w:r>
    </w:p>
    <w:p>
      <w:pPr>
        <w:spacing w:line="276" w:lineRule="auto"/>
        <w:ind w:firstLine="480" w:firstLineChars="200"/>
        <w:rPr>
          <w:rFonts w:ascii="宋体" w:hAnsi="宋体"/>
          <w:sz w:val="24"/>
        </w:rPr>
      </w:pPr>
      <w:r>
        <w:rPr>
          <w:rFonts w:hint="eastAsia" w:ascii="宋体" w:hAnsi="宋体"/>
          <w:sz w:val="24"/>
        </w:rPr>
        <w:t>6.要求中标商有固定的服务人员，接受服务信息，可以追踪服务进度。服务人员接收报修、约定时间上门、上门完成等均通过免费短信通知报修老师，报修老师可以方便查看到故障报修进度。</w:t>
      </w:r>
    </w:p>
    <w:p>
      <w:pPr>
        <w:spacing w:line="276" w:lineRule="auto"/>
        <w:ind w:firstLine="480" w:firstLineChars="200"/>
        <w:rPr>
          <w:rFonts w:ascii="宋体" w:hAnsi="宋体"/>
          <w:sz w:val="24"/>
        </w:rPr>
      </w:pPr>
      <w:r>
        <w:rPr>
          <w:rFonts w:hint="eastAsia" w:ascii="宋体" w:hAnsi="宋体"/>
          <w:sz w:val="24"/>
        </w:rPr>
        <w:t>7.服务人员上门维修，完成维修后要求通过报修老师的签字确认，报修老师可以在手机端对服务进行评价。</w:t>
      </w:r>
    </w:p>
    <w:p>
      <w:pPr>
        <w:spacing w:line="276" w:lineRule="auto"/>
        <w:ind w:firstLine="480" w:firstLineChars="200"/>
        <w:rPr>
          <w:rFonts w:ascii="宋体" w:hAnsi="宋体"/>
          <w:sz w:val="24"/>
        </w:rPr>
      </w:pPr>
      <w:r>
        <w:rPr>
          <w:rFonts w:hint="eastAsia" w:ascii="宋体" w:hAnsi="宋体"/>
          <w:sz w:val="24"/>
        </w:rPr>
        <w:t>8.要求中标公司提供微信公众号和钉钉主页，并将售后服务程序嵌入微信公众号及钉钉主页，方便用户快速报修及查询进度，要求每个季度都可导出报表。</w:t>
      </w:r>
    </w:p>
    <w:p>
      <w:pPr>
        <w:pStyle w:val="5"/>
        <w:adjustRightInd w:val="0"/>
        <w:spacing w:line="276" w:lineRule="auto"/>
        <w:rPr>
          <w:rFonts w:ascii="宋体" w:hAnsi="宋体" w:eastAsia="宋体" w:cs="宋体"/>
          <w:bCs w:val="0"/>
          <w:kern w:val="0"/>
          <w:sz w:val="24"/>
          <w:szCs w:val="24"/>
        </w:rPr>
      </w:pPr>
      <w:r>
        <w:rPr>
          <w:rFonts w:hint="eastAsia" w:ascii="宋体" w:hAnsi="宋体" w:eastAsia="宋体" w:cs="宋体"/>
          <w:bCs w:val="0"/>
          <w:kern w:val="0"/>
          <w:sz w:val="24"/>
          <w:szCs w:val="24"/>
        </w:rPr>
        <w:t>三、项目</w:t>
      </w:r>
      <w:r>
        <w:rPr>
          <w:rFonts w:ascii="宋体" w:hAnsi="宋体" w:eastAsia="宋体" w:cs="宋体"/>
          <w:bCs w:val="0"/>
          <w:kern w:val="0"/>
          <w:sz w:val="24"/>
          <w:szCs w:val="24"/>
        </w:rPr>
        <w:t>工期</w:t>
      </w:r>
      <w:r>
        <w:rPr>
          <w:rFonts w:hint="eastAsia" w:ascii="宋体" w:hAnsi="宋体" w:eastAsia="宋体" w:cs="宋体"/>
          <w:bCs w:val="0"/>
          <w:kern w:val="0"/>
          <w:sz w:val="24"/>
          <w:szCs w:val="24"/>
        </w:rPr>
        <w:t>、</w:t>
      </w:r>
      <w:r>
        <w:rPr>
          <w:rFonts w:hint="eastAsia" w:ascii="宋体" w:hAnsi="宋体" w:eastAsia="宋体" w:cs="宋体"/>
          <w:bCs w:val="0"/>
          <w:kern w:val="0"/>
          <w:sz w:val="24"/>
          <w:szCs w:val="24"/>
          <w:lang w:val="en-US" w:eastAsia="zh-CN"/>
        </w:rPr>
        <w:t>履约保证</w:t>
      </w:r>
      <w:r>
        <w:rPr>
          <w:rFonts w:hint="eastAsia" w:ascii="宋体" w:hAnsi="宋体" w:eastAsia="宋体" w:cs="宋体"/>
          <w:bCs w:val="0"/>
          <w:kern w:val="0"/>
          <w:sz w:val="24"/>
          <w:szCs w:val="24"/>
        </w:rPr>
        <w:t>金</w:t>
      </w:r>
      <w:r>
        <w:rPr>
          <w:rFonts w:ascii="宋体" w:hAnsi="宋体" w:eastAsia="宋体" w:cs="宋体"/>
          <w:bCs w:val="0"/>
          <w:kern w:val="0"/>
          <w:sz w:val="24"/>
          <w:szCs w:val="24"/>
        </w:rPr>
        <w:t>及付款</w:t>
      </w:r>
      <w:r>
        <w:rPr>
          <w:rFonts w:hint="eastAsia" w:ascii="宋体" w:hAnsi="宋体" w:eastAsia="宋体" w:cs="宋体"/>
          <w:bCs w:val="0"/>
          <w:kern w:val="0"/>
          <w:sz w:val="24"/>
          <w:szCs w:val="24"/>
        </w:rPr>
        <w:t>方式</w:t>
      </w:r>
    </w:p>
    <w:p>
      <w:pPr>
        <w:widowControl/>
        <w:autoSpaceDE w:val="0"/>
        <w:autoSpaceDN w:val="0"/>
        <w:spacing w:line="440" w:lineRule="exact"/>
        <w:ind w:firstLine="350" w:firstLineChars="146"/>
        <w:textAlignment w:val="bottom"/>
        <w:rPr>
          <w:rFonts w:ascii="宋体" w:hAnsi="宋体"/>
          <w:sz w:val="24"/>
        </w:rPr>
      </w:pPr>
      <w:r>
        <w:rPr>
          <w:rFonts w:hint="eastAsia" w:ascii="宋体" w:hAnsi="宋体"/>
          <w:sz w:val="24"/>
        </w:rPr>
        <w:t>（一）工期要求：</w:t>
      </w:r>
    </w:p>
    <w:p>
      <w:pPr>
        <w:widowControl/>
        <w:autoSpaceDE w:val="0"/>
        <w:autoSpaceDN w:val="0"/>
        <w:spacing w:line="440" w:lineRule="exact"/>
        <w:ind w:left="283" w:leftChars="135" w:firstLine="350" w:firstLineChars="146"/>
        <w:textAlignment w:val="bottom"/>
        <w:rPr>
          <w:rFonts w:ascii="宋体" w:hAnsi="宋体"/>
          <w:snapToGrid w:val="0"/>
          <w:kern w:val="0"/>
          <w:sz w:val="24"/>
        </w:rPr>
      </w:pPr>
      <w:r>
        <w:rPr>
          <w:rFonts w:hint="eastAsia" w:ascii="宋体" w:hAnsi="宋体"/>
          <w:sz w:val="24"/>
        </w:rPr>
        <w:t>1.</w:t>
      </w:r>
      <w:r>
        <w:rPr>
          <w:rFonts w:hint="eastAsia" w:ascii="宋体" w:hAnsi="宋体"/>
          <w:b/>
          <w:sz w:val="24"/>
        </w:rPr>
        <w:t xml:space="preserve"> </w:t>
      </w:r>
      <w:r>
        <w:rPr>
          <w:rFonts w:hint="eastAsia" w:ascii="宋体" w:hAnsi="宋体"/>
          <w:sz w:val="24"/>
        </w:rPr>
        <w:t>安装调试:</w:t>
      </w:r>
      <w:r>
        <w:rPr>
          <w:rFonts w:ascii="宋体" w:hAnsi="宋体"/>
          <w:sz w:val="24"/>
        </w:rPr>
        <w:t>签</w:t>
      </w:r>
      <w:r>
        <w:rPr>
          <w:rFonts w:ascii="宋体" w:hAnsi="宋体"/>
          <w:color w:val="auto"/>
          <w:sz w:val="24"/>
        </w:rPr>
        <w:t>订合同后</w:t>
      </w:r>
      <w:r>
        <w:rPr>
          <w:rFonts w:hint="eastAsia" w:ascii="宋体" w:hAnsi="宋体"/>
          <w:color w:val="auto"/>
          <w:sz w:val="24"/>
          <w:lang w:val="en-US" w:eastAsia="zh-CN"/>
        </w:rPr>
        <w:t>60</w:t>
      </w:r>
      <w:r>
        <w:rPr>
          <w:rFonts w:hint="eastAsia" w:ascii="宋体" w:hAnsi="宋体"/>
          <w:color w:val="auto"/>
          <w:sz w:val="24"/>
        </w:rPr>
        <w:t>天内</w:t>
      </w:r>
      <w:r>
        <w:rPr>
          <w:rFonts w:ascii="宋体" w:hAnsi="宋体"/>
          <w:sz w:val="24"/>
        </w:rPr>
        <w:t>完成</w:t>
      </w:r>
      <w:r>
        <w:rPr>
          <w:rFonts w:hint="eastAsia" w:ascii="宋体" w:hAnsi="宋体"/>
          <w:sz w:val="24"/>
        </w:rPr>
        <w:t>本项目的</w:t>
      </w:r>
      <w:r>
        <w:rPr>
          <w:rFonts w:ascii="宋体" w:hAnsi="宋体"/>
          <w:sz w:val="24"/>
        </w:rPr>
        <w:t>交货</w:t>
      </w:r>
      <w:r>
        <w:rPr>
          <w:rFonts w:hint="eastAsia" w:ascii="宋体" w:hAnsi="宋体"/>
          <w:sz w:val="24"/>
        </w:rPr>
        <w:t>和安装。</w:t>
      </w:r>
      <w:r>
        <w:rPr>
          <w:rFonts w:hint="eastAsia" w:ascii="宋体" w:hAnsi="宋体"/>
          <w:snapToGrid w:val="0"/>
          <w:kern w:val="0"/>
          <w:sz w:val="24"/>
        </w:rPr>
        <w:t>如在规定的时间内由于</w:t>
      </w:r>
      <w:r>
        <w:rPr>
          <w:rFonts w:hint="eastAsia" w:ascii="宋体" w:hAnsi="宋体"/>
          <w:sz w:val="24"/>
        </w:rPr>
        <w:t>中标方</w:t>
      </w:r>
      <w:r>
        <w:rPr>
          <w:rFonts w:hint="eastAsia" w:ascii="宋体" w:hAnsi="宋体"/>
          <w:snapToGrid w:val="0"/>
          <w:kern w:val="0"/>
          <w:sz w:val="24"/>
        </w:rPr>
        <w:t>的原因不能完成安装的，中标方应承担由此给用户造成的损失。</w:t>
      </w:r>
    </w:p>
    <w:p>
      <w:pPr>
        <w:widowControl/>
        <w:autoSpaceDE w:val="0"/>
        <w:autoSpaceDN w:val="0"/>
        <w:spacing w:line="440" w:lineRule="exact"/>
        <w:ind w:left="283" w:leftChars="135" w:firstLine="350" w:firstLineChars="146"/>
        <w:textAlignment w:val="bottom"/>
        <w:rPr>
          <w:rFonts w:ascii="宋体" w:hAnsi="宋体"/>
          <w:sz w:val="24"/>
        </w:rPr>
      </w:pPr>
      <w:r>
        <w:rPr>
          <w:rFonts w:hint="eastAsia" w:ascii="宋体" w:hAnsi="宋体"/>
          <w:snapToGrid w:val="0"/>
          <w:kern w:val="0"/>
          <w:sz w:val="24"/>
        </w:rPr>
        <w:t>2.</w:t>
      </w:r>
      <w:r>
        <w:rPr>
          <w:rFonts w:hint="eastAsia" w:ascii="宋体" w:hAnsi="宋体"/>
          <w:sz w:val="24"/>
        </w:rPr>
        <w:t xml:space="preserve"> 安装地点：由采购单位指定。</w:t>
      </w:r>
    </w:p>
    <w:p>
      <w:pPr>
        <w:widowControl/>
        <w:autoSpaceDE w:val="0"/>
        <w:autoSpaceDN w:val="0"/>
        <w:spacing w:line="440" w:lineRule="exact"/>
        <w:ind w:left="283" w:leftChars="135" w:firstLine="350" w:firstLineChars="146"/>
        <w:textAlignment w:val="bottom"/>
        <w:rPr>
          <w:rFonts w:ascii="宋体" w:hAnsi="宋体"/>
          <w:sz w:val="24"/>
        </w:rPr>
      </w:pPr>
      <w:r>
        <w:rPr>
          <w:rFonts w:hint="eastAsia" w:ascii="宋体" w:hAnsi="宋体"/>
          <w:sz w:val="24"/>
        </w:rPr>
        <w:t>3. 安装标准：符合我国国家有关技术规范要求和技术标准，所有的软件和硬件必须保证同时安装到位。</w:t>
      </w:r>
    </w:p>
    <w:p>
      <w:pPr>
        <w:widowControl/>
        <w:autoSpaceDE w:val="0"/>
        <w:autoSpaceDN w:val="0"/>
        <w:spacing w:line="440" w:lineRule="exact"/>
        <w:ind w:firstLine="720" w:firstLineChars="300"/>
        <w:textAlignment w:val="bottom"/>
        <w:rPr>
          <w:rFonts w:ascii="宋体" w:hAnsi="宋体"/>
          <w:sz w:val="24"/>
        </w:rPr>
      </w:pPr>
      <w:r>
        <w:rPr>
          <w:rFonts w:hint="eastAsia" w:ascii="宋体" w:hAnsi="宋体"/>
          <w:sz w:val="24"/>
        </w:rPr>
        <w:t>4. 中标方免费提供中标设备的安装服务。</w:t>
      </w:r>
    </w:p>
    <w:p>
      <w:pPr>
        <w:widowControl/>
        <w:autoSpaceDE w:val="0"/>
        <w:autoSpaceDN w:val="0"/>
        <w:spacing w:line="440" w:lineRule="exact"/>
        <w:ind w:firstLine="720" w:firstLineChars="300"/>
        <w:textAlignment w:val="bottom"/>
        <w:rPr>
          <w:rFonts w:ascii="宋体" w:hAnsi="宋体"/>
          <w:sz w:val="24"/>
        </w:rPr>
      </w:pPr>
      <w:r>
        <w:rPr>
          <w:rFonts w:hint="eastAsia" w:ascii="宋体" w:hAnsi="宋体"/>
          <w:sz w:val="24"/>
        </w:rPr>
        <w:t>5. 投标商应在投标文件中应提供安装计划、对安装场地和环境的要求。</w:t>
      </w:r>
    </w:p>
    <w:p>
      <w:pPr>
        <w:pStyle w:val="128"/>
        <w:spacing w:before="0" w:line="276" w:lineRule="auto"/>
        <w:ind w:firstLine="480"/>
        <w:rPr>
          <w:rFonts w:hint="eastAsia" w:ascii="宋体" w:hAnsi="宋体" w:eastAsia="宋体" w:cs="Times New Roman"/>
          <w:kern w:val="2"/>
          <w:sz w:val="24"/>
          <w:szCs w:val="24"/>
          <w:lang w:val="en-US" w:eastAsia="zh-CN" w:bidi="ar-SA"/>
        </w:rPr>
      </w:pPr>
      <w:r>
        <w:rPr>
          <w:rFonts w:hint="eastAsia" w:ascii="宋体" w:hAnsi="宋体"/>
          <w:szCs w:val="24"/>
        </w:rPr>
        <w:t>（二）</w:t>
      </w:r>
      <w:r>
        <w:rPr>
          <w:rFonts w:hint="eastAsia" w:ascii="宋体" w:hAnsi="宋体" w:eastAsia="宋体" w:cs="Times New Roman"/>
          <w:kern w:val="2"/>
          <w:sz w:val="24"/>
          <w:szCs w:val="24"/>
          <w:lang w:val="en-US" w:eastAsia="zh-CN" w:bidi="ar-SA"/>
        </w:rPr>
        <w:t>履约保证金：签订合同时，中标人缴纳合同价的1%作为履约保证金，验收合格后无息退还。履约保证金可以以保函形式提交。</w:t>
      </w:r>
    </w:p>
    <w:p>
      <w:pPr>
        <w:tabs>
          <w:tab w:val="left" w:pos="540"/>
          <w:tab w:val="left" w:pos="720"/>
        </w:tabs>
        <w:spacing w:line="276" w:lineRule="auto"/>
        <w:ind w:firstLine="480" w:firstLineChars="200"/>
        <w:rPr>
          <w:rFonts w:ascii="宋体" w:hAnsi="宋体"/>
          <w:sz w:val="24"/>
          <w:highlight w:val="yellow"/>
          <w:u w:val="single"/>
        </w:rPr>
      </w:pPr>
      <w:r>
        <w:rPr>
          <w:rFonts w:hint="eastAsia" w:ascii="宋体" w:hAnsi="宋体"/>
          <w:sz w:val="24"/>
        </w:rPr>
        <w:t>（三）</w:t>
      </w:r>
      <w:r>
        <w:rPr>
          <w:rFonts w:hint="eastAsia" w:ascii="宋体" w:hAnsi="宋体"/>
          <w:color w:val="C00000"/>
          <w:sz w:val="24"/>
        </w:rPr>
        <w:t>付款方式：项目合同签订后并具备实施条件7个工件日内</w:t>
      </w:r>
      <w:r>
        <w:rPr>
          <w:rFonts w:hint="eastAsia" w:ascii="宋体" w:hAnsi="宋体"/>
          <w:color w:val="C00000"/>
          <w:sz w:val="24"/>
          <w:lang w:eastAsia="zh-CN"/>
        </w:rPr>
        <w:t>，</w:t>
      </w:r>
      <w:r>
        <w:rPr>
          <w:rFonts w:hint="eastAsia" w:ascii="宋体" w:hAnsi="宋体"/>
          <w:color w:val="C00000"/>
          <w:sz w:val="24"/>
        </w:rPr>
        <w:t>支付项目合同价</w:t>
      </w:r>
      <w:r>
        <w:rPr>
          <w:rFonts w:hint="eastAsia" w:ascii="宋体" w:hAnsi="宋体"/>
          <w:color w:val="C00000"/>
          <w:sz w:val="24"/>
          <w:lang w:val="en-US" w:eastAsia="zh-CN"/>
        </w:rPr>
        <w:t>5</w:t>
      </w:r>
      <w:r>
        <w:rPr>
          <w:rFonts w:hint="eastAsia" w:ascii="宋体" w:hAnsi="宋体"/>
          <w:color w:val="C00000"/>
          <w:sz w:val="24"/>
        </w:rPr>
        <w:t>0%的预付款，项目全部交付并验收合格后支付项目余下款项。</w:t>
      </w:r>
      <w:r>
        <w:rPr>
          <w:rFonts w:hint="eastAsia" w:ascii="宋体" w:hAnsi="宋体"/>
          <w:color w:val="C00000"/>
          <w:sz w:val="24"/>
          <w:lang w:val="en-US" w:eastAsia="zh-CN"/>
        </w:rPr>
        <w:t>（注：中标人向采购人提交银行、保险公司等金融机构出具的预付款保函或其他担保措施。）</w:t>
      </w:r>
    </w:p>
    <w:p>
      <w:pPr>
        <w:pStyle w:val="5"/>
        <w:adjustRightInd w:val="0"/>
        <w:spacing w:line="276" w:lineRule="auto"/>
        <w:rPr>
          <w:rFonts w:ascii="宋体" w:hAnsi="宋体" w:eastAsia="宋体" w:cs="宋体"/>
          <w:bCs w:val="0"/>
          <w:kern w:val="0"/>
          <w:sz w:val="24"/>
          <w:szCs w:val="24"/>
        </w:rPr>
      </w:pPr>
      <w:r>
        <w:rPr>
          <w:rFonts w:hint="eastAsia" w:ascii="宋体" w:hAnsi="宋体" w:eastAsia="宋体" w:cs="宋体"/>
          <w:bCs w:val="0"/>
          <w:kern w:val="0"/>
          <w:sz w:val="24"/>
          <w:szCs w:val="24"/>
        </w:rPr>
        <w:t>四、项目验收</w:t>
      </w:r>
    </w:p>
    <w:p>
      <w:pPr>
        <w:spacing w:line="276" w:lineRule="auto"/>
        <w:ind w:firstLine="480" w:firstLineChars="200"/>
        <w:rPr>
          <w:rFonts w:ascii="宋体" w:hAnsi="宋体"/>
          <w:sz w:val="24"/>
        </w:rPr>
      </w:pPr>
      <w:r>
        <w:rPr>
          <w:rFonts w:hint="eastAsia" w:ascii="宋体" w:hAnsi="宋体"/>
          <w:sz w:val="24"/>
        </w:rPr>
        <w:t>验收分学校验收、县级验收。由桐庐县教育后勤服务中心依据相关要求（标准）、采购合同（招标文件）要求制定“计算机验收指南”（简称《指南》）,并分发到设备安装学校。《指南》主要内容：基本配置、主要设备功能和性能、安装要求(含学校安装环境要求)、培训要求、验收程序、验收表等。</w:t>
      </w:r>
    </w:p>
    <w:p>
      <w:pPr>
        <w:spacing w:line="276" w:lineRule="auto"/>
        <w:ind w:firstLine="480" w:firstLineChars="200"/>
        <w:rPr>
          <w:rFonts w:ascii="宋体" w:hAnsi="宋体"/>
          <w:sz w:val="24"/>
        </w:rPr>
      </w:pPr>
      <w:r>
        <w:rPr>
          <w:rFonts w:hint="eastAsia" w:ascii="宋体" w:hAnsi="宋体"/>
          <w:sz w:val="24"/>
        </w:rPr>
        <w:t>学校验收组所有成员和被验收方代表需签名并加盖公章，后勤中心将根据学校验收表组织县级验收。</w:t>
      </w:r>
    </w:p>
    <w:p>
      <w:pPr>
        <w:spacing w:line="276" w:lineRule="auto"/>
        <w:ind w:firstLine="480" w:firstLineChars="200"/>
        <w:rPr>
          <w:rFonts w:hint="eastAsia" w:ascii="宋体" w:hAnsi="宋体"/>
          <w:color w:val="000000"/>
          <w:sz w:val="24"/>
          <w:lang w:val="zh-CN"/>
        </w:rPr>
      </w:pPr>
      <w:r>
        <w:rPr>
          <w:rFonts w:hint="eastAsia" w:ascii="宋体" w:hAnsi="宋体"/>
          <w:color w:val="000000"/>
          <w:sz w:val="24"/>
          <w:lang w:val="zh-CN"/>
        </w:rPr>
        <w:t>验收中发现设备达不到验收标准或合同规定的性能指标，中标方必须更换设备，并负担由此给用户造成的损失，直到验收合格为止。</w:t>
      </w:r>
    </w:p>
    <w:p>
      <w:pPr>
        <w:pStyle w:val="2"/>
        <w:ind w:left="0" w:leftChars="0" w:firstLine="480" w:firstLineChars="200"/>
        <w:rPr>
          <w:rFonts w:hint="default" w:eastAsia="宋体"/>
          <w:lang w:val="en-US" w:eastAsia="zh-CN"/>
        </w:rPr>
      </w:pPr>
      <w:r>
        <w:rPr>
          <w:rFonts w:hint="eastAsia"/>
          <w:color w:val="000000"/>
          <w:sz w:val="24"/>
          <w:lang w:val="en-US" w:eastAsia="zh-CN"/>
        </w:rPr>
        <w:t>要求项目中标单位提供竣工资料。</w:t>
      </w:r>
    </w:p>
    <w:p>
      <w:pPr>
        <w:pStyle w:val="5"/>
        <w:adjustRightInd w:val="0"/>
        <w:spacing w:line="276" w:lineRule="auto"/>
        <w:rPr>
          <w:rFonts w:ascii="宋体" w:hAnsi="宋体" w:eastAsia="宋体" w:cs="宋体"/>
          <w:bCs w:val="0"/>
          <w:kern w:val="0"/>
          <w:sz w:val="24"/>
          <w:szCs w:val="24"/>
        </w:rPr>
      </w:pPr>
      <w:r>
        <w:rPr>
          <w:rFonts w:hint="eastAsia" w:ascii="宋体" w:hAnsi="宋体" w:eastAsia="宋体" w:cs="宋体"/>
          <w:bCs w:val="0"/>
          <w:kern w:val="0"/>
          <w:sz w:val="24"/>
          <w:szCs w:val="24"/>
        </w:rPr>
        <w:t>五、项目培训</w:t>
      </w:r>
    </w:p>
    <w:p>
      <w:pPr>
        <w:pStyle w:val="6"/>
        <w:tabs>
          <w:tab w:val="left" w:pos="709"/>
          <w:tab w:val="clear" w:pos="900"/>
        </w:tabs>
        <w:spacing w:line="276" w:lineRule="auto"/>
        <w:ind w:left="0" w:firstLine="482" w:firstLineChars="200"/>
        <w:rPr>
          <w:rFonts w:ascii="宋体" w:hAnsi="宋体"/>
          <w:sz w:val="24"/>
          <w:szCs w:val="24"/>
        </w:rPr>
      </w:pPr>
      <w:r>
        <w:rPr>
          <w:rFonts w:hint="eastAsia" w:ascii="宋体" w:hAnsi="宋体"/>
          <w:sz w:val="24"/>
          <w:szCs w:val="24"/>
        </w:rPr>
        <w:t>1.培训要求</w:t>
      </w:r>
    </w:p>
    <w:p>
      <w:pPr>
        <w:autoSpaceDE w:val="0"/>
        <w:autoSpaceDN w:val="0"/>
        <w:snapToGrid w:val="0"/>
        <w:spacing w:line="440" w:lineRule="exact"/>
        <w:ind w:firstLine="480" w:firstLineChars="200"/>
        <w:textAlignment w:val="bottom"/>
        <w:rPr>
          <w:rFonts w:ascii="宋体" w:hAnsi="宋体" w:cs="宋体"/>
          <w:sz w:val="24"/>
        </w:rPr>
      </w:pPr>
      <w:r>
        <w:rPr>
          <w:rFonts w:hint="eastAsia" w:ascii="宋体" w:hAnsi="宋体"/>
          <w:sz w:val="24"/>
        </w:rPr>
        <w:t>培训是指本项目中标方（工程施工方）免费对安装学校有关技术人员（教师）进行的设备使用操作的培训。具体要求是：以集中培训和个别指导结合的方式，对学校现代教育技术管理老师进行设备操作和设备维护方面的业务知识培训，使之能独立正确操作和维护机房所有设备，能初步判定和解决系统简单故障。</w:t>
      </w:r>
      <w:r>
        <w:rPr>
          <w:rFonts w:hint="eastAsia" w:ascii="宋体" w:hAnsi="宋体"/>
          <w:snapToGrid w:val="0"/>
          <w:kern w:val="0"/>
          <w:sz w:val="24"/>
        </w:rPr>
        <w:t>投标方应提供相应的培训计划，详细说明培训的方式、地点、人数、</w:t>
      </w:r>
      <w:r>
        <w:rPr>
          <w:rFonts w:hint="eastAsia" w:ascii="宋体" w:hAnsi="宋体"/>
          <w:sz w:val="24"/>
        </w:rPr>
        <w:t>时间等实质性内容。</w:t>
      </w:r>
    </w:p>
    <w:p>
      <w:pPr>
        <w:pStyle w:val="6"/>
        <w:tabs>
          <w:tab w:val="left" w:pos="709"/>
          <w:tab w:val="clear" w:pos="900"/>
        </w:tabs>
        <w:spacing w:line="276" w:lineRule="auto"/>
        <w:ind w:left="0" w:firstLine="482" w:firstLineChars="200"/>
        <w:rPr>
          <w:rFonts w:ascii="宋体" w:hAnsi="宋体"/>
          <w:sz w:val="24"/>
          <w:szCs w:val="24"/>
        </w:rPr>
      </w:pPr>
      <w:r>
        <w:rPr>
          <w:rFonts w:hint="eastAsia" w:ascii="宋体" w:hAnsi="宋体"/>
          <w:sz w:val="24"/>
          <w:szCs w:val="24"/>
        </w:rPr>
        <w:t>2.培训内容</w:t>
      </w:r>
    </w:p>
    <w:p>
      <w:pPr>
        <w:spacing w:line="276"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包括系统功能（性能）介绍，设备安装和连线介绍，系统和单个设备操作使用；故障判定和维修联系方式；工程验收和文档交接。</w:t>
      </w:r>
    </w:p>
    <w:p>
      <w:pPr>
        <w:spacing w:line="276" w:lineRule="auto"/>
        <w:ind w:firstLine="480" w:firstLineChars="200"/>
        <w:rPr>
          <w:rFonts w:ascii="宋体" w:hAnsi="宋体"/>
          <w:sz w:val="24"/>
        </w:rPr>
      </w:pPr>
      <w:r>
        <w:rPr>
          <w:rFonts w:hint="eastAsia" w:ascii="宋体" w:hAnsi="宋体"/>
          <w:sz w:val="24"/>
        </w:rPr>
        <w:t>（2）</w:t>
      </w:r>
      <w:r>
        <w:rPr>
          <w:rFonts w:ascii="宋体" w:hAnsi="宋体"/>
          <w:sz w:val="24"/>
        </w:rPr>
        <w:t>提供</w:t>
      </w:r>
      <w:r>
        <w:rPr>
          <w:rFonts w:hint="eastAsia" w:ascii="宋体" w:hAnsi="宋体"/>
          <w:sz w:val="24"/>
        </w:rPr>
        <w:t>设备操作手册。</w:t>
      </w:r>
    </w:p>
    <w:p>
      <w:pPr>
        <w:spacing w:line="276" w:lineRule="auto"/>
        <w:ind w:firstLine="482" w:firstLineChars="200"/>
        <w:rPr>
          <w:rFonts w:ascii="宋体" w:hAnsi="宋体" w:cs="宋体"/>
          <w:b/>
          <w:bCs/>
          <w:kern w:val="0"/>
          <w:sz w:val="24"/>
        </w:rPr>
      </w:pPr>
      <w:r>
        <w:rPr>
          <w:rFonts w:hint="eastAsia" w:ascii="宋体" w:hAnsi="宋体" w:cs="宋体"/>
          <w:b/>
          <w:bCs/>
          <w:kern w:val="0"/>
          <w:sz w:val="24"/>
        </w:rPr>
        <w:t>六、其它说明</w:t>
      </w:r>
    </w:p>
    <w:p>
      <w:pPr>
        <w:spacing w:line="276" w:lineRule="auto"/>
        <w:ind w:firstLine="480" w:firstLineChars="200"/>
        <w:rPr>
          <w:rFonts w:ascii="宋体" w:hAnsi="宋体"/>
          <w:sz w:val="24"/>
        </w:rPr>
      </w:pPr>
      <w:r>
        <w:rPr>
          <w:rFonts w:hint="eastAsia" w:ascii="宋体" w:hAnsi="宋体"/>
          <w:sz w:val="24"/>
        </w:rPr>
        <w:t>1.非使用方或非人为原因三个月内某一类硬件损坏10%及以上，则要求供货方更换全部此类硬件。</w:t>
      </w:r>
    </w:p>
    <w:p>
      <w:pPr>
        <w:spacing w:line="276" w:lineRule="auto"/>
        <w:ind w:firstLine="480" w:firstLineChars="200"/>
        <w:rPr>
          <w:rFonts w:ascii="宋体" w:hAnsi="宋体"/>
          <w:sz w:val="24"/>
        </w:rPr>
      </w:pPr>
      <w:r>
        <w:rPr>
          <w:rFonts w:hint="eastAsia" w:ascii="宋体" w:hAnsi="宋体"/>
          <w:sz w:val="24"/>
        </w:rPr>
        <w:t>2.验收前，防盗保卫等全权由中标方负责；验收后，由学校自己负责；</w:t>
      </w:r>
    </w:p>
    <w:p>
      <w:pPr>
        <w:spacing w:line="276" w:lineRule="auto"/>
        <w:ind w:firstLine="480" w:firstLineChars="200"/>
        <w:rPr>
          <w:rFonts w:ascii="宋体" w:hAnsi="宋体"/>
          <w:sz w:val="24"/>
        </w:rPr>
      </w:pPr>
      <w:r>
        <w:rPr>
          <w:rFonts w:hint="eastAsia" w:ascii="宋体" w:hAnsi="宋体"/>
          <w:sz w:val="24"/>
        </w:rPr>
        <w:t>3.所供产品需符合中国政府规定的相应技术标准和环保标准。</w:t>
      </w:r>
    </w:p>
    <w:p>
      <w:pPr>
        <w:spacing w:line="276" w:lineRule="auto"/>
        <w:ind w:firstLine="480" w:firstLineChars="200"/>
        <w:rPr>
          <w:rFonts w:ascii="宋体" w:hAnsi="宋体" w:cs="宋体"/>
          <w:b/>
          <w:color w:val="000000"/>
          <w:sz w:val="24"/>
        </w:rPr>
      </w:pPr>
      <w:r>
        <w:rPr>
          <w:rFonts w:hint="eastAsia" w:ascii="宋体" w:hAnsi="宋体"/>
          <w:sz w:val="24"/>
        </w:rPr>
        <w:t>4.签定合同时必须出具生产厂家免费包修年限承诺证明原件。由于中标方无法提供生产厂家免费包修年限承诺证明原件将导致合同无法签订，由中标人承担相应法律责任。</w:t>
      </w:r>
    </w:p>
    <w:p>
      <w:pPr>
        <w:spacing w:line="360" w:lineRule="auto"/>
        <w:ind w:firstLine="181" w:firstLineChars="50"/>
        <w:rPr>
          <w:rFonts w:ascii="宋体" w:hAnsi="宋体" w:cs="宋体"/>
          <w:b/>
          <w:sz w:val="36"/>
          <w:szCs w:val="36"/>
        </w:rPr>
      </w:pPr>
    </w:p>
    <w:p>
      <w:pPr>
        <w:spacing w:line="360" w:lineRule="auto"/>
        <w:rPr>
          <w:rFonts w:ascii="宋体" w:hAnsi="宋体" w:cs="宋体"/>
          <w:sz w:val="24"/>
        </w:rPr>
      </w:pPr>
    </w:p>
    <w:p>
      <w:pPr>
        <w:widowControl/>
        <w:ind w:firstLine="720" w:firstLineChars="300"/>
        <w:jc w:val="left"/>
        <w:rPr>
          <w:rFonts w:ascii="宋体" w:hAnsi="宋体" w:cs="宋体"/>
          <w:bCs/>
          <w:sz w:val="24"/>
        </w:rPr>
      </w:pPr>
    </w:p>
    <w:p>
      <w:pPr>
        <w:rPr>
          <w:rFonts w:ascii="宋体" w:hAnsi="宋体" w:cs="宋体"/>
          <w:snapToGrid w:val="0"/>
          <w:kern w:val="0"/>
          <w:sz w:val="24"/>
        </w:rPr>
      </w:pPr>
    </w:p>
    <w:p>
      <w:pPr>
        <w:numPr>
          <w:ilvl w:val="0"/>
          <w:numId w:val="0"/>
        </w:numPr>
        <w:snapToGrid w:val="0"/>
        <w:spacing w:line="360" w:lineRule="auto"/>
        <w:jc w:val="both"/>
        <w:rPr>
          <w:rFonts w:hint="eastAsia" w:ascii="宋体" w:hAnsi="宋体" w:eastAsia="宋体" w:cs="宋体"/>
          <w:snapToGrid w:val="0"/>
          <w:kern w:val="0"/>
          <w:sz w:val="24"/>
          <w:lang w:eastAsia="zh-CN"/>
        </w:rPr>
      </w:pPr>
      <w:r>
        <w:rPr>
          <w:rFonts w:hint="eastAsia" w:ascii="宋体" w:hAnsi="宋体" w:cs="宋体"/>
          <w:b/>
          <w:sz w:val="24"/>
        </w:rPr>
        <w:br w:type="page"/>
      </w:r>
    </w:p>
    <w:p>
      <w:pPr>
        <w:spacing w:line="360" w:lineRule="auto"/>
        <w:jc w:val="center"/>
        <w:outlineLvl w:val="0"/>
        <w:rPr>
          <w:rFonts w:ascii="宋体" w:hAnsi="宋体" w:cs="宋体"/>
          <w:b/>
          <w:sz w:val="36"/>
          <w:szCs w:val="36"/>
        </w:rPr>
      </w:pPr>
      <w:r>
        <w:rPr>
          <w:rFonts w:hint="eastAsia" w:ascii="宋体" w:hAnsi="宋体" w:cs="宋体"/>
          <w:b/>
          <w:sz w:val="36"/>
          <w:szCs w:val="36"/>
        </w:rPr>
        <w:t xml:space="preserve">第四部分   </w:t>
      </w:r>
      <w:bookmarkStart w:id="29" w:name="_Toc184313256"/>
      <w:bookmarkEnd w:id="29"/>
      <w:bookmarkStart w:id="30" w:name="_Toc184313260"/>
      <w:bookmarkEnd w:id="30"/>
      <w:bookmarkStart w:id="31" w:name="_Toc184313279"/>
      <w:bookmarkEnd w:id="31"/>
      <w:bookmarkStart w:id="32" w:name="_Toc184312115"/>
      <w:bookmarkEnd w:id="32"/>
      <w:bookmarkStart w:id="33" w:name="_Toc184313271"/>
      <w:bookmarkEnd w:id="33"/>
      <w:bookmarkStart w:id="34" w:name="_Toc184308039"/>
      <w:bookmarkEnd w:id="34"/>
      <w:bookmarkStart w:id="35" w:name="_Toc184312095"/>
      <w:bookmarkEnd w:id="35"/>
      <w:bookmarkStart w:id="36" w:name="_Toc184310321"/>
      <w:bookmarkEnd w:id="36"/>
      <w:bookmarkStart w:id="37" w:name="_Toc184310338"/>
      <w:bookmarkEnd w:id="37"/>
      <w:bookmarkStart w:id="38" w:name="_Toc184314428"/>
      <w:bookmarkEnd w:id="38"/>
      <w:bookmarkStart w:id="39" w:name="_Toc184308076"/>
      <w:bookmarkEnd w:id="39"/>
      <w:bookmarkStart w:id="40" w:name="_Toc184312110"/>
      <w:bookmarkEnd w:id="40"/>
      <w:bookmarkStart w:id="41" w:name="_Toc184314423"/>
      <w:bookmarkEnd w:id="41"/>
      <w:bookmarkStart w:id="42" w:name="_Toc184310277"/>
      <w:bookmarkEnd w:id="42"/>
      <w:bookmarkStart w:id="43" w:name="_Toc184308052"/>
      <w:bookmarkEnd w:id="43"/>
      <w:bookmarkStart w:id="44" w:name="_Toc184310304"/>
      <w:bookmarkEnd w:id="44"/>
      <w:bookmarkStart w:id="45" w:name="_Toc184313250"/>
      <w:bookmarkEnd w:id="45"/>
      <w:bookmarkStart w:id="46" w:name="_Toc184308092"/>
      <w:bookmarkEnd w:id="46"/>
      <w:bookmarkStart w:id="47" w:name="_Toc184310330"/>
      <w:bookmarkEnd w:id="47"/>
      <w:bookmarkStart w:id="48" w:name="_Toc184313309"/>
      <w:bookmarkEnd w:id="48"/>
      <w:bookmarkStart w:id="49" w:name="_Toc184313285"/>
      <w:bookmarkEnd w:id="49"/>
      <w:bookmarkStart w:id="50" w:name="_Toc184313298"/>
      <w:bookmarkEnd w:id="50"/>
      <w:bookmarkStart w:id="51" w:name="_Toc184313257"/>
      <w:bookmarkEnd w:id="51"/>
      <w:bookmarkStart w:id="52" w:name="_Toc184313281"/>
      <w:bookmarkEnd w:id="52"/>
      <w:bookmarkStart w:id="53" w:name="_Toc184314481"/>
      <w:bookmarkEnd w:id="53"/>
      <w:bookmarkStart w:id="54" w:name="_Toc184310335"/>
      <w:bookmarkEnd w:id="54"/>
      <w:bookmarkStart w:id="55" w:name="_Toc184312112"/>
      <w:bookmarkEnd w:id="55"/>
      <w:bookmarkStart w:id="56" w:name="_Toc184313310"/>
      <w:bookmarkEnd w:id="56"/>
      <w:bookmarkStart w:id="57" w:name="_Toc184310336"/>
      <w:bookmarkEnd w:id="57"/>
      <w:bookmarkStart w:id="58" w:name="_Toc184312134"/>
      <w:bookmarkEnd w:id="58"/>
      <w:bookmarkStart w:id="59" w:name="_Toc184312098"/>
      <w:bookmarkEnd w:id="59"/>
      <w:bookmarkStart w:id="60" w:name="_Toc184308055"/>
      <w:bookmarkEnd w:id="60"/>
      <w:bookmarkStart w:id="61" w:name="_Toc184314479"/>
      <w:bookmarkEnd w:id="61"/>
      <w:bookmarkStart w:id="62" w:name="_Toc184314424"/>
      <w:bookmarkEnd w:id="62"/>
      <w:bookmarkStart w:id="63" w:name="_Toc184308043"/>
      <w:bookmarkEnd w:id="63"/>
      <w:bookmarkStart w:id="64" w:name="_Toc184308090"/>
      <w:bookmarkEnd w:id="64"/>
      <w:bookmarkStart w:id="65" w:name="_Toc184310298"/>
      <w:bookmarkEnd w:id="65"/>
      <w:bookmarkStart w:id="66" w:name="_Toc184313286"/>
      <w:bookmarkEnd w:id="66"/>
      <w:bookmarkStart w:id="67" w:name="_Toc184310280"/>
      <w:bookmarkEnd w:id="67"/>
      <w:bookmarkStart w:id="68" w:name="_Toc184310320"/>
      <w:bookmarkEnd w:id="68"/>
      <w:bookmarkStart w:id="69" w:name="_Toc184308093"/>
      <w:bookmarkEnd w:id="69"/>
      <w:bookmarkStart w:id="70" w:name="_Toc184310288"/>
      <w:bookmarkEnd w:id="70"/>
      <w:bookmarkStart w:id="71" w:name="_Toc184312121"/>
      <w:bookmarkEnd w:id="71"/>
      <w:bookmarkStart w:id="72" w:name="_Toc184308107"/>
      <w:bookmarkEnd w:id="72"/>
      <w:bookmarkStart w:id="73" w:name="_Toc184314413"/>
      <w:bookmarkEnd w:id="73"/>
      <w:bookmarkStart w:id="74" w:name="_Toc184310317"/>
      <w:bookmarkEnd w:id="74"/>
      <w:bookmarkStart w:id="75" w:name="_Toc184312131"/>
      <w:bookmarkEnd w:id="75"/>
      <w:bookmarkStart w:id="76" w:name="_Toc184308073"/>
      <w:bookmarkEnd w:id="76"/>
      <w:bookmarkStart w:id="77" w:name="_Toc184310331"/>
      <w:bookmarkEnd w:id="77"/>
      <w:bookmarkStart w:id="78" w:name="_Toc184313248"/>
      <w:bookmarkEnd w:id="78"/>
      <w:bookmarkStart w:id="79" w:name="_Toc184312116"/>
      <w:bookmarkEnd w:id="79"/>
      <w:bookmarkStart w:id="80" w:name="_Toc184312137"/>
      <w:bookmarkEnd w:id="80"/>
      <w:bookmarkStart w:id="81" w:name="_Toc184312124"/>
      <w:bookmarkEnd w:id="81"/>
      <w:bookmarkStart w:id="82" w:name="_Toc184308099"/>
      <w:bookmarkEnd w:id="82"/>
      <w:bookmarkStart w:id="83" w:name="_Toc184314454"/>
      <w:bookmarkEnd w:id="83"/>
      <w:bookmarkStart w:id="84" w:name="_Toc184310302"/>
      <w:bookmarkEnd w:id="84"/>
      <w:bookmarkStart w:id="85" w:name="_Toc184313276"/>
      <w:bookmarkEnd w:id="85"/>
      <w:bookmarkStart w:id="86" w:name="_Toc184314455"/>
      <w:bookmarkEnd w:id="86"/>
      <w:bookmarkStart w:id="87" w:name="_Toc184313290"/>
      <w:bookmarkEnd w:id="87"/>
      <w:bookmarkStart w:id="88" w:name="_Toc184308068"/>
      <w:bookmarkEnd w:id="88"/>
      <w:bookmarkStart w:id="89" w:name="_Toc184312090"/>
      <w:bookmarkEnd w:id="89"/>
      <w:bookmarkStart w:id="90" w:name="_Toc184308104"/>
      <w:bookmarkEnd w:id="90"/>
      <w:bookmarkStart w:id="91" w:name="_Toc184312088"/>
      <w:bookmarkEnd w:id="91"/>
      <w:bookmarkStart w:id="92" w:name="_Toc184314446"/>
      <w:bookmarkEnd w:id="92"/>
      <w:bookmarkStart w:id="93" w:name="_Toc184308048"/>
      <w:bookmarkEnd w:id="93"/>
      <w:bookmarkStart w:id="94" w:name="_Toc184313247"/>
      <w:bookmarkEnd w:id="94"/>
      <w:bookmarkStart w:id="95" w:name="_Toc184313293"/>
      <w:bookmarkEnd w:id="95"/>
      <w:bookmarkStart w:id="96" w:name="_Toc184312114"/>
      <w:bookmarkEnd w:id="96"/>
      <w:bookmarkStart w:id="97" w:name="_Toc184308056"/>
      <w:bookmarkEnd w:id="97"/>
      <w:bookmarkStart w:id="98" w:name="_Toc184314443"/>
      <w:bookmarkEnd w:id="98"/>
      <w:bookmarkStart w:id="99" w:name="_Toc184314436"/>
      <w:bookmarkEnd w:id="99"/>
      <w:bookmarkStart w:id="100" w:name="_Toc184313251"/>
      <w:bookmarkEnd w:id="100"/>
      <w:bookmarkStart w:id="101" w:name="_Toc184312118"/>
      <w:bookmarkEnd w:id="101"/>
      <w:bookmarkStart w:id="102" w:name="_Toc184308054"/>
      <w:bookmarkEnd w:id="102"/>
      <w:bookmarkStart w:id="103" w:name="_Toc184314452"/>
      <w:bookmarkEnd w:id="103"/>
      <w:bookmarkStart w:id="104" w:name="_Toc184314427"/>
      <w:bookmarkEnd w:id="104"/>
      <w:bookmarkStart w:id="105" w:name="_Toc184312128"/>
      <w:bookmarkEnd w:id="105"/>
      <w:bookmarkStart w:id="106" w:name="_Toc184310327"/>
      <w:bookmarkEnd w:id="106"/>
      <w:bookmarkStart w:id="107" w:name="_Toc184308072"/>
      <w:bookmarkEnd w:id="107"/>
      <w:bookmarkStart w:id="108" w:name="_Toc184308049"/>
      <w:bookmarkEnd w:id="108"/>
      <w:bookmarkStart w:id="109" w:name="_Toc184314465"/>
      <w:bookmarkEnd w:id="109"/>
      <w:bookmarkStart w:id="110" w:name="_Toc184313299"/>
      <w:bookmarkEnd w:id="110"/>
      <w:bookmarkStart w:id="111" w:name="_Toc184312083"/>
      <w:bookmarkEnd w:id="111"/>
      <w:bookmarkStart w:id="112" w:name="_Toc184308058"/>
      <w:bookmarkEnd w:id="112"/>
      <w:bookmarkStart w:id="113" w:name="_Toc184314475"/>
      <w:bookmarkEnd w:id="113"/>
      <w:bookmarkStart w:id="114" w:name="_Toc184312125"/>
      <w:bookmarkEnd w:id="114"/>
      <w:bookmarkStart w:id="115" w:name="_Toc184312133"/>
      <w:bookmarkEnd w:id="115"/>
      <w:bookmarkStart w:id="116" w:name="_Toc184308037"/>
      <w:bookmarkEnd w:id="116"/>
      <w:bookmarkStart w:id="117" w:name="_Toc184313253"/>
      <w:bookmarkEnd w:id="117"/>
      <w:bookmarkStart w:id="118" w:name="_Toc184312096"/>
      <w:bookmarkEnd w:id="118"/>
      <w:bookmarkStart w:id="119" w:name="_Toc184314469"/>
      <w:bookmarkEnd w:id="119"/>
      <w:bookmarkStart w:id="120" w:name="_Toc184312117"/>
      <w:bookmarkEnd w:id="120"/>
      <w:bookmarkStart w:id="121" w:name="_Toc184308036"/>
      <w:bookmarkEnd w:id="121"/>
      <w:bookmarkStart w:id="122" w:name="_Toc184310313"/>
      <w:bookmarkEnd w:id="122"/>
      <w:bookmarkStart w:id="123" w:name="_Toc184312130"/>
      <w:bookmarkEnd w:id="123"/>
      <w:bookmarkStart w:id="124" w:name="_Toc184308047"/>
      <w:bookmarkEnd w:id="124"/>
      <w:bookmarkStart w:id="125" w:name="_Toc184310294"/>
      <w:bookmarkEnd w:id="125"/>
      <w:bookmarkStart w:id="126" w:name="_Toc184310340"/>
      <w:bookmarkEnd w:id="126"/>
      <w:bookmarkStart w:id="127" w:name="_Toc184313269"/>
      <w:bookmarkEnd w:id="127"/>
      <w:bookmarkStart w:id="128" w:name="_Toc184308074"/>
      <w:bookmarkEnd w:id="128"/>
      <w:bookmarkStart w:id="129" w:name="_Toc184313270"/>
      <w:bookmarkEnd w:id="129"/>
      <w:bookmarkStart w:id="130" w:name="_Toc184313304"/>
      <w:bookmarkEnd w:id="130"/>
      <w:bookmarkStart w:id="131" w:name="_Toc184308057"/>
      <w:bookmarkEnd w:id="131"/>
      <w:bookmarkStart w:id="132" w:name="_Toc184314476"/>
      <w:bookmarkEnd w:id="132"/>
      <w:bookmarkStart w:id="133" w:name="_Toc184308046"/>
      <w:bookmarkEnd w:id="133"/>
      <w:bookmarkStart w:id="134" w:name="_Toc184308064"/>
      <w:bookmarkEnd w:id="134"/>
      <w:bookmarkStart w:id="135" w:name="_Toc184308065"/>
      <w:bookmarkEnd w:id="135"/>
      <w:bookmarkStart w:id="136" w:name="_Toc184308103"/>
      <w:bookmarkEnd w:id="136"/>
      <w:bookmarkStart w:id="137" w:name="_Toc184308082"/>
      <w:bookmarkEnd w:id="137"/>
      <w:bookmarkStart w:id="138" w:name="_Toc184312111"/>
      <w:bookmarkEnd w:id="138"/>
      <w:bookmarkStart w:id="139" w:name="_Toc184314467"/>
      <w:bookmarkEnd w:id="139"/>
      <w:bookmarkStart w:id="140" w:name="_Toc184310281"/>
      <w:bookmarkEnd w:id="140"/>
      <w:bookmarkStart w:id="141" w:name="_Toc184312104"/>
      <w:bookmarkEnd w:id="141"/>
      <w:bookmarkStart w:id="142" w:name="_Toc184314430"/>
      <w:bookmarkEnd w:id="142"/>
      <w:bookmarkStart w:id="143" w:name="_Toc184312070"/>
      <w:bookmarkEnd w:id="143"/>
      <w:bookmarkStart w:id="144" w:name="_Toc184314415"/>
      <w:bookmarkEnd w:id="144"/>
      <w:bookmarkStart w:id="145" w:name="_Toc184310275"/>
      <w:bookmarkEnd w:id="145"/>
      <w:bookmarkStart w:id="146" w:name="_Toc184314456"/>
      <w:bookmarkEnd w:id="146"/>
      <w:bookmarkStart w:id="147" w:name="_Toc184310339"/>
      <w:bookmarkEnd w:id="147"/>
      <w:bookmarkStart w:id="148" w:name="_Toc184313292"/>
      <w:bookmarkEnd w:id="148"/>
      <w:bookmarkStart w:id="149" w:name="_Toc184314471"/>
      <w:bookmarkEnd w:id="149"/>
      <w:bookmarkStart w:id="150" w:name="_Toc184314451"/>
      <w:bookmarkEnd w:id="150"/>
      <w:bookmarkStart w:id="151" w:name="_Toc184308050"/>
      <w:bookmarkEnd w:id="151"/>
      <w:bookmarkStart w:id="152" w:name="_Toc184308053"/>
      <w:bookmarkEnd w:id="152"/>
      <w:bookmarkStart w:id="153" w:name="_Toc184313294"/>
      <w:bookmarkEnd w:id="153"/>
      <w:bookmarkStart w:id="154" w:name="_Toc184314418"/>
      <w:bookmarkEnd w:id="154"/>
      <w:bookmarkStart w:id="155" w:name="_Toc184312105"/>
      <w:bookmarkEnd w:id="155"/>
      <w:bookmarkStart w:id="156" w:name="_Toc184313258"/>
      <w:bookmarkEnd w:id="156"/>
      <w:bookmarkStart w:id="157" w:name="_Toc184312099"/>
      <w:bookmarkEnd w:id="157"/>
      <w:bookmarkStart w:id="158" w:name="_Toc184312126"/>
      <w:bookmarkEnd w:id="158"/>
      <w:bookmarkStart w:id="159" w:name="_Toc184308041"/>
      <w:bookmarkEnd w:id="159"/>
      <w:bookmarkStart w:id="160" w:name="_Toc184308097"/>
      <w:bookmarkEnd w:id="160"/>
      <w:bookmarkStart w:id="161" w:name="_Toc184310324"/>
      <w:bookmarkEnd w:id="161"/>
      <w:bookmarkStart w:id="162" w:name="_Toc184313264"/>
      <w:bookmarkEnd w:id="162"/>
      <w:bookmarkStart w:id="163" w:name="_Toc184310293"/>
      <w:bookmarkEnd w:id="163"/>
      <w:bookmarkStart w:id="164" w:name="_Toc184310297"/>
      <w:bookmarkEnd w:id="164"/>
      <w:bookmarkStart w:id="165" w:name="_Toc184310292"/>
      <w:bookmarkEnd w:id="165"/>
      <w:bookmarkStart w:id="166" w:name="_Toc184313302"/>
      <w:bookmarkEnd w:id="166"/>
      <w:bookmarkStart w:id="167" w:name="_Toc184308101"/>
      <w:bookmarkEnd w:id="167"/>
      <w:bookmarkStart w:id="168" w:name="_Toc184314422"/>
      <w:bookmarkEnd w:id="168"/>
      <w:bookmarkStart w:id="169" w:name="_Toc184308071"/>
      <w:bookmarkEnd w:id="169"/>
      <w:bookmarkStart w:id="170" w:name="_Toc184308089"/>
      <w:bookmarkEnd w:id="170"/>
      <w:bookmarkStart w:id="171" w:name="_Toc184308060"/>
      <w:bookmarkEnd w:id="171"/>
      <w:bookmarkStart w:id="172" w:name="_Toc184314410"/>
      <w:bookmarkEnd w:id="172"/>
      <w:bookmarkStart w:id="173" w:name="_Toc184312127"/>
      <w:bookmarkEnd w:id="173"/>
      <w:bookmarkStart w:id="174" w:name="_Toc184310341"/>
      <w:bookmarkEnd w:id="174"/>
      <w:bookmarkStart w:id="175" w:name="_Toc184314460"/>
      <w:bookmarkEnd w:id="175"/>
      <w:bookmarkStart w:id="176" w:name="_Toc184310344"/>
      <w:bookmarkEnd w:id="176"/>
      <w:bookmarkStart w:id="177" w:name="_Toc184310318"/>
      <w:bookmarkEnd w:id="177"/>
      <w:bookmarkStart w:id="178" w:name="_Toc184312080"/>
      <w:bookmarkEnd w:id="178"/>
      <w:bookmarkStart w:id="179" w:name="_Toc184313274"/>
      <w:bookmarkEnd w:id="179"/>
      <w:bookmarkStart w:id="180" w:name="_Toc184310296"/>
      <w:bookmarkEnd w:id="180"/>
      <w:bookmarkStart w:id="181" w:name="_Toc184310300"/>
      <w:bookmarkEnd w:id="181"/>
      <w:bookmarkStart w:id="182" w:name="_Toc184308066"/>
      <w:bookmarkEnd w:id="182"/>
      <w:bookmarkStart w:id="183" w:name="_Toc184312069"/>
      <w:bookmarkEnd w:id="183"/>
      <w:bookmarkStart w:id="184" w:name="_Toc184310328"/>
      <w:bookmarkEnd w:id="184"/>
      <w:bookmarkStart w:id="185" w:name="_Toc184313262"/>
      <w:bookmarkEnd w:id="185"/>
      <w:bookmarkStart w:id="186" w:name="_Toc184314426"/>
      <w:bookmarkEnd w:id="186"/>
      <w:bookmarkStart w:id="187" w:name="_Toc184308044"/>
      <w:bookmarkEnd w:id="187"/>
      <w:bookmarkStart w:id="188" w:name="_Toc184314429"/>
      <w:bookmarkEnd w:id="188"/>
      <w:bookmarkStart w:id="189" w:name="_Toc184308063"/>
      <w:bookmarkEnd w:id="189"/>
      <w:bookmarkStart w:id="190" w:name="_Toc184308059"/>
      <w:bookmarkEnd w:id="190"/>
      <w:bookmarkStart w:id="191" w:name="_Toc184312138"/>
      <w:bookmarkEnd w:id="191"/>
      <w:bookmarkStart w:id="192" w:name="_Toc184310299"/>
      <w:bookmarkEnd w:id="192"/>
      <w:bookmarkStart w:id="193" w:name="_Toc184308079"/>
      <w:bookmarkEnd w:id="193"/>
      <w:bookmarkStart w:id="194" w:name="_Toc184313243"/>
      <w:bookmarkEnd w:id="194"/>
      <w:bookmarkStart w:id="195" w:name="_Toc184310316"/>
      <w:bookmarkEnd w:id="195"/>
      <w:bookmarkStart w:id="196" w:name="_Toc184313284"/>
      <w:bookmarkEnd w:id="196"/>
      <w:bookmarkStart w:id="197" w:name="_Toc184310315"/>
      <w:bookmarkEnd w:id="197"/>
      <w:bookmarkStart w:id="198" w:name="_Toc184314416"/>
      <w:bookmarkEnd w:id="198"/>
      <w:bookmarkStart w:id="199" w:name="_Toc184312074"/>
      <w:bookmarkEnd w:id="199"/>
      <w:bookmarkStart w:id="200" w:name="_Toc184314414"/>
      <w:bookmarkEnd w:id="200"/>
      <w:bookmarkStart w:id="201" w:name="_Toc184314432"/>
      <w:bookmarkEnd w:id="201"/>
      <w:bookmarkStart w:id="202" w:name="_Toc184313266"/>
      <w:bookmarkEnd w:id="202"/>
      <w:bookmarkStart w:id="203" w:name="_Toc184312079"/>
      <w:bookmarkEnd w:id="203"/>
      <w:bookmarkStart w:id="204" w:name="_Toc184313295"/>
      <w:bookmarkEnd w:id="204"/>
      <w:bookmarkStart w:id="205" w:name="_Toc184313277"/>
      <w:bookmarkEnd w:id="205"/>
      <w:bookmarkStart w:id="206" w:name="_Toc184308100"/>
      <w:bookmarkEnd w:id="206"/>
      <w:bookmarkStart w:id="207" w:name="_Toc184314431"/>
      <w:bookmarkEnd w:id="207"/>
      <w:bookmarkStart w:id="208" w:name="_Toc184308062"/>
      <w:bookmarkEnd w:id="208"/>
      <w:bookmarkStart w:id="209" w:name="_Toc184313244"/>
      <w:bookmarkEnd w:id="209"/>
      <w:bookmarkStart w:id="210" w:name="_Toc184308096"/>
      <w:bookmarkEnd w:id="210"/>
      <w:bookmarkStart w:id="211" w:name="_Toc184312103"/>
      <w:bookmarkEnd w:id="211"/>
      <w:bookmarkStart w:id="212" w:name="_Toc184314478"/>
      <w:bookmarkEnd w:id="212"/>
      <w:bookmarkStart w:id="213" w:name="_Toc184313275"/>
      <w:bookmarkEnd w:id="213"/>
      <w:bookmarkStart w:id="214" w:name="_Toc184314457"/>
      <w:bookmarkEnd w:id="214"/>
      <w:bookmarkStart w:id="215" w:name="_Toc184310323"/>
      <w:bookmarkEnd w:id="215"/>
      <w:bookmarkStart w:id="216" w:name="_Toc184314449"/>
      <w:bookmarkEnd w:id="216"/>
      <w:bookmarkStart w:id="217" w:name="_Toc184314462"/>
      <w:bookmarkEnd w:id="217"/>
      <w:bookmarkStart w:id="218" w:name="_Toc184314421"/>
      <w:bookmarkEnd w:id="218"/>
      <w:bookmarkStart w:id="219" w:name="_Toc184314477"/>
      <w:bookmarkEnd w:id="219"/>
      <w:bookmarkStart w:id="220" w:name="_Toc184312100"/>
      <w:bookmarkEnd w:id="220"/>
      <w:bookmarkStart w:id="221" w:name="_Toc184312093"/>
      <w:bookmarkEnd w:id="221"/>
      <w:bookmarkStart w:id="222" w:name="_Toc184314445"/>
      <w:bookmarkEnd w:id="222"/>
      <w:bookmarkStart w:id="223" w:name="_Toc184314440"/>
      <w:bookmarkEnd w:id="223"/>
      <w:bookmarkStart w:id="224" w:name="_Toc184312089"/>
      <w:bookmarkEnd w:id="224"/>
      <w:bookmarkStart w:id="225" w:name="_Toc184308108"/>
      <w:bookmarkEnd w:id="225"/>
      <w:bookmarkStart w:id="226" w:name="_Toc184310314"/>
      <w:bookmarkEnd w:id="226"/>
      <w:bookmarkStart w:id="227" w:name="_Toc184313283"/>
      <w:bookmarkEnd w:id="227"/>
      <w:bookmarkStart w:id="228" w:name="_Toc184312073"/>
      <w:bookmarkEnd w:id="228"/>
      <w:bookmarkStart w:id="229" w:name="_Toc184314441"/>
      <w:bookmarkEnd w:id="229"/>
      <w:bookmarkStart w:id="230" w:name="_Toc184314450"/>
      <w:bookmarkEnd w:id="230"/>
      <w:bookmarkStart w:id="231" w:name="_Toc184312081"/>
      <w:bookmarkEnd w:id="231"/>
      <w:bookmarkStart w:id="232" w:name="_Toc184314482"/>
      <w:bookmarkEnd w:id="232"/>
      <w:bookmarkStart w:id="233" w:name="_Toc184312102"/>
      <w:bookmarkEnd w:id="233"/>
      <w:bookmarkStart w:id="234" w:name="_Toc184313272"/>
      <w:bookmarkEnd w:id="234"/>
      <w:bookmarkStart w:id="235" w:name="_Toc184314461"/>
      <w:bookmarkEnd w:id="235"/>
      <w:bookmarkStart w:id="236" w:name="_Toc184310312"/>
      <w:bookmarkEnd w:id="236"/>
      <w:bookmarkStart w:id="237" w:name="_Toc184312092"/>
      <w:bookmarkEnd w:id="237"/>
      <w:bookmarkStart w:id="238" w:name="_Toc184314442"/>
      <w:bookmarkEnd w:id="238"/>
      <w:bookmarkStart w:id="239" w:name="_Toc184310311"/>
      <w:bookmarkEnd w:id="239"/>
      <w:bookmarkStart w:id="240" w:name="_Toc184310303"/>
      <w:bookmarkEnd w:id="240"/>
      <w:bookmarkStart w:id="241" w:name="_Toc184308087"/>
      <w:bookmarkEnd w:id="241"/>
      <w:bookmarkStart w:id="242" w:name="_Toc184312086"/>
      <w:bookmarkEnd w:id="242"/>
      <w:bookmarkStart w:id="243" w:name="_Toc184312101"/>
      <w:bookmarkEnd w:id="243"/>
      <w:bookmarkStart w:id="244" w:name="_Toc184312139"/>
      <w:bookmarkEnd w:id="244"/>
      <w:bookmarkStart w:id="245" w:name="_Toc184308094"/>
      <w:bookmarkEnd w:id="245"/>
      <w:bookmarkStart w:id="246" w:name="_Toc184313239"/>
      <w:bookmarkEnd w:id="246"/>
      <w:bookmarkStart w:id="247" w:name="_Toc184310285"/>
      <w:bookmarkEnd w:id="247"/>
      <w:bookmarkStart w:id="248" w:name="_Toc184313261"/>
      <w:bookmarkEnd w:id="248"/>
      <w:bookmarkStart w:id="249" w:name="_Toc184314433"/>
      <w:bookmarkEnd w:id="249"/>
      <w:bookmarkStart w:id="250" w:name="_Toc184313282"/>
      <w:bookmarkEnd w:id="250"/>
      <w:bookmarkStart w:id="251" w:name="_Toc184313254"/>
      <w:bookmarkEnd w:id="251"/>
      <w:bookmarkStart w:id="252" w:name="_Toc184310287"/>
      <w:bookmarkEnd w:id="252"/>
      <w:bookmarkStart w:id="253" w:name="_Toc184310279"/>
      <w:bookmarkEnd w:id="253"/>
      <w:bookmarkStart w:id="254" w:name="_Toc184310319"/>
      <w:bookmarkEnd w:id="254"/>
      <w:bookmarkStart w:id="255" w:name="_Toc184310283"/>
      <w:bookmarkEnd w:id="255"/>
      <w:bookmarkStart w:id="256" w:name="_Toc184308067"/>
      <w:bookmarkEnd w:id="256"/>
      <w:bookmarkStart w:id="257" w:name="_Toc184312129"/>
      <w:bookmarkEnd w:id="257"/>
      <w:bookmarkStart w:id="258" w:name="_Toc184312071"/>
      <w:bookmarkEnd w:id="258"/>
      <w:bookmarkStart w:id="259" w:name="_Toc184310289"/>
      <w:bookmarkEnd w:id="259"/>
      <w:bookmarkStart w:id="260" w:name="_Toc184308106"/>
      <w:bookmarkEnd w:id="260"/>
      <w:bookmarkStart w:id="261" w:name="_Toc184310301"/>
      <w:bookmarkEnd w:id="261"/>
      <w:bookmarkStart w:id="262" w:name="_Toc184308042"/>
      <w:bookmarkEnd w:id="262"/>
      <w:bookmarkStart w:id="263" w:name="_Toc184314473"/>
      <w:bookmarkEnd w:id="263"/>
      <w:bookmarkStart w:id="264" w:name="_Toc184312085"/>
      <w:bookmarkEnd w:id="264"/>
      <w:bookmarkStart w:id="265" w:name="_Toc184310333"/>
      <w:bookmarkEnd w:id="265"/>
      <w:bookmarkStart w:id="266" w:name="_Toc184312075"/>
      <w:bookmarkEnd w:id="266"/>
      <w:bookmarkStart w:id="267" w:name="_Toc184310272"/>
      <w:bookmarkEnd w:id="267"/>
      <w:bookmarkStart w:id="268" w:name="_Toc184313259"/>
      <w:bookmarkEnd w:id="268"/>
      <w:bookmarkStart w:id="269" w:name="_Toc184313306"/>
      <w:bookmarkEnd w:id="269"/>
      <w:bookmarkStart w:id="270" w:name="_Toc184314444"/>
      <w:bookmarkEnd w:id="270"/>
      <w:bookmarkStart w:id="271" w:name="_Toc184314447"/>
      <w:bookmarkEnd w:id="271"/>
      <w:bookmarkStart w:id="272" w:name="_Toc184308086"/>
      <w:bookmarkEnd w:id="272"/>
      <w:bookmarkStart w:id="273" w:name="_Toc184313238"/>
      <w:bookmarkEnd w:id="273"/>
      <w:bookmarkStart w:id="274" w:name="_Toc184314474"/>
      <w:bookmarkEnd w:id="274"/>
      <w:bookmarkStart w:id="275" w:name="_Toc184308045"/>
      <w:bookmarkEnd w:id="275"/>
      <w:bookmarkStart w:id="276" w:name="_Toc184312067"/>
      <w:bookmarkEnd w:id="276"/>
      <w:bookmarkStart w:id="277" w:name="_Toc184314472"/>
      <w:bookmarkEnd w:id="277"/>
      <w:bookmarkStart w:id="278" w:name="_Toc184310306"/>
      <w:bookmarkEnd w:id="278"/>
      <w:bookmarkStart w:id="279" w:name="_Toc184314411"/>
      <w:bookmarkEnd w:id="279"/>
      <w:bookmarkStart w:id="280" w:name="_Toc184310284"/>
      <w:bookmarkEnd w:id="280"/>
      <w:bookmarkStart w:id="281" w:name="_Toc184313301"/>
      <w:bookmarkEnd w:id="281"/>
      <w:bookmarkStart w:id="282" w:name="_Toc184314420"/>
      <w:bookmarkEnd w:id="282"/>
      <w:bookmarkStart w:id="283" w:name="_Toc184312122"/>
      <w:bookmarkEnd w:id="283"/>
      <w:bookmarkStart w:id="284" w:name="_Toc184308098"/>
      <w:bookmarkEnd w:id="284"/>
      <w:bookmarkStart w:id="285" w:name="_Toc184312113"/>
      <w:bookmarkEnd w:id="285"/>
      <w:bookmarkStart w:id="286" w:name="_Toc184313288"/>
      <w:bookmarkEnd w:id="286"/>
      <w:bookmarkStart w:id="287" w:name="_Toc184313255"/>
      <w:bookmarkEnd w:id="287"/>
      <w:bookmarkStart w:id="288" w:name="_Toc184313252"/>
      <w:bookmarkEnd w:id="288"/>
      <w:bookmarkStart w:id="289" w:name="_Toc184313242"/>
      <w:bookmarkEnd w:id="289"/>
      <w:bookmarkStart w:id="290" w:name="_Toc184313240"/>
      <w:bookmarkEnd w:id="290"/>
      <w:bookmarkStart w:id="291" w:name="_Toc184313268"/>
      <w:bookmarkEnd w:id="291"/>
      <w:bookmarkStart w:id="292" w:name="_Toc184310325"/>
      <w:bookmarkEnd w:id="292"/>
      <w:bookmarkStart w:id="293" w:name="_Toc184314448"/>
      <w:bookmarkEnd w:id="293"/>
      <w:bookmarkStart w:id="294" w:name="_Toc184310295"/>
      <w:bookmarkEnd w:id="294"/>
      <w:bookmarkStart w:id="295" w:name="_Toc184308077"/>
      <w:bookmarkEnd w:id="295"/>
      <w:bookmarkStart w:id="296" w:name="_Toc184313289"/>
      <w:bookmarkEnd w:id="296"/>
      <w:bookmarkStart w:id="297" w:name="_Toc184313278"/>
      <w:bookmarkEnd w:id="297"/>
      <w:bookmarkStart w:id="298" w:name="_Toc184313249"/>
      <w:bookmarkEnd w:id="298"/>
      <w:bookmarkStart w:id="299" w:name="_Toc184310332"/>
      <w:bookmarkEnd w:id="299"/>
      <w:bookmarkStart w:id="300" w:name="_Toc184308080"/>
      <w:bookmarkEnd w:id="300"/>
      <w:bookmarkStart w:id="301" w:name="_Toc184313297"/>
      <w:bookmarkEnd w:id="301"/>
      <w:bookmarkStart w:id="302" w:name="_Toc184310310"/>
      <w:bookmarkEnd w:id="302"/>
      <w:bookmarkStart w:id="303" w:name="_Toc184312107"/>
      <w:bookmarkEnd w:id="303"/>
      <w:bookmarkStart w:id="304" w:name="_Toc184310276"/>
      <w:bookmarkEnd w:id="304"/>
      <w:bookmarkStart w:id="305" w:name="_Toc184310307"/>
      <w:bookmarkEnd w:id="305"/>
      <w:bookmarkStart w:id="306" w:name="_Toc184310343"/>
      <w:bookmarkEnd w:id="306"/>
      <w:bookmarkStart w:id="307" w:name="_Toc184314437"/>
      <w:bookmarkEnd w:id="307"/>
      <w:bookmarkStart w:id="308" w:name="_Toc184313305"/>
      <w:bookmarkEnd w:id="308"/>
      <w:bookmarkStart w:id="309" w:name="_Toc184313296"/>
      <w:bookmarkEnd w:id="309"/>
      <w:bookmarkStart w:id="310" w:name="_Toc184313307"/>
      <w:bookmarkEnd w:id="310"/>
      <w:bookmarkStart w:id="311" w:name="_Toc184313280"/>
      <w:bookmarkEnd w:id="311"/>
      <w:bookmarkStart w:id="312" w:name="_Toc184313265"/>
      <w:bookmarkEnd w:id="312"/>
      <w:bookmarkStart w:id="313" w:name="_Toc184308095"/>
      <w:bookmarkEnd w:id="313"/>
      <w:bookmarkStart w:id="314" w:name="_Toc184308069"/>
      <w:bookmarkEnd w:id="314"/>
      <w:bookmarkStart w:id="315" w:name="_Toc184313263"/>
      <w:bookmarkEnd w:id="315"/>
      <w:bookmarkStart w:id="316" w:name="_Toc184308070"/>
      <w:bookmarkEnd w:id="316"/>
      <w:bookmarkStart w:id="317" w:name="_Toc184308078"/>
      <w:bookmarkEnd w:id="317"/>
      <w:bookmarkStart w:id="318" w:name="_Toc184310329"/>
      <w:bookmarkEnd w:id="318"/>
      <w:bookmarkStart w:id="319" w:name="_Toc184313291"/>
      <w:bookmarkEnd w:id="319"/>
      <w:bookmarkStart w:id="320" w:name="_Toc184312078"/>
      <w:bookmarkEnd w:id="320"/>
      <w:bookmarkStart w:id="321" w:name="_Toc184310334"/>
      <w:bookmarkEnd w:id="321"/>
      <w:bookmarkStart w:id="322" w:name="_Toc184310282"/>
      <w:bookmarkEnd w:id="322"/>
      <w:bookmarkStart w:id="323" w:name="_Toc184312072"/>
      <w:bookmarkEnd w:id="323"/>
      <w:bookmarkStart w:id="324" w:name="_Toc184312119"/>
      <w:bookmarkEnd w:id="324"/>
      <w:bookmarkStart w:id="325" w:name="_Toc184314453"/>
      <w:bookmarkEnd w:id="325"/>
      <w:bookmarkStart w:id="326" w:name="_Toc184312132"/>
      <w:bookmarkEnd w:id="326"/>
      <w:bookmarkStart w:id="327" w:name="_Toc184312094"/>
      <w:bookmarkEnd w:id="327"/>
      <w:bookmarkStart w:id="328" w:name="_Toc184308061"/>
      <w:bookmarkEnd w:id="328"/>
      <w:bookmarkStart w:id="329" w:name="_Toc184313246"/>
      <w:bookmarkEnd w:id="329"/>
      <w:bookmarkStart w:id="330" w:name="_Toc184312077"/>
      <w:bookmarkEnd w:id="330"/>
      <w:bookmarkStart w:id="331" w:name="_Toc184312097"/>
      <w:bookmarkEnd w:id="331"/>
      <w:bookmarkStart w:id="332" w:name="_Toc184310326"/>
      <w:bookmarkEnd w:id="332"/>
      <w:bookmarkStart w:id="333" w:name="_Toc184308038"/>
      <w:bookmarkEnd w:id="333"/>
      <w:bookmarkStart w:id="334" w:name="_Toc184310291"/>
      <w:bookmarkEnd w:id="334"/>
      <w:bookmarkStart w:id="335" w:name="_Toc184313308"/>
      <w:bookmarkEnd w:id="335"/>
      <w:bookmarkStart w:id="336" w:name="_Toc184312106"/>
      <w:bookmarkEnd w:id="336"/>
      <w:bookmarkStart w:id="337" w:name="_Toc184313267"/>
      <w:bookmarkEnd w:id="337"/>
      <w:bookmarkStart w:id="338" w:name="_Toc184312087"/>
      <w:bookmarkEnd w:id="338"/>
      <w:bookmarkStart w:id="339" w:name="_Toc184308040"/>
      <w:bookmarkEnd w:id="339"/>
      <w:bookmarkStart w:id="340" w:name="_Toc184312136"/>
      <w:bookmarkEnd w:id="340"/>
      <w:bookmarkStart w:id="341" w:name="_Toc184308102"/>
      <w:bookmarkEnd w:id="341"/>
      <w:bookmarkStart w:id="342" w:name="_Toc184312135"/>
      <w:bookmarkEnd w:id="342"/>
      <w:bookmarkStart w:id="343" w:name="_Toc184308084"/>
      <w:bookmarkEnd w:id="343"/>
      <w:bookmarkStart w:id="344" w:name="_Toc184308083"/>
      <w:bookmarkEnd w:id="344"/>
      <w:bookmarkStart w:id="345" w:name="_Toc184312091"/>
      <w:bookmarkEnd w:id="345"/>
      <w:bookmarkStart w:id="346" w:name="_Toc184314464"/>
      <w:bookmarkEnd w:id="346"/>
      <w:bookmarkStart w:id="347" w:name="_Toc184313241"/>
      <w:bookmarkEnd w:id="347"/>
      <w:bookmarkStart w:id="348" w:name="_Toc184308081"/>
      <w:bookmarkEnd w:id="348"/>
      <w:bookmarkStart w:id="349" w:name="_Toc184312084"/>
      <w:bookmarkEnd w:id="349"/>
      <w:bookmarkStart w:id="350" w:name="_Toc184310337"/>
      <w:bookmarkEnd w:id="350"/>
      <w:bookmarkStart w:id="351" w:name="_Toc184313300"/>
      <w:bookmarkEnd w:id="351"/>
      <w:bookmarkStart w:id="352" w:name="_Toc184314458"/>
      <w:bookmarkEnd w:id="352"/>
      <w:bookmarkStart w:id="353" w:name="_Toc184308085"/>
      <w:bookmarkEnd w:id="353"/>
      <w:bookmarkStart w:id="354" w:name="_Toc184308105"/>
      <w:bookmarkEnd w:id="354"/>
      <w:bookmarkStart w:id="355" w:name="_Toc184314438"/>
      <w:bookmarkEnd w:id="355"/>
      <w:bookmarkStart w:id="356" w:name="_Toc184314463"/>
      <w:bookmarkEnd w:id="356"/>
      <w:bookmarkStart w:id="357" w:name="_Toc184314466"/>
      <w:bookmarkEnd w:id="357"/>
      <w:bookmarkStart w:id="358" w:name="_Toc184312068"/>
      <w:bookmarkEnd w:id="358"/>
      <w:bookmarkStart w:id="359" w:name="_Toc184310308"/>
      <w:bookmarkEnd w:id="359"/>
      <w:bookmarkStart w:id="360" w:name="_Toc184314425"/>
      <w:bookmarkEnd w:id="360"/>
      <w:bookmarkStart w:id="361" w:name="_Toc184312120"/>
      <w:bookmarkEnd w:id="361"/>
      <w:bookmarkStart w:id="362" w:name="_Toc184314434"/>
      <w:bookmarkEnd w:id="362"/>
      <w:bookmarkStart w:id="363" w:name="_Toc184314459"/>
      <w:bookmarkEnd w:id="363"/>
      <w:bookmarkStart w:id="364" w:name="_Toc184313303"/>
      <w:bookmarkEnd w:id="364"/>
      <w:bookmarkStart w:id="365" w:name="_Toc184310290"/>
      <w:bookmarkEnd w:id="365"/>
      <w:bookmarkStart w:id="366" w:name="_Toc184312123"/>
      <w:bookmarkEnd w:id="366"/>
      <w:bookmarkStart w:id="367" w:name="_Toc184310286"/>
      <w:bookmarkEnd w:id="367"/>
      <w:bookmarkStart w:id="368" w:name="_Toc184310342"/>
      <w:bookmarkEnd w:id="368"/>
      <w:bookmarkStart w:id="369" w:name="_Toc184313273"/>
      <w:bookmarkEnd w:id="369"/>
      <w:bookmarkStart w:id="370" w:name="_Toc184310278"/>
      <w:bookmarkEnd w:id="370"/>
      <w:bookmarkStart w:id="371" w:name="_Toc184308075"/>
      <w:bookmarkEnd w:id="371"/>
      <w:bookmarkStart w:id="372" w:name="_Toc184308088"/>
      <w:bookmarkEnd w:id="372"/>
      <w:bookmarkStart w:id="373" w:name="_Toc184312108"/>
      <w:bookmarkEnd w:id="373"/>
      <w:bookmarkStart w:id="374" w:name="_Toc184314435"/>
      <w:bookmarkEnd w:id="374"/>
      <w:bookmarkStart w:id="375" w:name="_Toc184312109"/>
      <w:bookmarkEnd w:id="375"/>
      <w:bookmarkStart w:id="376" w:name="_Toc184310322"/>
      <w:bookmarkEnd w:id="376"/>
      <w:bookmarkStart w:id="377" w:name="_Toc184312076"/>
      <w:bookmarkEnd w:id="377"/>
      <w:bookmarkStart w:id="378" w:name="_Toc184310309"/>
      <w:bookmarkEnd w:id="378"/>
      <w:bookmarkStart w:id="379" w:name="_Toc184314417"/>
      <w:bookmarkEnd w:id="379"/>
      <w:bookmarkStart w:id="380" w:name="_Toc184314412"/>
      <w:bookmarkEnd w:id="380"/>
      <w:bookmarkStart w:id="381" w:name="_Toc184310273"/>
      <w:bookmarkEnd w:id="381"/>
      <w:bookmarkStart w:id="382" w:name="_Toc184308091"/>
      <w:bookmarkEnd w:id="382"/>
      <w:bookmarkStart w:id="383" w:name="_Toc184314480"/>
      <w:bookmarkEnd w:id="383"/>
      <w:bookmarkStart w:id="384" w:name="_Toc184314470"/>
      <w:bookmarkEnd w:id="384"/>
      <w:bookmarkStart w:id="385" w:name="_Toc184314468"/>
      <w:bookmarkEnd w:id="385"/>
      <w:bookmarkStart w:id="386" w:name="_Toc184312082"/>
      <w:bookmarkEnd w:id="386"/>
      <w:bookmarkStart w:id="387" w:name="_Toc184313245"/>
      <w:bookmarkEnd w:id="387"/>
      <w:bookmarkStart w:id="388" w:name="_Toc184310274"/>
      <w:bookmarkEnd w:id="388"/>
      <w:bookmarkStart w:id="389" w:name="_Toc184310305"/>
      <w:bookmarkEnd w:id="389"/>
      <w:bookmarkStart w:id="390" w:name="_Toc184314419"/>
      <w:bookmarkEnd w:id="390"/>
      <w:bookmarkStart w:id="391" w:name="_Toc184313287"/>
      <w:bookmarkEnd w:id="391"/>
      <w:bookmarkStart w:id="392" w:name="_Toc184314439"/>
      <w:bookmarkEnd w:id="392"/>
      <w:bookmarkStart w:id="393" w:name="_Toc184308051"/>
      <w:bookmarkEnd w:id="393"/>
      <w:r>
        <w:rPr>
          <w:rFonts w:hint="eastAsia" w:ascii="宋体" w:hAnsi="宋体" w:cs="宋体"/>
          <w:b/>
          <w:sz w:val="36"/>
          <w:szCs w:val="36"/>
        </w:rPr>
        <w:t>评标办法</w:t>
      </w:r>
    </w:p>
    <w:p>
      <w:pPr>
        <w:snapToGrid w:val="0"/>
        <w:spacing w:line="360" w:lineRule="auto"/>
        <w:jc w:val="center"/>
        <w:rPr>
          <w:rFonts w:ascii="宋体" w:hAnsi="宋体" w:cs="宋体"/>
          <w:b/>
          <w:sz w:val="32"/>
          <w:szCs w:val="20"/>
        </w:rPr>
      </w:pPr>
      <w:r>
        <w:rPr>
          <w:rFonts w:hint="eastAsia" w:ascii="宋体" w:hAnsi="宋体" w:cs="宋体"/>
          <w:b/>
          <w:sz w:val="32"/>
          <w:szCs w:val="20"/>
        </w:rPr>
        <w:t>评标办法前附表</w:t>
      </w:r>
    </w:p>
    <w:tbl>
      <w:tblPr>
        <w:tblStyle w:val="62"/>
        <w:tblpPr w:leftFromText="180" w:rightFromText="180" w:vertAnchor="text" w:horzAnchor="page" w:tblpX="1031" w:tblpY="126"/>
        <w:tblW w:w="54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5686"/>
        <w:gridCol w:w="719"/>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trPr>
        <w:tc>
          <w:tcPr>
            <w:tcW w:w="449" w:type="pct"/>
            <w:vAlign w:val="center"/>
          </w:tcPr>
          <w:p>
            <w:pPr>
              <w:spacing w:line="360" w:lineRule="auto"/>
              <w:jc w:val="center"/>
              <w:outlineLvl w:val="0"/>
              <w:rPr>
                <w:rFonts w:ascii="宋体" w:hAnsi="宋体" w:cs="宋体"/>
                <w:bCs/>
                <w:sz w:val="24"/>
              </w:rPr>
            </w:pPr>
            <w:r>
              <w:rPr>
                <w:rFonts w:hint="eastAsia" w:ascii="宋体" w:hAnsi="宋体" w:cs="宋体"/>
                <w:bCs/>
                <w:sz w:val="24"/>
              </w:rPr>
              <w:t>序号</w:t>
            </w:r>
          </w:p>
        </w:tc>
        <w:tc>
          <w:tcPr>
            <w:tcW w:w="3058" w:type="pct"/>
            <w:vAlign w:val="center"/>
          </w:tcPr>
          <w:p>
            <w:pPr>
              <w:spacing w:line="360" w:lineRule="auto"/>
              <w:ind w:firstLine="1560" w:firstLineChars="650"/>
              <w:outlineLvl w:val="0"/>
              <w:rPr>
                <w:rFonts w:ascii="宋体" w:hAnsi="宋体" w:cs="宋体"/>
                <w:bCs/>
                <w:sz w:val="24"/>
              </w:rPr>
            </w:pPr>
            <w:r>
              <w:rPr>
                <w:rFonts w:hint="eastAsia" w:ascii="宋体" w:hAnsi="宋体" w:cs="宋体"/>
                <w:bCs/>
                <w:sz w:val="24"/>
              </w:rPr>
              <w:t>评标标准</w:t>
            </w:r>
          </w:p>
        </w:tc>
        <w:tc>
          <w:tcPr>
            <w:tcW w:w="386" w:type="pct"/>
            <w:vAlign w:val="center"/>
          </w:tcPr>
          <w:p>
            <w:pPr>
              <w:spacing w:line="360" w:lineRule="auto"/>
              <w:outlineLvl w:val="0"/>
              <w:rPr>
                <w:rFonts w:ascii="宋体" w:hAnsi="宋体" w:cs="宋体"/>
                <w:bCs/>
                <w:sz w:val="24"/>
              </w:rPr>
            </w:pPr>
            <w:r>
              <w:rPr>
                <w:rFonts w:hint="eastAsia" w:ascii="宋体" w:hAnsi="宋体" w:cs="宋体"/>
                <w:bCs/>
                <w:sz w:val="24"/>
              </w:rPr>
              <w:t>权重</w:t>
            </w:r>
          </w:p>
        </w:tc>
        <w:tc>
          <w:tcPr>
            <w:tcW w:w="1105" w:type="pct"/>
          </w:tcPr>
          <w:p>
            <w:pPr>
              <w:spacing w:line="360" w:lineRule="auto"/>
              <w:outlineLvl w:val="0"/>
              <w:rPr>
                <w:rFonts w:ascii="宋体" w:hAnsi="宋体" w:cs="宋体"/>
                <w:bCs/>
                <w:sz w:val="24"/>
              </w:rPr>
            </w:pPr>
            <w:r>
              <w:rPr>
                <w:rFonts w:hint="eastAsia" w:ascii="宋体" w:hAnsi="宋体" w:cs="宋体"/>
                <w:bCs/>
                <w:sz w:val="24"/>
              </w:rPr>
              <w:t>投标文件中评标标准相应的商务技术资料目录</w:t>
            </w:r>
            <w:r>
              <w:rPr>
                <w:rFonts w:hint="eastAsia" w:ascii="宋体" w:hAnsi="宋体" w:cs="宋体"/>
                <w:sz w:val="24"/>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449" w:type="pct"/>
            <w:vAlign w:val="center"/>
          </w:tcPr>
          <w:p>
            <w:pPr>
              <w:spacing w:line="360" w:lineRule="auto"/>
              <w:ind w:firstLine="360" w:firstLineChars="150"/>
              <w:jc w:val="left"/>
              <w:outlineLvl w:val="0"/>
              <w:rPr>
                <w:rFonts w:ascii="宋体" w:hAnsi="宋体" w:cs="宋体"/>
                <w:sz w:val="24"/>
              </w:rPr>
            </w:pPr>
            <w:r>
              <w:rPr>
                <w:rFonts w:hint="eastAsia" w:ascii="宋体" w:hAnsi="宋体" w:cs="宋体"/>
                <w:sz w:val="24"/>
              </w:rPr>
              <w:t>1</w:t>
            </w:r>
          </w:p>
        </w:tc>
        <w:tc>
          <w:tcPr>
            <w:tcW w:w="3058" w:type="pct"/>
            <w:vAlign w:val="center"/>
          </w:tcPr>
          <w:p>
            <w:pPr>
              <w:tabs>
                <w:tab w:val="left" w:pos="3870"/>
                <w:tab w:val="left" w:pos="4085"/>
              </w:tabs>
              <w:autoSpaceDE w:val="0"/>
              <w:autoSpaceDN w:val="0"/>
              <w:spacing w:line="360" w:lineRule="auto"/>
              <w:jc w:val="left"/>
              <w:rPr>
                <w:sz w:val="24"/>
              </w:rPr>
            </w:pPr>
            <w:r>
              <w:rPr>
                <w:rFonts w:hint="eastAsia"/>
                <w:sz w:val="24"/>
              </w:rPr>
              <w:t>投标产品关键技术指标实质性条款（标有“▲”的指标）必须满足，负偏离的作废标处理。</w:t>
            </w:r>
          </w:p>
          <w:p>
            <w:pPr>
              <w:tabs>
                <w:tab w:val="left" w:pos="3870"/>
                <w:tab w:val="left" w:pos="4085"/>
              </w:tabs>
              <w:autoSpaceDE w:val="0"/>
              <w:autoSpaceDN w:val="0"/>
              <w:spacing w:line="360" w:lineRule="auto"/>
              <w:ind w:firstLine="480" w:firstLineChars="200"/>
              <w:jc w:val="left"/>
              <w:rPr>
                <w:rFonts w:ascii="宋体" w:hAnsi="宋体" w:cs="宋体"/>
                <w:sz w:val="24"/>
              </w:rPr>
            </w:pPr>
            <w:r>
              <w:rPr>
                <w:rFonts w:hint="eastAsia"/>
                <w:sz w:val="24"/>
              </w:rPr>
              <w:t>符合明确指标参数（包括所投标产品详细配置、主要技术参数等）得16分。 对非实质性指标有不符合招标需求的或缺漏项的每项扣2分，扣完为止。需提供所投设备（计算机、笔记本）的详细性能指标、参数、品牌、型号及证明货物质量合格及符合招标需求的证明资料予以佐证（原厂产品说明书或产品官方网站截图及链接）。</w:t>
            </w:r>
          </w:p>
        </w:tc>
        <w:tc>
          <w:tcPr>
            <w:tcW w:w="386" w:type="pct"/>
            <w:vAlign w:val="center"/>
          </w:tcPr>
          <w:p>
            <w:pPr>
              <w:spacing w:line="360" w:lineRule="auto"/>
              <w:ind w:firstLine="240" w:firstLineChars="100"/>
              <w:jc w:val="both"/>
              <w:outlineLvl w:val="0"/>
              <w:rPr>
                <w:rFonts w:ascii="宋体" w:hAnsi="宋体" w:cs="宋体"/>
                <w:sz w:val="24"/>
              </w:rPr>
            </w:pPr>
            <w:r>
              <w:rPr>
                <w:rFonts w:hint="eastAsia" w:ascii="宋体" w:hAnsi="宋体" w:cs="宋体"/>
                <w:sz w:val="24"/>
              </w:rPr>
              <w:t>16</w:t>
            </w:r>
          </w:p>
        </w:tc>
        <w:tc>
          <w:tcPr>
            <w:tcW w:w="1105" w:type="pct"/>
            <w:vAlign w:val="center"/>
          </w:tcPr>
          <w:p>
            <w:pPr>
              <w:spacing w:line="360" w:lineRule="auto"/>
              <w:jc w:val="center"/>
              <w:outlineLvl w:val="0"/>
              <w:rPr>
                <w:rFonts w:ascii="宋体" w:hAnsi="宋体" w:cs="宋体"/>
                <w:sz w:val="24"/>
              </w:rPr>
            </w:pPr>
            <w:r>
              <w:rPr>
                <w:rFonts w:hint="eastAsia" w:ascii="宋体" w:hAnsi="宋体"/>
                <w:color w:val="000000"/>
                <w:sz w:val="24"/>
              </w:rPr>
              <w:t>（一）投标产品技术指标、品牌、性能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449" w:type="pct"/>
            <w:vAlign w:val="center"/>
          </w:tcPr>
          <w:p>
            <w:pPr>
              <w:spacing w:line="360" w:lineRule="auto"/>
              <w:ind w:firstLine="360" w:firstLineChars="150"/>
              <w:jc w:val="left"/>
              <w:outlineLvl w:val="0"/>
              <w:rPr>
                <w:rFonts w:hint="eastAsia" w:ascii="宋体" w:hAnsi="宋体" w:eastAsia="宋体" w:cs="宋体"/>
                <w:sz w:val="24"/>
                <w:lang w:val="en-US" w:eastAsia="zh-CN"/>
              </w:rPr>
            </w:pPr>
            <w:r>
              <w:rPr>
                <w:rFonts w:hint="eastAsia" w:ascii="宋体" w:hAnsi="宋体" w:cs="宋体"/>
                <w:sz w:val="24"/>
                <w:lang w:val="en-US" w:eastAsia="zh-CN"/>
              </w:rPr>
              <w:t>2</w:t>
            </w:r>
          </w:p>
        </w:tc>
        <w:tc>
          <w:tcPr>
            <w:tcW w:w="3058" w:type="pct"/>
            <w:vAlign w:val="center"/>
          </w:tcPr>
          <w:p>
            <w:pPr>
              <w:tabs>
                <w:tab w:val="left" w:pos="3870"/>
                <w:tab w:val="left" w:pos="4085"/>
              </w:tabs>
              <w:autoSpaceDE w:val="0"/>
              <w:autoSpaceDN w:val="0"/>
              <w:spacing w:line="360" w:lineRule="auto"/>
              <w:ind w:firstLine="480" w:firstLineChars="200"/>
              <w:jc w:val="left"/>
              <w:rPr>
                <w:rFonts w:hint="eastAsia"/>
                <w:sz w:val="24"/>
                <w:lang w:val="en-US" w:eastAsia="zh-CN"/>
              </w:rPr>
            </w:pPr>
            <w:r>
              <w:rPr>
                <w:rFonts w:hint="eastAsia"/>
                <w:sz w:val="24"/>
                <w:lang w:val="en-US" w:eastAsia="zh-CN"/>
              </w:rPr>
              <w:t>1.</w:t>
            </w:r>
            <w:r>
              <w:rPr>
                <w:rFonts w:hint="eastAsia"/>
                <w:sz w:val="24"/>
              </w:rPr>
              <w:t>所投计算机</w:t>
            </w:r>
            <w:r>
              <w:rPr>
                <w:rFonts w:hint="eastAsia"/>
                <w:sz w:val="24"/>
                <w:lang w:val="en-US" w:eastAsia="zh-CN"/>
              </w:rPr>
              <w:t>品牌</w:t>
            </w:r>
            <w:r>
              <w:rPr>
                <w:rFonts w:hint="eastAsia"/>
                <w:sz w:val="24"/>
              </w:rPr>
              <w:t>的选型和配置</w:t>
            </w:r>
            <w:r>
              <w:rPr>
                <w:rFonts w:hint="eastAsia"/>
                <w:sz w:val="24"/>
                <w:lang w:val="en-US" w:eastAsia="zh-CN"/>
              </w:rPr>
              <w:t>3分)；</w:t>
            </w:r>
          </w:p>
          <w:p>
            <w:pPr>
              <w:tabs>
                <w:tab w:val="left" w:pos="3870"/>
                <w:tab w:val="left" w:pos="4085"/>
              </w:tabs>
              <w:autoSpaceDE w:val="0"/>
              <w:autoSpaceDN w:val="0"/>
              <w:spacing w:line="360" w:lineRule="auto"/>
              <w:ind w:firstLine="480" w:firstLineChars="200"/>
              <w:jc w:val="left"/>
              <w:rPr>
                <w:rFonts w:hint="eastAsia"/>
                <w:sz w:val="24"/>
                <w:lang w:val="en-US" w:eastAsia="zh-CN"/>
              </w:rPr>
            </w:pPr>
            <w:r>
              <w:rPr>
                <w:rFonts w:hint="eastAsia"/>
                <w:sz w:val="24"/>
                <w:lang w:val="en-US" w:eastAsia="zh-CN"/>
              </w:rPr>
              <w:t>2.</w:t>
            </w:r>
            <w:r>
              <w:rPr>
                <w:rFonts w:hint="eastAsia"/>
                <w:sz w:val="24"/>
              </w:rPr>
              <w:t>外观设计、外部接口布置合理性</w:t>
            </w:r>
            <w:r>
              <w:rPr>
                <w:rFonts w:hint="eastAsia"/>
                <w:sz w:val="24"/>
                <w:lang w:val="en-US" w:eastAsia="zh-CN"/>
              </w:rPr>
              <w:t>(1分)；</w:t>
            </w:r>
          </w:p>
          <w:p>
            <w:pPr>
              <w:tabs>
                <w:tab w:val="left" w:pos="3870"/>
                <w:tab w:val="left" w:pos="4085"/>
              </w:tabs>
              <w:autoSpaceDE w:val="0"/>
              <w:autoSpaceDN w:val="0"/>
              <w:spacing w:line="360" w:lineRule="auto"/>
              <w:ind w:firstLine="480" w:firstLineChars="200"/>
              <w:jc w:val="left"/>
              <w:rPr>
                <w:rFonts w:hint="eastAsia"/>
                <w:sz w:val="24"/>
              </w:rPr>
            </w:pPr>
            <w:r>
              <w:rPr>
                <w:rFonts w:hint="eastAsia"/>
                <w:sz w:val="24"/>
                <w:lang w:val="en-US" w:eastAsia="zh-CN"/>
              </w:rPr>
              <w:t>3.笔记本</w:t>
            </w:r>
            <w:r>
              <w:rPr>
                <w:rFonts w:hint="eastAsia"/>
                <w:sz w:val="24"/>
              </w:rPr>
              <w:t>材质</w:t>
            </w:r>
            <w:r>
              <w:rPr>
                <w:rFonts w:hint="eastAsia"/>
                <w:sz w:val="24"/>
                <w:lang w:eastAsia="zh-CN"/>
              </w:rPr>
              <w:t>、</w:t>
            </w:r>
            <w:r>
              <w:rPr>
                <w:rFonts w:hint="eastAsia"/>
                <w:sz w:val="24"/>
              </w:rPr>
              <w:t>轻薄的合理性</w:t>
            </w:r>
            <w:r>
              <w:rPr>
                <w:rFonts w:hint="eastAsia"/>
                <w:sz w:val="24"/>
                <w:lang w:val="en-US" w:eastAsia="zh-CN"/>
              </w:rPr>
              <w:t>(1分)</w:t>
            </w:r>
            <w:r>
              <w:rPr>
                <w:rFonts w:hint="eastAsia"/>
                <w:sz w:val="24"/>
              </w:rPr>
              <w:t>。</w:t>
            </w:r>
          </w:p>
          <w:p>
            <w:pPr>
              <w:tabs>
                <w:tab w:val="left" w:pos="3870"/>
                <w:tab w:val="left" w:pos="4085"/>
              </w:tabs>
              <w:autoSpaceDE w:val="0"/>
              <w:autoSpaceDN w:val="0"/>
              <w:spacing w:line="360" w:lineRule="auto"/>
              <w:ind w:firstLine="482" w:firstLineChars="200"/>
              <w:jc w:val="left"/>
            </w:pPr>
            <w:r>
              <w:rPr>
                <w:rFonts w:hint="eastAsia"/>
                <w:b/>
                <w:bCs/>
                <w:sz w:val="24"/>
              </w:rPr>
              <w:t>须提供所投产品实物图片或者产品彩页（标明材质）作为评分依据。</w:t>
            </w:r>
          </w:p>
        </w:tc>
        <w:tc>
          <w:tcPr>
            <w:tcW w:w="386" w:type="pct"/>
            <w:vAlign w:val="center"/>
          </w:tcPr>
          <w:p>
            <w:pPr>
              <w:jc w:val="center"/>
              <w:rPr>
                <w:rFonts w:hint="eastAsia"/>
                <w:color w:val="000000" w:themeColor="text1"/>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p>
          <w:p>
            <w:pPr>
              <w:pStyle w:val="2"/>
              <w:jc w:val="center"/>
              <w:rPr>
                <w:rFonts w:hint="eastAsia" w:eastAsia="宋体"/>
                <w:lang w:eastAsia="zh-CN"/>
              </w:rPr>
            </w:pPr>
            <w:r>
              <w:rPr>
                <w:rFonts w:hint="eastAsia"/>
                <w:color w:val="000000" w:themeColor="text1"/>
                <w:lang w:val="en-US" w:eastAsia="zh-CN"/>
                <w14:textFill>
                  <w14:solidFill>
                    <w14:schemeClr w14:val="tx1"/>
                  </w14:solidFill>
                </w14:textFill>
              </w:rPr>
              <w:t>5</w:t>
            </w:r>
            <w:r>
              <w:rPr>
                <w:rFonts w:hint="eastAsia"/>
                <w:lang w:val="en-US" w:eastAsia="zh-CN"/>
              </w:rPr>
              <w:t>5</w:t>
            </w:r>
          </w:p>
          <w:p>
            <w:pPr>
              <w:pStyle w:val="2"/>
              <w:jc w:val="center"/>
              <w:rPr>
                <w:rFonts w:hint="eastAsia"/>
              </w:rPr>
            </w:pPr>
          </w:p>
          <w:p>
            <w:pPr>
              <w:pStyle w:val="2"/>
              <w:jc w:val="center"/>
              <w:rPr>
                <w:rFonts w:hint="eastAsia"/>
              </w:rPr>
            </w:pPr>
          </w:p>
          <w:p>
            <w:pPr>
              <w:pStyle w:val="2"/>
              <w:jc w:val="center"/>
              <w:rPr>
                <w:rFonts w:hint="eastAsia" w:eastAsia="宋体"/>
                <w:lang w:val="en-US" w:eastAsia="zh-CN"/>
              </w:rPr>
            </w:pPr>
            <w:r>
              <w:rPr>
                <w:rFonts w:hint="eastAsia" w:cs="宋体"/>
                <w:sz w:val="24"/>
                <w:lang w:val="en-US" w:eastAsia="zh-CN"/>
              </w:rPr>
              <w:t>3</w:t>
            </w:r>
          </w:p>
        </w:tc>
        <w:tc>
          <w:tcPr>
            <w:tcW w:w="1105" w:type="pct"/>
          </w:tcPr>
          <w:p>
            <w:pPr>
              <w:spacing w:line="360" w:lineRule="auto"/>
              <w:outlineLvl w:val="0"/>
              <w:rPr>
                <w:rFonts w:ascii="宋体" w:hAnsi="宋体" w:cs="宋体"/>
                <w:sz w:val="24"/>
              </w:rPr>
            </w:pPr>
            <w:r>
              <w:rPr>
                <w:rFonts w:hint="eastAsia" w:ascii="宋体" w:hAnsi="宋体"/>
                <w:color w:val="000000"/>
                <w:sz w:val="24"/>
              </w:rPr>
              <w:t>（一）投标产品技术指标、品牌、性能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49" w:type="pct"/>
            <w:vAlign w:val="center"/>
          </w:tcPr>
          <w:p>
            <w:pPr>
              <w:spacing w:line="360" w:lineRule="auto"/>
              <w:ind w:firstLine="360" w:firstLineChars="150"/>
              <w:jc w:val="left"/>
              <w:outlineLvl w:val="0"/>
              <w:rPr>
                <w:rFonts w:hint="eastAsia" w:ascii="宋体" w:hAnsi="宋体" w:eastAsia="宋体" w:cs="宋体"/>
                <w:sz w:val="24"/>
                <w:lang w:val="en-US" w:eastAsia="zh-CN"/>
              </w:rPr>
            </w:pPr>
            <w:r>
              <w:rPr>
                <w:rFonts w:hint="eastAsia" w:ascii="宋体" w:hAnsi="宋体" w:cs="宋体"/>
                <w:sz w:val="24"/>
                <w:lang w:val="en-US" w:eastAsia="zh-CN"/>
              </w:rPr>
              <w:t>3</w:t>
            </w:r>
          </w:p>
        </w:tc>
        <w:tc>
          <w:tcPr>
            <w:tcW w:w="3058" w:type="pct"/>
            <w:vAlign w:val="center"/>
          </w:tcPr>
          <w:p>
            <w:pPr>
              <w:autoSpaceDE w:val="0"/>
              <w:autoSpaceDN w:val="0"/>
              <w:spacing w:line="360" w:lineRule="auto"/>
              <w:ind w:firstLine="480" w:firstLineChars="200"/>
              <w:rPr>
                <w:rFonts w:hint="eastAsia"/>
                <w:sz w:val="24"/>
              </w:rPr>
            </w:pPr>
            <w:r>
              <w:rPr>
                <w:rFonts w:hint="eastAsia"/>
                <w:sz w:val="24"/>
                <w:lang w:val="en-US" w:eastAsia="zh-CN"/>
              </w:rPr>
              <w:t>本项目</w:t>
            </w:r>
            <w:r>
              <w:rPr>
                <w:rFonts w:hint="eastAsia"/>
                <w:sz w:val="24"/>
              </w:rPr>
              <w:t>使用</w:t>
            </w:r>
            <w:r>
              <w:rPr>
                <w:rFonts w:hint="eastAsia"/>
                <w:sz w:val="24"/>
                <w:lang w:val="en-US" w:eastAsia="zh-CN"/>
              </w:rPr>
              <w:t>的</w:t>
            </w:r>
            <w:r>
              <w:rPr>
                <w:rFonts w:hint="eastAsia"/>
                <w:sz w:val="24"/>
              </w:rPr>
              <w:t>线材、电脑桌凳、静电地板</w:t>
            </w:r>
            <w:r>
              <w:rPr>
                <w:rFonts w:hint="eastAsia"/>
                <w:sz w:val="24"/>
                <w:lang w:val="en-US" w:eastAsia="zh-CN"/>
              </w:rPr>
              <w:t>整体</w:t>
            </w:r>
            <w:r>
              <w:rPr>
                <w:rFonts w:hint="eastAsia"/>
                <w:sz w:val="24"/>
              </w:rPr>
              <w:t>质量、性能、环保等</w:t>
            </w:r>
            <w:r>
              <w:rPr>
                <w:rFonts w:hint="eastAsia"/>
                <w:sz w:val="24"/>
                <w:lang w:val="en-US" w:eastAsia="zh-CN"/>
              </w:rPr>
              <w:t>检测情况</w:t>
            </w:r>
            <w:r>
              <w:rPr>
                <w:rFonts w:hint="eastAsia"/>
                <w:sz w:val="24"/>
              </w:rPr>
              <w:t>。</w:t>
            </w:r>
          </w:p>
          <w:p>
            <w:pPr>
              <w:autoSpaceDE w:val="0"/>
              <w:autoSpaceDN w:val="0"/>
              <w:spacing w:line="360" w:lineRule="auto"/>
              <w:ind w:firstLine="482" w:firstLineChars="200"/>
              <w:rPr>
                <w:rFonts w:ascii="宋体" w:hAnsi="宋体" w:cs="宋体"/>
                <w:sz w:val="24"/>
              </w:rPr>
            </w:pPr>
            <w:r>
              <w:rPr>
                <w:rFonts w:hint="eastAsia"/>
                <w:b/>
                <w:bCs/>
                <w:sz w:val="24"/>
              </w:rPr>
              <w:t>须提供</w:t>
            </w:r>
            <w:r>
              <w:rPr>
                <w:rFonts w:hint="eastAsia"/>
                <w:b/>
                <w:bCs/>
                <w:sz w:val="24"/>
                <w:lang w:val="en-US" w:eastAsia="zh-CN"/>
              </w:rPr>
              <w:t>所投产品</w:t>
            </w:r>
            <w:r>
              <w:rPr>
                <w:rFonts w:hint="eastAsia"/>
                <w:b/>
                <w:bCs/>
                <w:sz w:val="24"/>
              </w:rPr>
              <w:t>国家认可的检测机构出具的有效期内的合格检测报告，每提供一个得1分，最高得3分。</w:t>
            </w:r>
          </w:p>
        </w:tc>
        <w:tc>
          <w:tcPr>
            <w:tcW w:w="386" w:type="pct"/>
            <w:vAlign w:val="center"/>
          </w:tcPr>
          <w:p>
            <w:pPr>
              <w:spacing w:line="360" w:lineRule="auto"/>
              <w:ind w:firstLine="210" w:firstLineChars="100"/>
              <w:jc w:val="center"/>
              <w:outlineLvl w:val="0"/>
              <w:rPr>
                <w:rFonts w:ascii="宋体" w:hAnsi="宋体" w:cs="宋体"/>
                <w:sz w:val="24"/>
              </w:rPr>
            </w:pPr>
            <w:r>
              <w:rPr>
                <w:rFonts w:hint="eastAsia" w:ascii="宋体" w:hAnsi="宋体" w:cs="宋体"/>
                <w:sz w:val="21"/>
                <w:szCs w:val="21"/>
              </w:rPr>
              <w:t>3</w:t>
            </w:r>
          </w:p>
        </w:tc>
        <w:tc>
          <w:tcPr>
            <w:tcW w:w="1105" w:type="pct"/>
          </w:tcPr>
          <w:p>
            <w:pPr>
              <w:spacing w:line="360" w:lineRule="auto"/>
              <w:outlineLvl w:val="0"/>
              <w:rPr>
                <w:rFonts w:ascii="宋体" w:hAnsi="宋体" w:cs="宋体"/>
                <w:sz w:val="24"/>
              </w:rPr>
            </w:pPr>
            <w:r>
              <w:rPr>
                <w:rFonts w:hint="eastAsia" w:ascii="宋体" w:hAnsi="宋体"/>
                <w:color w:val="000000"/>
                <w:sz w:val="24"/>
              </w:rPr>
              <w:t>（一）投标产品技术指标、品牌、性能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49" w:type="pct"/>
            <w:vAlign w:val="center"/>
          </w:tcPr>
          <w:p>
            <w:pPr>
              <w:ind w:firstLine="210" w:firstLineChars="100"/>
              <w:jc w:val="center"/>
              <w:rPr>
                <w:rFonts w:hint="eastAsia" w:ascii="宋体" w:hAnsi="宋体" w:eastAsia="宋体" w:cs="宋体"/>
                <w:lang w:val="en-US" w:eastAsia="zh-CN"/>
              </w:rPr>
            </w:pPr>
            <w:r>
              <w:rPr>
                <w:rFonts w:hint="eastAsia" w:ascii="宋体" w:hAnsi="宋体" w:cs="宋体"/>
                <w:lang w:val="en-US" w:eastAsia="zh-CN"/>
              </w:rPr>
              <w:t>4</w:t>
            </w:r>
          </w:p>
        </w:tc>
        <w:tc>
          <w:tcPr>
            <w:tcW w:w="3058" w:type="pct"/>
            <w:vAlign w:val="center"/>
          </w:tcPr>
          <w:p>
            <w:pPr>
              <w:rPr>
                <w:rFonts w:ascii="宋体" w:hAnsi="宋体" w:cs="宋体"/>
              </w:rPr>
            </w:pPr>
            <w:r>
              <w:rPr>
                <w:rFonts w:hint="eastAsia"/>
                <w:sz w:val="24"/>
              </w:rPr>
              <w:t xml:space="preserve"> </w:t>
            </w:r>
            <w:r>
              <w:rPr>
                <w:rFonts w:hint="eastAsia"/>
                <w:sz w:val="24"/>
                <w:lang w:val="en-US" w:eastAsia="zh-CN"/>
              </w:rPr>
              <w:t xml:space="preserve">  </w:t>
            </w:r>
            <w:r>
              <w:rPr>
                <w:rFonts w:hint="eastAsia"/>
                <w:sz w:val="24"/>
              </w:rPr>
              <w:t>为方便后期管理，所投的教师机（含主机）、学生机（含主机）、笔记本电脑为同一个品牌的产品的，得2分。</w:t>
            </w:r>
          </w:p>
        </w:tc>
        <w:tc>
          <w:tcPr>
            <w:tcW w:w="386" w:type="pct"/>
            <w:vAlign w:val="center"/>
          </w:tcPr>
          <w:p>
            <w:pPr>
              <w:jc w:val="center"/>
              <w:rPr>
                <w:rFonts w:ascii="宋体" w:hAnsi="宋体" w:cs="宋体"/>
              </w:rPr>
            </w:pPr>
          </w:p>
          <w:p>
            <w:pPr>
              <w:jc w:val="center"/>
              <w:rPr>
                <w:rFonts w:ascii="宋体" w:hAnsi="宋体" w:cs="宋体"/>
              </w:rPr>
            </w:pPr>
            <w:r>
              <w:rPr>
                <w:rFonts w:hint="eastAsia" w:ascii="宋体" w:hAnsi="宋体" w:cs="宋体"/>
              </w:rPr>
              <w:t>2</w:t>
            </w:r>
          </w:p>
        </w:tc>
        <w:tc>
          <w:tcPr>
            <w:tcW w:w="1105" w:type="pct"/>
          </w:tcPr>
          <w:p>
            <w:pPr>
              <w:rPr>
                <w:rFonts w:ascii="宋体" w:hAnsi="宋体" w:cs="宋体"/>
              </w:rPr>
            </w:pPr>
            <w:r>
              <w:rPr>
                <w:rFonts w:hint="eastAsia" w:ascii="宋体" w:hAnsi="宋体"/>
                <w:color w:val="000000"/>
                <w:sz w:val="24"/>
              </w:rPr>
              <w:t>（一）投标产品技术指标、品牌、性能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9" w:type="pct"/>
            <w:vAlign w:val="center"/>
          </w:tcPr>
          <w:p>
            <w:pPr>
              <w:spacing w:line="360" w:lineRule="auto"/>
              <w:ind w:firstLine="360" w:firstLineChars="150"/>
              <w:jc w:val="left"/>
              <w:outlineLvl w:val="0"/>
              <w:rPr>
                <w:rFonts w:hint="eastAsia" w:ascii="宋体" w:hAnsi="宋体" w:eastAsia="宋体" w:cs="宋体"/>
                <w:sz w:val="24"/>
                <w:lang w:val="en-US" w:eastAsia="zh-CN"/>
              </w:rPr>
            </w:pPr>
            <w:r>
              <w:rPr>
                <w:rFonts w:hint="eastAsia" w:ascii="宋体" w:hAnsi="宋体" w:cs="宋体"/>
                <w:sz w:val="24"/>
                <w:lang w:val="en-US" w:eastAsia="zh-CN"/>
              </w:rPr>
              <w:t>5</w:t>
            </w:r>
          </w:p>
        </w:tc>
        <w:tc>
          <w:tcPr>
            <w:tcW w:w="3058" w:type="pct"/>
            <w:vAlign w:val="center"/>
          </w:tcPr>
          <w:p>
            <w:pPr>
              <w:spacing w:line="360" w:lineRule="auto"/>
              <w:ind w:firstLine="360" w:firstLineChars="150"/>
              <w:jc w:val="left"/>
              <w:outlineLvl w:val="0"/>
              <w:rPr>
                <w:rFonts w:hint="eastAsia" w:ascii="宋体" w:hAnsi="宋体" w:cs="宋体"/>
                <w:sz w:val="24"/>
                <w:lang w:val="zh-CN"/>
              </w:rPr>
            </w:pPr>
            <w:r>
              <w:rPr>
                <w:rFonts w:hint="eastAsia" w:ascii="宋体" w:hAnsi="宋体" w:cs="宋体"/>
                <w:sz w:val="24"/>
                <w:lang w:val="zh-CN"/>
              </w:rPr>
              <w:t>投标人组织实施方案，组织机构、工作程序和步骤、管理和协调</w:t>
            </w:r>
            <w:r>
              <w:rPr>
                <w:rFonts w:hint="eastAsia" w:ascii="宋体" w:hAnsi="宋体" w:cs="宋体"/>
                <w:sz w:val="24"/>
                <w:lang w:val="en-US" w:eastAsia="zh-CN"/>
              </w:rPr>
              <w:t>方案等；</w:t>
            </w:r>
            <w:r>
              <w:rPr>
                <w:rFonts w:hint="eastAsia" w:ascii="宋体" w:hAnsi="宋体" w:cs="宋体"/>
                <w:sz w:val="24"/>
                <w:lang w:val="zh-CN"/>
              </w:rPr>
              <w:t>产品供货、验货、系统集成、安装调试、系统管理培训、系统运行维护培训、</w:t>
            </w:r>
            <w:r>
              <w:rPr>
                <w:rFonts w:hint="eastAsia" w:ascii="宋体" w:hAnsi="宋体" w:cs="宋体"/>
                <w:sz w:val="24"/>
                <w:lang w:val="en-US" w:eastAsia="zh-CN"/>
              </w:rPr>
              <w:t>验收方案</w:t>
            </w:r>
            <w:r>
              <w:rPr>
                <w:rFonts w:hint="eastAsia" w:ascii="宋体" w:hAnsi="宋体" w:cs="宋体"/>
                <w:sz w:val="24"/>
                <w:lang w:val="zh-CN"/>
              </w:rPr>
              <w:t>等内容</w:t>
            </w:r>
            <w:r>
              <w:rPr>
                <w:rFonts w:hint="eastAsia" w:ascii="宋体" w:hAnsi="宋体" w:cs="宋体"/>
                <w:sz w:val="24"/>
                <w:lang w:val="en-US" w:eastAsia="zh-CN"/>
              </w:rPr>
              <w:t>；</w:t>
            </w:r>
            <w:r>
              <w:rPr>
                <w:rFonts w:hint="eastAsia" w:ascii="宋体" w:hAnsi="宋体" w:cs="宋体"/>
                <w:sz w:val="24"/>
                <w:lang w:val="zh-CN"/>
              </w:rPr>
              <w:t>确保按时交付、正常运作等情况的合理性、可行性打分（</w:t>
            </w:r>
            <w:r>
              <w:rPr>
                <w:rFonts w:hint="eastAsia" w:ascii="宋体" w:hAnsi="宋体" w:cs="宋体"/>
                <w:sz w:val="24"/>
                <w:lang w:val="en-US" w:eastAsia="zh-CN"/>
              </w:rPr>
              <w:t>3分）</w:t>
            </w:r>
            <w:r>
              <w:rPr>
                <w:rFonts w:hint="eastAsia" w:ascii="宋体" w:hAnsi="宋体" w:cs="宋体"/>
                <w:sz w:val="24"/>
                <w:lang w:val="zh-CN"/>
              </w:rPr>
              <w:t>。</w:t>
            </w:r>
          </w:p>
          <w:p>
            <w:pPr>
              <w:spacing w:line="360" w:lineRule="auto"/>
              <w:ind w:firstLine="360" w:firstLineChars="150"/>
              <w:jc w:val="left"/>
              <w:outlineLvl w:val="0"/>
              <w:rPr>
                <w:rFonts w:hint="default" w:ascii="宋体" w:hAnsi="宋体" w:cs="宋体"/>
                <w:sz w:val="24"/>
                <w:lang w:val="en-US"/>
              </w:rPr>
            </w:pPr>
            <w:r>
              <w:rPr>
                <w:rFonts w:hint="eastAsia" w:ascii="宋体" w:hAnsi="宋体" w:cs="宋体"/>
                <w:sz w:val="24"/>
                <w:lang w:val="en-US" w:eastAsia="zh-CN"/>
              </w:rPr>
              <w:t>本项目在实施过程中须确保学校正常教学秩序，根据投标人提供的具体实施、保障措施方案，并提供承诺的（2分）。</w:t>
            </w:r>
          </w:p>
        </w:tc>
        <w:tc>
          <w:tcPr>
            <w:tcW w:w="386" w:type="pct"/>
            <w:vAlign w:val="center"/>
          </w:tcPr>
          <w:p>
            <w:pPr>
              <w:spacing w:line="360" w:lineRule="auto"/>
              <w:jc w:val="center"/>
              <w:outlineLvl w:val="0"/>
              <w:rPr>
                <w:rFonts w:hint="eastAsia" w:ascii="宋体" w:hAnsi="宋体" w:cs="宋体"/>
                <w:sz w:val="24"/>
                <w:lang w:val="en-US" w:eastAsia="zh-CN"/>
              </w:rPr>
            </w:pPr>
          </w:p>
          <w:p>
            <w:pPr>
              <w:spacing w:line="360" w:lineRule="auto"/>
              <w:jc w:val="center"/>
              <w:outlineLvl w:val="0"/>
              <w:rPr>
                <w:rFonts w:hint="eastAsia" w:ascii="宋体" w:hAnsi="宋体" w:cs="宋体"/>
                <w:sz w:val="24"/>
                <w:lang w:val="en-US" w:eastAsia="zh-CN"/>
              </w:rPr>
            </w:pPr>
          </w:p>
          <w:p>
            <w:pPr>
              <w:spacing w:line="360" w:lineRule="auto"/>
              <w:jc w:val="center"/>
              <w:outlineLvl w:val="0"/>
              <w:rPr>
                <w:rFonts w:hint="default" w:ascii="宋体" w:hAnsi="宋体" w:cs="宋体"/>
                <w:sz w:val="24"/>
                <w:lang w:val="en-US" w:eastAsia="zh-CN"/>
              </w:rPr>
            </w:pPr>
            <w:r>
              <w:rPr>
                <w:rFonts w:hint="eastAsia" w:ascii="宋体" w:hAnsi="宋体" w:cs="宋体"/>
                <w:sz w:val="24"/>
                <w:lang w:val="en-US" w:eastAsia="zh-CN"/>
              </w:rPr>
              <w:t>5</w:t>
            </w:r>
          </w:p>
        </w:tc>
        <w:tc>
          <w:tcPr>
            <w:tcW w:w="1105" w:type="pct"/>
          </w:tcPr>
          <w:p>
            <w:pPr>
              <w:spacing w:line="360" w:lineRule="auto"/>
              <w:jc w:val="left"/>
              <w:outlineLvl w:val="0"/>
              <w:rPr>
                <w:rFonts w:hint="eastAsia" w:ascii="宋体" w:hAnsi="宋体" w:cs="宋体"/>
                <w:sz w:val="24"/>
              </w:rPr>
            </w:pPr>
            <w:r>
              <w:rPr>
                <w:rFonts w:hint="eastAsia" w:ascii="宋体" w:hAnsi="宋体" w:cs="宋体"/>
                <w:sz w:val="24"/>
              </w:rPr>
              <w:t>（二）项目实施方案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49" w:type="pct"/>
            <w:vAlign w:val="center"/>
          </w:tcPr>
          <w:p>
            <w:pPr>
              <w:jc w:val="center"/>
              <w:rPr>
                <w:rFonts w:hint="eastAsia" w:ascii="宋体" w:hAnsi="宋体" w:eastAsia="宋体" w:cs="宋体"/>
                <w:lang w:val="en-US" w:eastAsia="zh-CN"/>
              </w:rPr>
            </w:pPr>
            <w:r>
              <w:rPr>
                <w:rFonts w:hint="eastAsia" w:ascii="宋体" w:hAnsi="宋体" w:cs="宋体"/>
                <w:lang w:val="en-US" w:eastAsia="zh-CN"/>
              </w:rPr>
              <w:t>6</w:t>
            </w:r>
          </w:p>
        </w:tc>
        <w:tc>
          <w:tcPr>
            <w:tcW w:w="3058" w:type="pct"/>
            <w:vAlign w:val="center"/>
          </w:tcPr>
          <w:p>
            <w:pPr>
              <w:autoSpaceDE w:val="0"/>
              <w:autoSpaceDN w:val="0"/>
              <w:spacing w:line="360" w:lineRule="auto"/>
              <w:ind w:firstLine="480" w:firstLineChars="200"/>
              <w:rPr>
                <w:sz w:val="24"/>
              </w:rPr>
            </w:pPr>
            <w:r>
              <w:rPr>
                <w:rFonts w:hint="eastAsia" w:ascii="宋体" w:hAnsi="宋体" w:cs="宋体"/>
                <w:sz w:val="24"/>
              </w:rPr>
              <w:t>拟</w:t>
            </w:r>
            <w:r>
              <w:rPr>
                <w:rFonts w:hint="eastAsia" w:ascii="宋体" w:hAnsi="宋体" w:cs="宋体"/>
                <w:sz w:val="24"/>
                <w:lang w:val="zh-CN"/>
              </w:rPr>
              <w:t>担任</w:t>
            </w:r>
            <w:r>
              <w:rPr>
                <w:rFonts w:hint="eastAsia" w:ascii="宋体" w:hAnsi="宋体" w:cs="宋体"/>
                <w:sz w:val="24"/>
              </w:rPr>
              <w:t>项目主要</w:t>
            </w:r>
            <w:r>
              <w:rPr>
                <w:rFonts w:hint="eastAsia" w:ascii="宋体" w:hAnsi="宋体" w:cs="宋体"/>
                <w:sz w:val="24"/>
                <w:lang w:val="zh-CN"/>
              </w:rPr>
              <w:t>负责人</w:t>
            </w:r>
            <w:r>
              <w:rPr>
                <w:rFonts w:hint="eastAsia" w:ascii="宋体" w:hAnsi="宋体" w:cs="宋体"/>
                <w:sz w:val="24"/>
              </w:rPr>
              <w:t>与本项目实施相关的专业职称</w:t>
            </w:r>
            <w:r>
              <w:rPr>
                <w:rFonts w:hint="eastAsia" w:ascii="宋体" w:hAnsi="宋体" w:cs="宋体"/>
                <w:sz w:val="24"/>
                <w:lang w:val="zh-CN"/>
              </w:rPr>
              <w:t>以及</w:t>
            </w:r>
            <w:r>
              <w:rPr>
                <w:rFonts w:hint="eastAsia" w:ascii="宋体" w:hAnsi="宋体" w:cs="宋体"/>
                <w:sz w:val="24"/>
              </w:rPr>
              <w:t>结合成功实施项目</w:t>
            </w:r>
            <w:r>
              <w:rPr>
                <w:rFonts w:hint="eastAsia" w:ascii="宋体" w:hAnsi="宋体" w:cs="宋体"/>
                <w:sz w:val="24"/>
                <w:lang w:val="zh-CN"/>
              </w:rPr>
              <w:t>经验</w:t>
            </w:r>
            <w:r>
              <w:rPr>
                <w:rFonts w:hint="eastAsia" w:ascii="宋体" w:hAnsi="宋体" w:cs="宋体"/>
                <w:sz w:val="24"/>
              </w:rPr>
              <w:t>案例情况打分</w:t>
            </w:r>
            <w:r>
              <w:rPr>
                <w:rFonts w:hint="eastAsia" w:ascii="宋体" w:hAnsi="宋体" w:cs="宋体"/>
                <w:sz w:val="24"/>
                <w:lang w:val="zh-CN"/>
              </w:rPr>
              <w:t>。（</w:t>
            </w:r>
            <w:r>
              <w:rPr>
                <w:rFonts w:hint="eastAsia" w:ascii="宋体" w:hAnsi="宋体" w:cs="宋体"/>
                <w:sz w:val="24"/>
              </w:rPr>
              <w:t>提供</w:t>
            </w:r>
            <w:r>
              <w:rPr>
                <w:rFonts w:hint="eastAsia" w:ascii="宋体" w:hAnsi="宋体" w:cs="宋体"/>
                <w:sz w:val="24"/>
                <w:lang w:val="zh-CN"/>
              </w:rPr>
              <w:t>社保</w:t>
            </w:r>
            <w:r>
              <w:rPr>
                <w:rFonts w:hint="eastAsia" w:ascii="宋体" w:hAnsi="宋体" w:cs="宋体"/>
                <w:sz w:val="24"/>
              </w:rPr>
              <w:t>证明</w:t>
            </w:r>
            <w:r>
              <w:rPr>
                <w:rFonts w:hint="eastAsia" w:ascii="宋体" w:hAnsi="宋体" w:cs="宋体"/>
                <w:sz w:val="24"/>
                <w:lang w:val="zh-CN"/>
              </w:rPr>
              <w:t>、</w:t>
            </w:r>
            <w:r>
              <w:rPr>
                <w:rFonts w:hint="eastAsia" w:ascii="宋体" w:hAnsi="宋体" w:cs="宋体"/>
                <w:sz w:val="24"/>
              </w:rPr>
              <w:t>证书</w:t>
            </w:r>
            <w:r>
              <w:rPr>
                <w:rFonts w:hint="eastAsia" w:ascii="宋体" w:hAnsi="宋体" w:cs="宋体"/>
                <w:sz w:val="24"/>
                <w:lang w:eastAsia="zh-CN"/>
              </w:rPr>
              <w:t>原件或复印件扫描件</w:t>
            </w:r>
            <w:r>
              <w:rPr>
                <w:rFonts w:hint="eastAsia" w:ascii="宋体" w:hAnsi="宋体" w:cs="宋体"/>
                <w:sz w:val="24"/>
              </w:rPr>
              <w:t>、案例介绍</w:t>
            </w:r>
            <w:r>
              <w:rPr>
                <w:rFonts w:hint="eastAsia" w:ascii="宋体" w:hAnsi="宋体" w:cs="宋体"/>
                <w:sz w:val="24"/>
                <w:lang w:val="zh-CN"/>
              </w:rPr>
              <w:t>等</w:t>
            </w:r>
            <w:r>
              <w:rPr>
                <w:rFonts w:hint="eastAsia" w:ascii="宋体" w:hAnsi="宋体" w:cs="宋体"/>
                <w:sz w:val="24"/>
              </w:rPr>
              <w:t>盖投标人公章</w:t>
            </w:r>
            <w:r>
              <w:rPr>
                <w:rFonts w:hint="eastAsia" w:ascii="宋体" w:hAnsi="宋体" w:cs="宋体"/>
                <w:sz w:val="24"/>
                <w:lang w:val="zh-CN"/>
              </w:rPr>
              <w:t>）</w:t>
            </w:r>
          </w:p>
        </w:tc>
        <w:tc>
          <w:tcPr>
            <w:tcW w:w="386" w:type="pct"/>
            <w:vAlign w:val="center"/>
          </w:tcPr>
          <w:p>
            <w:pPr>
              <w:jc w:val="center"/>
              <w:rPr>
                <w:rFonts w:hint="eastAsia" w:ascii="宋体" w:hAnsi="宋体" w:cs="宋体"/>
              </w:rPr>
            </w:pPr>
          </w:p>
          <w:p>
            <w:pPr>
              <w:jc w:val="center"/>
              <w:rPr>
                <w:rFonts w:hint="eastAsia" w:ascii="宋体" w:hAnsi="宋体" w:cs="宋体"/>
              </w:rPr>
            </w:pPr>
          </w:p>
          <w:p>
            <w:pPr>
              <w:jc w:val="center"/>
              <w:rPr>
                <w:rFonts w:ascii="宋体" w:hAnsi="宋体" w:cs="宋体"/>
              </w:rPr>
            </w:pPr>
            <w:r>
              <w:rPr>
                <w:rFonts w:hint="eastAsia" w:ascii="宋体" w:hAnsi="宋体" w:cs="宋体"/>
              </w:rPr>
              <w:t>2</w:t>
            </w:r>
          </w:p>
        </w:tc>
        <w:tc>
          <w:tcPr>
            <w:tcW w:w="1105" w:type="pct"/>
          </w:tcPr>
          <w:p>
            <w:pPr>
              <w:rPr>
                <w:rFonts w:ascii="宋体" w:hAnsi="宋体" w:cs="宋体"/>
              </w:rPr>
            </w:pPr>
            <w:r>
              <w:rPr>
                <w:rFonts w:hint="eastAsia" w:ascii="宋体" w:hAnsi="宋体"/>
                <w:color w:val="000000"/>
                <w:sz w:val="24"/>
              </w:rPr>
              <w:t>（二）项目实施方案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49" w:type="pct"/>
            <w:vAlign w:val="center"/>
          </w:tcPr>
          <w:p>
            <w:pPr>
              <w:jc w:val="center"/>
              <w:rPr>
                <w:rFonts w:hint="eastAsia" w:ascii="宋体" w:hAnsi="宋体" w:eastAsia="宋体" w:cs="宋体"/>
                <w:lang w:eastAsia="zh-CN"/>
              </w:rPr>
            </w:pPr>
            <w:r>
              <w:rPr>
                <w:rFonts w:hint="eastAsia" w:ascii="宋体" w:hAnsi="宋体" w:cs="宋体"/>
                <w:lang w:val="en-US" w:eastAsia="zh-CN"/>
              </w:rPr>
              <w:t>7</w:t>
            </w:r>
          </w:p>
        </w:tc>
        <w:tc>
          <w:tcPr>
            <w:tcW w:w="3058" w:type="pct"/>
            <w:vAlign w:val="center"/>
          </w:tcPr>
          <w:p>
            <w:pPr>
              <w:pStyle w:val="21"/>
              <w:ind w:firstLine="480" w:firstLineChars="200"/>
              <w:rPr>
                <w:rFonts w:hint="eastAsia" w:ascii="Times New Roman" w:hAnsi="Times New Roman" w:eastAsia="宋体" w:cs="Times New Roman"/>
                <w:sz w:val="24"/>
                <w:lang w:val="zh-CN"/>
              </w:rPr>
            </w:pPr>
            <w:r>
              <w:rPr>
                <w:rFonts w:hint="eastAsia"/>
                <w:sz w:val="24"/>
              </w:rPr>
              <w:t>本</w:t>
            </w:r>
            <w:r>
              <w:rPr>
                <w:rFonts w:hint="eastAsia"/>
                <w:sz w:val="24"/>
                <w:lang w:val="zh-CN"/>
              </w:rPr>
              <w:t>项目实施</w:t>
            </w:r>
            <w:r>
              <w:rPr>
                <w:rFonts w:hint="eastAsia"/>
                <w:sz w:val="24"/>
                <w:lang w:val="en-US" w:eastAsia="zh-CN"/>
              </w:rPr>
              <w:t>人员的</w:t>
            </w:r>
            <w:r>
              <w:rPr>
                <w:rFonts w:hint="eastAsia"/>
                <w:sz w:val="24"/>
                <w:lang w:val="zh-CN"/>
              </w:rPr>
              <w:t>专业素质、技术能力、系统集成等情况，数量充足，配置合理。</w:t>
            </w:r>
            <w:r>
              <w:rPr>
                <w:rFonts w:hint="eastAsia" w:ascii="宋体" w:hAnsi="宋体" w:cs="宋体"/>
                <w:sz w:val="24"/>
              </w:rPr>
              <w:t>根据团队人员结构</w:t>
            </w:r>
            <w:r>
              <w:rPr>
                <w:rFonts w:hint="eastAsia" w:ascii="Times New Roman" w:hAnsi="Times New Roman" w:eastAsia="宋体" w:cs="Times New Roman"/>
                <w:sz w:val="24"/>
                <w:lang w:val="zh-CN"/>
              </w:rPr>
              <w:t>、团队内每个成员的工作履历、资质证书、项目实施经历等相关材料</w:t>
            </w:r>
            <w:r>
              <w:rPr>
                <w:rFonts w:hint="eastAsia" w:ascii="Times New Roman" w:hAnsi="Times New Roman" w:eastAsia="宋体" w:cs="Times New Roman"/>
                <w:sz w:val="24"/>
                <w:lang w:val="zh-CN" w:eastAsia="zh-CN"/>
              </w:rPr>
              <w:t>（</w:t>
            </w:r>
            <w:r>
              <w:rPr>
                <w:rFonts w:hint="eastAsia" w:ascii="Times New Roman" w:hAnsi="Times New Roman" w:eastAsia="宋体" w:cs="Times New Roman"/>
                <w:sz w:val="24"/>
                <w:lang w:val="en-US" w:eastAsia="zh-CN"/>
              </w:rPr>
              <w:t>按人员数量、</w:t>
            </w:r>
            <w:r>
              <w:rPr>
                <w:rFonts w:hint="eastAsia" w:ascii="Times New Roman" w:hAnsi="Times New Roman" w:eastAsia="宋体" w:cs="Times New Roman"/>
                <w:sz w:val="24"/>
                <w:lang w:val="zh-CN"/>
              </w:rPr>
              <w:t>经验履历丰富程度</w:t>
            </w:r>
            <w:r>
              <w:rPr>
                <w:rFonts w:hint="eastAsia" w:cs="Times New Roman"/>
                <w:sz w:val="24"/>
                <w:lang w:val="zh-CN"/>
              </w:rPr>
              <w:t>、</w:t>
            </w:r>
            <w:r>
              <w:rPr>
                <w:rFonts w:hint="eastAsia" w:cs="Times New Roman"/>
                <w:sz w:val="24"/>
                <w:lang w:val="en-US" w:eastAsia="zh-CN"/>
              </w:rPr>
              <w:t>专业技术水平等</w:t>
            </w:r>
            <w:r>
              <w:rPr>
                <w:rFonts w:hint="eastAsia" w:ascii="Times New Roman" w:hAnsi="Times New Roman" w:eastAsia="宋体" w:cs="Times New Roman"/>
                <w:sz w:val="24"/>
                <w:lang w:val="zh-CN" w:eastAsia="zh-CN"/>
              </w:rPr>
              <w:t>）（</w:t>
            </w:r>
            <w:r>
              <w:rPr>
                <w:rFonts w:hint="eastAsia" w:cs="Times New Roman"/>
                <w:sz w:val="24"/>
                <w:lang w:val="en-US" w:eastAsia="zh-CN"/>
              </w:rPr>
              <w:t>5</w:t>
            </w:r>
            <w:r>
              <w:rPr>
                <w:rFonts w:hint="eastAsia" w:ascii="Times New Roman" w:hAnsi="Times New Roman" w:eastAsia="宋体" w:cs="Times New Roman"/>
                <w:sz w:val="24"/>
                <w:lang w:val="zh-CN"/>
              </w:rPr>
              <w:t>分</w:t>
            </w:r>
            <w:r>
              <w:rPr>
                <w:rFonts w:hint="eastAsia" w:ascii="Times New Roman" w:hAnsi="Times New Roman" w:eastAsia="宋体" w:cs="Times New Roman"/>
                <w:sz w:val="24"/>
                <w:lang w:val="zh-CN" w:eastAsia="zh-CN"/>
              </w:rPr>
              <w:t>）</w:t>
            </w:r>
            <w:r>
              <w:rPr>
                <w:rFonts w:hint="eastAsia" w:ascii="Times New Roman" w:hAnsi="Times New Roman" w:eastAsia="宋体" w:cs="Times New Roman"/>
                <w:sz w:val="24"/>
                <w:lang w:val="zh-CN"/>
              </w:rPr>
              <w:t>；</w:t>
            </w:r>
          </w:p>
          <w:p>
            <w:pPr>
              <w:pStyle w:val="21"/>
              <w:rPr>
                <w:sz w:val="24"/>
              </w:rPr>
            </w:pPr>
            <w:r>
              <w:rPr>
                <w:rFonts w:hint="eastAsia"/>
                <w:b/>
                <w:bCs/>
                <w:sz w:val="24"/>
                <w:lang w:val="zh-CN"/>
              </w:rPr>
              <w:t>（</w:t>
            </w:r>
            <w:r>
              <w:rPr>
                <w:rFonts w:hint="eastAsia"/>
                <w:b/>
                <w:bCs/>
                <w:sz w:val="24"/>
              </w:rPr>
              <w:t>需提供</w:t>
            </w:r>
            <w:r>
              <w:rPr>
                <w:rFonts w:hint="eastAsia"/>
                <w:b/>
                <w:bCs/>
                <w:sz w:val="24"/>
                <w:lang w:val="zh-CN"/>
              </w:rPr>
              <w:t>主要技术人员社保</w:t>
            </w:r>
            <w:r>
              <w:rPr>
                <w:rFonts w:hint="eastAsia"/>
                <w:b/>
                <w:bCs/>
                <w:sz w:val="24"/>
                <w:lang w:val="en-US" w:eastAsia="zh-CN"/>
              </w:rPr>
              <w:t>证明</w:t>
            </w:r>
            <w:r>
              <w:rPr>
                <w:rFonts w:hint="eastAsia"/>
                <w:b/>
                <w:bCs/>
                <w:sz w:val="24"/>
                <w:lang w:val="zh-CN"/>
              </w:rPr>
              <w:t>、相关经验履历情况、国家认可的</w:t>
            </w:r>
            <w:r>
              <w:rPr>
                <w:rFonts w:hint="eastAsia"/>
                <w:b/>
                <w:bCs/>
                <w:sz w:val="24"/>
              </w:rPr>
              <w:t>相关</w:t>
            </w:r>
            <w:r>
              <w:rPr>
                <w:rFonts w:hint="eastAsia"/>
                <w:b/>
                <w:bCs/>
                <w:sz w:val="24"/>
                <w:lang w:val="zh-CN"/>
              </w:rPr>
              <w:t>专业</w:t>
            </w:r>
            <w:r>
              <w:rPr>
                <w:rFonts w:hint="eastAsia"/>
                <w:b/>
                <w:bCs/>
                <w:sz w:val="24"/>
              </w:rPr>
              <w:t>技术</w:t>
            </w:r>
            <w:r>
              <w:rPr>
                <w:rFonts w:hint="eastAsia"/>
                <w:b/>
                <w:bCs/>
                <w:sz w:val="24"/>
                <w:lang w:val="zh-CN"/>
              </w:rPr>
              <w:t>证书等。）</w:t>
            </w:r>
          </w:p>
        </w:tc>
        <w:tc>
          <w:tcPr>
            <w:tcW w:w="386" w:type="pct"/>
            <w:vAlign w:val="center"/>
          </w:tcPr>
          <w:p>
            <w:pPr>
              <w:jc w:val="center"/>
              <w:rPr>
                <w:rFonts w:hint="eastAsia" w:ascii="宋体" w:hAnsi="宋体" w:cs="宋体"/>
                <w:lang w:val="en-US" w:eastAsia="zh-CN"/>
              </w:rPr>
            </w:pPr>
          </w:p>
          <w:p>
            <w:pPr>
              <w:jc w:val="center"/>
              <w:rPr>
                <w:rFonts w:hint="eastAsia" w:ascii="宋体" w:hAnsi="宋体" w:cs="宋体"/>
                <w:lang w:val="en-US" w:eastAsia="zh-CN"/>
              </w:rPr>
            </w:pPr>
          </w:p>
          <w:p>
            <w:pPr>
              <w:jc w:val="center"/>
              <w:rPr>
                <w:rFonts w:hint="eastAsia" w:ascii="宋体" w:hAnsi="宋体" w:eastAsia="宋体" w:cs="宋体"/>
                <w:lang w:val="en-US" w:eastAsia="zh-CN"/>
              </w:rPr>
            </w:pPr>
            <w:r>
              <w:rPr>
                <w:rFonts w:hint="eastAsia" w:ascii="宋体" w:hAnsi="宋体" w:cs="宋体"/>
                <w:lang w:val="en-US" w:eastAsia="zh-CN"/>
              </w:rPr>
              <w:t>5</w:t>
            </w:r>
          </w:p>
        </w:tc>
        <w:tc>
          <w:tcPr>
            <w:tcW w:w="1105" w:type="pct"/>
          </w:tcPr>
          <w:p>
            <w:pPr>
              <w:rPr>
                <w:rFonts w:ascii="宋体" w:hAnsi="宋体" w:cs="宋体"/>
              </w:rPr>
            </w:pPr>
            <w:r>
              <w:rPr>
                <w:rFonts w:hint="eastAsia" w:ascii="宋体" w:hAnsi="宋体"/>
                <w:color w:val="000000"/>
                <w:sz w:val="24"/>
              </w:rPr>
              <w:t>（二）项目实施方案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49" w:type="pct"/>
            <w:vAlign w:val="center"/>
          </w:tcPr>
          <w:p>
            <w:pPr>
              <w:jc w:val="center"/>
              <w:rPr>
                <w:rFonts w:hint="eastAsia" w:ascii="宋体" w:hAnsi="宋体" w:eastAsia="宋体" w:cs="宋体"/>
                <w:lang w:val="en-US" w:eastAsia="zh-CN"/>
              </w:rPr>
            </w:pPr>
            <w:r>
              <w:rPr>
                <w:rFonts w:hint="eastAsia" w:ascii="宋体" w:hAnsi="宋体" w:cs="宋体"/>
                <w:lang w:val="en-US" w:eastAsia="zh-CN"/>
              </w:rPr>
              <w:t>8</w:t>
            </w:r>
          </w:p>
        </w:tc>
        <w:tc>
          <w:tcPr>
            <w:tcW w:w="3058" w:type="pct"/>
            <w:vAlign w:val="center"/>
          </w:tcPr>
          <w:p>
            <w:pPr>
              <w:pStyle w:val="2"/>
              <w:ind w:firstLine="482"/>
              <w:rPr>
                <w:rFonts w:cs="宋体"/>
                <w:b/>
                <w:bCs/>
                <w:sz w:val="24"/>
                <w:highlight w:val="none"/>
                <w:lang w:val="zh-CN"/>
              </w:rPr>
            </w:pPr>
            <w:r>
              <w:rPr>
                <w:rFonts w:hint="eastAsia" w:cs="宋体"/>
                <w:b/>
                <w:bCs/>
                <w:sz w:val="24"/>
                <w:highlight w:val="none"/>
                <w:lang w:val="zh-CN"/>
              </w:rPr>
              <w:t>投标产品取得有效的政府采购节能产品认证证书、环境标志产品认证证书的提供情况（已列入强制要求的除外）（提供证书原件或复印件扫描件加盖投标人公章）</w:t>
            </w:r>
          </w:p>
          <w:p>
            <w:pPr>
              <w:pStyle w:val="2"/>
              <w:ind w:firstLine="482"/>
              <w:rPr>
                <w:rFonts w:cs="宋体"/>
                <w:b/>
                <w:bCs/>
                <w:sz w:val="24"/>
                <w:highlight w:val="none"/>
                <w:lang w:val="zh-CN"/>
              </w:rPr>
            </w:pPr>
            <w:r>
              <w:rPr>
                <w:rFonts w:hint="eastAsia" w:cs="宋体"/>
                <w:b/>
                <w:bCs/>
                <w:sz w:val="24"/>
                <w:highlight w:val="none"/>
                <w:lang w:val="zh-CN"/>
              </w:rPr>
              <w:t>①所投学生台式电脑取得环境标志产品认证证书的，得</w:t>
            </w:r>
            <w:r>
              <w:rPr>
                <w:rFonts w:cs="宋体"/>
                <w:b/>
                <w:bCs/>
                <w:sz w:val="24"/>
                <w:highlight w:val="none"/>
                <w:lang w:val="zh-CN"/>
              </w:rPr>
              <w:t>0.5</w:t>
            </w:r>
            <w:r>
              <w:rPr>
                <w:rFonts w:hint="eastAsia" w:cs="宋体"/>
                <w:b/>
                <w:bCs/>
                <w:sz w:val="24"/>
                <w:highlight w:val="none"/>
                <w:lang w:val="zh-CN"/>
              </w:rPr>
              <w:t>分。</w:t>
            </w:r>
          </w:p>
          <w:p>
            <w:pPr>
              <w:pStyle w:val="2"/>
              <w:ind w:firstLine="482"/>
              <w:rPr>
                <w:rFonts w:cs="宋体"/>
                <w:b/>
                <w:bCs/>
                <w:sz w:val="24"/>
                <w:highlight w:val="none"/>
                <w:lang w:val="zh-CN"/>
              </w:rPr>
            </w:pPr>
            <w:r>
              <w:rPr>
                <w:rFonts w:hint="eastAsia" w:cs="宋体"/>
                <w:b/>
                <w:bCs/>
                <w:sz w:val="24"/>
                <w:highlight w:val="none"/>
                <w:lang w:val="zh-CN"/>
              </w:rPr>
              <w:t>②所投教师台式电脑取得环境标志产品认证证书的，得</w:t>
            </w:r>
            <w:r>
              <w:rPr>
                <w:rFonts w:cs="宋体"/>
                <w:b/>
                <w:bCs/>
                <w:sz w:val="24"/>
                <w:highlight w:val="none"/>
                <w:lang w:val="zh-CN"/>
              </w:rPr>
              <w:t>0.5</w:t>
            </w:r>
            <w:r>
              <w:rPr>
                <w:rFonts w:hint="eastAsia" w:cs="宋体"/>
                <w:b/>
                <w:bCs/>
                <w:sz w:val="24"/>
                <w:highlight w:val="none"/>
                <w:lang w:val="zh-CN"/>
              </w:rPr>
              <w:t>分。</w:t>
            </w:r>
          </w:p>
          <w:p>
            <w:pPr>
              <w:pStyle w:val="2"/>
              <w:ind w:firstLine="482"/>
              <w:rPr>
                <w:rFonts w:hint="eastAsia"/>
                <w:highlight w:val="none"/>
              </w:rPr>
            </w:pPr>
            <w:r>
              <w:rPr>
                <w:rFonts w:hint="eastAsia" w:cs="宋体"/>
                <w:b/>
                <w:bCs/>
                <w:sz w:val="24"/>
                <w:highlight w:val="none"/>
                <w:lang w:val="zh-CN"/>
              </w:rPr>
              <w:t>③所投其他货物取得节能产品认证证书、环境标志产品认证证书的，每张证书得0.5分，最多得1分。</w:t>
            </w:r>
          </w:p>
          <w:p>
            <w:pPr>
              <w:rPr>
                <w:rFonts w:hint="eastAsia" w:ascii="Times New Roman" w:hAnsi="Times New Roman" w:eastAsia="宋体" w:cs="Times New Roman"/>
                <w:kern w:val="2"/>
                <w:sz w:val="24"/>
                <w:szCs w:val="24"/>
                <w:highlight w:val="none"/>
                <w:lang w:val="zh-CN" w:eastAsia="zh-CN" w:bidi="ar-SA"/>
              </w:rPr>
            </w:pPr>
            <w:r>
              <w:rPr>
                <w:rFonts w:hint="eastAsia" w:ascii="宋体" w:hAnsi="宋体" w:cs="宋体"/>
                <w:b/>
                <w:bCs/>
                <w:sz w:val="24"/>
                <w:highlight w:val="none"/>
              </w:rPr>
              <w:t>注：提供相应证明材料，否则不得分。</w:t>
            </w:r>
          </w:p>
        </w:tc>
        <w:tc>
          <w:tcPr>
            <w:tcW w:w="386" w:type="pct"/>
            <w:vAlign w:val="center"/>
          </w:tcPr>
          <w:p>
            <w:pPr>
              <w:jc w:val="center"/>
              <w:rPr>
                <w:rFonts w:hint="eastAsia" w:ascii="宋体" w:hAnsi="宋体" w:eastAsia="宋体" w:cs="宋体"/>
                <w:kern w:val="2"/>
                <w:sz w:val="21"/>
                <w:szCs w:val="24"/>
                <w:highlight w:val="none"/>
                <w:lang w:val="en-US" w:eastAsia="zh-CN" w:bidi="ar-SA"/>
              </w:rPr>
            </w:pPr>
          </w:p>
          <w:p>
            <w:pPr>
              <w:jc w:val="center"/>
              <w:rPr>
                <w:rFonts w:hint="eastAsia" w:ascii="宋体" w:hAnsi="宋体" w:eastAsia="宋体" w:cs="宋体"/>
                <w:kern w:val="2"/>
                <w:sz w:val="21"/>
                <w:szCs w:val="24"/>
                <w:highlight w:val="none"/>
                <w:lang w:val="en-US" w:eastAsia="zh-CN" w:bidi="ar-SA"/>
              </w:rPr>
            </w:pPr>
          </w:p>
          <w:p>
            <w:pPr>
              <w:jc w:val="center"/>
              <w:rPr>
                <w:rFonts w:hint="default" w:ascii="宋体" w:hAnsi="宋体" w:eastAsia="宋体" w:cs="宋体"/>
                <w:kern w:val="2"/>
                <w:sz w:val="21"/>
                <w:szCs w:val="24"/>
                <w:highlight w:val="none"/>
                <w:lang w:val="en-US" w:eastAsia="zh-CN" w:bidi="ar-SA"/>
              </w:rPr>
            </w:pPr>
            <w:r>
              <w:rPr>
                <w:rFonts w:hint="eastAsia" w:ascii="宋体" w:hAnsi="宋体" w:cs="宋体"/>
                <w:kern w:val="2"/>
                <w:sz w:val="21"/>
                <w:szCs w:val="24"/>
                <w:highlight w:val="none"/>
                <w:lang w:val="en-US" w:eastAsia="zh-CN" w:bidi="ar-SA"/>
              </w:rPr>
              <w:t>2</w:t>
            </w:r>
          </w:p>
        </w:tc>
        <w:tc>
          <w:tcPr>
            <w:tcW w:w="1105" w:type="pct"/>
          </w:tcPr>
          <w:p>
            <w:pPr>
              <w:rPr>
                <w:rFonts w:hint="eastAsia" w:ascii="宋体" w:hAnsi="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49" w:type="pct"/>
            <w:vAlign w:val="center"/>
          </w:tcPr>
          <w:p>
            <w:pPr>
              <w:jc w:val="center"/>
              <w:rPr>
                <w:rFonts w:hint="eastAsia" w:ascii="宋体" w:hAnsi="宋体" w:eastAsia="宋体" w:cs="宋体"/>
                <w:lang w:eastAsia="zh-CN"/>
              </w:rPr>
            </w:pPr>
            <w:r>
              <w:rPr>
                <w:rFonts w:hint="eastAsia" w:ascii="宋体" w:hAnsi="宋体" w:cs="宋体"/>
                <w:lang w:val="en-US" w:eastAsia="zh-CN"/>
              </w:rPr>
              <w:t>9</w:t>
            </w:r>
          </w:p>
        </w:tc>
        <w:tc>
          <w:tcPr>
            <w:tcW w:w="3058" w:type="pct"/>
            <w:vAlign w:val="center"/>
          </w:tcPr>
          <w:p>
            <w:pPr>
              <w:ind w:firstLine="480" w:firstLineChars="200"/>
              <w:rPr>
                <w:sz w:val="24"/>
              </w:rPr>
            </w:pPr>
            <w:r>
              <w:rPr>
                <w:rFonts w:hint="eastAsia"/>
                <w:sz w:val="24"/>
              </w:rPr>
              <w:t xml:space="preserve"> 投标人项目实施质量: 根据投标人的类似成功案例情况评判打分，没有下列情况的得2分。项目实施过程中存有未完成履约的（非不可抗因素除外，但需提供采购人证明材料）每有一个扣</w:t>
            </w:r>
            <w:r>
              <w:rPr>
                <w:rFonts w:hint="eastAsia"/>
                <w:sz w:val="24"/>
                <w:lang w:val="en-US" w:eastAsia="zh-CN"/>
              </w:rPr>
              <w:t>2</w:t>
            </w:r>
            <w:r>
              <w:rPr>
                <w:rFonts w:hint="eastAsia"/>
                <w:sz w:val="24"/>
              </w:rPr>
              <w:t>分。根据投标人业绩</w:t>
            </w:r>
            <w:r>
              <w:rPr>
                <w:rFonts w:hint="eastAsia"/>
                <w:color w:val="000000" w:themeColor="text1"/>
                <w:sz w:val="24"/>
                <w:lang w:eastAsia="zh-CN"/>
                <w14:textFill>
                  <w14:solidFill>
                    <w14:schemeClr w14:val="tx1"/>
                  </w14:solidFill>
                </w14:textFill>
              </w:rPr>
              <w:t>（</w:t>
            </w:r>
            <w:r>
              <w:rPr>
                <w:rFonts w:hint="eastAsia"/>
                <w:color w:val="000000" w:themeColor="text1"/>
                <w:sz w:val="24"/>
                <w:lang w:val="zh-CN"/>
                <w14:textFill>
                  <w14:solidFill>
                    <w14:schemeClr w14:val="tx1"/>
                  </w14:solidFill>
                </w14:textFill>
              </w:rPr>
              <w:t>合同及验收报告，</w:t>
            </w:r>
            <w:r>
              <w:rPr>
                <w:rFonts w:hint="eastAsia"/>
                <w:color w:val="000000" w:themeColor="text1"/>
                <w:sz w:val="24"/>
                <w:lang w:val="en-US" w:eastAsia="zh-CN"/>
                <w14:textFill>
                  <w14:solidFill>
                    <w14:schemeClr w14:val="tx1"/>
                  </w14:solidFill>
                </w14:textFill>
              </w:rPr>
              <w:t>分段验收项目需提供全部验收报告</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提供材料</w:t>
            </w:r>
            <w:r>
              <w:rPr>
                <w:rFonts w:hint="eastAsia"/>
                <w:sz w:val="24"/>
              </w:rPr>
              <w:t>或采购人提供的历年项目履约未到位的依据进行打分，验收报告中若有整改条款的，需提供已整改到位证明材料，未提供不得分。</w:t>
            </w:r>
          </w:p>
        </w:tc>
        <w:tc>
          <w:tcPr>
            <w:tcW w:w="386" w:type="pct"/>
            <w:vAlign w:val="center"/>
          </w:tcPr>
          <w:p>
            <w:pPr>
              <w:jc w:val="center"/>
              <w:rPr>
                <w:rFonts w:hint="eastAsia" w:ascii="宋体" w:hAnsi="宋体" w:cs="宋体"/>
              </w:rPr>
            </w:pPr>
          </w:p>
          <w:p>
            <w:pPr>
              <w:jc w:val="center"/>
              <w:rPr>
                <w:rFonts w:hint="eastAsia" w:ascii="宋体" w:hAnsi="宋体" w:cs="宋体"/>
              </w:rPr>
            </w:pPr>
          </w:p>
          <w:p>
            <w:pPr>
              <w:jc w:val="center"/>
              <w:rPr>
                <w:rFonts w:hint="eastAsia" w:ascii="宋体" w:hAnsi="宋体" w:cs="宋体"/>
              </w:rPr>
            </w:pPr>
          </w:p>
          <w:p>
            <w:pPr>
              <w:jc w:val="center"/>
              <w:rPr>
                <w:rFonts w:hint="eastAsia" w:ascii="宋体" w:hAnsi="宋体" w:cs="宋体"/>
              </w:rPr>
            </w:pPr>
          </w:p>
          <w:p>
            <w:pPr>
              <w:jc w:val="center"/>
              <w:rPr>
                <w:rFonts w:ascii="宋体" w:hAnsi="宋体" w:cs="宋体"/>
              </w:rPr>
            </w:pPr>
            <w:r>
              <w:rPr>
                <w:rFonts w:hint="eastAsia" w:ascii="宋体" w:hAnsi="宋体" w:cs="宋体"/>
              </w:rPr>
              <w:t>2</w:t>
            </w:r>
          </w:p>
        </w:tc>
        <w:tc>
          <w:tcPr>
            <w:tcW w:w="1105" w:type="pct"/>
          </w:tcPr>
          <w:p>
            <w:pPr>
              <w:rPr>
                <w:rFonts w:ascii="宋体" w:hAnsi="宋体" w:cs="宋体"/>
              </w:rPr>
            </w:pPr>
            <w:r>
              <w:rPr>
                <w:rFonts w:hint="eastAsia" w:ascii="宋体" w:hAnsi="宋体"/>
                <w:color w:val="000000"/>
                <w:sz w:val="24"/>
              </w:rPr>
              <w:t>（二）项目实施方案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449" w:type="pct"/>
            <w:vAlign w:val="center"/>
          </w:tcPr>
          <w:p>
            <w:pPr>
              <w:jc w:val="center"/>
              <w:rPr>
                <w:rFonts w:hint="eastAsia" w:ascii="宋体" w:hAnsi="宋体" w:eastAsia="宋体" w:cs="宋体"/>
                <w:lang w:val="en-US" w:eastAsia="zh-CN"/>
              </w:rPr>
            </w:pPr>
            <w:r>
              <w:rPr>
                <w:rFonts w:hint="eastAsia" w:ascii="宋体" w:hAnsi="宋体" w:cs="宋体"/>
              </w:rPr>
              <w:t>1</w:t>
            </w:r>
            <w:r>
              <w:rPr>
                <w:rFonts w:hint="eastAsia" w:ascii="宋体" w:hAnsi="宋体" w:cs="宋体"/>
                <w:lang w:val="en-US" w:eastAsia="zh-CN"/>
              </w:rPr>
              <w:t>0</w:t>
            </w:r>
          </w:p>
        </w:tc>
        <w:tc>
          <w:tcPr>
            <w:tcW w:w="3058" w:type="pct"/>
            <w:vAlign w:val="center"/>
          </w:tcPr>
          <w:p>
            <w:pPr>
              <w:ind w:firstLine="480" w:firstLineChars="200"/>
              <w:rPr>
                <w:sz w:val="24"/>
              </w:rPr>
            </w:pPr>
            <w:r>
              <w:rPr>
                <w:rFonts w:hint="eastAsia"/>
                <w:sz w:val="24"/>
                <w:lang w:val="zh-CN"/>
              </w:rPr>
              <w:t>投标人从20</w:t>
            </w:r>
            <w:r>
              <w:rPr>
                <w:rFonts w:hint="eastAsia"/>
                <w:sz w:val="24"/>
                <w:lang w:val="en-US" w:eastAsia="zh-CN"/>
              </w:rPr>
              <w:t>20</w:t>
            </w:r>
            <w:r>
              <w:rPr>
                <w:rFonts w:hint="eastAsia"/>
                <w:sz w:val="24"/>
                <w:lang w:val="zh-CN"/>
              </w:rPr>
              <w:t>年</w:t>
            </w:r>
            <w:r>
              <w:rPr>
                <w:rFonts w:hint="eastAsia"/>
                <w:sz w:val="24"/>
                <w:lang w:val="en-US" w:eastAsia="zh-CN"/>
              </w:rPr>
              <w:t>1月1日</w:t>
            </w:r>
            <w:r>
              <w:rPr>
                <w:rFonts w:hint="eastAsia"/>
                <w:sz w:val="24"/>
                <w:lang w:val="zh-CN"/>
              </w:rPr>
              <w:t>（以合同签订期为准）以来类似政府采购项目成功案例,每有一个得</w:t>
            </w:r>
            <w:r>
              <w:rPr>
                <w:rFonts w:hint="eastAsia"/>
                <w:sz w:val="24"/>
              </w:rPr>
              <w:t>1</w:t>
            </w:r>
            <w:r>
              <w:rPr>
                <w:rFonts w:hint="eastAsia"/>
                <w:sz w:val="24"/>
                <w:lang w:val="zh-CN"/>
              </w:rPr>
              <w:t>分，最高得</w:t>
            </w:r>
            <w:r>
              <w:rPr>
                <w:rFonts w:hint="eastAsia"/>
                <w:sz w:val="24"/>
              </w:rPr>
              <w:t>4</w:t>
            </w:r>
            <w:r>
              <w:rPr>
                <w:rFonts w:hint="eastAsia"/>
                <w:sz w:val="24"/>
                <w:lang w:val="zh-CN"/>
              </w:rPr>
              <w:t>分。同时提供项目中标通知书、合同及验收报告（分段验收需齐全）原件或复印件扫描件，</w:t>
            </w:r>
            <w:r>
              <w:rPr>
                <w:b/>
                <w:sz w:val="24"/>
                <w:lang w:val="zh-CN"/>
              </w:rPr>
              <w:t>如未提供</w:t>
            </w:r>
            <w:r>
              <w:rPr>
                <w:rFonts w:hint="eastAsia"/>
                <w:b/>
                <w:sz w:val="24"/>
                <w:lang w:val="zh-CN"/>
              </w:rPr>
              <w:t>和提供不全</w:t>
            </w:r>
            <w:r>
              <w:rPr>
                <w:b/>
                <w:sz w:val="24"/>
                <w:lang w:val="zh-CN"/>
              </w:rPr>
              <w:t>的，该项不得</w:t>
            </w:r>
            <w:r>
              <w:rPr>
                <w:b/>
                <w:bCs/>
                <w:sz w:val="24"/>
                <w:lang w:val="zh-CN"/>
              </w:rPr>
              <w:t>分</w:t>
            </w:r>
            <w:r>
              <w:rPr>
                <w:rFonts w:hint="eastAsia"/>
                <w:sz w:val="24"/>
                <w:lang w:val="zh-CN"/>
              </w:rPr>
              <w:t>。</w:t>
            </w:r>
          </w:p>
        </w:tc>
        <w:tc>
          <w:tcPr>
            <w:tcW w:w="386" w:type="pct"/>
            <w:vAlign w:val="center"/>
          </w:tcPr>
          <w:p>
            <w:pPr>
              <w:jc w:val="center"/>
              <w:rPr>
                <w:rFonts w:hint="eastAsia" w:ascii="宋体" w:hAnsi="宋体" w:cs="宋体"/>
              </w:rPr>
            </w:pPr>
          </w:p>
          <w:p>
            <w:pPr>
              <w:jc w:val="center"/>
              <w:rPr>
                <w:rFonts w:hint="eastAsia" w:ascii="宋体" w:hAnsi="宋体" w:cs="宋体"/>
              </w:rPr>
            </w:pPr>
          </w:p>
          <w:p>
            <w:pPr>
              <w:jc w:val="center"/>
              <w:rPr>
                <w:rFonts w:hint="default" w:ascii="宋体" w:hAnsi="宋体" w:eastAsia="宋体" w:cs="宋体"/>
                <w:lang w:val="en-US" w:eastAsia="zh-CN"/>
              </w:rPr>
            </w:pPr>
            <w:r>
              <w:rPr>
                <w:rFonts w:hint="eastAsia" w:ascii="宋体" w:hAnsi="宋体" w:cs="宋体"/>
              </w:rPr>
              <w:t>4</w:t>
            </w:r>
          </w:p>
        </w:tc>
        <w:tc>
          <w:tcPr>
            <w:tcW w:w="1105" w:type="pct"/>
          </w:tcPr>
          <w:p>
            <w:pPr>
              <w:rPr>
                <w:rFonts w:ascii="宋体" w:hAnsi="宋体" w:cs="宋体"/>
              </w:rPr>
            </w:pPr>
            <w:r>
              <w:rPr>
                <w:rFonts w:hint="eastAsia" w:ascii="宋体" w:hAnsi="宋体" w:cs="宋体"/>
              </w:rPr>
              <w:t>（三）投标人业绩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49" w:type="pct"/>
            <w:vAlign w:val="center"/>
          </w:tcPr>
          <w:p>
            <w:pPr>
              <w:jc w:val="center"/>
              <w:rPr>
                <w:rFonts w:hint="eastAsia" w:ascii="宋体" w:hAnsi="宋体" w:eastAsia="宋体" w:cs="宋体"/>
                <w:lang w:val="en-US" w:eastAsia="zh-CN"/>
              </w:rPr>
            </w:pPr>
            <w:r>
              <w:rPr>
                <w:rFonts w:hint="eastAsia" w:ascii="宋体" w:hAnsi="宋体" w:cs="宋体"/>
              </w:rPr>
              <w:t>1</w:t>
            </w:r>
            <w:r>
              <w:rPr>
                <w:rFonts w:hint="eastAsia" w:ascii="宋体" w:hAnsi="宋体" w:cs="宋体"/>
                <w:lang w:val="en-US" w:eastAsia="zh-CN"/>
              </w:rPr>
              <w:t>1</w:t>
            </w:r>
          </w:p>
        </w:tc>
        <w:tc>
          <w:tcPr>
            <w:tcW w:w="3058" w:type="pct"/>
            <w:vAlign w:val="center"/>
          </w:tcPr>
          <w:p>
            <w:pPr>
              <w:ind w:firstLine="480" w:firstLineChars="200"/>
              <w:rPr>
                <w:sz w:val="24"/>
              </w:rPr>
            </w:pPr>
            <w:r>
              <w:rPr>
                <w:rFonts w:hint="eastAsia"/>
                <w:sz w:val="24"/>
                <w:lang w:val="zh-CN"/>
              </w:rPr>
              <w:t>投标</w:t>
            </w:r>
            <w:r>
              <w:rPr>
                <w:rFonts w:hint="eastAsia"/>
                <w:sz w:val="24"/>
              </w:rPr>
              <w:t>产品</w:t>
            </w:r>
            <w:r>
              <w:rPr>
                <w:rFonts w:hint="eastAsia"/>
                <w:sz w:val="24"/>
                <w:lang w:val="zh-CN"/>
              </w:rPr>
              <w:t>品牌生产商是否通过</w:t>
            </w:r>
            <w:r>
              <w:rPr>
                <w:sz w:val="24"/>
                <w:lang w:val="zh-CN"/>
              </w:rPr>
              <w:t>ISO9001</w:t>
            </w:r>
            <w:r>
              <w:rPr>
                <w:rFonts w:hint="eastAsia"/>
                <w:sz w:val="24"/>
                <w:lang w:val="zh-CN"/>
              </w:rPr>
              <w:t>质量管理体系认证、</w:t>
            </w:r>
            <w:r>
              <w:rPr>
                <w:sz w:val="24"/>
                <w:lang w:val="zh-CN"/>
              </w:rPr>
              <w:t>ISO1400</w:t>
            </w:r>
            <w:r>
              <w:rPr>
                <w:rFonts w:hint="eastAsia"/>
                <w:sz w:val="24"/>
                <w:lang w:val="zh-CN"/>
              </w:rPr>
              <w:t>1环境体系认证、 ISO45001</w:t>
            </w:r>
            <w:r>
              <w:fldChar w:fldCharType="begin"/>
            </w:r>
            <w:r>
              <w:instrText xml:space="preserve"> HYPERLINK "https://baike.baidu.com/item/%E8%81%8C%E4%B8%9A%E5%81%A5%E5%BA%B7/7608684" \t "_blank" </w:instrText>
            </w:r>
            <w:r>
              <w:fldChar w:fldCharType="separate"/>
            </w:r>
            <w:r>
              <w:rPr>
                <w:sz w:val="24"/>
              </w:rPr>
              <w:t>职业健康</w:t>
            </w:r>
            <w:r>
              <w:rPr>
                <w:sz w:val="24"/>
              </w:rPr>
              <w:fldChar w:fldCharType="end"/>
            </w:r>
            <w:r>
              <w:rPr>
                <w:sz w:val="24"/>
              </w:rPr>
              <w:t>安全管理体系</w:t>
            </w:r>
            <w:r>
              <w:rPr>
                <w:rFonts w:hint="eastAsia"/>
                <w:sz w:val="24"/>
                <w:lang w:val="zh-CN"/>
              </w:rPr>
              <w:t>认证，</w:t>
            </w:r>
            <w:r>
              <w:rPr>
                <w:rFonts w:hint="eastAsia" w:ascii="宋体" w:hAnsi="宋体" w:cs="宋体"/>
                <w:sz w:val="24"/>
              </w:rPr>
              <w:t>信息技术服务管理体系证书的</w:t>
            </w:r>
            <w:r>
              <w:rPr>
                <w:rFonts w:hint="eastAsia" w:ascii="宋体" w:hAnsi="宋体" w:cs="宋体"/>
                <w:sz w:val="24"/>
                <w:lang w:val="zh-CN"/>
              </w:rPr>
              <w:t>，</w:t>
            </w:r>
            <w:r>
              <w:rPr>
                <w:rFonts w:hint="eastAsia"/>
                <w:sz w:val="24"/>
                <w:lang w:val="zh-CN"/>
              </w:rPr>
              <w:t>凭相关有效证书原件或复印件扫描件，每</w:t>
            </w:r>
            <w:r>
              <w:rPr>
                <w:rFonts w:hint="eastAsia"/>
                <w:sz w:val="24"/>
              </w:rPr>
              <w:t>有一</w:t>
            </w:r>
            <w:r>
              <w:rPr>
                <w:rFonts w:hint="eastAsia"/>
                <w:sz w:val="24"/>
                <w:lang w:val="zh-CN"/>
              </w:rPr>
              <w:t>个得</w:t>
            </w:r>
            <w:r>
              <w:rPr>
                <w:sz w:val="24"/>
                <w:lang w:val="zh-CN"/>
              </w:rPr>
              <w:t>1</w:t>
            </w:r>
            <w:r>
              <w:rPr>
                <w:rFonts w:hint="eastAsia"/>
                <w:sz w:val="24"/>
                <w:lang w:val="zh-CN"/>
              </w:rPr>
              <w:t>分，共</w:t>
            </w:r>
            <w:r>
              <w:rPr>
                <w:rFonts w:hint="eastAsia"/>
                <w:sz w:val="24"/>
              </w:rPr>
              <w:t>4</w:t>
            </w:r>
            <w:r>
              <w:rPr>
                <w:rFonts w:hint="eastAsia"/>
                <w:sz w:val="24"/>
                <w:lang w:val="zh-CN"/>
              </w:rPr>
              <w:t>分。</w:t>
            </w:r>
          </w:p>
        </w:tc>
        <w:tc>
          <w:tcPr>
            <w:tcW w:w="386" w:type="pct"/>
            <w:vAlign w:val="center"/>
          </w:tcPr>
          <w:p>
            <w:pPr>
              <w:jc w:val="center"/>
              <w:rPr>
                <w:rFonts w:hint="eastAsia" w:ascii="宋体" w:hAnsi="宋体" w:cs="宋体"/>
              </w:rPr>
            </w:pPr>
          </w:p>
          <w:p>
            <w:pPr>
              <w:jc w:val="center"/>
              <w:rPr>
                <w:rFonts w:ascii="宋体" w:hAnsi="宋体" w:cs="宋体"/>
              </w:rPr>
            </w:pPr>
            <w:r>
              <w:rPr>
                <w:rFonts w:hint="eastAsia" w:ascii="宋体" w:hAnsi="宋体" w:cs="宋体"/>
              </w:rPr>
              <w:t>4</w:t>
            </w:r>
          </w:p>
        </w:tc>
        <w:tc>
          <w:tcPr>
            <w:tcW w:w="1105" w:type="pct"/>
          </w:tcPr>
          <w:p>
            <w:pPr>
              <w:rPr>
                <w:rFonts w:ascii="宋体" w:hAnsi="宋体" w:cs="宋体"/>
              </w:rPr>
            </w:pPr>
            <w:r>
              <w:rPr>
                <w:rFonts w:hint="eastAsia" w:ascii="宋体" w:hAnsi="宋体" w:cs="宋体"/>
              </w:rPr>
              <w:t>（四）证书与荣誉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49" w:type="pct"/>
            <w:vAlign w:val="center"/>
          </w:tcPr>
          <w:p>
            <w:pPr>
              <w:jc w:val="center"/>
              <w:rPr>
                <w:rFonts w:hint="eastAsia" w:ascii="宋体" w:hAnsi="宋体" w:eastAsia="宋体" w:cs="宋体"/>
                <w:lang w:val="en-US" w:eastAsia="zh-CN"/>
              </w:rPr>
            </w:pPr>
            <w:r>
              <w:rPr>
                <w:rFonts w:hint="eastAsia" w:ascii="宋体" w:hAnsi="宋体" w:cs="宋体"/>
              </w:rPr>
              <w:t>1</w:t>
            </w:r>
            <w:r>
              <w:rPr>
                <w:rFonts w:hint="eastAsia" w:ascii="宋体" w:hAnsi="宋体" w:cs="宋体"/>
                <w:lang w:val="en-US" w:eastAsia="zh-CN"/>
              </w:rPr>
              <w:t>2</w:t>
            </w:r>
          </w:p>
        </w:tc>
        <w:tc>
          <w:tcPr>
            <w:tcW w:w="3058" w:type="pct"/>
            <w:vAlign w:val="center"/>
          </w:tcPr>
          <w:p>
            <w:pPr>
              <w:ind w:firstLine="480" w:firstLineChars="200"/>
              <w:rPr>
                <w:sz w:val="24"/>
              </w:rPr>
            </w:pPr>
            <w:r>
              <w:rPr>
                <w:rFonts w:hint="eastAsia"/>
                <w:sz w:val="24"/>
                <w:lang w:val="zh-CN"/>
              </w:rPr>
              <w:t>提供</w:t>
            </w:r>
            <w:r>
              <w:rPr>
                <w:rFonts w:hint="eastAsia"/>
                <w:sz w:val="24"/>
              </w:rPr>
              <w:t>投标型号</w:t>
            </w:r>
            <w:r>
              <w:rPr>
                <w:rFonts w:hint="eastAsia"/>
                <w:sz w:val="24"/>
                <w:lang w:val="zh-CN"/>
              </w:rPr>
              <w:t>液晶显示器TUV低蓝光护眼证书，凭有效证书原件或复印件扫描件，得1分。</w:t>
            </w:r>
          </w:p>
        </w:tc>
        <w:tc>
          <w:tcPr>
            <w:tcW w:w="386" w:type="pct"/>
            <w:vAlign w:val="center"/>
          </w:tcPr>
          <w:p>
            <w:pPr>
              <w:jc w:val="center"/>
              <w:rPr>
                <w:rFonts w:ascii="宋体" w:hAnsi="宋体" w:cs="宋体"/>
              </w:rPr>
            </w:pPr>
            <w:r>
              <w:rPr>
                <w:rFonts w:hint="eastAsia" w:ascii="宋体" w:hAnsi="宋体" w:cs="宋体"/>
              </w:rPr>
              <w:t>1</w:t>
            </w:r>
          </w:p>
        </w:tc>
        <w:tc>
          <w:tcPr>
            <w:tcW w:w="1105" w:type="pct"/>
          </w:tcPr>
          <w:p>
            <w:pPr>
              <w:rPr>
                <w:rFonts w:ascii="宋体" w:hAnsi="宋体" w:cs="宋体"/>
              </w:rPr>
            </w:pPr>
            <w:r>
              <w:rPr>
                <w:rFonts w:hint="eastAsia" w:ascii="宋体" w:hAnsi="宋体" w:cs="宋体"/>
              </w:rPr>
              <w:t>（四）证书与荣誉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449" w:type="pct"/>
            <w:vAlign w:val="center"/>
          </w:tcPr>
          <w:p>
            <w:pPr>
              <w:jc w:val="center"/>
              <w:rPr>
                <w:rFonts w:hint="eastAsia" w:ascii="宋体" w:hAnsi="宋体" w:eastAsia="宋体" w:cs="宋体"/>
                <w:lang w:val="en-US" w:eastAsia="zh-CN"/>
              </w:rPr>
            </w:pPr>
            <w:r>
              <w:rPr>
                <w:rFonts w:hint="eastAsia" w:ascii="宋体" w:hAnsi="宋体" w:cs="宋体"/>
              </w:rPr>
              <w:t>1</w:t>
            </w:r>
            <w:r>
              <w:rPr>
                <w:rFonts w:hint="eastAsia" w:ascii="宋体" w:hAnsi="宋体" w:cs="宋体"/>
                <w:lang w:val="en-US" w:eastAsia="zh-CN"/>
              </w:rPr>
              <w:t>3</w:t>
            </w:r>
          </w:p>
        </w:tc>
        <w:tc>
          <w:tcPr>
            <w:tcW w:w="3058" w:type="pct"/>
            <w:vAlign w:val="center"/>
          </w:tcPr>
          <w:p>
            <w:pPr>
              <w:ind w:firstLine="480" w:firstLineChars="200"/>
              <w:rPr>
                <w:sz w:val="24"/>
                <w:lang w:val="zh-CN"/>
              </w:rPr>
            </w:pPr>
            <w:r>
              <w:rPr>
                <w:rFonts w:hint="eastAsia"/>
                <w:sz w:val="24"/>
              </w:rPr>
              <w:t>计算机</w:t>
            </w:r>
            <w:r>
              <w:rPr>
                <w:rFonts w:hint="eastAsia"/>
                <w:sz w:val="24"/>
                <w:lang w:val="zh-CN"/>
              </w:rPr>
              <w:t>具有国家确定的认证机构出具的计算机防火或阻燃的证书，凭有效证书原件或复印件扫描件，得 1 分。</w:t>
            </w:r>
          </w:p>
        </w:tc>
        <w:tc>
          <w:tcPr>
            <w:tcW w:w="386" w:type="pct"/>
            <w:vAlign w:val="center"/>
          </w:tcPr>
          <w:p>
            <w:pPr>
              <w:jc w:val="center"/>
              <w:rPr>
                <w:rFonts w:ascii="宋体" w:hAnsi="宋体" w:cs="宋体"/>
              </w:rPr>
            </w:pPr>
            <w:r>
              <w:rPr>
                <w:rFonts w:hint="eastAsia" w:ascii="宋体" w:hAnsi="宋体" w:cs="宋体"/>
              </w:rPr>
              <w:t>1</w:t>
            </w:r>
          </w:p>
        </w:tc>
        <w:tc>
          <w:tcPr>
            <w:tcW w:w="1105" w:type="pct"/>
          </w:tcPr>
          <w:p>
            <w:pPr>
              <w:rPr>
                <w:rFonts w:ascii="宋体" w:hAnsi="宋体" w:cs="宋体"/>
              </w:rPr>
            </w:pPr>
            <w:r>
              <w:rPr>
                <w:rFonts w:hint="eastAsia" w:ascii="宋体" w:hAnsi="宋体" w:cs="宋体"/>
              </w:rPr>
              <w:t>（四）证书与荣誉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449" w:type="pct"/>
            <w:vAlign w:val="center"/>
          </w:tcPr>
          <w:p>
            <w:pPr>
              <w:jc w:val="center"/>
              <w:rPr>
                <w:rFonts w:hint="eastAsia" w:ascii="宋体" w:hAnsi="宋体" w:eastAsia="宋体" w:cs="宋体"/>
                <w:lang w:val="en-US" w:eastAsia="zh-CN"/>
              </w:rPr>
            </w:pPr>
            <w:r>
              <w:rPr>
                <w:rFonts w:hint="eastAsia" w:ascii="宋体" w:hAnsi="宋体" w:cs="宋体"/>
              </w:rPr>
              <w:t>1</w:t>
            </w:r>
            <w:r>
              <w:rPr>
                <w:rFonts w:hint="eastAsia" w:ascii="宋体" w:hAnsi="宋体" w:cs="宋体"/>
                <w:lang w:val="en-US" w:eastAsia="zh-CN"/>
              </w:rPr>
              <w:t>4</w:t>
            </w:r>
          </w:p>
        </w:tc>
        <w:tc>
          <w:tcPr>
            <w:tcW w:w="3058" w:type="pct"/>
            <w:vAlign w:val="center"/>
          </w:tcPr>
          <w:p>
            <w:pPr>
              <w:ind w:firstLine="480" w:firstLineChars="200"/>
              <w:rPr>
                <w:rFonts w:hint="default" w:ascii="宋体" w:hAnsi="宋体" w:eastAsia="宋体" w:cs="宋体"/>
                <w:color w:val="000000"/>
                <w:kern w:val="0"/>
                <w:sz w:val="24"/>
                <w:lang w:val="en-US" w:eastAsia="zh-CN"/>
              </w:rPr>
            </w:pPr>
            <w:r>
              <w:rPr>
                <w:rFonts w:hint="eastAsia"/>
                <w:sz w:val="24"/>
              </w:rPr>
              <w:t>根据投标人</w:t>
            </w:r>
            <w:r>
              <w:rPr>
                <w:rFonts w:hint="eastAsia"/>
                <w:sz w:val="24"/>
                <w:lang w:val="en-US" w:eastAsia="zh-CN"/>
              </w:rPr>
              <w:t>或所投产品厂家</w:t>
            </w:r>
            <w:r>
              <w:rPr>
                <w:rFonts w:hint="eastAsia"/>
                <w:sz w:val="24"/>
              </w:rPr>
              <w:t>售后服务</w:t>
            </w:r>
            <w:r>
              <w:rPr>
                <w:rFonts w:hint="eastAsia"/>
                <w:sz w:val="24"/>
                <w:lang w:val="en-US" w:eastAsia="zh-CN"/>
              </w:rPr>
              <w:t>能力、</w:t>
            </w:r>
            <w:r>
              <w:rPr>
                <w:rFonts w:hint="eastAsia"/>
                <w:sz w:val="24"/>
              </w:rPr>
              <w:t>体系</w:t>
            </w:r>
            <w:r>
              <w:rPr>
                <w:rFonts w:hint="eastAsia"/>
                <w:sz w:val="24"/>
                <w:lang w:val="en-US" w:eastAsia="zh-CN"/>
              </w:rPr>
              <w:t>完善程度打分</w:t>
            </w:r>
            <w:r>
              <w:rPr>
                <w:rFonts w:hint="eastAsia"/>
                <w:sz w:val="24"/>
                <w:lang w:eastAsia="zh-CN"/>
              </w:rPr>
              <w:t>，</w:t>
            </w:r>
            <w:r>
              <w:rPr>
                <w:rFonts w:hint="eastAsia"/>
                <w:sz w:val="24"/>
              </w:rPr>
              <w:t>投标人</w:t>
            </w:r>
            <w:r>
              <w:rPr>
                <w:rFonts w:hint="eastAsia"/>
                <w:sz w:val="24"/>
                <w:lang w:val="en-US" w:eastAsia="zh-CN"/>
              </w:rPr>
              <w:t>或所投产品厂家</w:t>
            </w:r>
            <w:r>
              <w:rPr>
                <w:rFonts w:hint="eastAsia"/>
                <w:sz w:val="24"/>
              </w:rPr>
              <w:t>服务</w:t>
            </w:r>
            <w:r>
              <w:rPr>
                <w:rFonts w:hint="eastAsia"/>
                <w:sz w:val="24"/>
                <w:lang w:val="en-US" w:eastAsia="zh-CN"/>
              </w:rPr>
              <w:t>的</w:t>
            </w:r>
            <w:r>
              <w:rPr>
                <w:rFonts w:hint="eastAsia"/>
                <w:sz w:val="24"/>
              </w:rPr>
              <w:t>标准</w:t>
            </w:r>
            <w:r>
              <w:rPr>
                <w:rFonts w:hint="eastAsia"/>
                <w:sz w:val="24"/>
                <w:lang w:eastAsia="zh-CN"/>
              </w:rPr>
              <w:t>，</w:t>
            </w:r>
            <w:r>
              <w:rPr>
                <w:rFonts w:hint="eastAsia"/>
                <w:sz w:val="24"/>
              </w:rPr>
              <w:t>对用户故障响应、处理</w:t>
            </w:r>
            <w:r>
              <w:rPr>
                <w:rFonts w:hint="eastAsia"/>
                <w:sz w:val="24"/>
                <w:lang w:val="en-US" w:eastAsia="zh-CN"/>
              </w:rPr>
              <w:t>的时效措施，</w:t>
            </w:r>
            <w:r>
              <w:rPr>
                <w:rFonts w:hint="eastAsia"/>
                <w:sz w:val="24"/>
              </w:rPr>
              <w:t>定期巡检</w:t>
            </w:r>
            <w:r>
              <w:rPr>
                <w:rFonts w:hint="eastAsia"/>
                <w:sz w:val="24"/>
                <w:lang w:eastAsia="zh-CN"/>
              </w:rPr>
              <w:t>，</w:t>
            </w:r>
            <w:r>
              <w:rPr>
                <w:rFonts w:hint="eastAsia"/>
                <w:sz w:val="24"/>
                <w:lang w:val="en-US" w:eastAsia="zh-CN"/>
              </w:rPr>
              <w:t>服务网点布局</w:t>
            </w:r>
            <w:r>
              <w:rPr>
                <w:rFonts w:hint="eastAsia"/>
                <w:sz w:val="24"/>
              </w:rPr>
              <w:t>等</w:t>
            </w:r>
            <w:r>
              <w:rPr>
                <w:rFonts w:hint="eastAsia"/>
                <w:sz w:val="24"/>
                <w:lang w:val="en-US" w:eastAsia="zh-CN"/>
              </w:rPr>
              <w:t>的完整性、有效性</w:t>
            </w:r>
            <w:r>
              <w:rPr>
                <w:rFonts w:hint="eastAsia"/>
                <w:sz w:val="24"/>
                <w:lang w:eastAsia="zh-CN"/>
              </w:rPr>
              <w:t>；</w:t>
            </w:r>
            <w:r>
              <w:rPr>
                <w:rFonts w:hint="eastAsia" w:ascii="宋体" w:hAnsi="宋体" w:cs="宋体"/>
                <w:color w:val="000000" w:themeColor="text1"/>
                <w:kern w:val="0"/>
                <w:sz w:val="24"/>
                <w14:textFill>
                  <w14:solidFill>
                    <w14:schemeClr w14:val="tx1"/>
                  </w14:solidFill>
                </w14:textFill>
              </w:rPr>
              <w:t>以及上门维护、升级服务、售后服务修复及时性、数据恢复拯救</w:t>
            </w:r>
            <w:r>
              <w:rPr>
                <w:rFonts w:hint="eastAsia" w:ascii="宋体" w:hAnsi="宋体" w:cs="宋体"/>
                <w:color w:val="000000" w:themeColor="text1"/>
                <w:kern w:val="0"/>
                <w:sz w:val="24"/>
                <w:highlight w:val="none"/>
                <w14:textFill>
                  <w14:solidFill>
                    <w14:schemeClr w14:val="tx1"/>
                  </w14:solidFill>
                </w14:textFill>
              </w:rPr>
              <w:t>等售后服务承诺。</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5分）</w:t>
            </w:r>
          </w:p>
        </w:tc>
        <w:tc>
          <w:tcPr>
            <w:tcW w:w="386" w:type="pct"/>
            <w:vAlign w:val="center"/>
          </w:tcPr>
          <w:p>
            <w:pPr>
              <w:jc w:val="center"/>
              <w:rPr>
                <w:rFonts w:hint="eastAsia" w:ascii="宋体" w:hAnsi="宋体" w:cs="宋体"/>
                <w:lang w:val="en-US" w:eastAsia="zh-CN"/>
              </w:rPr>
            </w:pPr>
          </w:p>
          <w:p>
            <w:pPr>
              <w:jc w:val="center"/>
              <w:rPr>
                <w:rFonts w:hint="eastAsia" w:ascii="宋体" w:hAnsi="宋体" w:cs="宋体"/>
                <w:lang w:val="en-US" w:eastAsia="zh-CN"/>
              </w:rPr>
            </w:pPr>
          </w:p>
          <w:p>
            <w:pPr>
              <w:jc w:val="center"/>
              <w:rPr>
                <w:rFonts w:hint="eastAsia" w:ascii="宋体" w:hAnsi="宋体" w:eastAsia="宋体" w:cs="宋体"/>
                <w:lang w:val="en-US" w:eastAsia="zh-CN"/>
              </w:rPr>
            </w:pPr>
            <w:r>
              <w:rPr>
                <w:rFonts w:hint="eastAsia" w:ascii="宋体" w:hAnsi="宋体" w:cs="宋体"/>
                <w:lang w:val="en-US" w:eastAsia="zh-CN"/>
              </w:rPr>
              <w:t>5</w:t>
            </w:r>
          </w:p>
        </w:tc>
        <w:tc>
          <w:tcPr>
            <w:tcW w:w="1105" w:type="pct"/>
          </w:tcPr>
          <w:p>
            <w:pPr>
              <w:rPr>
                <w:rFonts w:ascii="宋体" w:hAnsi="宋体" w:cs="宋体"/>
              </w:rPr>
            </w:pPr>
            <w:r>
              <w:rPr>
                <w:rFonts w:hint="eastAsia" w:ascii="宋体" w:hAnsi="宋体" w:cs="宋体"/>
              </w:rPr>
              <w:t>（五）售后服务方案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449" w:type="pct"/>
            <w:vAlign w:val="center"/>
          </w:tcPr>
          <w:p>
            <w:pPr>
              <w:jc w:val="center"/>
              <w:rPr>
                <w:rFonts w:hint="default" w:ascii="宋体" w:hAnsi="宋体" w:eastAsia="宋体" w:cs="宋体"/>
                <w:lang w:val="en-US" w:eastAsia="zh-CN"/>
              </w:rPr>
            </w:pPr>
            <w:r>
              <w:rPr>
                <w:rFonts w:hint="eastAsia" w:ascii="宋体" w:hAnsi="宋体" w:cs="宋体"/>
                <w:lang w:val="en-US" w:eastAsia="zh-CN"/>
              </w:rPr>
              <w:t>15</w:t>
            </w:r>
          </w:p>
        </w:tc>
        <w:tc>
          <w:tcPr>
            <w:tcW w:w="3058" w:type="pct"/>
            <w:vAlign w:val="center"/>
          </w:tcPr>
          <w:p>
            <w:pPr>
              <w:ind w:firstLine="480" w:firstLineChars="200"/>
              <w:rPr>
                <w:rFonts w:hint="eastAsia" w:ascii="宋体" w:hAnsi="宋体" w:eastAsia="宋体" w:cs="宋体"/>
                <w:color w:val="000000"/>
                <w:kern w:val="0"/>
                <w:sz w:val="24"/>
                <w:szCs w:val="24"/>
                <w:lang w:val="en-US" w:eastAsia="zh-CN" w:bidi="ar-SA"/>
              </w:rPr>
            </w:pPr>
            <w:r>
              <w:rPr>
                <w:rFonts w:hint="eastAsia" w:ascii="宋体" w:cs="宋体"/>
                <w:sz w:val="24"/>
                <w:lang w:val="zh-CN"/>
              </w:rPr>
              <w:t>质保期：符合招标文件要求不得分；超过招标文件规定的，</w:t>
            </w:r>
            <w:r>
              <w:rPr>
                <w:rFonts w:hint="eastAsia" w:ascii="宋体" w:cs="宋体"/>
                <w:sz w:val="24"/>
                <w:lang w:val="en-US" w:eastAsia="zh-CN"/>
              </w:rPr>
              <w:t>原厂</w:t>
            </w:r>
            <w:r>
              <w:rPr>
                <w:rFonts w:hint="eastAsia" w:ascii="宋体" w:cs="宋体"/>
                <w:sz w:val="24"/>
                <w:lang w:val="zh-CN"/>
              </w:rPr>
              <w:t>质保年限每延长1年得1分（</w:t>
            </w:r>
            <w:r>
              <w:rPr>
                <w:rFonts w:hint="eastAsia" w:ascii="宋体" w:cs="宋体"/>
                <w:sz w:val="24"/>
              </w:rPr>
              <w:t>采购项目内容需同时满足)</w:t>
            </w:r>
            <w:r>
              <w:rPr>
                <w:rFonts w:hint="eastAsia" w:ascii="宋体" w:cs="宋体"/>
                <w:sz w:val="24"/>
                <w:lang w:val="zh-CN"/>
              </w:rPr>
              <w:t>,最多得3分。</w:t>
            </w:r>
          </w:p>
        </w:tc>
        <w:tc>
          <w:tcPr>
            <w:tcW w:w="386" w:type="pct"/>
            <w:vAlign w:val="center"/>
          </w:tcPr>
          <w:p>
            <w:pPr>
              <w:jc w:val="center"/>
              <w:rPr>
                <w:rFonts w:hint="eastAsia" w:ascii="宋体" w:hAnsi="宋体" w:cs="宋体"/>
              </w:rPr>
            </w:pPr>
          </w:p>
          <w:p>
            <w:pPr>
              <w:jc w:val="center"/>
              <w:rPr>
                <w:rFonts w:hint="eastAsia" w:ascii="宋体" w:hAnsi="宋体" w:eastAsia="宋体" w:cs="宋体"/>
                <w:kern w:val="2"/>
                <w:sz w:val="21"/>
                <w:szCs w:val="24"/>
                <w:lang w:val="en-US" w:eastAsia="zh-CN" w:bidi="ar-SA"/>
              </w:rPr>
            </w:pPr>
            <w:r>
              <w:rPr>
                <w:rFonts w:hint="eastAsia" w:ascii="宋体" w:hAnsi="宋体" w:cs="宋体"/>
              </w:rPr>
              <w:t>3</w:t>
            </w:r>
          </w:p>
        </w:tc>
        <w:tc>
          <w:tcPr>
            <w:tcW w:w="1105" w:type="pct"/>
            <w:vAlign w:val="top"/>
          </w:tcPr>
          <w:p>
            <w:pPr>
              <w:rPr>
                <w:rFonts w:hint="eastAsia" w:ascii="宋体" w:hAnsi="宋体" w:eastAsia="宋体" w:cs="宋体"/>
                <w:kern w:val="2"/>
                <w:sz w:val="21"/>
                <w:szCs w:val="24"/>
                <w:lang w:val="en-US" w:eastAsia="zh-CN" w:bidi="ar-SA"/>
              </w:rPr>
            </w:pPr>
            <w:r>
              <w:rPr>
                <w:rFonts w:hint="eastAsia" w:ascii="宋体" w:hAnsi="宋体" w:cs="宋体"/>
              </w:rPr>
              <w:t>（五）售后服务方案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trPr>
        <w:tc>
          <w:tcPr>
            <w:tcW w:w="449" w:type="pct"/>
            <w:vAlign w:val="center"/>
          </w:tcPr>
          <w:p>
            <w:pPr>
              <w:jc w:val="center"/>
              <w:rPr>
                <w:rFonts w:hint="eastAsia" w:ascii="宋体" w:eastAsia="宋体" w:cs="宋体"/>
                <w:sz w:val="24"/>
                <w:lang w:val="en-US" w:eastAsia="zh-CN"/>
              </w:rPr>
            </w:pPr>
            <w:r>
              <w:rPr>
                <w:rFonts w:hint="eastAsia" w:ascii="宋体" w:cs="宋体"/>
                <w:sz w:val="24"/>
                <w:lang w:val="zh-CN"/>
              </w:rPr>
              <w:t>1</w:t>
            </w:r>
            <w:r>
              <w:rPr>
                <w:rFonts w:hint="eastAsia" w:ascii="宋体" w:cs="宋体"/>
                <w:sz w:val="24"/>
                <w:lang w:val="en-US" w:eastAsia="zh-CN"/>
              </w:rPr>
              <w:t>6</w:t>
            </w:r>
          </w:p>
        </w:tc>
        <w:tc>
          <w:tcPr>
            <w:tcW w:w="3058" w:type="pct"/>
          </w:tcPr>
          <w:p>
            <w:pPr>
              <w:spacing w:line="360" w:lineRule="auto"/>
              <w:outlineLvl w:val="0"/>
              <w:rPr>
                <w:rFonts w:cs="仿宋_GB2312" w:asciiTheme="minorEastAsia" w:hAnsiTheme="minorEastAsia" w:eastAsiaTheme="minorEastAsia"/>
                <w:color w:val="0000FF"/>
                <w:sz w:val="24"/>
              </w:rPr>
            </w:pPr>
            <w:r>
              <w:rPr>
                <w:rFonts w:hint="eastAsia" w:cs="仿宋_GB2312" w:asciiTheme="minorEastAsia" w:hAnsiTheme="minorEastAsia" w:eastAsiaTheme="minorEastAsia"/>
                <w:color w:val="0000FF"/>
                <w:sz w:val="24"/>
              </w:rPr>
              <w:t>有效投标报价的最低价作为评标基准价，其最低报价为满分；按［投标报价得分</w:t>
            </w:r>
            <w:r>
              <w:rPr>
                <w:rFonts w:cs="仿宋_GB2312" w:asciiTheme="minorEastAsia" w:hAnsiTheme="minorEastAsia" w:eastAsiaTheme="minorEastAsia"/>
                <w:color w:val="0000FF"/>
                <w:sz w:val="24"/>
              </w:rPr>
              <w:t>=（评标基准价/投标报价）*</w:t>
            </w:r>
            <w:r>
              <w:rPr>
                <w:rFonts w:hint="eastAsia" w:cs="仿宋_GB2312" w:asciiTheme="minorEastAsia" w:hAnsiTheme="minorEastAsia" w:eastAsiaTheme="minorEastAsia"/>
                <w:color w:val="FF0000"/>
                <w:sz w:val="24"/>
                <w:lang w:val="en-US" w:eastAsia="zh-CN"/>
              </w:rPr>
              <w:t>40</w:t>
            </w:r>
            <w:r>
              <w:rPr>
                <w:rFonts w:cs="仿宋_GB2312" w:asciiTheme="minorEastAsia" w:hAnsiTheme="minorEastAsia" w:eastAsiaTheme="minorEastAsia"/>
                <w:color w:val="0000FF"/>
                <w:sz w:val="24"/>
              </w:rPr>
              <w:t>］的计算公式计算。</w:t>
            </w:r>
          </w:p>
          <w:p>
            <w:pPr>
              <w:widowControl/>
              <w:shd w:val="clear" w:color="auto" w:fill="FFFFFF"/>
              <w:adjustRightInd/>
              <w:spacing w:after="225" w:line="315" w:lineRule="atLeast"/>
              <w:ind w:firstLine="420"/>
              <w:jc w:val="left"/>
              <w:rPr>
                <w:rFonts w:cs="仿宋_GB2312" w:asciiTheme="minorEastAsia" w:hAnsiTheme="minorEastAsia" w:eastAsiaTheme="minorEastAsia"/>
                <w:color w:val="0000FF"/>
                <w:sz w:val="24"/>
              </w:rPr>
            </w:pPr>
            <w:r>
              <w:rPr>
                <w:rFonts w:cs="仿宋_GB2312" w:asciiTheme="minorEastAsia" w:hAnsiTheme="minorEastAsia" w:eastAsiaTheme="minorEastAsia"/>
                <w:color w:val="0000FF"/>
                <w:sz w:val="24"/>
              </w:rPr>
              <w:t>评标过程中，不得去掉报价中的最高报价和最低报价。</w:t>
            </w:r>
          </w:p>
          <w:p>
            <w:pPr>
              <w:rPr>
                <w:rFonts w:hint="eastAsia" w:ascii="宋体" w:cs="宋体"/>
                <w:sz w:val="24"/>
                <w:lang w:val="zh-CN"/>
              </w:rPr>
            </w:pPr>
            <w:r>
              <w:rPr>
                <w:rFonts w:hint="eastAsia" w:cs="仿宋_GB2312" w:asciiTheme="minorEastAsia" w:hAnsiTheme="minorEastAsia" w:eastAsiaTheme="minorEastAsia"/>
                <w:color w:val="0000FF"/>
                <w:sz w:val="24"/>
              </w:rPr>
              <w:t>对于未预留份额专门面向中小企业的政府采购货物项目，以及预留份额政府采购货物项目中的非预留部分标项，对小型和微型企业的投标报价给予</w:t>
            </w:r>
            <w:r>
              <w:rPr>
                <w:rFonts w:hint="eastAsia" w:cs="仿宋_GB2312" w:asciiTheme="minorEastAsia" w:hAnsiTheme="minorEastAsia" w:eastAsiaTheme="minorEastAsia"/>
                <w:color w:val="FF0000"/>
                <w:sz w:val="24"/>
                <w:lang w:val="en-US" w:eastAsia="zh-CN"/>
              </w:rPr>
              <w:t>20</w:t>
            </w:r>
            <w:r>
              <w:rPr>
                <w:rFonts w:hint="eastAsia" w:cs="仿宋_GB2312" w:asciiTheme="minorEastAsia" w:hAnsiTheme="minorEastAsia" w:eastAsiaTheme="minorEastAsia"/>
                <w:color w:val="FF0000"/>
                <w:sz w:val="24"/>
              </w:rPr>
              <w:t>%</w:t>
            </w:r>
            <w:r>
              <w:rPr>
                <w:rFonts w:hint="eastAsia" w:cs="仿宋_GB2312" w:asciiTheme="minorEastAsia" w:hAnsiTheme="minorEastAsia" w:eastAsiaTheme="minorEastAsia"/>
                <w:color w:val="0000FF"/>
                <w:sz w:val="24"/>
              </w:rPr>
              <w:t>的扣除，用扣除后的价格参与评审。</w:t>
            </w:r>
          </w:p>
        </w:tc>
        <w:tc>
          <w:tcPr>
            <w:tcW w:w="386" w:type="pct"/>
            <w:vAlign w:val="center"/>
          </w:tcPr>
          <w:p>
            <w:pPr>
              <w:jc w:val="center"/>
              <w:rPr>
                <w:rFonts w:hint="eastAsia" w:ascii="宋体" w:hAnsi="宋体" w:cs="宋体"/>
              </w:rPr>
            </w:pPr>
            <w:r>
              <w:rPr>
                <w:rFonts w:hint="eastAsia" w:ascii="宋体" w:hAnsi="宋体" w:cs="宋体"/>
              </w:rPr>
              <w:t>40</w:t>
            </w:r>
          </w:p>
        </w:tc>
        <w:tc>
          <w:tcPr>
            <w:tcW w:w="1105" w:type="pct"/>
            <w:vAlign w:val="center"/>
          </w:tcPr>
          <w:p>
            <w:pPr>
              <w:rPr>
                <w:rFonts w:hint="eastAsia" w:ascii="宋体" w:hAnsi="宋体" w:cs="宋体"/>
              </w:rPr>
            </w:pPr>
            <w:r>
              <w:rPr>
                <w:rFonts w:hint="eastAsia" w:ascii="宋体" w:hAnsi="宋体" w:cs="宋体"/>
              </w:rPr>
              <w:t>/</w:t>
            </w:r>
          </w:p>
        </w:tc>
      </w:tr>
    </w:tbl>
    <w:p/>
    <w:p>
      <w:pPr>
        <w:snapToGrid w:val="0"/>
        <w:spacing w:line="360" w:lineRule="auto"/>
        <w:rPr>
          <w:rFonts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pPr>
        <w:snapToGrid w:val="0"/>
        <w:spacing w:line="360" w:lineRule="auto"/>
        <w:rPr>
          <w:rFonts w:ascii="宋体" w:hAnsi="宋体" w:cs="宋体"/>
          <w:b/>
          <w:sz w:val="28"/>
          <w:szCs w:val="28"/>
        </w:rPr>
      </w:pPr>
      <w:r>
        <w:rPr>
          <w:rFonts w:hint="eastAsia" w:ascii="宋体" w:hAnsi="宋体" w:cs="宋体"/>
          <w:b/>
          <w:sz w:val="32"/>
        </w:rPr>
        <w:t>一、评标方法</w:t>
      </w:r>
    </w:p>
    <w:p>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kern w:val="0"/>
          <w:sz w:val="24"/>
        </w:rPr>
      </w:pPr>
      <w:r>
        <w:rPr>
          <w:rFonts w:hint="eastAsia" w:ascii="宋体" w:hAnsi="宋体" w:cs="宋体"/>
          <w:b/>
          <w:sz w:val="32"/>
        </w:rPr>
        <w:t>二、评标标准</w:t>
      </w:r>
    </w:p>
    <w:p>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pPr>
        <w:spacing w:line="360" w:lineRule="auto"/>
        <w:outlineLvl w:val="0"/>
        <w:rPr>
          <w:rFonts w:ascii="宋体" w:hAnsi="宋体" w:cs="宋体"/>
          <w:b/>
          <w:sz w:val="36"/>
          <w:szCs w:val="36"/>
        </w:rPr>
      </w:pPr>
      <w:r>
        <w:rPr>
          <w:rFonts w:hint="eastAsia" w:ascii="宋体" w:hAnsi="宋体" w:cs="宋体"/>
          <w:b/>
          <w:sz w:val="36"/>
          <w:szCs w:val="36"/>
        </w:rPr>
        <w:t>三、评标程序</w:t>
      </w:r>
    </w:p>
    <w:p>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pPr>
        <w:pStyle w:val="128"/>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pPr>
        <w:pStyle w:val="128"/>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28"/>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28"/>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28"/>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28"/>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28"/>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3.4.5对于未预留份额专门面向中小企业的政府采购货物项目，以及预留份额政府采购货物项目中的非预留部分标项，对小型和微型企业的投标报价给予10%-</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pPr>
        <w:pStyle w:val="128"/>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3"/>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pPr>
        <w:pStyle w:val="5"/>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pPr>
        <w:pStyle w:val="3"/>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pPr>
        <w:pStyle w:val="3"/>
        <w:snapToGrid w:val="0"/>
        <w:spacing w:line="360" w:lineRule="auto"/>
        <w:rPr>
          <w:rFonts w:cs="宋体"/>
        </w:rPr>
      </w:pPr>
      <w:r>
        <w:rPr>
          <w:rFonts w:hint="eastAsia" w:cs="宋体"/>
        </w:rPr>
        <w:t>5.1符合专业条件的供应商或者对招标文件作实质响应的供应商不足3家的；</w:t>
      </w:r>
    </w:p>
    <w:p>
      <w:pPr>
        <w:pStyle w:val="3"/>
        <w:snapToGrid w:val="0"/>
        <w:spacing w:line="360" w:lineRule="auto"/>
        <w:rPr>
          <w:rFonts w:cs="宋体"/>
        </w:rPr>
      </w:pPr>
      <w:r>
        <w:rPr>
          <w:rFonts w:hint="eastAsia" w:cs="宋体"/>
        </w:rPr>
        <w:t>5.2出现影响采购公正的违法、违规行为的；</w:t>
      </w:r>
    </w:p>
    <w:p>
      <w:pPr>
        <w:pStyle w:val="3"/>
        <w:snapToGrid w:val="0"/>
        <w:spacing w:line="360" w:lineRule="auto"/>
        <w:rPr>
          <w:rFonts w:cs="宋体"/>
        </w:rPr>
      </w:pPr>
      <w:r>
        <w:rPr>
          <w:rFonts w:hint="eastAsia" w:cs="宋体"/>
        </w:rPr>
        <w:t>5.3投标人的报价均超过了采购预算，采购人不能支付的；</w:t>
      </w:r>
    </w:p>
    <w:p>
      <w:pPr>
        <w:pStyle w:val="3"/>
        <w:snapToGrid w:val="0"/>
        <w:spacing w:line="360" w:lineRule="auto"/>
        <w:rPr>
          <w:rFonts w:cs="宋体"/>
        </w:rPr>
      </w:pPr>
      <w:r>
        <w:rPr>
          <w:rFonts w:hint="eastAsia" w:cs="宋体"/>
        </w:rPr>
        <w:t>5.4因重大变故，采购任务取消的。</w:t>
      </w:r>
    </w:p>
    <w:p>
      <w:pPr>
        <w:pStyle w:val="3"/>
        <w:snapToGrid w:val="0"/>
        <w:spacing w:line="360" w:lineRule="auto"/>
        <w:rPr>
          <w:rFonts w:cs="宋体"/>
        </w:rPr>
      </w:pPr>
      <w:r>
        <w:rPr>
          <w:rFonts w:hint="eastAsia" w:cs="宋体"/>
        </w:rPr>
        <w:t>废标后，</w:t>
      </w:r>
      <w:r>
        <w:rPr>
          <w:rFonts w:hint="eastAsia" w:cs="宋体"/>
          <w:lang w:eastAsia="zh-CN"/>
        </w:rPr>
        <w:t>采购代理机构</w:t>
      </w:r>
      <w:r>
        <w:rPr>
          <w:rFonts w:hint="eastAsia" w:cs="宋体"/>
        </w:rPr>
        <w:t>应当将废标理由通知所有投标人。</w:t>
      </w:r>
    </w:p>
    <w:p>
      <w:pPr>
        <w:pStyle w:val="3"/>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w:t>
      </w:r>
      <w:r>
        <w:rPr>
          <w:rFonts w:hint="eastAsia" w:cs="宋体"/>
          <w:lang w:eastAsia="zh-CN"/>
        </w:rPr>
        <w:t>采购代理机构</w:t>
      </w:r>
      <w:r>
        <w:rPr>
          <w:rFonts w:hint="eastAsia" w:cs="宋体"/>
        </w:rPr>
        <w:t>沟通并作书面记录。采购人、</w:t>
      </w:r>
      <w:r>
        <w:rPr>
          <w:rFonts w:hint="eastAsia" w:cs="宋体"/>
          <w:lang w:eastAsia="zh-CN"/>
        </w:rPr>
        <w:t>采购代理机构</w:t>
      </w:r>
      <w:r>
        <w:rPr>
          <w:rFonts w:hint="eastAsia" w:cs="宋体"/>
        </w:rPr>
        <w:t>确认后，将修改招标文件，重新组织采购活动。</w:t>
      </w:r>
    </w:p>
    <w:p>
      <w:pPr>
        <w:pStyle w:val="3"/>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pPr>
        <w:pStyle w:val="3"/>
        <w:snapToGrid w:val="0"/>
        <w:spacing w:line="360" w:lineRule="auto"/>
        <w:rPr>
          <w:rFonts w:cs="宋体"/>
        </w:rPr>
      </w:pPr>
      <w:r>
        <w:rPr>
          <w:rFonts w:hint="eastAsia" w:cs="宋体"/>
        </w:rPr>
        <w:t>7.1未确定中标供应商的，终止本次政府采购活动，重新开展政府采购活动。</w:t>
      </w:r>
    </w:p>
    <w:p>
      <w:pPr>
        <w:pStyle w:val="3"/>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pPr>
        <w:pStyle w:val="3"/>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pPr>
        <w:pStyle w:val="3"/>
        <w:snapToGrid w:val="0"/>
        <w:spacing w:line="360" w:lineRule="auto"/>
        <w:rPr>
          <w:rFonts w:cs="宋体"/>
        </w:rPr>
      </w:pPr>
      <w:r>
        <w:rPr>
          <w:rFonts w:hint="eastAsia" w:cs="宋体"/>
        </w:rPr>
        <w:t>7.4政府采购合同已经履行，给采购人、供应商造成损失的，由责任人承担赔偿责任。</w:t>
      </w:r>
    </w:p>
    <w:p>
      <w:pPr>
        <w:pStyle w:val="3"/>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pPr>
        <w:pStyle w:val="3"/>
        <w:snapToGrid w:val="0"/>
        <w:spacing w:line="360" w:lineRule="auto"/>
        <w:ind w:firstLine="0" w:firstLineChars="0"/>
        <w:rPr>
          <w:rFonts w:cs="宋体"/>
        </w:rPr>
      </w:pPr>
    </w:p>
    <w:bookmarkEnd w:id="28"/>
    <w:p>
      <w:pPr>
        <w:spacing w:line="360" w:lineRule="auto"/>
        <w:ind w:left="720" w:leftChars="343" w:firstLine="1084" w:firstLineChars="300"/>
        <w:outlineLvl w:val="0"/>
        <w:rPr>
          <w:rFonts w:ascii="宋体" w:hAnsi="宋体" w:cs="宋体"/>
          <w:b/>
          <w:sz w:val="36"/>
          <w:szCs w:val="36"/>
        </w:rPr>
      </w:pPr>
      <w:bookmarkStart w:id="394" w:name="第五部分"/>
      <w:bookmarkStart w:id="395" w:name="_Toc86217003"/>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 xml:space="preserve">    </w:t>
      </w:r>
    </w:p>
    <w:p>
      <w:pPr>
        <w:spacing w:line="360" w:lineRule="auto"/>
        <w:ind w:left="720" w:leftChars="343" w:firstLine="1084" w:firstLineChars="300"/>
        <w:outlineLvl w:val="0"/>
        <w:rPr>
          <w:rFonts w:ascii="宋体" w:hAnsi="宋体" w:cs="宋体"/>
          <w:b/>
          <w:sz w:val="36"/>
          <w:szCs w:val="36"/>
        </w:rPr>
      </w:pPr>
    </w:p>
    <w:p>
      <w:pPr>
        <w:pStyle w:val="2"/>
        <w:rPr>
          <w:rFonts w:ascii="宋体" w:hAnsi="宋体" w:cs="宋体"/>
          <w:b/>
          <w:sz w:val="36"/>
          <w:szCs w:val="36"/>
        </w:rPr>
      </w:pPr>
    </w:p>
    <w:p>
      <w:pPr>
        <w:pStyle w:val="2"/>
        <w:rPr>
          <w:rFonts w:ascii="宋体" w:hAnsi="宋体" w:cs="宋体"/>
          <w:b/>
          <w:sz w:val="36"/>
          <w:szCs w:val="36"/>
        </w:rPr>
      </w:pPr>
    </w:p>
    <w:p>
      <w:pPr>
        <w:pStyle w:val="2"/>
        <w:rPr>
          <w:rFonts w:ascii="宋体" w:hAnsi="宋体" w:cs="宋体"/>
          <w:b/>
          <w:sz w:val="36"/>
          <w:szCs w:val="36"/>
        </w:rPr>
      </w:pPr>
    </w:p>
    <w:p>
      <w:pPr>
        <w:pStyle w:val="2"/>
        <w:rPr>
          <w:rFonts w:ascii="宋体" w:hAnsi="宋体" w:cs="宋体"/>
          <w:b/>
          <w:sz w:val="36"/>
          <w:szCs w:val="36"/>
        </w:rPr>
      </w:pPr>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pPr>
        <w:spacing w:line="480" w:lineRule="auto"/>
        <w:jc w:val="center"/>
        <w:rPr>
          <w:rFonts w:ascii="宋体" w:hAnsi="宋体" w:cs="宋体"/>
          <w:b/>
          <w:sz w:val="28"/>
          <w:szCs w:val="28"/>
        </w:rPr>
      </w:pPr>
    </w:p>
    <w:p>
      <w:pPr>
        <w:spacing w:line="480" w:lineRule="auto"/>
        <w:jc w:val="center"/>
        <w:rPr>
          <w:rFonts w:ascii="宋体" w:hAnsi="宋体" w:cs="宋体"/>
          <w:b/>
          <w:sz w:val="24"/>
        </w:rPr>
      </w:pPr>
    </w:p>
    <w:p>
      <w:pPr>
        <w:spacing w:line="480" w:lineRule="auto"/>
        <w:jc w:val="center"/>
        <w:rPr>
          <w:rFonts w:ascii="宋体" w:hAnsi="宋体" w:cs="宋体"/>
          <w:b/>
          <w:sz w:val="24"/>
        </w:rPr>
      </w:pPr>
    </w:p>
    <w:p>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pPr>
        <w:spacing w:line="480" w:lineRule="auto"/>
        <w:jc w:val="center"/>
        <w:rPr>
          <w:rFonts w:ascii="宋体" w:hAnsi="宋体" w:cs="宋体"/>
          <w:b/>
          <w:sz w:val="36"/>
          <w:szCs w:val="36"/>
        </w:rPr>
      </w:pPr>
      <w:r>
        <w:rPr>
          <w:rFonts w:hint="eastAsia" w:ascii="宋体" w:hAnsi="宋体" w:cs="宋体"/>
          <w:b/>
          <w:sz w:val="36"/>
          <w:szCs w:val="36"/>
        </w:rPr>
        <w:t>（货物类）</w:t>
      </w:r>
    </w:p>
    <w:p>
      <w:pPr>
        <w:pStyle w:val="699"/>
        <w:rPr>
          <w:rFonts w:ascii="宋体" w:hAnsi="宋体" w:cs="宋体"/>
          <w:szCs w:val="24"/>
        </w:rPr>
      </w:pPr>
    </w:p>
    <w:p>
      <w:pPr>
        <w:pStyle w:val="699"/>
        <w:rPr>
          <w:rFonts w:ascii="宋体" w:hAnsi="宋体" w:cs="宋体"/>
          <w:szCs w:val="24"/>
        </w:rPr>
      </w:pPr>
    </w:p>
    <w:p>
      <w:pPr>
        <w:pStyle w:val="699"/>
        <w:jc w:val="center"/>
        <w:rPr>
          <w:rFonts w:ascii="宋体" w:hAnsi="宋体" w:cs="宋体"/>
          <w:szCs w:val="24"/>
        </w:rPr>
      </w:pPr>
    </w:p>
    <w:p>
      <w:pPr>
        <w:pStyle w:val="699"/>
        <w:ind w:firstLine="2843" w:firstLineChars="1180"/>
        <w:rPr>
          <w:rFonts w:ascii="宋体" w:hAnsi="宋体" w:cs="宋体"/>
          <w:b/>
          <w:szCs w:val="24"/>
        </w:rPr>
      </w:pPr>
      <w:r>
        <w:rPr>
          <w:rFonts w:hint="eastAsia" w:ascii="宋体" w:hAnsi="宋体" w:cs="宋体"/>
          <w:b/>
          <w:szCs w:val="24"/>
        </w:rPr>
        <w:t>第一部分 合同书</w:t>
      </w:r>
    </w:p>
    <w:p>
      <w:pPr>
        <w:pStyle w:val="699"/>
        <w:rPr>
          <w:rFonts w:ascii="宋体" w:hAnsi="宋体" w:cs="宋体"/>
          <w:szCs w:val="24"/>
        </w:rPr>
      </w:pPr>
    </w:p>
    <w:p>
      <w:pPr>
        <w:pStyle w:val="699"/>
        <w:rPr>
          <w:rFonts w:ascii="宋体" w:hAnsi="宋体" w:cs="宋体"/>
          <w:szCs w:val="24"/>
        </w:rPr>
      </w:pPr>
    </w:p>
    <w:p>
      <w:pPr>
        <w:spacing w:before="120" w:line="22" w:lineRule="atLeast"/>
        <w:rPr>
          <w:rFonts w:ascii="宋体" w:hAnsi="宋体" w:cs="宋体"/>
          <w:sz w:val="24"/>
        </w:rPr>
      </w:pPr>
    </w:p>
    <w:p>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pStyle w:val="596"/>
        <w:spacing w:before="120" w:line="22" w:lineRule="atLeast"/>
        <w:rPr>
          <w:rFonts w:ascii="宋体" w:hAnsi="宋体" w:eastAsia="宋体" w:cs="宋体"/>
          <w:szCs w:val="24"/>
        </w:rPr>
      </w:pPr>
    </w:p>
    <w:p>
      <w:pPr>
        <w:pStyle w:val="596"/>
        <w:spacing w:before="120" w:line="22" w:lineRule="atLeast"/>
        <w:rPr>
          <w:rFonts w:ascii="宋体" w:hAnsi="宋体" w:eastAsia="宋体" w:cs="宋体"/>
          <w:szCs w:val="24"/>
        </w:rPr>
      </w:pP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widowControl/>
        <w:jc w:val="left"/>
        <w:rPr>
          <w:rFonts w:ascii="宋体" w:hAnsi="宋体" w:cs="宋体"/>
          <w:kern w:val="0"/>
          <w:sz w:val="24"/>
        </w:rPr>
        <w:sectPr>
          <w:headerReference r:id="rId12" w:type="default"/>
          <w:pgSz w:w="11907" w:h="16840"/>
          <w:pgMar w:top="1474" w:right="1814" w:bottom="1474" w:left="1814" w:header="851" w:footer="851" w:gutter="0"/>
          <w:cols w:space="720" w:num="1"/>
        </w:sectPr>
      </w:pPr>
    </w:p>
    <w:p>
      <w:pPr>
        <w:spacing w:line="560" w:lineRule="exact"/>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color w:val="0000FF"/>
          <w:sz w:val="24"/>
          <w:u w:val="single"/>
        </w:rPr>
        <w:t>（采购人）</w:t>
      </w:r>
      <w:r>
        <w:rPr>
          <w:rFonts w:hint="eastAsia" w:ascii="宋体" w:hAnsi="宋体" w:cs="宋体"/>
          <w:sz w:val="24"/>
          <w:u w:val="single"/>
        </w:rPr>
        <w:t xml:space="preserve">   </w:t>
      </w:r>
      <w:r>
        <w:rPr>
          <w:rFonts w:hint="eastAsia" w:ascii="宋体" w:hAnsi="宋体" w:cs="宋体"/>
          <w:sz w:val="24"/>
        </w:rPr>
        <w:t>以</w:t>
      </w:r>
      <w:r>
        <w:rPr>
          <w:rFonts w:hint="eastAsia" w:ascii="宋体" w:hAnsi="宋体" w:cs="宋体"/>
          <w:sz w:val="24"/>
          <w:u w:val="single"/>
        </w:rPr>
        <w:t xml:space="preserve">   （政府采购方式）  </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color w:val="0000FF"/>
          <w:sz w:val="24"/>
          <w:u w:val="single"/>
        </w:rPr>
        <w:t xml:space="preserve">（项目名称、编号）  </w:t>
      </w:r>
      <w:r>
        <w:rPr>
          <w:rFonts w:hint="eastAsia" w:ascii="宋体" w:hAnsi="宋体" w:cs="宋体"/>
          <w:sz w:val="24"/>
          <w:u w:val="single"/>
        </w:rPr>
        <w:t xml:space="preserve"> </w:t>
      </w:r>
      <w:r>
        <w:rPr>
          <w:rFonts w:hint="eastAsia" w:ascii="宋体" w:hAnsi="宋体" w:cs="宋体"/>
          <w:sz w:val="24"/>
        </w:rPr>
        <w:t>项目进行了采购。经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（中标或者成交供应商名称）</w:t>
      </w:r>
      <w:r>
        <w:rPr>
          <w:rFonts w:hint="eastAsia" w:ascii="宋体" w:hAnsi="宋体" w:cs="宋体"/>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 xml:space="preserve">   （采购人）   </w:t>
      </w:r>
      <w:r>
        <w:rPr>
          <w:rFonts w:hint="eastAsia" w:ascii="宋体" w:hAnsi="宋体" w:cs="宋体"/>
          <w:sz w:val="24"/>
          <w:lang w:val="zh-CN"/>
        </w:rPr>
        <w:t>(以下简称：甲方)和</w:t>
      </w:r>
      <w:r>
        <w:rPr>
          <w:rFonts w:hint="eastAsia" w:ascii="宋体" w:hAnsi="宋体" w:cs="宋体"/>
          <w:sz w:val="24"/>
          <w:u w:val="single"/>
        </w:rPr>
        <w:t xml:space="preserve">   （中标或者成交供应商名称）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560" w:lineRule="exact"/>
        <w:ind w:firstLine="482" w:firstLineChars="200"/>
        <w:outlineLvl w:val="0"/>
        <w:rPr>
          <w:rFonts w:ascii="宋体" w:hAnsi="宋体" w:cs="宋体"/>
          <w:b/>
          <w:sz w:val="24"/>
        </w:rPr>
      </w:pPr>
      <w:bookmarkStart w:id="396" w:name="_Toc24059"/>
      <w:bookmarkStart w:id="397" w:name="_Toc3029"/>
      <w:bookmarkStart w:id="398" w:name="_Toc2232"/>
      <w:r>
        <w:rPr>
          <w:rFonts w:hint="eastAsia" w:ascii="宋体" w:hAnsi="宋体" w:cs="宋体"/>
          <w:b/>
          <w:sz w:val="24"/>
        </w:rPr>
        <w:t>1.1 合同组成部分</w:t>
      </w:r>
      <w:bookmarkEnd w:id="396"/>
      <w:bookmarkEnd w:id="397"/>
      <w:bookmarkEnd w:id="398"/>
    </w:p>
    <w:p>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pPr>
        <w:spacing w:line="560" w:lineRule="exact"/>
        <w:ind w:firstLine="480" w:firstLineChars="200"/>
        <w:rPr>
          <w:rFonts w:ascii="宋体" w:hAnsi="宋体" w:cs="宋体"/>
          <w:sz w:val="24"/>
        </w:rPr>
      </w:pPr>
      <w:r>
        <w:rPr>
          <w:rFonts w:hint="eastAsia" w:ascii="宋体" w:hAnsi="宋体" w:cs="宋体"/>
          <w:sz w:val="24"/>
        </w:rPr>
        <w:t>1.1.2 中标或者成交通知书；</w:t>
      </w:r>
    </w:p>
    <w:p>
      <w:pPr>
        <w:spacing w:line="560" w:lineRule="exact"/>
        <w:ind w:firstLine="480" w:firstLineChars="200"/>
        <w:rPr>
          <w:rFonts w:ascii="宋体" w:hAnsi="宋体" w:cs="宋体"/>
          <w:sz w:val="24"/>
        </w:rPr>
      </w:pPr>
      <w:r>
        <w:rPr>
          <w:rFonts w:hint="eastAsia" w:ascii="宋体" w:hAnsi="宋体" w:cs="宋体"/>
          <w:sz w:val="24"/>
        </w:rPr>
        <w:t>1.1.3 投标或者响应文件（含澄清或者说明文件）；</w:t>
      </w:r>
    </w:p>
    <w:p>
      <w:pPr>
        <w:spacing w:line="560" w:lineRule="exact"/>
        <w:ind w:firstLine="480" w:firstLineChars="200"/>
        <w:rPr>
          <w:rFonts w:ascii="宋体" w:hAnsi="宋体" w:cs="宋体"/>
          <w:sz w:val="24"/>
        </w:rPr>
      </w:pPr>
      <w:r>
        <w:rPr>
          <w:rFonts w:hint="eastAsia" w:ascii="宋体" w:hAnsi="宋体" w:cs="宋体"/>
          <w:sz w:val="24"/>
        </w:rPr>
        <w:t>1.1.4 采购文件（含澄清或者修改文件）；</w:t>
      </w:r>
    </w:p>
    <w:p>
      <w:pPr>
        <w:spacing w:line="560" w:lineRule="exact"/>
        <w:ind w:firstLine="480" w:firstLineChars="200"/>
        <w:rPr>
          <w:rFonts w:ascii="宋体" w:hAnsi="宋体" w:cs="宋体"/>
          <w:sz w:val="24"/>
        </w:rPr>
      </w:pPr>
      <w:r>
        <w:rPr>
          <w:rFonts w:hint="eastAsia" w:ascii="宋体" w:hAnsi="宋体" w:cs="宋体"/>
          <w:sz w:val="24"/>
        </w:rPr>
        <w:t>1.1.5 其他相关采购文件。</w:t>
      </w:r>
    </w:p>
    <w:p>
      <w:pPr>
        <w:spacing w:line="560" w:lineRule="exact"/>
        <w:ind w:firstLine="482" w:firstLineChars="200"/>
        <w:outlineLvl w:val="0"/>
        <w:rPr>
          <w:rFonts w:ascii="宋体" w:hAnsi="宋体" w:cs="宋体"/>
          <w:b/>
          <w:sz w:val="24"/>
        </w:rPr>
      </w:pPr>
      <w:bookmarkStart w:id="399" w:name="_Toc21295"/>
      <w:bookmarkStart w:id="400" w:name="_Toc27126"/>
      <w:bookmarkStart w:id="401" w:name="_Toc24300"/>
      <w:r>
        <w:rPr>
          <w:rFonts w:hint="eastAsia" w:ascii="宋体" w:hAnsi="宋体" w:cs="宋体"/>
          <w:b/>
          <w:sz w:val="24"/>
        </w:rPr>
        <w:t>1.2 货物</w:t>
      </w:r>
      <w:bookmarkEnd w:id="399"/>
      <w:bookmarkEnd w:id="400"/>
      <w:bookmarkEnd w:id="401"/>
    </w:p>
    <w:p>
      <w:pPr>
        <w:spacing w:line="560" w:lineRule="exact"/>
        <w:ind w:firstLine="480" w:firstLineChars="200"/>
        <w:rPr>
          <w:rFonts w:ascii="宋体" w:hAnsi="宋体" w:cs="宋体"/>
          <w:sz w:val="24"/>
          <w:u w:val="single"/>
        </w:rPr>
      </w:pPr>
      <w:r>
        <w:rPr>
          <w:rFonts w:hint="eastAsia" w:ascii="宋体" w:hAnsi="宋体" w:cs="宋体"/>
          <w:sz w:val="24"/>
        </w:rPr>
        <w:t>1.2.1 货物名称、品牌、规格型号、花色：</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u w:val="single"/>
        </w:rPr>
      </w:pPr>
      <w:r>
        <w:rPr>
          <w:rFonts w:hint="eastAsia" w:ascii="宋体" w:hAnsi="宋体" w:cs="宋体"/>
          <w:sz w:val="24"/>
        </w:rPr>
        <w:t>1.2.2 货物数量：</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u w:val="single"/>
        </w:rPr>
      </w:pPr>
      <w:r>
        <w:rPr>
          <w:rFonts w:hint="eastAsia" w:ascii="宋体" w:hAnsi="宋体" w:cs="宋体"/>
          <w:sz w:val="24"/>
        </w:rPr>
        <w:t>1.2.3 货物质量：</w:t>
      </w:r>
      <w:r>
        <w:rPr>
          <w:rFonts w:hint="eastAsia" w:ascii="宋体" w:hAnsi="宋体" w:cs="宋体"/>
          <w:sz w:val="24"/>
          <w:u w:val="single"/>
        </w:rPr>
        <w:t>　　　　　　　　　                      　      ；</w:t>
      </w:r>
    </w:p>
    <w:p>
      <w:pPr>
        <w:spacing w:line="560" w:lineRule="exact"/>
        <w:ind w:firstLine="482" w:firstLineChars="200"/>
        <w:outlineLvl w:val="0"/>
        <w:rPr>
          <w:rFonts w:ascii="宋体" w:hAnsi="宋体" w:cs="宋体"/>
          <w:b/>
          <w:sz w:val="24"/>
        </w:rPr>
      </w:pPr>
      <w:bookmarkStart w:id="402" w:name="_Toc21631"/>
      <w:bookmarkStart w:id="403" w:name="_Toc21551"/>
      <w:bookmarkStart w:id="404" w:name="_Toc23292"/>
      <w:r>
        <w:rPr>
          <w:rFonts w:hint="eastAsia" w:ascii="宋体" w:hAnsi="宋体" w:cs="宋体"/>
          <w:b/>
          <w:sz w:val="24"/>
        </w:rPr>
        <w:t>1.3 价款</w:t>
      </w:r>
      <w:bookmarkEnd w:id="402"/>
      <w:bookmarkEnd w:id="403"/>
      <w:bookmarkEnd w:id="404"/>
    </w:p>
    <w:p>
      <w:pPr>
        <w:spacing w:line="560" w:lineRule="exact"/>
        <w:ind w:firstLine="480" w:firstLineChars="200"/>
        <w:rPr>
          <w:rFonts w:ascii="宋体" w:hAnsi="宋体" w:cs="宋体"/>
          <w:sz w:val="24"/>
        </w:rPr>
      </w:pPr>
      <w:r>
        <w:rPr>
          <w:rFonts w:hint="eastAsia" w:ascii="宋体" w:hAnsi="宋体" w:cs="宋体"/>
          <w:sz w:val="24"/>
        </w:rPr>
        <w:t>本合同总价（含税）为：￥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p>
    <w:p>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Ansi="宋体" w:cs="宋体"/>
                <w:sz w:val="24"/>
                <w:szCs w:val="24"/>
              </w:rPr>
            </w:pPr>
            <w:r>
              <w:rPr>
                <w:rFonts w:hint="eastAsia" w:hAnsi="宋体" w:cs="宋体"/>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sz w:val="24"/>
                <w:szCs w:val="24"/>
              </w:rPr>
            </w:pPr>
          </w:p>
        </w:tc>
      </w:tr>
    </w:tbl>
    <w:p>
      <w:pPr>
        <w:pStyle w:val="957"/>
        <w:spacing w:before="0" w:beforeAutospacing="0" w:after="0" w:afterAutospacing="0" w:line="360" w:lineRule="auto"/>
        <w:ind w:firstLine="480"/>
        <w:rPr>
          <w:b/>
        </w:rPr>
      </w:pPr>
      <w:bookmarkStart w:id="405" w:name="_Toc10340"/>
      <w:bookmarkStart w:id="406" w:name="_Toc22618"/>
      <w:bookmarkStart w:id="407" w:name="_Toc1814"/>
      <w:r>
        <w:rPr>
          <w:rFonts w:hint="eastAsia"/>
          <w:b/>
        </w:rPr>
        <w:t>1.4履约保证金</w:t>
      </w:r>
    </w:p>
    <w:p>
      <w:pPr>
        <w:pStyle w:val="957"/>
        <w:spacing w:before="0" w:beforeAutospacing="0" w:after="0" w:afterAutospacing="0" w:line="360" w:lineRule="auto"/>
        <w:ind w:firstLine="480"/>
      </w:pPr>
      <w:r>
        <w:rPr>
          <w:rFonts w:hint="eastAsia"/>
        </w:rPr>
        <w:t>乙方</w:t>
      </w:r>
      <w:r>
        <w:rPr>
          <w:rFonts w:hint="eastAsia"/>
          <w:u w:val="single"/>
        </w:rPr>
        <w:t xml:space="preserve">     </w:t>
      </w:r>
      <w:r>
        <w:rPr>
          <w:rFonts w:hint="eastAsia"/>
        </w:rPr>
        <w:t>（是</w:t>
      </w:r>
      <w:r>
        <w:rPr>
          <w:rFonts w:hint="eastAsia" w:ascii="仿宋" w:hAnsi="仿宋" w:eastAsia="仿宋" w:cs="仿宋"/>
        </w:rPr>
        <w:t>/</w:t>
      </w:r>
      <w:r>
        <w:rPr>
          <w:rFonts w:hint="eastAsia"/>
        </w:rPr>
        <w:t>否）需要支付履约保证金。若需要支付履约保证金的，则：</w:t>
      </w:r>
    </w:p>
    <w:p>
      <w:pPr>
        <w:spacing w:line="560" w:lineRule="exact"/>
        <w:ind w:firstLine="480" w:firstLineChars="200"/>
        <w:outlineLvl w:val="0"/>
        <w:rPr>
          <w:rFonts w:ascii="宋体" w:hAnsi="宋体" w:cs="宋体"/>
          <w:kern w:val="0"/>
          <w:sz w:val="24"/>
        </w:rPr>
      </w:pPr>
      <w:r>
        <w:rPr>
          <w:rFonts w:hint="eastAsia" w:ascii="宋体" w:hAnsi="宋体" w:cs="宋体"/>
          <w:kern w:val="0"/>
          <w:sz w:val="24"/>
        </w:rPr>
        <w:t>1.4.1履约保证金的比例为合同金额的</w:t>
      </w:r>
      <w:r>
        <w:rPr>
          <w:rFonts w:hint="eastAsia" w:ascii="宋体" w:hAnsi="宋体" w:cs="宋体"/>
          <w:kern w:val="0"/>
          <w:sz w:val="24"/>
          <w:u w:val="single"/>
        </w:rPr>
        <w:t xml:space="preserve">     </w:t>
      </w:r>
      <w:r>
        <w:rPr>
          <w:rFonts w:hint="eastAsia" w:ascii="宋体" w:hAnsi="宋体" w:cs="宋体"/>
          <w:kern w:val="0"/>
          <w:sz w:val="24"/>
        </w:rPr>
        <w:t>%；</w:t>
      </w:r>
    </w:p>
    <w:p>
      <w:pPr>
        <w:spacing w:line="560" w:lineRule="exact"/>
        <w:ind w:firstLine="480" w:firstLineChars="200"/>
        <w:outlineLvl w:val="0"/>
        <w:rPr>
          <w:rFonts w:ascii="宋体" w:hAnsi="宋体" w:cs="宋体"/>
          <w:kern w:val="0"/>
          <w:sz w:val="24"/>
        </w:rPr>
      </w:pPr>
      <w:r>
        <w:rPr>
          <w:rFonts w:hint="eastAsia" w:ascii="宋体" w:hAnsi="宋体" w:cs="宋体"/>
          <w:kern w:val="0"/>
          <w:sz w:val="24"/>
        </w:rPr>
        <w:t>1.4.2履约保证金支付方式详见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pPr>
        <w:pStyle w:val="5"/>
        <w:tabs>
          <w:tab w:val="left" w:pos="0"/>
          <w:tab w:val="clear" w:pos="432"/>
        </w:tabs>
        <w:spacing w:line="560" w:lineRule="exact"/>
        <w:ind w:left="0" w:firstLine="480" w:firstLineChars="200"/>
        <w:rPr>
          <w:rFonts w:eastAsia="宋体"/>
          <w:lang w:val="en-US"/>
        </w:rPr>
      </w:pPr>
      <w:r>
        <w:rPr>
          <w:rFonts w:hint="eastAsia" w:ascii="宋体" w:hAnsi="宋体" w:eastAsia="宋体"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pPr>
      <w:r>
        <w:rPr>
          <w:rFonts w:hint="eastAsia" w:ascii="宋体" w:hAnsi="宋体" w:cs="宋体"/>
          <w:kern w:val="0"/>
          <w:sz w:val="24"/>
        </w:rPr>
        <w:t>1.4.4 甲方在项目验收结束后及时退还履约保证金。甲方在项目通过验收之日起</w:t>
      </w:r>
      <w:r>
        <w:rPr>
          <w:rFonts w:hint="eastAsia" w:ascii="宋体" w:hAnsi="宋体" w:cs="宋体"/>
          <w:kern w:val="0"/>
          <w:sz w:val="24"/>
          <w:u w:val="single"/>
        </w:rPr>
        <w:t xml:space="preserve">       </w:t>
      </w:r>
      <w:r>
        <w:rPr>
          <w:rFonts w:hint="eastAsia" w:ascii="宋体" w:hAnsi="宋体" w:cs="宋体"/>
          <w:kern w:val="0"/>
          <w:sz w:val="24"/>
        </w:rPr>
        <w:t>个工作日内将履约保证金无息退还乙方，逾期退还的，乙方可要求甲方支付违约金，违约金按每迟延退还一日的应退还而未退还金额的</w:t>
      </w:r>
      <w:r>
        <w:rPr>
          <w:rFonts w:hint="eastAsia" w:ascii="宋体" w:hAnsi="宋体" w:cs="宋体"/>
          <w:kern w:val="0"/>
          <w:sz w:val="24"/>
          <w:u w:val="single"/>
        </w:rPr>
        <w:t xml:space="preserve">  0.05（可根据情况修改）</w:t>
      </w:r>
      <w:r>
        <w:rPr>
          <w:rFonts w:hint="eastAsia" w:ascii="宋体" w:hAnsi="宋体" w:cs="宋体"/>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%计算，最高限额为本合同履约保证金的</w:t>
      </w:r>
      <w:r>
        <w:rPr>
          <w:rFonts w:hint="eastAsia" w:ascii="宋体" w:hAnsi="宋体" w:cs="宋体"/>
          <w:kern w:val="0"/>
          <w:sz w:val="24"/>
          <w:u w:val="single"/>
        </w:rPr>
        <w:t xml:space="preserve">  20  </w:t>
      </w:r>
      <w:r>
        <w:rPr>
          <w:rFonts w:hint="eastAsia" w:ascii="宋体" w:hAnsi="宋体" w:cs="宋体"/>
          <w:kern w:val="0"/>
          <w:sz w:val="24"/>
        </w:rPr>
        <w:t xml:space="preserve"> %。</w:t>
      </w:r>
    </w:p>
    <w:p>
      <w:pPr>
        <w:spacing w:line="560" w:lineRule="exact"/>
        <w:ind w:firstLine="482" w:firstLineChars="200"/>
        <w:outlineLvl w:val="0"/>
        <w:rPr>
          <w:rFonts w:ascii="宋体" w:hAnsi="宋体" w:cs="宋体"/>
          <w:b/>
          <w:sz w:val="24"/>
        </w:rPr>
      </w:pPr>
      <w:r>
        <w:rPr>
          <w:rFonts w:hint="eastAsia" w:ascii="宋体" w:hAnsi="宋体" w:cs="宋体"/>
          <w:b/>
          <w:sz w:val="24"/>
        </w:rPr>
        <w:t>1.5</w:t>
      </w:r>
      <w:bookmarkEnd w:id="405"/>
      <w:bookmarkEnd w:id="406"/>
      <w:bookmarkEnd w:id="407"/>
      <w:r>
        <w:rPr>
          <w:rFonts w:hint="eastAsia" w:ascii="宋体" w:hAnsi="宋体" w:cs="宋体"/>
          <w:b/>
          <w:sz w:val="24"/>
        </w:rPr>
        <w:t>预付款</w:t>
      </w:r>
    </w:p>
    <w:p>
      <w:pPr>
        <w:pStyle w:val="957"/>
        <w:spacing w:before="0" w:beforeAutospacing="0" w:after="0" w:afterAutospacing="0" w:line="360" w:lineRule="auto"/>
        <w:ind w:firstLine="480"/>
      </w:pPr>
      <w:r>
        <w:rPr>
          <w:rFonts w:hint="eastAsia"/>
        </w:rPr>
        <w:t>甲方</w:t>
      </w:r>
      <w:r>
        <w:rPr>
          <w:rFonts w:hint="eastAsia"/>
          <w:u w:val="single"/>
        </w:rPr>
        <w:t xml:space="preserve">     </w:t>
      </w:r>
      <w:r>
        <w:rPr>
          <w:rFonts w:hint="eastAsia"/>
        </w:rPr>
        <w:t>（是</w:t>
      </w:r>
      <w:r>
        <w:rPr>
          <w:rFonts w:hint="eastAsia" w:ascii="仿宋" w:hAnsi="仿宋" w:eastAsia="仿宋" w:cs="仿宋"/>
        </w:rPr>
        <w:t>/</w:t>
      </w:r>
      <w:r>
        <w:rPr>
          <w:rFonts w:hint="eastAsia"/>
        </w:rPr>
        <w:t>否）需要支付预付款。若需要支付预付款的，则：</w:t>
      </w:r>
    </w:p>
    <w:p>
      <w:pPr>
        <w:spacing w:line="560" w:lineRule="exact"/>
        <w:ind w:firstLine="480" w:firstLineChars="200"/>
        <w:rPr>
          <w:rFonts w:ascii="宋体" w:hAnsi="宋体" w:cs="宋体"/>
          <w:kern w:val="0"/>
          <w:sz w:val="24"/>
        </w:rPr>
      </w:pPr>
      <w:r>
        <w:rPr>
          <w:rFonts w:hint="eastAsia" w:ascii="宋体" w:hAnsi="宋体" w:cs="宋体"/>
          <w:kern w:val="0"/>
          <w:sz w:val="24"/>
        </w:rPr>
        <w:t>1.5.1预付款比例、支付方式、时间详见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pPr>
        <w:pStyle w:val="957"/>
        <w:spacing w:before="0" w:beforeAutospacing="0" w:after="0" w:afterAutospacing="0" w:line="360" w:lineRule="auto"/>
        <w:ind w:firstLine="480"/>
      </w:pPr>
      <w:r>
        <w:rPr>
          <w:rFonts w:hint="eastAsia"/>
        </w:rPr>
        <w:t>1.5.2预付款的扣回方式详见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pPr>
        <w:pStyle w:val="957"/>
        <w:spacing w:before="0" w:beforeAutospacing="0" w:after="0" w:afterAutospacing="0" w:line="360" w:lineRule="auto"/>
        <w:ind w:firstLine="480"/>
        <w:rPr>
          <w:u w:val="single"/>
        </w:rPr>
      </w:pPr>
      <w:r>
        <w:rPr>
          <w:rFonts w:hint="eastAsia"/>
        </w:rPr>
        <w:t>1.5.3预付款的担保措施详见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pPr>
        <w:pStyle w:val="957"/>
        <w:spacing w:before="0" w:beforeAutospacing="0" w:after="0" w:afterAutospacing="0" w:line="360" w:lineRule="auto"/>
        <w:ind w:firstLine="480"/>
        <w:rPr>
          <w:b/>
          <w:bCs/>
        </w:rPr>
      </w:pPr>
      <w:r>
        <w:rPr>
          <w:rFonts w:hint="eastAsia"/>
          <w:b/>
          <w:bCs/>
        </w:rPr>
        <w:t>1.6资金支付</w:t>
      </w:r>
    </w:p>
    <w:p>
      <w:pPr>
        <w:pStyle w:val="957"/>
        <w:spacing w:before="0" w:beforeAutospacing="0" w:after="0" w:afterAutospacing="0" w:line="360" w:lineRule="auto"/>
        <w:ind w:firstLine="480"/>
      </w:pPr>
      <w:r>
        <w:rPr>
          <w:rFonts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宋体" w:hAnsi="宋体" w:cs="宋体"/>
          <w:sz w:val="24"/>
        </w:rPr>
      </w:pPr>
      <w:r>
        <w:rPr>
          <w:rFonts w:hint="eastAsia" w:ascii="宋体" w:hAnsi="宋体" w:cs="宋体"/>
          <w:sz w:val="24"/>
        </w:rPr>
        <w:t>1.6.2资金支付的方式、时间和条件详见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08" w:name="_Toc19304"/>
      <w:bookmarkStart w:id="409" w:name="_Toc32071"/>
      <w:bookmarkStart w:id="410" w:name="_Toc2846"/>
      <w:r>
        <w:rPr>
          <w:rFonts w:hint="eastAsia" w:ascii="宋体" w:hAnsi="宋体" w:cs="宋体"/>
          <w:b/>
          <w:sz w:val="24"/>
        </w:rPr>
        <w:t>1.7货物交付期限、地点和方式</w:t>
      </w:r>
      <w:bookmarkEnd w:id="408"/>
      <w:bookmarkEnd w:id="409"/>
      <w:bookmarkEnd w:id="410"/>
    </w:p>
    <w:p>
      <w:pPr>
        <w:spacing w:line="560" w:lineRule="exact"/>
        <w:ind w:firstLine="480" w:firstLineChars="200"/>
        <w:rPr>
          <w:rFonts w:ascii="宋体" w:hAnsi="宋体" w:cs="宋体"/>
          <w:sz w:val="24"/>
          <w:u w:val="single"/>
        </w:rPr>
      </w:pPr>
      <w:r>
        <w:rPr>
          <w:rFonts w:hint="eastAsia" w:ascii="宋体" w:hAnsi="宋体" w:cs="宋体"/>
          <w:sz w:val="24"/>
        </w:rPr>
        <w:t>1.7.1 交付期限：详见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1.7.2 交付地点：</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1.7.3 交付方式：</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11" w:name="_Toc21423"/>
      <w:bookmarkStart w:id="412" w:name="_Toc19554"/>
      <w:bookmarkStart w:id="413" w:name="_Toc27250"/>
      <w:r>
        <w:rPr>
          <w:rFonts w:hint="eastAsia" w:ascii="宋体" w:hAnsi="宋体" w:cs="宋体"/>
          <w:b/>
          <w:sz w:val="24"/>
        </w:rPr>
        <w:t>1.8违约责任</w:t>
      </w:r>
      <w:bookmarkEnd w:id="411"/>
      <w:bookmarkEnd w:id="412"/>
      <w:bookmarkEnd w:id="413"/>
    </w:p>
    <w:p>
      <w:pPr>
        <w:spacing w:line="560" w:lineRule="exact"/>
        <w:ind w:firstLine="480" w:firstLineChars="200"/>
        <w:rPr>
          <w:rFonts w:ascii="宋体" w:hAnsi="宋体" w:cs="宋体"/>
          <w:sz w:val="24"/>
        </w:rPr>
      </w:pPr>
      <w:r>
        <w:rPr>
          <w:rFonts w:hint="eastAsia" w:ascii="宋体" w:hAnsi="宋体" w:cs="宋体"/>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u w:val="single"/>
        </w:rPr>
        <w:t xml:space="preserve">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s="宋体"/>
          <w:sz w:val="24"/>
        </w:rPr>
      </w:pPr>
      <w:r>
        <w:rPr>
          <w:rFonts w:hint="eastAsia" w:ascii="宋体" w:hAnsi="宋体" w:cs="宋体"/>
          <w:sz w:val="24"/>
        </w:rPr>
        <w:t>1.8.2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u w:val="single"/>
        </w:rPr>
        <w:t xml:space="preserve">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pPr>
        <w:spacing w:line="560" w:lineRule="exact"/>
        <w:ind w:firstLine="480" w:firstLineChars="200"/>
        <w:rPr>
          <w:rFonts w:ascii="宋体" w:hAnsi="宋体" w:cs="宋体"/>
          <w:sz w:val="24"/>
        </w:rPr>
      </w:pPr>
      <w:r>
        <w:rPr>
          <w:rFonts w:hint="eastAsia" w:ascii="宋体" w:hAnsi="宋体" w:cs="宋体"/>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sz w:val="24"/>
        </w:rPr>
      </w:pPr>
      <w:r>
        <w:rPr>
          <w:rFonts w:hint="eastAsia" w:ascii="宋体" w:hAnsi="宋体" w:cs="宋体"/>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sz w:val="24"/>
        </w:rPr>
      </w:pPr>
      <w:r>
        <w:rPr>
          <w:rFonts w:hint="eastAsia" w:ascii="宋体" w:hAnsi="宋体" w:cs="宋体"/>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宋体" w:hAnsi="宋体" w:cs="宋体"/>
        </w:rPr>
      </w:pPr>
      <w:r>
        <w:rPr>
          <w:rFonts w:hint="eastAsia" w:ascii="宋体" w:hAnsi="宋体" w:cs="宋体"/>
          <w:sz w:val="24"/>
        </w:rPr>
        <w:t>1.8.6违约责任</w:t>
      </w:r>
      <w:r>
        <w:rPr>
          <w:rFonts w:hint="eastAsia" w:ascii="宋体" w:hAnsi="宋体" w:cs="宋体"/>
          <w:b/>
          <w:i/>
          <w:sz w:val="24"/>
          <w:u w:val="single"/>
        </w:rPr>
        <w:t>合同专用条款</w:t>
      </w:r>
      <w:r>
        <w:rPr>
          <w:rFonts w:hint="eastAsia" w:ascii="宋体" w:hAnsi="宋体" w:cs="宋体"/>
          <w:sz w:val="24"/>
        </w:rPr>
        <w:t>另有约定的，从其约定。</w:t>
      </w:r>
    </w:p>
    <w:p>
      <w:pPr>
        <w:spacing w:line="560" w:lineRule="exact"/>
        <w:ind w:firstLine="482" w:firstLineChars="200"/>
        <w:outlineLvl w:val="0"/>
        <w:rPr>
          <w:rFonts w:ascii="宋体" w:hAnsi="宋体" w:cs="宋体"/>
          <w:b/>
          <w:sz w:val="24"/>
        </w:rPr>
      </w:pPr>
      <w:bookmarkStart w:id="414" w:name="_Toc16021"/>
      <w:bookmarkStart w:id="415" w:name="_Toc28375"/>
      <w:bookmarkStart w:id="416" w:name="_Toc15583"/>
      <w:r>
        <w:rPr>
          <w:rFonts w:hint="eastAsia" w:ascii="宋体" w:hAnsi="宋体" w:cs="宋体"/>
          <w:b/>
          <w:sz w:val="24"/>
        </w:rPr>
        <w:t>1.9合同争议的解决</w:t>
      </w:r>
      <w:bookmarkEnd w:id="414"/>
      <w:bookmarkEnd w:id="415"/>
      <w:bookmarkEnd w:id="416"/>
    </w:p>
    <w:p>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w:t>
      </w:r>
      <w:r>
        <w:rPr>
          <w:rFonts w:hint="eastAsia" w:ascii="宋体" w:hAnsi="宋体" w:cs="宋体"/>
          <w:sz w:val="24"/>
        </w:rPr>
        <w:t>条款规定的方式解决：</w:t>
      </w:r>
    </w:p>
    <w:p>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1.9.2 向</w:t>
      </w:r>
      <w:r>
        <w:rPr>
          <w:rFonts w:hint="eastAsia" w:ascii="宋体" w:hAnsi="宋体" w:cs="宋体"/>
          <w:b/>
          <w:i/>
          <w:sz w:val="24"/>
          <w:u w:val="single"/>
        </w:rPr>
        <w:t>合同专用条款</w:t>
      </w:r>
      <w:r>
        <w:rPr>
          <w:rFonts w:hint="eastAsia" w:ascii="宋体" w:hAnsi="宋体" w:cs="宋体"/>
          <w:sz w:val="24"/>
        </w:rPr>
        <w:t>人民法院起诉。</w:t>
      </w:r>
    </w:p>
    <w:p>
      <w:pPr>
        <w:spacing w:line="560" w:lineRule="exact"/>
        <w:ind w:firstLine="482" w:firstLineChars="200"/>
        <w:outlineLvl w:val="0"/>
        <w:rPr>
          <w:rFonts w:ascii="宋体" w:hAnsi="宋体" w:cs="宋体"/>
          <w:b/>
          <w:sz w:val="24"/>
        </w:rPr>
      </w:pPr>
      <w:bookmarkStart w:id="417" w:name="_Toc11173"/>
      <w:bookmarkStart w:id="418" w:name="_Toc15322"/>
      <w:bookmarkStart w:id="419" w:name="_Toc7245"/>
      <w:r>
        <w:rPr>
          <w:rFonts w:hint="eastAsia" w:ascii="宋体" w:hAnsi="宋体" w:cs="宋体"/>
          <w:b/>
          <w:sz w:val="24"/>
        </w:rPr>
        <w:t>2.0 合同生效</w:t>
      </w:r>
      <w:bookmarkEnd w:id="417"/>
      <w:bookmarkEnd w:id="418"/>
      <w:bookmarkEnd w:id="419"/>
    </w:p>
    <w:p>
      <w:pPr>
        <w:spacing w:line="560" w:lineRule="exact"/>
        <w:ind w:firstLine="480" w:firstLineChars="200"/>
        <w:rPr>
          <w:rFonts w:ascii="宋体" w:hAnsi="宋体" w:cs="宋体"/>
          <w:b/>
          <w:sz w:val="24"/>
        </w:rPr>
      </w:pPr>
      <w:r>
        <w:rPr>
          <w:rFonts w:hint="eastAsia" w:ascii="宋体" w:hAnsi="宋体" w:cs="宋体"/>
          <w:sz w:val="24"/>
        </w:rPr>
        <w:t>本合同自双方当事人盖章签字时生效。</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sz w:val="24"/>
          <w:lang w:val="zh-CN"/>
        </w:rPr>
        <w:t>：</w:t>
      </w:r>
    </w:p>
    <w:p>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pPr>
        <w:autoSpaceDE w:val="0"/>
        <w:autoSpaceDN w:val="0"/>
        <w:spacing w:line="560" w:lineRule="exact"/>
        <w:rPr>
          <w:rFonts w:ascii="宋体" w:hAnsi="宋体" w:cs="宋体"/>
          <w:sz w:val="24"/>
        </w:rPr>
      </w:pPr>
      <w:r>
        <w:rPr>
          <w:rFonts w:hint="eastAsia" w:ascii="宋体" w:hAnsi="宋体" w:cs="宋体"/>
          <w:sz w:val="24"/>
        </w:rPr>
        <w:t>开户账号：</w:t>
      </w:r>
      <w:r>
        <w:rPr>
          <w:rFonts w:hint="eastAsia" w:ascii="宋体" w:hAnsi="宋体" w:cs="宋体"/>
          <w:sz w:val="24"/>
          <w:lang w:val="zh-CN"/>
        </w:rPr>
        <w:t xml:space="preserve">                               </w:t>
      </w:r>
      <w:r>
        <w:rPr>
          <w:rFonts w:hint="eastAsia" w:ascii="宋体" w:hAnsi="宋体" w:cs="宋体"/>
          <w:sz w:val="24"/>
        </w:rPr>
        <w:t>开户账号：</w:t>
      </w:r>
    </w:p>
    <w:p>
      <w:pPr>
        <w:pStyle w:val="5"/>
        <w:rPr>
          <w:rFonts w:ascii="宋体" w:hAnsi="宋体" w:cs="宋体"/>
          <w:sz w:val="24"/>
        </w:rPr>
      </w:pPr>
    </w:p>
    <w:p>
      <w:pPr>
        <w:rPr>
          <w:rFonts w:ascii="宋体" w:hAnsi="宋体" w:cs="宋体"/>
          <w:sz w:val="24"/>
        </w:rPr>
      </w:pPr>
    </w:p>
    <w:p>
      <w:pPr>
        <w:pStyle w:val="5"/>
        <w:rPr>
          <w:rFonts w:ascii="宋体" w:hAnsi="宋体" w:cs="宋体"/>
          <w:sz w:val="24"/>
        </w:rPr>
      </w:pPr>
    </w:p>
    <w:p>
      <w:pPr>
        <w:rPr>
          <w:rFonts w:ascii="宋体" w:hAnsi="宋体" w:cs="宋体"/>
          <w:sz w:val="24"/>
        </w:rPr>
      </w:pPr>
    </w:p>
    <w:p>
      <w:pPr>
        <w:pStyle w:val="5"/>
        <w:rPr>
          <w:rFonts w:ascii="宋体" w:hAnsi="宋体" w:cs="宋体"/>
          <w:sz w:val="24"/>
        </w:rPr>
      </w:pPr>
    </w:p>
    <w:p>
      <w:pPr>
        <w:rPr>
          <w:rFonts w:ascii="宋体" w:hAnsi="宋体" w:cs="宋体"/>
          <w:sz w:val="24"/>
        </w:rPr>
      </w:pPr>
    </w:p>
    <w:p>
      <w:pPr>
        <w:pStyle w:val="699"/>
        <w:spacing w:line="560" w:lineRule="exact"/>
        <w:ind w:firstLine="482"/>
        <w:jc w:val="center"/>
        <w:rPr>
          <w:rFonts w:ascii="宋体" w:hAnsi="宋体" w:cs="宋体"/>
          <w:b/>
          <w:szCs w:val="24"/>
        </w:rPr>
      </w:pPr>
      <w:r>
        <w:rPr>
          <w:rFonts w:hint="eastAsia" w:ascii="宋体" w:hAnsi="宋体" w:cs="宋体"/>
          <w:b/>
          <w:szCs w:val="24"/>
        </w:rPr>
        <w:t>第二部分 合同一般条款</w:t>
      </w:r>
    </w:p>
    <w:p>
      <w:pPr>
        <w:spacing w:line="560" w:lineRule="exact"/>
        <w:ind w:firstLine="482" w:firstLineChars="200"/>
        <w:outlineLvl w:val="0"/>
        <w:rPr>
          <w:rFonts w:ascii="宋体" w:hAnsi="宋体" w:cs="宋体"/>
          <w:b/>
          <w:sz w:val="24"/>
        </w:rPr>
      </w:pPr>
      <w:bookmarkStart w:id="420" w:name="_Ref467379109"/>
      <w:bookmarkStart w:id="421" w:name="_Ref467378404"/>
      <w:bookmarkStart w:id="422" w:name="_Toc16917"/>
      <w:bookmarkStart w:id="423" w:name="_Toc19614"/>
      <w:bookmarkStart w:id="424" w:name="_Toc279701240"/>
      <w:bookmarkStart w:id="425" w:name="_Toc28763"/>
      <w:bookmarkStart w:id="426" w:name="_Ref467379214"/>
      <w:bookmarkStart w:id="427" w:name="_Ref467378463"/>
      <w:bookmarkStart w:id="428" w:name="_Ref467379195"/>
      <w:bookmarkStart w:id="429" w:name="_Toc259093669"/>
      <w:bookmarkStart w:id="430" w:name="_Ref467378499"/>
      <w:bookmarkStart w:id="431" w:name="_Ref467379205"/>
      <w:bookmarkStart w:id="432" w:name="_Ref467379094"/>
      <w:bookmarkStart w:id="433" w:name="_Ref467379101"/>
      <w:bookmarkStart w:id="434" w:name="_Toc487900349"/>
      <w:bookmarkStart w:id="435" w:name="_Ref467379225"/>
      <w:r>
        <w:rPr>
          <w:rFonts w:hint="eastAsia" w:ascii="宋体" w:hAnsi="宋体" w:cs="宋体"/>
          <w:b/>
          <w:sz w:val="24"/>
        </w:rPr>
        <w:t>2.1 定义</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560" w:lineRule="exact"/>
        <w:ind w:firstLine="480" w:firstLineChars="200"/>
        <w:rPr>
          <w:rFonts w:ascii="宋体" w:hAnsi="宋体" w:cs="宋体"/>
          <w:sz w:val="24"/>
        </w:rPr>
      </w:pPr>
      <w:r>
        <w:rPr>
          <w:rFonts w:hint="eastAsia" w:ascii="宋体" w:hAnsi="宋体" w:cs="宋体"/>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宋体" w:hAnsi="宋体" w:cs="宋体"/>
          <w:sz w:val="24"/>
        </w:rPr>
      </w:pPr>
      <w:r>
        <w:rPr>
          <w:rFonts w:hint="eastAsia" w:ascii="宋体" w:hAnsi="宋体" w:cs="宋体"/>
          <w:sz w:val="24"/>
        </w:rPr>
        <w:t>2.1.2 “合同价”系指根据合同约定，中标或成交供应商在完全履行合同义务后，采购人应支付给中标或成交供应商的价格。</w:t>
      </w:r>
    </w:p>
    <w:p>
      <w:pPr>
        <w:spacing w:line="560" w:lineRule="exact"/>
        <w:ind w:firstLine="480" w:firstLineChars="200"/>
        <w:rPr>
          <w:rFonts w:ascii="宋体" w:hAnsi="宋体" w:cs="宋体"/>
          <w:sz w:val="24"/>
        </w:rPr>
      </w:pPr>
      <w:r>
        <w:rPr>
          <w:rFonts w:hint="eastAsia" w:ascii="宋体" w:hAnsi="宋体" w:cs="宋体"/>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sz w:val="24"/>
        </w:rPr>
      </w:pPr>
      <w:bookmarkStart w:id="436" w:name="_Ref467378840"/>
      <w:r>
        <w:rPr>
          <w:rFonts w:hint="eastAsia" w:ascii="宋体" w:hAnsi="宋体" w:cs="宋体"/>
          <w:sz w:val="24"/>
        </w:rPr>
        <w:t>2.1.4 “甲方”系指与中标或成交供应商签署合同的采购人</w:t>
      </w:r>
      <w:bookmarkEnd w:id="436"/>
      <w:r>
        <w:rPr>
          <w:rFonts w:hint="eastAsia" w:ascii="宋体" w:hAnsi="宋体" w:cs="宋体"/>
          <w:sz w:val="24"/>
        </w:rPr>
        <w:t>；采购人委托采购代理机构代表其与乙方签订合同的，采购人的授权委托书作为合同附件。</w:t>
      </w:r>
    </w:p>
    <w:p>
      <w:pPr>
        <w:spacing w:line="560" w:lineRule="exact"/>
        <w:ind w:firstLine="480" w:firstLineChars="200"/>
        <w:rPr>
          <w:rFonts w:ascii="宋体" w:hAnsi="宋体" w:cs="宋体"/>
          <w:sz w:val="24"/>
        </w:rPr>
      </w:pPr>
      <w:bookmarkStart w:id="437" w:name="_Ref467379400"/>
      <w:r>
        <w:rPr>
          <w:rFonts w:hint="eastAsia" w:ascii="宋体" w:hAnsi="宋体" w:cs="宋体"/>
          <w:sz w:val="24"/>
        </w:rPr>
        <w:t>2.1.5 “乙方”系指根据合同约定交付货物的中标或成交供应商</w:t>
      </w:r>
      <w:bookmarkEnd w:id="437"/>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sz w:val="24"/>
        </w:rPr>
      </w:pPr>
      <w:bookmarkStart w:id="438" w:name="_Ref467379436"/>
      <w:r>
        <w:rPr>
          <w:rFonts w:hint="eastAsia" w:ascii="宋体" w:hAnsi="宋体" w:cs="宋体"/>
          <w:sz w:val="24"/>
        </w:rPr>
        <w:t>2.1.6 “现场”系指合同约定货物将要运至或者安装的地点。</w:t>
      </w:r>
      <w:bookmarkEnd w:id="438"/>
    </w:p>
    <w:p>
      <w:pPr>
        <w:spacing w:line="560" w:lineRule="exact"/>
        <w:ind w:firstLine="482" w:firstLineChars="200"/>
        <w:outlineLvl w:val="0"/>
        <w:rPr>
          <w:rFonts w:ascii="宋体" w:hAnsi="宋体" w:cs="宋体"/>
          <w:b/>
          <w:sz w:val="24"/>
        </w:rPr>
      </w:pPr>
      <w:bookmarkStart w:id="439" w:name="_Toc27635"/>
      <w:bookmarkStart w:id="440" w:name="_Toc487900350"/>
      <w:bookmarkStart w:id="441" w:name="_Toc13336"/>
      <w:bookmarkStart w:id="442" w:name="_Toc259093670"/>
      <w:bookmarkStart w:id="443" w:name="_Toc279701241"/>
      <w:bookmarkStart w:id="444" w:name="_Toc32504"/>
      <w:r>
        <w:rPr>
          <w:rFonts w:hint="eastAsia" w:ascii="宋体" w:hAnsi="宋体" w:cs="宋体"/>
          <w:b/>
          <w:sz w:val="24"/>
        </w:rPr>
        <w:t>2.2 技术规范</w:t>
      </w:r>
      <w:bookmarkEnd w:id="439"/>
      <w:bookmarkEnd w:id="440"/>
      <w:bookmarkEnd w:id="441"/>
      <w:bookmarkEnd w:id="442"/>
      <w:bookmarkEnd w:id="443"/>
      <w:bookmarkEnd w:id="444"/>
    </w:p>
    <w:p>
      <w:pPr>
        <w:spacing w:line="560" w:lineRule="exact"/>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宋体" w:hAnsi="宋体" w:cs="宋体"/>
          <w:b/>
          <w:sz w:val="24"/>
        </w:rPr>
      </w:pPr>
      <w:bookmarkStart w:id="445" w:name="_Toc9829"/>
      <w:bookmarkStart w:id="446" w:name="_Toc487900351"/>
      <w:bookmarkStart w:id="447" w:name="_Toc31634"/>
      <w:bookmarkStart w:id="448" w:name="_Toc259093671"/>
      <w:bookmarkStart w:id="449" w:name="_Toc279701242"/>
      <w:bookmarkStart w:id="450" w:name="_Toc27853"/>
      <w:r>
        <w:rPr>
          <w:rFonts w:hint="eastAsia" w:ascii="宋体" w:hAnsi="宋体" w:cs="宋体"/>
          <w:b/>
          <w:sz w:val="24"/>
        </w:rPr>
        <w:t>2.3 知识产权</w:t>
      </w:r>
      <w:bookmarkEnd w:id="445"/>
      <w:bookmarkEnd w:id="446"/>
      <w:bookmarkEnd w:id="447"/>
      <w:bookmarkEnd w:id="448"/>
      <w:bookmarkEnd w:id="449"/>
      <w:bookmarkEnd w:id="450"/>
    </w:p>
    <w:p>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rPr>
        <w:t>乙方还应及时澄清相关信息，使甲方声誉免受损害，甲方保留追责的权利。</w:t>
      </w:r>
    </w:p>
    <w:p>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51" w:name="_Toc11932"/>
      <w:bookmarkStart w:id="452" w:name="_Toc29149"/>
      <w:bookmarkStart w:id="453" w:name="_Toc4194"/>
      <w:r>
        <w:rPr>
          <w:rFonts w:hint="eastAsia" w:ascii="宋体" w:hAnsi="宋体" w:cs="宋体"/>
          <w:b/>
          <w:sz w:val="24"/>
        </w:rPr>
        <w:t>2.4 包装和装运</w:t>
      </w:r>
      <w:bookmarkEnd w:id="451"/>
      <w:bookmarkEnd w:id="452"/>
      <w:bookmarkEnd w:id="453"/>
    </w:p>
    <w:p>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sz w:val="24"/>
        </w:rPr>
      </w:pPr>
      <w:r>
        <w:rPr>
          <w:rFonts w:hint="eastAsia" w:ascii="宋体" w:hAnsi="宋体" w:cs="宋体"/>
          <w:sz w:val="24"/>
        </w:rPr>
        <w:t>2.4.3 装运货物的要求和通知，详见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54" w:name="_Ref467378591"/>
      <w:bookmarkStart w:id="455" w:name="_Toc487900354"/>
      <w:bookmarkStart w:id="456" w:name="_Ref467379527"/>
      <w:bookmarkStart w:id="457" w:name="_Ref467378541"/>
      <w:bookmarkStart w:id="458" w:name="_Toc259093674"/>
      <w:bookmarkStart w:id="459" w:name="_Ref467379536"/>
      <w:bookmarkStart w:id="460" w:name="_Toc279701245"/>
      <w:bookmarkStart w:id="461" w:name="_Ref467379542"/>
      <w:bookmarkStart w:id="462" w:name="_Toc19074"/>
      <w:bookmarkStart w:id="463" w:name="_Toc30272"/>
      <w:bookmarkStart w:id="464" w:name="_Toc26182"/>
      <w:r>
        <w:rPr>
          <w:rFonts w:hint="eastAsia" w:ascii="宋体" w:hAnsi="宋体" w:cs="宋体"/>
          <w:b/>
          <w:sz w:val="24"/>
        </w:rPr>
        <w:t>2.</w:t>
      </w:r>
      <w:bookmarkEnd w:id="454"/>
      <w:bookmarkEnd w:id="455"/>
      <w:bookmarkEnd w:id="456"/>
      <w:bookmarkEnd w:id="457"/>
      <w:bookmarkEnd w:id="458"/>
      <w:bookmarkEnd w:id="459"/>
      <w:bookmarkEnd w:id="460"/>
      <w:bookmarkEnd w:id="461"/>
      <w:r>
        <w:rPr>
          <w:rFonts w:hint="eastAsia" w:ascii="宋体" w:hAnsi="宋体" w:cs="宋体"/>
          <w:b/>
          <w:sz w:val="24"/>
        </w:rPr>
        <w:t>5 履约检查和问题反馈</w:t>
      </w:r>
      <w:bookmarkEnd w:id="462"/>
      <w:bookmarkEnd w:id="463"/>
      <w:bookmarkEnd w:id="464"/>
    </w:p>
    <w:p>
      <w:pPr>
        <w:spacing w:line="560" w:lineRule="exact"/>
        <w:ind w:firstLine="480" w:firstLineChars="200"/>
        <w:rPr>
          <w:rFonts w:ascii="宋体" w:hAnsi="宋体" w:cs="宋体"/>
          <w:sz w:val="24"/>
        </w:rPr>
      </w:pPr>
      <w:bookmarkStart w:id="465" w:name="_Ref467379657"/>
      <w:r>
        <w:rPr>
          <w:rFonts w:hint="eastAsia" w:ascii="宋体" w:hAnsi="宋体" w:cs="宋体"/>
          <w:sz w:val="24"/>
        </w:rPr>
        <w:t>2.5.1</w:t>
      </w:r>
      <w:bookmarkEnd w:id="465"/>
      <w:bookmarkStart w:id="466" w:name="_Toc186431854"/>
      <w:bookmarkStart w:id="467" w:name="_Ref467379807"/>
      <w:bookmarkStart w:id="468" w:name="_Toc279701247"/>
      <w:bookmarkStart w:id="469" w:name="_Toc259093676"/>
      <w:bookmarkStart w:id="470" w:name="_Toc487900357"/>
      <w:bookmarkStart w:id="471" w:name="_Ref467379793"/>
      <w:r>
        <w:rPr>
          <w:rFonts w:hint="eastAsia" w:ascii="宋体" w:hAnsi="宋体"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466"/>
      <w:bookmarkStart w:id="472" w:name="_Toc186431855"/>
      <w:r>
        <w:rPr>
          <w:rFonts w:hint="eastAsia" w:ascii="宋体" w:hAnsi="宋体" w:cs="宋体"/>
          <w:sz w:val="24"/>
        </w:rPr>
        <w:t>。</w:t>
      </w:r>
    </w:p>
    <w:bookmarkEnd w:id="467"/>
    <w:bookmarkEnd w:id="468"/>
    <w:bookmarkEnd w:id="469"/>
    <w:bookmarkEnd w:id="470"/>
    <w:bookmarkEnd w:id="471"/>
    <w:bookmarkEnd w:id="472"/>
    <w:p>
      <w:pPr>
        <w:spacing w:line="560" w:lineRule="exact"/>
        <w:ind w:firstLine="482" w:firstLineChars="200"/>
        <w:outlineLvl w:val="0"/>
        <w:rPr>
          <w:rFonts w:ascii="宋体" w:hAnsi="宋体" w:cs="宋体"/>
          <w:b/>
          <w:sz w:val="24"/>
        </w:rPr>
      </w:pPr>
      <w:bookmarkStart w:id="473" w:name="_Toc259093677"/>
      <w:bookmarkStart w:id="474" w:name="_Ref467379923"/>
      <w:bookmarkStart w:id="475" w:name="_Toc487900358"/>
      <w:bookmarkStart w:id="476" w:name="_Ref467379863"/>
      <w:bookmarkStart w:id="477" w:name="_Ref467379852"/>
      <w:bookmarkStart w:id="478" w:name="_Toc279701248"/>
      <w:bookmarkStart w:id="479" w:name="_Toc3225"/>
      <w:bookmarkStart w:id="480" w:name="_Toc16110"/>
      <w:bookmarkStart w:id="481" w:name="_Toc774"/>
      <w:r>
        <w:rPr>
          <w:rFonts w:hint="eastAsia" w:ascii="宋体" w:hAnsi="宋体" w:cs="宋体"/>
          <w:b/>
          <w:sz w:val="24"/>
        </w:rPr>
        <w:t>2.6 技术资料</w:t>
      </w:r>
      <w:bookmarkEnd w:id="473"/>
      <w:bookmarkEnd w:id="474"/>
      <w:bookmarkEnd w:id="475"/>
      <w:bookmarkEnd w:id="476"/>
      <w:bookmarkEnd w:id="477"/>
      <w:bookmarkEnd w:id="478"/>
      <w:r>
        <w:rPr>
          <w:rFonts w:hint="eastAsia" w:ascii="宋体" w:hAnsi="宋体" w:cs="宋体"/>
          <w:b/>
          <w:sz w:val="24"/>
        </w:rPr>
        <w:t>和保密义务</w:t>
      </w:r>
      <w:bookmarkEnd w:id="479"/>
      <w:bookmarkEnd w:id="480"/>
      <w:bookmarkEnd w:id="481"/>
    </w:p>
    <w:p>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cs="宋体"/>
          <w:b/>
          <w:sz w:val="24"/>
        </w:rPr>
      </w:pPr>
      <w:bookmarkStart w:id="482" w:name="_Toc7860"/>
      <w:r>
        <w:rPr>
          <w:rFonts w:hint="eastAsia" w:ascii="宋体" w:hAnsi="宋体" w:cs="宋体"/>
          <w:b/>
          <w:sz w:val="24"/>
        </w:rPr>
        <w:t>2.7 质量保证</w:t>
      </w:r>
      <w:bookmarkEnd w:id="482"/>
    </w:p>
    <w:p>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cs="宋体"/>
          <w:b/>
          <w:sz w:val="24"/>
        </w:rPr>
      </w:pPr>
      <w:bookmarkStart w:id="483" w:name="_Toc17244"/>
      <w:bookmarkStart w:id="484" w:name="_Toc487900362"/>
      <w:bookmarkStart w:id="485" w:name="_Toc279701252"/>
      <w:bookmarkStart w:id="486" w:name="_Toc259093681"/>
      <w:r>
        <w:rPr>
          <w:rFonts w:hint="eastAsia" w:ascii="宋体" w:hAnsi="宋体" w:cs="宋体"/>
          <w:b/>
          <w:sz w:val="24"/>
        </w:rPr>
        <w:t>2.8 货物的风险负担</w:t>
      </w:r>
      <w:bookmarkEnd w:id="483"/>
    </w:p>
    <w:p>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87" w:name="_Toc14055"/>
      <w:r>
        <w:rPr>
          <w:rFonts w:hint="eastAsia" w:ascii="宋体" w:hAnsi="宋体" w:cs="宋体"/>
          <w:b/>
          <w:sz w:val="24"/>
        </w:rPr>
        <w:t>2.9 延迟交货</w:t>
      </w:r>
      <w:bookmarkEnd w:id="484"/>
      <w:bookmarkEnd w:id="485"/>
      <w:bookmarkEnd w:id="486"/>
      <w:bookmarkEnd w:id="487"/>
    </w:p>
    <w:p>
      <w:pPr>
        <w:spacing w:line="560" w:lineRule="exact"/>
        <w:ind w:firstLine="480" w:firstLineChars="200"/>
        <w:rPr>
          <w:rFonts w:ascii="宋体" w:hAnsi="宋体" w:cs="宋体"/>
          <w:sz w:val="24"/>
        </w:rPr>
      </w:pPr>
      <w:r>
        <w:rPr>
          <w:rFonts w:hint="eastAsia" w:ascii="宋体" w:hAnsi="宋体"/>
          <w:sz w:val="24"/>
        </w:rPr>
        <w:t>甲乙双方签订合同后，乙方应按照合同约定履行合同义务，除不可抗力外，乙方不得延迟交货。</w:t>
      </w:r>
      <w:r>
        <w:rPr>
          <w:rFonts w:hint="eastAsia" w:ascii="宋体" w:hAnsi="宋体"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宋体" w:hAnsi="宋体" w:cs="宋体"/>
          <w:b/>
          <w:sz w:val="24"/>
        </w:rPr>
      </w:pPr>
      <w:bookmarkStart w:id="488" w:name="_Toc7502"/>
      <w:bookmarkStart w:id="489" w:name="_Toc487900364"/>
      <w:bookmarkStart w:id="490" w:name="_Ref467378121"/>
      <w:bookmarkStart w:id="491" w:name="_Toc279701254"/>
      <w:bookmarkStart w:id="492" w:name="_Toc259093683"/>
      <w:r>
        <w:rPr>
          <w:rFonts w:hint="eastAsia" w:ascii="宋体" w:hAnsi="宋体" w:cs="宋体"/>
          <w:b/>
          <w:sz w:val="24"/>
        </w:rPr>
        <w:t>2.10 合同变更</w:t>
      </w:r>
      <w:bookmarkEnd w:id="488"/>
    </w:p>
    <w:p>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bookmarkStart w:id="493" w:name="_Toc279701259"/>
      <w:bookmarkStart w:id="494" w:name="_Toc487900369"/>
      <w:bookmarkStart w:id="495" w:name="_Toc259093688"/>
    </w:p>
    <w:p>
      <w:pPr>
        <w:spacing w:line="560" w:lineRule="exact"/>
        <w:ind w:firstLine="482" w:firstLineChars="200"/>
        <w:outlineLvl w:val="0"/>
        <w:rPr>
          <w:rFonts w:ascii="宋体" w:hAnsi="宋体" w:cs="宋体"/>
          <w:b/>
          <w:sz w:val="24"/>
        </w:rPr>
      </w:pPr>
      <w:bookmarkStart w:id="496" w:name="_Toc22955"/>
      <w:bookmarkStart w:id="497" w:name="_Toc15237"/>
      <w:bookmarkStart w:id="498" w:name="_Toc10366"/>
      <w:r>
        <w:rPr>
          <w:rFonts w:hint="eastAsia" w:ascii="宋体" w:hAnsi="宋体" w:cs="宋体"/>
          <w:b/>
          <w:sz w:val="24"/>
        </w:rPr>
        <w:t>2.11 合同转让</w:t>
      </w:r>
      <w:bookmarkEnd w:id="493"/>
      <w:bookmarkEnd w:id="494"/>
      <w:bookmarkEnd w:id="495"/>
      <w:r>
        <w:rPr>
          <w:rFonts w:hint="eastAsia" w:ascii="宋体" w:hAnsi="宋体" w:cs="宋体"/>
          <w:b/>
          <w:sz w:val="24"/>
        </w:rPr>
        <w:t>和分包</w:t>
      </w:r>
      <w:bookmarkEnd w:id="496"/>
      <w:bookmarkEnd w:id="497"/>
      <w:bookmarkEnd w:id="498"/>
    </w:p>
    <w:p>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pPr>
        <w:spacing w:line="560" w:lineRule="exact"/>
        <w:ind w:firstLine="482" w:firstLineChars="200"/>
        <w:outlineLvl w:val="0"/>
        <w:rPr>
          <w:rFonts w:ascii="宋体" w:hAnsi="宋体" w:cs="宋体"/>
          <w:b/>
          <w:sz w:val="24"/>
        </w:rPr>
      </w:pPr>
      <w:bookmarkStart w:id="499" w:name="_Toc14066"/>
      <w:bookmarkStart w:id="500" w:name="_Toc13566"/>
      <w:bookmarkStart w:id="501" w:name="_Toc16508"/>
      <w:r>
        <w:rPr>
          <w:rFonts w:hint="eastAsia" w:ascii="宋体" w:hAnsi="宋体" w:cs="宋体"/>
          <w:b/>
          <w:sz w:val="24"/>
        </w:rPr>
        <w:t>2.12 不可抗力</w:t>
      </w:r>
      <w:bookmarkEnd w:id="499"/>
      <w:bookmarkEnd w:id="500"/>
      <w:bookmarkEnd w:id="501"/>
    </w:p>
    <w:p>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560" w:lineRule="exact"/>
        <w:ind w:firstLine="482" w:firstLineChars="200"/>
        <w:outlineLvl w:val="0"/>
        <w:rPr>
          <w:rFonts w:ascii="宋体" w:hAnsi="宋体" w:cs="宋体"/>
          <w:b/>
          <w:sz w:val="24"/>
        </w:rPr>
      </w:pPr>
      <w:bookmarkStart w:id="502" w:name="_Toc30676"/>
      <w:bookmarkStart w:id="503" w:name="_Toc259093684"/>
      <w:bookmarkStart w:id="504" w:name="_Toc279701255"/>
      <w:bookmarkStart w:id="505" w:name="_Toc689"/>
      <w:bookmarkStart w:id="506" w:name="_Toc487900365"/>
      <w:bookmarkStart w:id="507" w:name="_Toc6969"/>
      <w:r>
        <w:rPr>
          <w:rFonts w:hint="eastAsia" w:ascii="宋体" w:hAnsi="宋体" w:cs="宋体"/>
          <w:b/>
          <w:sz w:val="24"/>
        </w:rPr>
        <w:t>2.13 税费</w:t>
      </w:r>
      <w:bookmarkEnd w:id="502"/>
      <w:bookmarkEnd w:id="503"/>
      <w:bookmarkEnd w:id="504"/>
      <w:bookmarkEnd w:id="505"/>
      <w:bookmarkEnd w:id="506"/>
      <w:bookmarkEnd w:id="507"/>
    </w:p>
    <w:p>
      <w:pPr>
        <w:spacing w:line="560" w:lineRule="exact"/>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pPr>
        <w:spacing w:line="560" w:lineRule="exact"/>
        <w:ind w:firstLine="482" w:firstLineChars="200"/>
        <w:outlineLvl w:val="0"/>
        <w:rPr>
          <w:rFonts w:ascii="宋体" w:hAnsi="宋体" w:cs="宋体"/>
          <w:b/>
          <w:sz w:val="24"/>
        </w:rPr>
      </w:pPr>
      <w:bookmarkStart w:id="508" w:name="_Toc259093687"/>
      <w:bookmarkStart w:id="509" w:name="_Toc487900368"/>
      <w:bookmarkStart w:id="510" w:name="_Toc279701258"/>
      <w:bookmarkStart w:id="511" w:name="_Toc8298"/>
      <w:bookmarkStart w:id="512" w:name="_Toc7102"/>
      <w:bookmarkStart w:id="513" w:name="_Toc16959"/>
      <w:r>
        <w:rPr>
          <w:rFonts w:hint="eastAsia" w:ascii="宋体" w:hAnsi="宋体" w:cs="宋体"/>
          <w:b/>
          <w:sz w:val="24"/>
        </w:rPr>
        <w:t>2.14乙方破产</w:t>
      </w:r>
      <w:bookmarkEnd w:id="508"/>
      <w:bookmarkEnd w:id="509"/>
      <w:bookmarkEnd w:id="510"/>
      <w:bookmarkEnd w:id="511"/>
      <w:bookmarkEnd w:id="512"/>
      <w:bookmarkEnd w:id="513"/>
    </w:p>
    <w:p>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宋体" w:hAnsi="宋体" w:cs="宋体"/>
          <w:b/>
          <w:sz w:val="24"/>
        </w:rPr>
      </w:pPr>
      <w:bookmarkStart w:id="514" w:name="_Toc6134"/>
      <w:bookmarkStart w:id="515" w:name="_Toc29333"/>
      <w:bookmarkStart w:id="516" w:name="_Toc15387"/>
      <w:r>
        <w:rPr>
          <w:rFonts w:hint="eastAsia" w:ascii="宋体" w:hAnsi="宋体" w:cs="宋体"/>
          <w:b/>
          <w:sz w:val="24"/>
        </w:rPr>
        <w:t>2.15 合同中止、终止</w:t>
      </w:r>
      <w:bookmarkEnd w:id="514"/>
      <w:bookmarkEnd w:id="515"/>
      <w:bookmarkEnd w:id="516"/>
    </w:p>
    <w:p>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cs="宋体"/>
          <w:b/>
          <w:sz w:val="24"/>
        </w:rPr>
      </w:pPr>
      <w:bookmarkStart w:id="517" w:name="_Toc14563"/>
      <w:bookmarkStart w:id="518" w:name="_Toc1125"/>
      <w:bookmarkStart w:id="519" w:name="_Toc6596"/>
      <w:r>
        <w:rPr>
          <w:rFonts w:hint="eastAsia" w:ascii="宋体" w:hAnsi="宋体" w:cs="宋体"/>
          <w:b/>
          <w:sz w:val="24"/>
        </w:rPr>
        <w:t>2.16检验和验收</w:t>
      </w:r>
      <w:bookmarkEnd w:id="517"/>
      <w:bookmarkEnd w:id="518"/>
      <w:bookmarkEnd w:id="519"/>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2.16.1货物交付前，乙方应对货物的质量、数量等方面进行详细、全面的检验，并向甲方出具证明货物符合合同约定的文件；货物交付时，甲方在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489"/>
    <w:bookmarkEnd w:id="490"/>
    <w:bookmarkEnd w:id="491"/>
    <w:bookmarkEnd w:id="492"/>
    <w:p>
      <w:pPr>
        <w:spacing w:line="560" w:lineRule="exact"/>
        <w:ind w:firstLine="482" w:firstLineChars="200"/>
        <w:outlineLvl w:val="0"/>
        <w:rPr>
          <w:rFonts w:ascii="宋体" w:hAnsi="宋体" w:cs="宋体"/>
          <w:b/>
          <w:sz w:val="24"/>
        </w:rPr>
      </w:pPr>
      <w:bookmarkStart w:id="520" w:name="_Toc259093690"/>
      <w:bookmarkStart w:id="521" w:name="_Toc279701261"/>
      <w:bookmarkStart w:id="522" w:name="_Toc487900371"/>
      <w:bookmarkStart w:id="523" w:name="_Toc25182"/>
      <w:bookmarkStart w:id="524" w:name="_Toc19604"/>
      <w:bookmarkStart w:id="525" w:name="_Toc11284"/>
      <w:r>
        <w:rPr>
          <w:rFonts w:hint="eastAsia" w:ascii="宋体" w:hAnsi="宋体" w:cs="宋体"/>
          <w:b/>
          <w:sz w:val="24"/>
        </w:rPr>
        <w:t>2.17 通知</w:t>
      </w:r>
      <w:bookmarkEnd w:id="520"/>
      <w:bookmarkEnd w:id="521"/>
      <w:bookmarkEnd w:id="522"/>
      <w:r>
        <w:rPr>
          <w:rFonts w:hint="eastAsia" w:ascii="宋体" w:hAnsi="宋体" w:cs="宋体"/>
          <w:b/>
          <w:sz w:val="24"/>
        </w:rPr>
        <w:t>和送达</w:t>
      </w:r>
      <w:bookmarkEnd w:id="523"/>
      <w:bookmarkEnd w:id="524"/>
      <w:bookmarkEnd w:id="525"/>
    </w:p>
    <w:p>
      <w:pPr>
        <w:spacing w:line="560" w:lineRule="exact"/>
        <w:ind w:firstLine="480" w:firstLineChars="200"/>
        <w:rPr>
          <w:rFonts w:ascii="宋体" w:hAnsi="宋体" w:cs="宋体"/>
          <w:sz w:val="24"/>
        </w:rPr>
      </w:pPr>
      <w:bookmarkStart w:id="526" w:name="_Toc3135"/>
      <w:bookmarkStart w:id="527" w:name="_Toc6698"/>
      <w:bookmarkStart w:id="528" w:name="_Toc487900372"/>
      <w:bookmarkStart w:id="529" w:name="_Toc279701262"/>
      <w:bookmarkStart w:id="530" w:name="_Toc259093691"/>
      <w:r>
        <w:rPr>
          <w:rFonts w:hint="eastAsia" w:ascii="宋体" w:hAnsi="宋体" w:cs="宋体"/>
          <w:sz w:val="24"/>
        </w:rPr>
        <w:t xml:space="preserve">2.17.1任何一方因履行合同而以合同第一部分尾部所列明的传真或电子邮件 </w:t>
      </w:r>
      <w:r>
        <w:rPr>
          <w:rFonts w:hint="eastAsia" w:ascii="宋体" w:hAnsi="宋体" w:cs="宋体"/>
          <w:sz w:val="24"/>
          <w:u w:val="single"/>
        </w:rPr>
        <w:t xml:space="preserve">       </w:t>
      </w:r>
      <w:r>
        <w:rPr>
          <w:rFonts w:hint="eastAsia" w:ascii="宋体" w:hAnsi="宋体" w:cs="宋体"/>
          <w:sz w:val="24"/>
        </w:rPr>
        <w:t>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bookmarkEnd w:id="526"/>
      <w:bookmarkEnd w:id="527"/>
    </w:p>
    <w:p>
      <w:pPr>
        <w:spacing w:line="560" w:lineRule="exact"/>
        <w:ind w:firstLine="480" w:firstLineChars="200"/>
        <w:rPr>
          <w:rFonts w:ascii="宋体" w:hAnsi="宋体" w:cs="宋体"/>
          <w:sz w:val="24"/>
        </w:rPr>
      </w:pPr>
      <w:bookmarkStart w:id="531" w:name="_Toc23128"/>
      <w:bookmarkStart w:id="532" w:name="_Toc23294"/>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1"/>
      <w:bookmarkEnd w:id="532"/>
    </w:p>
    <w:p>
      <w:pPr>
        <w:spacing w:line="560" w:lineRule="exact"/>
        <w:ind w:firstLine="482" w:firstLineChars="200"/>
        <w:outlineLvl w:val="0"/>
        <w:rPr>
          <w:rFonts w:ascii="宋体" w:hAnsi="宋体" w:cs="宋体"/>
          <w:b/>
          <w:sz w:val="24"/>
        </w:rPr>
      </w:pPr>
      <w:bookmarkStart w:id="533" w:name="_Toc30599"/>
      <w:bookmarkStart w:id="534" w:name="_Toc18540"/>
      <w:bookmarkStart w:id="535" w:name="_Toc4355"/>
      <w:r>
        <w:rPr>
          <w:rFonts w:hint="eastAsia" w:ascii="宋体" w:hAnsi="宋体" w:cs="宋体"/>
          <w:b/>
          <w:sz w:val="24"/>
        </w:rPr>
        <w:t>2.18 计量单位</w:t>
      </w:r>
      <w:bookmarkEnd w:id="528"/>
      <w:bookmarkEnd w:id="529"/>
      <w:bookmarkEnd w:id="530"/>
      <w:bookmarkEnd w:id="533"/>
      <w:bookmarkEnd w:id="534"/>
      <w:bookmarkEnd w:id="535"/>
    </w:p>
    <w:p>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560" w:lineRule="exact"/>
        <w:ind w:firstLine="482" w:firstLineChars="200"/>
        <w:outlineLvl w:val="0"/>
        <w:rPr>
          <w:rFonts w:ascii="宋体" w:hAnsi="宋体" w:cs="宋体"/>
          <w:b/>
          <w:sz w:val="24"/>
        </w:rPr>
      </w:pPr>
      <w:bookmarkStart w:id="536" w:name="_Toc279701263"/>
      <w:bookmarkStart w:id="537" w:name="_Toc10330"/>
      <w:bookmarkStart w:id="538" w:name="_Toc18567"/>
      <w:bookmarkStart w:id="539" w:name="_Toc487900373"/>
      <w:bookmarkStart w:id="540" w:name="_Toc12773"/>
      <w:bookmarkStart w:id="541" w:name="_Toc259093692"/>
      <w:r>
        <w:rPr>
          <w:rFonts w:hint="eastAsia" w:ascii="宋体" w:hAnsi="宋体" w:cs="宋体"/>
          <w:b/>
          <w:sz w:val="24"/>
        </w:rPr>
        <w:t>2.19 合同使用的文字和适用的法律</w:t>
      </w:r>
      <w:bookmarkEnd w:id="536"/>
      <w:bookmarkEnd w:id="537"/>
      <w:bookmarkEnd w:id="538"/>
      <w:bookmarkEnd w:id="539"/>
      <w:bookmarkEnd w:id="540"/>
      <w:bookmarkEnd w:id="541"/>
    </w:p>
    <w:p>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pPr>
        <w:spacing w:line="560" w:lineRule="exact"/>
        <w:ind w:firstLine="482" w:firstLineChars="200"/>
        <w:outlineLvl w:val="0"/>
        <w:rPr>
          <w:rFonts w:ascii="宋体" w:hAnsi="宋体" w:cs="宋体"/>
          <w:b/>
          <w:sz w:val="24"/>
        </w:rPr>
      </w:pPr>
      <w:bookmarkStart w:id="542" w:name="_Toc14001"/>
      <w:bookmarkStart w:id="543" w:name="_Toc19890"/>
      <w:bookmarkStart w:id="544" w:name="_Toc6885"/>
      <w:r>
        <w:rPr>
          <w:rFonts w:hint="eastAsia" w:ascii="宋体" w:hAnsi="宋体" w:cs="宋体"/>
          <w:b/>
          <w:sz w:val="24"/>
        </w:rPr>
        <w:t>2.20 合同份数</w:t>
      </w:r>
      <w:bookmarkEnd w:id="542"/>
      <w:bookmarkEnd w:id="543"/>
      <w:bookmarkEnd w:id="544"/>
    </w:p>
    <w:p>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pPr>
        <w:adjustRightInd/>
        <w:spacing w:line="360" w:lineRule="auto"/>
        <w:ind w:firstLine="2513" w:firstLineChars="1197"/>
        <w:outlineLvl w:val="0"/>
        <w:rPr>
          <w:rFonts w:ascii="宋体" w:hAnsi="宋体" w:cs="宋体"/>
          <w:b/>
        </w:rPr>
      </w:pPr>
      <w:r>
        <w:rPr>
          <w:rFonts w:hint="eastAsia" w:ascii="宋体" w:hAnsi="宋体" w:cs="宋体"/>
          <w:kern w:val="0"/>
        </w:rPr>
        <w:br w:type="page"/>
      </w:r>
      <w:r>
        <w:rPr>
          <w:rFonts w:hint="eastAsia" w:ascii="宋体" w:hAnsi="宋体" w:cs="宋体"/>
          <w:b/>
          <w:sz w:val="32"/>
          <w:szCs w:val="20"/>
        </w:rPr>
        <w:t xml:space="preserve"> 第三部分  合同专用条款</w:t>
      </w:r>
    </w:p>
    <w:p>
      <w:pPr>
        <w:spacing w:line="56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条款号</w:t>
            </w:r>
          </w:p>
        </w:tc>
        <w:tc>
          <w:tcPr>
            <w:tcW w:w="4534" w:type="pct"/>
            <w:vAlign w:val="center"/>
          </w:tcPr>
          <w:p>
            <w:pPr>
              <w:spacing w:line="360" w:lineRule="auto"/>
              <w:jc w:val="center"/>
              <w:rPr>
                <w:rFonts w:ascii="宋体" w:hAnsi="宋体" w:cs="宋体"/>
                <w:b/>
                <w:sz w:val="24"/>
              </w:rPr>
            </w:pPr>
            <w:r>
              <w:rPr>
                <w:rFonts w:hint="eastAsia" w:ascii="宋体" w:hAnsi="宋体" w:cs="宋体"/>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1.4.2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1.5.1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1.5.2 </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1.5.3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1.6.2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1.8.6</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1.9</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2.3.2</w:t>
            </w:r>
          </w:p>
        </w:tc>
        <w:tc>
          <w:tcPr>
            <w:tcW w:w="453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2.4.1</w:t>
            </w:r>
          </w:p>
        </w:tc>
        <w:tc>
          <w:tcPr>
            <w:tcW w:w="453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2.4.3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pPr>
              <w:spacing w:line="360" w:lineRule="auto"/>
              <w:rPr>
                <w:rFonts w:ascii="宋体" w:hAnsi="宋体" w:cs="宋体"/>
                <w:sz w:val="24"/>
              </w:rPr>
            </w:pPr>
            <w:r>
              <w:rPr>
                <w:rFonts w:hint="eastAsia" w:ascii="宋体" w:hAnsi="宋体" w:cs="宋体"/>
                <w:sz w:val="24"/>
              </w:rPr>
              <w:t xml:space="preserve">2.8 </w:t>
            </w:r>
          </w:p>
        </w:tc>
        <w:tc>
          <w:tcPr>
            <w:tcW w:w="4534" w:type="pct"/>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2.12.3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2.12.4</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2.16.1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2.16.3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sz w:val="24"/>
              </w:rPr>
            </w:pPr>
            <w:r>
              <w:rPr>
                <w:rFonts w:hint="eastAsia" w:ascii="宋体" w:hAnsi="宋体" w:cs="宋体"/>
                <w:sz w:val="24"/>
              </w:rPr>
              <w:t xml:space="preserve">2.20 </w:t>
            </w:r>
          </w:p>
        </w:tc>
        <w:tc>
          <w:tcPr>
            <w:tcW w:w="4534" w:type="pct"/>
            <w:vAlign w:val="center"/>
          </w:tcPr>
          <w:p>
            <w:pPr>
              <w:spacing w:line="360" w:lineRule="auto"/>
              <w:rPr>
                <w:rFonts w:ascii="宋体" w:hAnsi="宋体" w:cs="宋体"/>
                <w:sz w:val="24"/>
              </w:rPr>
            </w:pPr>
          </w:p>
        </w:tc>
      </w:tr>
    </w:tbl>
    <w:p>
      <w:pPr>
        <w:spacing w:line="360" w:lineRule="auto"/>
        <w:ind w:left="-420" w:leftChars="-200" w:right="-420" w:rightChars="-200" w:firstLine="480" w:firstLineChars="200"/>
        <w:rPr>
          <w:rFonts w:ascii="宋体" w:hAnsi="宋体" w:cs="宋体"/>
          <w:sz w:val="24"/>
        </w:rPr>
      </w:pPr>
    </w:p>
    <w:p>
      <w:pPr>
        <w:spacing w:line="360" w:lineRule="auto"/>
        <w:ind w:left="-420" w:leftChars="-200" w:right="-420" w:rightChars="-200"/>
        <w:rPr>
          <w:rFonts w:ascii="宋体" w:hAnsi="宋体" w:cs="宋体"/>
          <w:sz w:val="24"/>
        </w:rPr>
      </w:pPr>
    </w:p>
    <w:p>
      <w:pPr>
        <w:pStyle w:val="5"/>
      </w:pPr>
    </w:p>
    <w:p/>
    <w:p>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394"/>
      <w:r>
        <w:rPr>
          <w:rFonts w:hint="eastAsia" w:ascii="宋体" w:hAnsi="宋体" w:cs="宋体"/>
          <w:b/>
          <w:sz w:val="36"/>
          <w:szCs w:val="20"/>
        </w:rPr>
        <w:t xml:space="preserve"> </w:t>
      </w:r>
      <w:bookmarkEnd w:id="395"/>
      <w:r>
        <w:rPr>
          <w:rFonts w:hint="eastAsia" w:ascii="宋体" w:hAnsi="宋体" w:cs="宋体"/>
          <w:b/>
          <w:sz w:val="36"/>
          <w:szCs w:val="20"/>
        </w:rPr>
        <w:t>应提交的有关格式范例</w:t>
      </w:r>
    </w:p>
    <w:p>
      <w:pPr>
        <w:spacing w:line="360" w:lineRule="auto"/>
        <w:jc w:val="center"/>
        <w:outlineLvl w:val="0"/>
        <w:rPr>
          <w:rFonts w:ascii="宋体" w:hAnsi="宋体" w:cs="宋体"/>
          <w:b/>
          <w:kern w:val="0"/>
          <w:sz w:val="36"/>
          <w:szCs w:val="36"/>
        </w:r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pPr>
        <w:snapToGrid w:val="0"/>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pPr>
        <w:snapToGrid w:val="0"/>
        <w:spacing w:line="360" w:lineRule="auto"/>
        <w:rPr>
          <w:rFonts w:ascii="宋体" w:hAnsi="宋体" w:cs="宋体"/>
          <w:sz w:val="24"/>
        </w:rPr>
      </w:pPr>
      <w:r>
        <w:rPr>
          <w:rFonts w:hint="eastAsia" w:ascii="宋体" w:hAnsi="宋体" w:cs="宋体"/>
          <w:color w:val="0000FF"/>
          <w:sz w:val="24"/>
        </w:rPr>
        <w:t>（采购人）</w:t>
      </w:r>
      <w:r>
        <w:rPr>
          <w:rFonts w:hint="eastAsia" w:ascii="宋体" w:hAnsi="宋体" w:cs="宋体"/>
          <w:sz w:val="24"/>
        </w:rPr>
        <w:t>、（采购代理机构）：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我方参与</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widowControl/>
        <w:spacing w:line="360" w:lineRule="auto"/>
        <w:ind w:firstLine="643" w:firstLineChars="200"/>
        <w:jc w:val="center"/>
        <w:rPr>
          <w:rFonts w:ascii="宋体" w:hAnsi="宋体" w:cs="宋体"/>
          <w:b/>
          <w:kern w:val="0"/>
          <w:sz w:val="32"/>
          <w:szCs w:val="32"/>
        </w:rPr>
      </w:pPr>
    </w:p>
    <w:p>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w:t>
      </w:r>
      <w:r>
        <w:rPr>
          <w:rFonts w:hint="eastAsia" w:ascii="宋体" w:hAnsi="宋体" w:cs="宋体"/>
          <w:b/>
          <w:color w:val="FF0000"/>
          <w:kern w:val="0"/>
          <w:sz w:val="32"/>
          <w:szCs w:val="32"/>
        </w:rPr>
        <w:t>（如果有）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pPr>
        <w:widowControl/>
        <w:spacing w:line="360" w:lineRule="auto"/>
        <w:ind w:firstLine="480"/>
        <w:jc w:val="left"/>
        <w:rPr>
          <w:rFonts w:ascii="宋体" w:hAnsi="宋体" w:cs="宋体"/>
          <w:sz w:val="24"/>
        </w:rPr>
      </w:pPr>
    </w:p>
    <w:p>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pPr>
        <w:snapToGrid w:val="0"/>
        <w:spacing w:before="50" w:after="50" w:line="360" w:lineRule="auto"/>
        <w:jc w:val="center"/>
        <w:rPr>
          <w:rFonts w:ascii="宋体" w:hAnsi="宋体" w:cs="宋体"/>
          <w:sz w:val="24"/>
        </w:rPr>
      </w:pPr>
      <w:r>
        <w:rPr>
          <w:rFonts w:hint="eastAsia" w:ascii="宋体" w:hAnsi="宋体" w:cs="宋体"/>
          <w:b/>
          <w:sz w:val="24"/>
        </w:rPr>
        <w:t xml:space="preserve">    </w:t>
      </w:r>
    </w:p>
    <w:p>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rPr>
          <w:rFonts w:ascii="宋体" w:hAnsi="宋体" w:cs="宋体"/>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rPr>
          <w:rFonts w:ascii="宋体" w:hAnsi="宋体" w:cs="宋体"/>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pStyle w:val="5"/>
        <w:rPr>
          <w:lang w:val="en-US"/>
        </w:rPr>
      </w:pPr>
    </w:p>
    <w:p/>
    <w:p>
      <w:pPr>
        <w:snapToGrid w:val="0"/>
        <w:spacing w:line="360" w:lineRule="auto"/>
        <w:ind w:firstLine="3855" w:firstLineChars="1200"/>
        <w:outlineLvl w:val="0"/>
        <w:rPr>
          <w:rFonts w:ascii="宋体" w:hAnsi="宋体" w:cs="宋体"/>
          <w:b/>
          <w:kern w:val="0"/>
          <w:sz w:val="32"/>
          <w:szCs w:val="32"/>
        </w:rPr>
      </w:pPr>
    </w:p>
    <w:p>
      <w:pPr>
        <w:snapToGrid w:val="0"/>
        <w:spacing w:line="360" w:lineRule="auto"/>
        <w:ind w:firstLine="3855" w:firstLineChars="1200"/>
        <w:outlineLvl w:val="0"/>
        <w:rPr>
          <w:rFonts w:ascii="宋体" w:hAnsi="宋体" w:cs="宋体"/>
          <w:b/>
          <w:kern w:val="0"/>
          <w:sz w:val="32"/>
          <w:szCs w:val="32"/>
        </w:rPr>
      </w:pPr>
    </w:p>
    <w:p>
      <w:pPr>
        <w:snapToGrid w:val="0"/>
        <w:spacing w:line="360" w:lineRule="auto"/>
        <w:ind w:firstLine="3855" w:firstLineChars="1200"/>
        <w:outlineLvl w:val="0"/>
        <w:rPr>
          <w:rFonts w:ascii="宋体" w:hAnsi="宋体" w:cs="宋体"/>
          <w:b/>
          <w:kern w:val="0"/>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pPr>
        <w:snapToGrid w:val="0"/>
        <w:spacing w:line="360" w:lineRule="auto"/>
        <w:rPr>
          <w:rFonts w:ascii="宋体" w:hAnsi="宋体" w:cs="宋体"/>
          <w:sz w:val="24"/>
        </w:rPr>
      </w:pPr>
      <w:r>
        <w:rPr>
          <w:rFonts w:hint="eastAsia" w:ascii="宋体" w:hAnsi="宋体" w:cs="宋体"/>
          <w:color w:val="0000FF"/>
          <w:sz w:val="24"/>
        </w:rPr>
        <w:t>（采购人）</w:t>
      </w:r>
      <w:r>
        <w:rPr>
          <w:rFonts w:hint="eastAsia" w:ascii="宋体" w:hAnsi="宋体" w:cs="宋体"/>
          <w:sz w:val="24"/>
        </w:rPr>
        <w:t>、（采购代理机构）：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我方参加你方组织的</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】招标的有关活动，并对此项目进行投标。为此：</w:t>
      </w:r>
    </w:p>
    <w:p>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r>
        <w:rPr>
          <w:rFonts w:hint="eastAsia" w:ascii="宋体" w:hAnsi="宋体" w:cs="宋体"/>
          <w:snapToGrid w:val="0"/>
          <w:color w:val="FF0000"/>
          <w:kern w:val="28"/>
          <w:sz w:val="24"/>
          <w:szCs w:val="20"/>
        </w:rPr>
        <w:t>（如果有)</w:t>
      </w:r>
      <w:r>
        <w:rPr>
          <w:rFonts w:hint="eastAsia" w:ascii="宋体" w:hAnsi="宋体" w:cs="宋体"/>
          <w:snapToGrid w:val="0"/>
          <w:kern w:val="28"/>
          <w:sz w:val="24"/>
          <w:szCs w:val="20"/>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pPr>
        <w:snapToGrid w:val="0"/>
        <w:spacing w:line="360" w:lineRule="auto"/>
        <w:ind w:left="420" w:leftChars="200" w:firstLine="480" w:firstLineChars="200"/>
        <w:rPr>
          <w:rFonts w:ascii="宋体" w:hAnsi="宋体" w:cs="宋体"/>
          <w:color w:val="FF0000"/>
          <w:sz w:val="24"/>
        </w:rPr>
      </w:pPr>
      <w:r>
        <w:rPr>
          <w:rFonts w:hint="eastAsia" w:ascii="宋体" w:hAnsi="宋体" w:cs="宋体"/>
          <w:color w:val="FF0000"/>
          <w:sz w:val="24"/>
        </w:rPr>
        <w:t>2.3.2中小企业声明函（如果有）。</w:t>
      </w:r>
    </w:p>
    <w:p>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pPr>
        <w:spacing w:line="360" w:lineRule="auto"/>
        <w:jc w:val="center"/>
        <w:rPr>
          <w:rFonts w:ascii="宋体" w:hAnsi="宋体" w:cs="宋体"/>
          <w:sz w:val="24"/>
        </w:rPr>
      </w:pPr>
      <w:r>
        <w:rPr>
          <w:rFonts w:hint="eastAsia" w:ascii="宋体" w:hAnsi="宋体" w:cs="宋体"/>
          <w:sz w:val="24"/>
        </w:rPr>
        <w:t xml:space="preserve">     日期：  年   月   日</w:t>
      </w:r>
    </w:p>
    <w:p>
      <w:pPr>
        <w:snapToGrid w:val="0"/>
        <w:spacing w:line="360" w:lineRule="auto"/>
        <w:ind w:left="420" w:leftChars="200" w:firstLine="4200" w:firstLineChars="1750"/>
        <w:rPr>
          <w:rFonts w:ascii="宋体" w:hAnsi="宋体" w:cs="宋体"/>
          <w:kern w:val="0"/>
          <w:sz w:val="24"/>
          <w:u w:val="single"/>
        </w:rPr>
      </w:pPr>
    </w:p>
    <w:p>
      <w:pPr>
        <w:spacing w:line="360" w:lineRule="auto"/>
        <w:ind w:right="420"/>
        <w:rPr>
          <w:rFonts w:ascii="宋体" w:hAnsi="宋体" w:cs="宋体"/>
          <w:sz w:val="24"/>
        </w:rPr>
      </w:pPr>
      <w:r>
        <w:rPr>
          <w:rFonts w:hint="eastAsia" w:ascii="宋体" w:hAnsi="宋体" w:cs="宋体"/>
          <w:sz w:val="24"/>
        </w:rPr>
        <w:t>注：按本格式和要求提供。</w:t>
      </w:r>
    </w:p>
    <w:p>
      <w:pPr>
        <w:snapToGrid w:val="0"/>
        <w:spacing w:line="360" w:lineRule="auto"/>
        <w:jc w:val="center"/>
        <w:rPr>
          <w:rFonts w:ascii="宋体" w:hAnsi="宋体" w:cs="宋体"/>
          <w:b/>
          <w:kern w:val="0"/>
          <w:sz w:val="32"/>
          <w:szCs w:val="32"/>
        </w:rPr>
      </w:pPr>
    </w:p>
    <w:p>
      <w:pPr>
        <w:snapToGrid w:val="0"/>
        <w:spacing w:line="360" w:lineRule="auto"/>
        <w:rPr>
          <w:rFonts w:ascii="宋体" w:hAnsi="宋体" w:cs="宋体"/>
          <w:sz w:val="24"/>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pPr>
        <w:snapToGrid w:val="0"/>
        <w:spacing w:line="360" w:lineRule="auto"/>
        <w:rPr>
          <w:rFonts w:ascii="宋体" w:hAnsi="宋体" w:cs="宋体"/>
          <w:sz w:val="24"/>
        </w:rPr>
      </w:pPr>
      <w:r>
        <w:rPr>
          <w:rFonts w:hint="eastAsia" w:ascii="宋体" w:hAnsi="宋体" w:cs="宋体"/>
          <w:sz w:val="24"/>
        </w:rPr>
        <w:t xml:space="preserve">                                </w:t>
      </w:r>
    </w:p>
    <w:p>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pPr>
        <w:snapToGrid w:val="0"/>
        <w:spacing w:line="360" w:lineRule="auto"/>
        <w:rPr>
          <w:rFonts w:ascii="宋体" w:hAnsi="宋体" w:cs="宋体"/>
          <w:sz w:val="24"/>
        </w:rPr>
      </w:pPr>
    </w:p>
    <w:p>
      <w:pPr>
        <w:snapToGrid w:val="0"/>
        <w:spacing w:line="360" w:lineRule="auto"/>
        <w:rPr>
          <w:rFonts w:ascii="宋体" w:hAnsi="宋体" w:cs="宋体"/>
          <w:sz w:val="24"/>
        </w:rPr>
      </w:pPr>
    </w:p>
    <w:p>
      <w:pPr>
        <w:snapToGrid w:val="0"/>
        <w:spacing w:line="360" w:lineRule="auto"/>
        <w:rPr>
          <w:rFonts w:ascii="宋体" w:hAnsi="宋体" w:cs="宋体"/>
          <w:sz w:val="24"/>
        </w:rPr>
      </w:pPr>
    </w:p>
    <w:p>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rPr>
          <w:rFonts w:ascii="宋体" w:hAnsi="宋体" w:cs="宋体"/>
        </w:rPr>
      </w:pP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pPr>
        <w:pStyle w:val="146"/>
        <w:spacing w:line="360" w:lineRule="auto"/>
        <w:rPr>
          <w:rFonts w:hAnsi="宋体" w:cs="宋体"/>
          <w:bCs/>
          <w:sz w:val="24"/>
        </w:rPr>
      </w:pPr>
      <w:r>
        <w:rPr>
          <w:rFonts w:hint="eastAsia" w:hAnsi="宋体" w:cs="宋体"/>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6"/>
              <w:adjustRightInd w:val="0"/>
              <w:spacing w:line="360" w:lineRule="auto"/>
              <w:rPr>
                <w:rFonts w:hAnsi="宋体" w:cs="宋体"/>
                <w:bCs/>
                <w:sz w:val="24"/>
              </w:rPr>
            </w:pPr>
            <w:r>
              <w:rPr>
                <w:rFonts w:hint="eastAsia" w:hAnsi="宋体" w:cs="宋体"/>
                <w:bCs/>
                <w:sz w:val="24"/>
              </w:rPr>
              <w:t>正面：                                 反面：</w:t>
            </w:r>
          </w:p>
          <w:p>
            <w:pPr>
              <w:pStyle w:val="146"/>
              <w:adjustRightInd w:val="0"/>
              <w:spacing w:line="360" w:lineRule="auto"/>
              <w:rPr>
                <w:rFonts w:hAnsi="宋体" w:cs="宋体"/>
                <w:bCs/>
                <w:sz w:val="24"/>
              </w:rPr>
            </w:pPr>
          </w:p>
        </w:tc>
      </w:tr>
    </w:tbl>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snapToGrid w:val="0"/>
        <w:spacing w:line="360" w:lineRule="auto"/>
        <w:ind w:right="480"/>
        <w:rPr>
          <w:rFonts w:ascii="宋体" w:hAnsi="宋体" w:cs="宋体"/>
          <w:b/>
          <w:kern w:val="0"/>
          <w:sz w:val="32"/>
          <w:szCs w:val="32"/>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w:t>
      </w:r>
      <w:r>
        <w:rPr>
          <w:rFonts w:hint="eastAsia" w:ascii="宋体" w:hAnsi="宋体" w:cs="宋体"/>
          <w:b/>
          <w:color w:val="FF0000"/>
          <w:kern w:val="0"/>
          <w:sz w:val="32"/>
          <w:szCs w:val="32"/>
        </w:rPr>
        <w:t>（如果有）</w:t>
      </w:r>
    </w:p>
    <w:p>
      <w:pPr>
        <w:widowControl/>
        <w:spacing w:line="360" w:lineRule="auto"/>
        <w:ind w:firstLine="120" w:firstLineChars="50"/>
        <w:jc w:val="left"/>
        <w:rPr>
          <w:rFonts w:ascii="宋体" w:hAnsi="宋体" w:cs="宋体"/>
          <w:sz w:val="24"/>
        </w:rPr>
      </w:pPr>
      <w:bookmarkStart w:id="545"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545"/>
    <w:p>
      <w:pPr>
        <w:snapToGrid w:val="0"/>
        <w:spacing w:line="360" w:lineRule="auto"/>
        <w:rPr>
          <w:rFonts w:ascii="宋体" w:hAnsi="宋体" w:cs="宋体"/>
          <w:kern w:val="0"/>
          <w:sz w:val="24"/>
        </w:rPr>
      </w:pPr>
    </w:p>
    <w:p>
      <w:pPr>
        <w:jc w:val="center"/>
        <w:rPr>
          <w:rFonts w:ascii="宋体" w:hAnsi="宋体" w:cs="宋体"/>
          <w:b/>
          <w:kern w:val="0"/>
          <w:sz w:val="32"/>
          <w:szCs w:val="32"/>
        </w:rPr>
      </w:pPr>
    </w:p>
    <w:p>
      <w:pPr>
        <w:pStyle w:val="5"/>
        <w:rPr>
          <w:lang w:val="en-US"/>
        </w:rPr>
      </w:pPr>
    </w:p>
    <w:p/>
    <w:p>
      <w:pPr>
        <w:pStyle w:val="5"/>
        <w:rPr>
          <w:lang w:val="en-US"/>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四、符合性审查资料</w:t>
      </w:r>
    </w:p>
    <w:p>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pPr>
              <w:snapToGrid w:val="0"/>
              <w:spacing w:line="240" w:lineRule="atLeast"/>
              <w:jc w:val="center"/>
              <w:rPr>
                <w:rFonts w:ascii="宋体" w:hAnsi="宋体" w:cs="宋体"/>
                <w:b/>
                <w:sz w:val="24"/>
              </w:rPr>
            </w:pPr>
            <w:r>
              <w:rPr>
                <w:rFonts w:hint="eastAsia" w:ascii="宋体" w:hAnsi="宋体" w:cs="宋体"/>
                <w:b/>
                <w:sz w:val="24"/>
              </w:rPr>
              <w:t>投标文件中的</w:t>
            </w:r>
          </w:p>
          <w:p>
            <w:pPr>
              <w:snapToGrid w:val="0"/>
              <w:spacing w:line="240" w:lineRule="atLeast"/>
              <w:jc w:val="center"/>
              <w:rPr>
                <w:rFonts w:ascii="宋体" w:hAnsi="宋体" w:cs="宋体"/>
                <w:b/>
                <w:sz w:val="24"/>
              </w:rPr>
            </w:pPr>
            <w:r>
              <w:rPr>
                <w:rFonts w:hint="eastAsia" w:ascii="宋体" w:hAnsi="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1</w:t>
            </w:r>
          </w:p>
        </w:tc>
        <w:tc>
          <w:tcPr>
            <w:tcW w:w="4991" w:type="dxa"/>
          </w:tcPr>
          <w:p>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pPr>
              <w:rPr>
                <w:rFonts w:ascii="宋体" w:hAnsi="宋体" w:cs="宋体"/>
                <w:sz w:val="24"/>
              </w:rPr>
            </w:pPr>
          </w:p>
          <w:p>
            <w:pPr>
              <w:rPr>
                <w:rFonts w:ascii="宋体" w:hAnsi="宋体" w:cs="宋体"/>
                <w:sz w:val="24"/>
              </w:rPr>
            </w:pPr>
            <w:r>
              <w:rPr>
                <w:rFonts w:hint="eastAsia" w:ascii="宋体" w:hAnsi="宋体" w:cs="宋体"/>
                <w:sz w:val="24"/>
              </w:rPr>
              <w:t>见投标文件</w:t>
            </w:r>
          </w:p>
          <w:p>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2</w:t>
            </w:r>
          </w:p>
        </w:tc>
        <w:tc>
          <w:tcPr>
            <w:tcW w:w="4991" w:type="dxa"/>
          </w:tcPr>
          <w:p>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pPr>
              <w:rPr>
                <w:rFonts w:ascii="宋体" w:hAnsi="宋体" w:cs="宋体"/>
                <w:sz w:val="24"/>
              </w:rPr>
            </w:pPr>
            <w:r>
              <w:rPr>
                <w:rFonts w:hint="eastAsia" w:ascii="宋体" w:hAnsi="宋体" w:cs="宋体"/>
                <w:sz w:val="24"/>
              </w:rPr>
              <w:t>投标函</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3</w:t>
            </w:r>
          </w:p>
        </w:tc>
        <w:tc>
          <w:tcPr>
            <w:tcW w:w="4991" w:type="dxa"/>
          </w:tcPr>
          <w:p>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 xml:space="preserve">            </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jc w:val="center"/>
        <w:rPr>
          <w:rFonts w:ascii="宋体" w:hAnsi="宋体" w:cs="宋体"/>
        </w:rPr>
      </w:pPr>
      <w:r>
        <w:rPr>
          <w:rFonts w:hint="eastAsia" w:ascii="宋体" w:hAnsi="宋体" w:cs="宋体"/>
          <w:b/>
          <w:kern w:val="0"/>
          <w:sz w:val="32"/>
          <w:szCs w:val="32"/>
        </w:rPr>
        <w:t>五、评标标准相应的商务技术资料</w:t>
      </w:r>
    </w:p>
    <w:p>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sz w:val="24"/>
              </w:rPr>
            </w:pPr>
            <w:r>
              <w:rPr>
                <w:rFonts w:hint="eastAsia" w:ascii="宋体" w:hAnsi="宋体" w:cs="宋体"/>
                <w:b/>
                <w:bCs/>
                <w:sz w:val="24"/>
              </w:rPr>
              <w:t>序号</w:t>
            </w:r>
          </w:p>
        </w:tc>
        <w:tc>
          <w:tcPr>
            <w:tcW w:w="3683" w:type="dxa"/>
          </w:tcPr>
          <w:p>
            <w:pPr>
              <w:jc w:val="center"/>
              <w:rPr>
                <w:rFonts w:ascii="宋体" w:hAnsi="宋体" w:cs="宋体"/>
                <w:b/>
                <w:bCs/>
                <w:sz w:val="24"/>
              </w:rPr>
            </w:pPr>
            <w:r>
              <w:rPr>
                <w:rFonts w:hint="eastAsia" w:ascii="宋体" w:hAnsi="宋体" w:cs="宋体"/>
                <w:b/>
                <w:bCs/>
                <w:sz w:val="24"/>
              </w:rPr>
              <w:t>招标文件章节及具体内容</w:t>
            </w:r>
          </w:p>
        </w:tc>
        <w:tc>
          <w:tcPr>
            <w:tcW w:w="3546" w:type="dxa"/>
          </w:tcPr>
          <w:p>
            <w:pPr>
              <w:jc w:val="center"/>
              <w:rPr>
                <w:rFonts w:ascii="宋体" w:hAnsi="宋体" w:cs="宋体"/>
                <w:b/>
                <w:bCs/>
                <w:sz w:val="24"/>
              </w:rPr>
            </w:pPr>
            <w:r>
              <w:rPr>
                <w:rFonts w:hint="eastAsia" w:ascii="宋体" w:hAnsi="宋体" w:cs="宋体"/>
                <w:b/>
                <w:bCs/>
                <w:sz w:val="24"/>
              </w:rPr>
              <w:t>投标文件章节及具体内容</w:t>
            </w:r>
          </w:p>
        </w:tc>
        <w:tc>
          <w:tcPr>
            <w:tcW w:w="1276" w:type="dxa"/>
          </w:tcPr>
          <w:p>
            <w:pPr>
              <w:jc w:val="center"/>
              <w:rPr>
                <w:rFonts w:ascii="宋体" w:hAnsi="宋体" w:cs="宋体"/>
                <w:b/>
                <w:bCs/>
                <w:sz w:val="24"/>
              </w:rPr>
            </w:pPr>
            <w:r>
              <w:rPr>
                <w:rFonts w:hint="eastAsia" w:ascii="宋体" w:hAnsi="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1</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2</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bl>
    <w:p>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32"/>
          <w:szCs w:val="32"/>
        </w:rPr>
      </w:pPr>
    </w:p>
    <w:p>
      <w:pPr>
        <w:spacing w:line="360" w:lineRule="auto"/>
        <w:ind w:right="420"/>
        <w:rPr>
          <w:rFonts w:ascii="宋体" w:hAnsi="宋体" w:cs="宋体"/>
          <w:sz w:val="24"/>
        </w:rPr>
      </w:pPr>
      <w:r>
        <w:rPr>
          <w:rFonts w:hint="eastAsia" w:ascii="宋体" w:hAnsi="宋体" w:cs="宋体"/>
          <w:sz w:val="24"/>
        </w:rPr>
        <w:t>注：按本格式和要求提供。</w:t>
      </w: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widowControl/>
        <w:adjustRightInd/>
        <w:jc w:val="left"/>
        <w:rPr>
          <w:rFonts w:ascii="宋体" w:hAnsi="宋体" w:cs="宋体"/>
          <w:b/>
          <w:bCs/>
          <w:sz w:val="32"/>
          <w:szCs w:val="32"/>
        </w:rPr>
      </w:pPr>
      <w:r>
        <w:rPr>
          <w:rFonts w:ascii="宋体" w:hAnsi="宋体" w:cs="宋体"/>
          <w:b/>
          <w:bCs/>
          <w:sz w:val="32"/>
          <w:szCs w:val="32"/>
        </w:rPr>
        <w:br w:type="page"/>
      </w:r>
    </w:p>
    <w:p>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spacing w:line="360" w:lineRule="auto"/>
        <w:jc w:val="center"/>
        <w:rPr>
          <w:rFonts w:ascii="宋体" w:hAnsi="宋体" w:cs="宋体"/>
          <w:b/>
          <w:bCs/>
          <w:sz w:val="24"/>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（1）开标一览表（报价表）………………………………………………………（页码）</w:t>
      </w:r>
    </w:p>
    <w:p>
      <w:pPr>
        <w:snapToGrid w:val="0"/>
        <w:spacing w:line="360" w:lineRule="auto"/>
        <w:rPr>
          <w:rFonts w:ascii="宋体" w:hAnsi="宋体" w:cs="宋体"/>
          <w:sz w:val="24"/>
        </w:rPr>
      </w:pPr>
      <w:r>
        <w:rPr>
          <w:rFonts w:hint="eastAsia" w:ascii="宋体" w:hAnsi="宋体" w:cs="宋体"/>
          <w:sz w:val="24"/>
        </w:rPr>
        <w:t>（2）中小企业声明函………………………………………………………………（页码）</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22" w:type="first"/>
          <w:footerReference r:id="rId24" w:type="first"/>
          <w:headerReference r:id="rId21" w:type="default"/>
          <w:footerReference r:id="rId23" w:type="default"/>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0000FF"/>
          <w:sz w:val="24"/>
        </w:rPr>
        <w:t>（项目名称）</w:t>
      </w:r>
      <w:r>
        <w:rPr>
          <w:rFonts w:hint="eastAsia" w:ascii="宋体" w:hAnsi="宋体" w:cs="宋体"/>
          <w:kern w:val="0"/>
          <w:sz w:val="24"/>
          <w:lang w:val="zh-CN"/>
        </w:rPr>
        <w:t>【招标编号：</w:t>
      </w:r>
      <w:r>
        <w:rPr>
          <w:rFonts w:hint="eastAsia" w:ascii="宋体" w:hAnsi="宋体" w:cs="宋体"/>
          <w:color w:val="FF0000"/>
          <w:sz w:val="24"/>
        </w:rPr>
        <w:t>（采购编号）</w:t>
      </w:r>
      <w:r>
        <w:rPr>
          <w:rFonts w:hint="eastAsia" w:ascii="宋体" w:hAnsi="宋体" w:cs="宋体"/>
          <w:sz w:val="24"/>
        </w:rPr>
        <w:t>】的实施</w:t>
      </w:r>
      <w:r>
        <w:rPr>
          <w:rFonts w:hint="eastAsia" w:ascii="宋体" w:hAnsi="宋体" w:cs="宋体"/>
          <w:kern w:val="0"/>
          <w:sz w:val="24"/>
          <w:lang w:val="zh-CN"/>
        </w:rPr>
        <w:t>。</w:t>
      </w: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pPr>
              <w:spacing w:line="360" w:lineRule="auto"/>
              <w:jc w:val="center"/>
              <w:rPr>
                <w:rFonts w:ascii="宋体" w:hAnsi="宋体" w:cs="宋体"/>
                <w:b/>
                <w:sz w:val="24"/>
              </w:rPr>
            </w:pPr>
            <w:r>
              <w:rPr>
                <w:rFonts w:hint="eastAsia" w:ascii="宋体" w:hAnsi="宋体" w:cs="宋体"/>
                <w:b/>
                <w:sz w:val="24"/>
              </w:rPr>
              <w:t>名称</w:t>
            </w:r>
          </w:p>
        </w:tc>
        <w:tc>
          <w:tcPr>
            <w:tcW w:w="1843" w:type="dxa"/>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993" w:type="dxa"/>
            <w:vAlign w:val="center"/>
          </w:tcPr>
          <w:p>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pPr>
              <w:spacing w:line="360" w:lineRule="auto"/>
              <w:jc w:val="center"/>
              <w:rPr>
                <w:rFonts w:ascii="宋体" w:hAnsi="宋体" w:cs="宋体"/>
                <w:b/>
                <w:sz w:val="24"/>
              </w:rPr>
            </w:pPr>
            <w:r>
              <w:rPr>
                <w:rFonts w:hint="eastAsia" w:ascii="宋体" w:hAnsi="宋体" w:cs="宋体"/>
                <w:b/>
                <w:sz w:val="24"/>
              </w:rPr>
              <w:t>合计</w:t>
            </w:r>
          </w:p>
        </w:tc>
        <w:tc>
          <w:tcPr>
            <w:tcW w:w="3119" w:type="dxa"/>
            <w:vAlign w:val="center"/>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备注（如果有）</w:t>
            </w:r>
          </w:p>
          <w:p>
            <w:pPr>
              <w:spacing w:line="360" w:lineRule="auto"/>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color w:val="0000FF"/>
                <w:sz w:val="24"/>
              </w:rPr>
            </w:pPr>
            <w:r>
              <w:rPr>
                <w:rFonts w:hint="eastAsia" w:ascii="宋体" w:hAnsi="宋体" w:cs="宋体"/>
                <w:color w:val="0000FF"/>
                <w:sz w:val="24"/>
              </w:rPr>
              <w:t>1</w:t>
            </w:r>
          </w:p>
        </w:tc>
        <w:tc>
          <w:tcPr>
            <w:tcW w:w="1417" w:type="dxa"/>
            <w:vAlign w:val="center"/>
          </w:tcPr>
          <w:p>
            <w:pPr>
              <w:snapToGrid w:val="0"/>
              <w:spacing w:line="360" w:lineRule="auto"/>
              <w:jc w:val="center"/>
              <w:rPr>
                <w:rFonts w:ascii="宋体" w:hAnsi="宋体" w:cs="宋体"/>
                <w:color w:val="0000FF"/>
                <w:sz w:val="24"/>
              </w:rPr>
            </w:pPr>
            <w:r>
              <w:rPr>
                <w:rFonts w:hint="eastAsia" w:ascii="宋体" w:hAnsi="宋体" w:cs="宋体"/>
                <w:color w:val="0000FF"/>
                <w:sz w:val="24"/>
              </w:rPr>
              <w:t>X</w:t>
            </w:r>
            <w:r>
              <w:rPr>
                <w:rFonts w:ascii="宋体" w:hAnsi="宋体" w:cs="宋体"/>
                <w:color w:val="0000FF"/>
                <w:sz w:val="24"/>
              </w:rPr>
              <w:t>X</w:t>
            </w:r>
          </w:p>
        </w:tc>
        <w:tc>
          <w:tcPr>
            <w:tcW w:w="1843" w:type="dxa"/>
            <w:vAlign w:val="center"/>
          </w:tcPr>
          <w:p>
            <w:pPr>
              <w:snapToGrid w:val="0"/>
              <w:spacing w:line="360" w:lineRule="auto"/>
              <w:jc w:val="center"/>
              <w:rPr>
                <w:rFonts w:ascii="宋体" w:hAnsi="宋体" w:cs="宋体"/>
                <w:color w:val="0000FF"/>
                <w:sz w:val="24"/>
              </w:rPr>
            </w:pPr>
          </w:p>
        </w:tc>
        <w:tc>
          <w:tcPr>
            <w:tcW w:w="3118" w:type="dxa"/>
            <w:vAlign w:val="center"/>
          </w:tcPr>
          <w:p>
            <w:pPr>
              <w:snapToGrid w:val="0"/>
              <w:spacing w:line="360" w:lineRule="auto"/>
              <w:jc w:val="center"/>
              <w:rPr>
                <w:rFonts w:ascii="宋体" w:hAnsi="宋体" w:cs="宋体"/>
                <w:color w:val="0000FF"/>
                <w:sz w:val="24"/>
              </w:rPr>
            </w:pPr>
          </w:p>
        </w:tc>
        <w:tc>
          <w:tcPr>
            <w:tcW w:w="993" w:type="dxa"/>
            <w:vAlign w:val="center"/>
          </w:tcPr>
          <w:p>
            <w:pPr>
              <w:snapToGrid w:val="0"/>
              <w:spacing w:line="360" w:lineRule="auto"/>
              <w:jc w:val="center"/>
              <w:rPr>
                <w:rFonts w:ascii="宋体" w:hAnsi="宋体" w:cs="宋体"/>
                <w:color w:val="0000FF"/>
                <w:sz w:val="24"/>
              </w:rPr>
            </w:pPr>
          </w:p>
        </w:tc>
        <w:tc>
          <w:tcPr>
            <w:tcW w:w="1559" w:type="dxa"/>
            <w:vAlign w:val="center"/>
          </w:tcPr>
          <w:p>
            <w:pPr>
              <w:spacing w:line="360" w:lineRule="auto"/>
              <w:jc w:val="center"/>
              <w:rPr>
                <w:rFonts w:ascii="宋体" w:hAnsi="宋体" w:cs="宋体"/>
                <w:color w:val="0000FF"/>
                <w:sz w:val="24"/>
              </w:rPr>
            </w:pPr>
          </w:p>
        </w:tc>
        <w:tc>
          <w:tcPr>
            <w:tcW w:w="1984" w:type="dxa"/>
            <w:vAlign w:val="center"/>
          </w:tcPr>
          <w:p>
            <w:pPr>
              <w:spacing w:line="360" w:lineRule="auto"/>
              <w:jc w:val="center"/>
              <w:rPr>
                <w:rFonts w:ascii="宋体" w:hAnsi="宋体" w:cs="宋体"/>
                <w:color w:val="0000FF"/>
                <w:sz w:val="24"/>
              </w:rPr>
            </w:pPr>
          </w:p>
        </w:tc>
        <w:tc>
          <w:tcPr>
            <w:tcW w:w="3119" w:type="dxa"/>
            <w:vAlign w:val="center"/>
          </w:tcPr>
          <w:p>
            <w:pPr>
              <w:spacing w:line="360" w:lineRule="auto"/>
              <w:jc w:val="center"/>
              <w:rPr>
                <w:rFonts w:ascii="宋体" w:hAnsi="宋体" w:cs="宋体"/>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FF"/>
                <w:sz w:val="24"/>
              </w:rPr>
            </w:pPr>
            <w:r>
              <w:rPr>
                <w:rFonts w:hint="eastAsia" w:ascii="宋体" w:hAnsi="宋体" w:cs="宋体"/>
                <w:color w:val="0000FF"/>
                <w:sz w:val="24"/>
              </w:rPr>
              <w:t>2</w:t>
            </w:r>
          </w:p>
        </w:tc>
        <w:tc>
          <w:tcPr>
            <w:tcW w:w="1417" w:type="dxa"/>
            <w:vAlign w:val="center"/>
          </w:tcPr>
          <w:p>
            <w:pPr>
              <w:snapToGrid w:val="0"/>
              <w:spacing w:line="360" w:lineRule="auto"/>
              <w:jc w:val="center"/>
              <w:rPr>
                <w:rFonts w:ascii="宋体" w:hAnsi="宋体" w:cs="宋体"/>
                <w:color w:val="0000FF"/>
                <w:sz w:val="24"/>
              </w:rPr>
            </w:pPr>
            <w:r>
              <w:rPr>
                <w:rFonts w:hint="eastAsia" w:ascii="宋体" w:hAnsi="宋体" w:cs="宋体"/>
                <w:color w:val="0000FF"/>
                <w:sz w:val="24"/>
              </w:rPr>
              <w:t>X</w:t>
            </w:r>
            <w:r>
              <w:rPr>
                <w:rFonts w:ascii="宋体" w:hAnsi="宋体" w:cs="宋体"/>
                <w:color w:val="0000FF"/>
                <w:sz w:val="24"/>
              </w:rPr>
              <w:t>X</w:t>
            </w:r>
          </w:p>
        </w:tc>
        <w:tc>
          <w:tcPr>
            <w:tcW w:w="1843" w:type="dxa"/>
            <w:vAlign w:val="center"/>
          </w:tcPr>
          <w:p>
            <w:pPr>
              <w:snapToGrid w:val="0"/>
              <w:spacing w:line="360" w:lineRule="auto"/>
              <w:jc w:val="center"/>
              <w:rPr>
                <w:rFonts w:ascii="宋体" w:hAnsi="宋体" w:cs="宋体"/>
                <w:color w:val="0000FF"/>
                <w:sz w:val="24"/>
              </w:rPr>
            </w:pPr>
          </w:p>
        </w:tc>
        <w:tc>
          <w:tcPr>
            <w:tcW w:w="3118" w:type="dxa"/>
            <w:vAlign w:val="center"/>
          </w:tcPr>
          <w:p>
            <w:pPr>
              <w:snapToGrid w:val="0"/>
              <w:spacing w:line="360" w:lineRule="auto"/>
              <w:jc w:val="center"/>
              <w:rPr>
                <w:rFonts w:ascii="宋体" w:hAnsi="宋体" w:cs="宋体"/>
                <w:color w:val="0000FF"/>
                <w:sz w:val="24"/>
              </w:rPr>
            </w:pPr>
          </w:p>
        </w:tc>
        <w:tc>
          <w:tcPr>
            <w:tcW w:w="993" w:type="dxa"/>
            <w:vAlign w:val="center"/>
          </w:tcPr>
          <w:p>
            <w:pPr>
              <w:snapToGrid w:val="0"/>
              <w:spacing w:line="360" w:lineRule="auto"/>
              <w:jc w:val="center"/>
              <w:rPr>
                <w:rFonts w:ascii="宋体" w:hAnsi="宋体" w:cs="宋体"/>
                <w:color w:val="0000FF"/>
                <w:sz w:val="24"/>
              </w:rPr>
            </w:pPr>
          </w:p>
        </w:tc>
        <w:tc>
          <w:tcPr>
            <w:tcW w:w="1559" w:type="dxa"/>
            <w:vAlign w:val="center"/>
          </w:tcPr>
          <w:p>
            <w:pPr>
              <w:spacing w:line="360" w:lineRule="auto"/>
              <w:jc w:val="center"/>
              <w:rPr>
                <w:rFonts w:ascii="宋体" w:hAnsi="宋体" w:cs="宋体"/>
                <w:color w:val="0000FF"/>
                <w:sz w:val="24"/>
              </w:rPr>
            </w:pPr>
          </w:p>
        </w:tc>
        <w:tc>
          <w:tcPr>
            <w:tcW w:w="1984" w:type="dxa"/>
            <w:vAlign w:val="center"/>
          </w:tcPr>
          <w:p>
            <w:pPr>
              <w:spacing w:line="360" w:lineRule="auto"/>
              <w:jc w:val="center"/>
              <w:rPr>
                <w:rFonts w:ascii="宋体" w:hAnsi="宋体" w:cs="宋体"/>
                <w:color w:val="0000FF"/>
                <w:sz w:val="24"/>
              </w:rPr>
            </w:pPr>
          </w:p>
        </w:tc>
        <w:tc>
          <w:tcPr>
            <w:tcW w:w="3119" w:type="dxa"/>
            <w:vAlign w:val="center"/>
          </w:tcPr>
          <w:p>
            <w:pPr>
              <w:spacing w:line="360" w:lineRule="auto"/>
              <w:jc w:val="center"/>
              <w:rPr>
                <w:rFonts w:ascii="宋体" w:hAnsi="宋体" w:cs="宋体"/>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FF"/>
                <w:sz w:val="24"/>
              </w:rPr>
            </w:pPr>
            <w:r>
              <w:rPr>
                <w:rFonts w:hint="eastAsia" w:ascii="宋体" w:hAnsi="宋体" w:cs="宋体"/>
                <w:color w:val="0000FF"/>
                <w:sz w:val="24"/>
              </w:rPr>
              <w:t>…</w:t>
            </w:r>
          </w:p>
        </w:tc>
        <w:tc>
          <w:tcPr>
            <w:tcW w:w="1417" w:type="dxa"/>
            <w:vAlign w:val="center"/>
          </w:tcPr>
          <w:p>
            <w:pPr>
              <w:snapToGrid w:val="0"/>
              <w:spacing w:line="360" w:lineRule="auto"/>
              <w:jc w:val="center"/>
              <w:rPr>
                <w:rFonts w:ascii="宋体" w:hAnsi="宋体" w:cs="宋体"/>
                <w:color w:val="0000FF"/>
                <w:sz w:val="24"/>
              </w:rPr>
            </w:pPr>
          </w:p>
        </w:tc>
        <w:tc>
          <w:tcPr>
            <w:tcW w:w="1843" w:type="dxa"/>
            <w:vAlign w:val="center"/>
          </w:tcPr>
          <w:p>
            <w:pPr>
              <w:snapToGrid w:val="0"/>
              <w:spacing w:line="360" w:lineRule="auto"/>
              <w:jc w:val="center"/>
              <w:rPr>
                <w:rFonts w:ascii="宋体" w:hAnsi="宋体" w:cs="宋体"/>
                <w:color w:val="0000FF"/>
                <w:sz w:val="24"/>
              </w:rPr>
            </w:pPr>
          </w:p>
        </w:tc>
        <w:tc>
          <w:tcPr>
            <w:tcW w:w="3118" w:type="dxa"/>
            <w:vAlign w:val="center"/>
          </w:tcPr>
          <w:p>
            <w:pPr>
              <w:snapToGrid w:val="0"/>
              <w:spacing w:line="360" w:lineRule="auto"/>
              <w:jc w:val="center"/>
              <w:rPr>
                <w:rFonts w:ascii="宋体" w:hAnsi="宋体" w:cs="宋体"/>
                <w:color w:val="0000FF"/>
                <w:sz w:val="24"/>
              </w:rPr>
            </w:pPr>
          </w:p>
        </w:tc>
        <w:tc>
          <w:tcPr>
            <w:tcW w:w="993" w:type="dxa"/>
            <w:vAlign w:val="center"/>
          </w:tcPr>
          <w:p>
            <w:pPr>
              <w:snapToGrid w:val="0"/>
              <w:spacing w:line="360" w:lineRule="auto"/>
              <w:jc w:val="center"/>
              <w:rPr>
                <w:rFonts w:ascii="宋体" w:hAnsi="宋体" w:cs="宋体"/>
                <w:color w:val="0000FF"/>
                <w:sz w:val="24"/>
              </w:rPr>
            </w:pPr>
          </w:p>
        </w:tc>
        <w:tc>
          <w:tcPr>
            <w:tcW w:w="1559" w:type="dxa"/>
            <w:vAlign w:val="center"/>
          </w:tcPr>
          <w:p>
            <w:pPr>
              <w:spacing w:line="360" w:lineRule="auto"/>
              <w:jc w:val="center"/>
              <w:rPr>
                <w:rFonts w:ascii="宋体" w:hAnsi="宋体" w:cs="宋体"/>
                <w:color w:val="0000FF"/>
                <w:sz w:val="24"/>
              </w:rPr>
            </w:pPr>
          </w:p>
        </w:tc>
        <w:tc>
          <w:tcPr>
            <w:tcW w:w="1984" w:type="dxa"/>
            <w:vAlign w:val="center"/>
          </w:tcPr>
          <w:p>
            <w:pPr>
              <w:spacing w:line="360" w:lineRule="auto"/>
              <w:jc w:val="center"/>
              <w:rPr>
                <w:rFonts w:ascii="宋体" w:hAnsi="宋体" w:cs="宋体"/>
                <w:color w:val="0000FF"/>
                <w:sz w:val="24"/>
              </w:rPr>
            </w:pPr>
          </w:p>
        </w:tc>
        <w:tc>
          <w:tcPr>
            <w:tcW w:w="3119" w:type="dxa"/>
            <w:vAlign w:val="center"/>
          </w:tcPr>
          <w:p>
            <w:pPr>
              <w:spacing w:line="360" w:lineRule="auto"/>
              <w:jc w:val="center"/>
              <w:rPr>
                <w:rFonts w:ascii="宋体" w:hAnsi="宋体" w:cs="宋体"/>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pPr>
              <w:spacing w:line="360" w:lineRule="auto"/>
              <w:jc w:val="center"/>
              <w:rPr>
                <w:rFonts w:ascii="宋体" w:hAnsi="宋体" w:cs="宋体"/>
                <w:sz w:val="24"/>
              </w:rPr>
            </w:pPr>
          </w:p>
        </w:tc>
      </w:tr>
    </w:tbl>
    <w:p>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FF0000"/>
          <w:kern w:val="0"/>
          <w:sz w:val="24"/>
          <w:lang w:val="zh-CN"/>
        </w:rPr>
      </w:pPr>
      <w:r>
        <w:rPr>
          <w:rFonts w:ascii="宋体" w:hAnsi="宋体" w:cs="宋体"/>
          <w:color w:val="FF0000"/>
          <w:kern w:val="0"/>
          <w:sz w:val="24"/>
          <w:szCs w:val="22"/>
          <w:lang w:val="zh-CN"/>
        </w:rPr>
        <w:t>4</w:t>
      </w:r>
      <w:r>
        <w:rPr>
          <w:rFonts w:hint="eastAsia" w:ascii="宋体" w:hAnsi="宋体" w:cs="宋体"/>
          <w:color w:val="FF0000"/>
          <w:kern w:val="0"/>
          <w:sz w:val="24"/>
          <w:szCs w:val="22"/>
          <w:lang w:val="zh-CN"/>
        </w:rPr>
        <w:t>、</w:t>
      </w:r>
      <w:r>
        <w:rPr>
          <w:rFonts w:hint="eastAsia" w:ascii="宋体" w:hAnsi="宋体" w:cs="宋体"/>
          <w:color w:val="FF0000"/>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kern w:val="0"/>
          <w:sz w:val="24"/>
        </w:rPr>
      </w:pP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pP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color w:val="FF0000"/>
          <w:sz w:val="32"/>
          <w:szCs w:val="32"/>
        </w:rPr>
      </w:pPr>
      <w:r>
        <w:rPr>
          <w:rFonts w:hint="eastAsia" w:ascii="宋体" w:hAnsi="宋体" w:eastAsia="宋体" w:cs="宋体"/>
          <w:color w:val="FF0000"/>
          <w:kern w:val="2"/>
          <w:sz w:val="32"/>
          <w:szCs w:val="32"/>
        </w:rPr>
        <w:t>二、</w:t>
      </w:r>
      <w:r>
        <w:rPr>
          <w:rFonts w:hint="eastAsia" w:ascii="宋体" w:hAnsi="宋体" w:eastAsia="宋体" w:cs="宋体"/>
          <w:color w:val="FF0000"/>
          <w:sz w:val="32"/>
          <w:szCs w:val="32"/>
        </w:rPr>
        <w:t>中小企业声明函</w:t>
      </w:r>
      <w:bookmarkStart w:id="546" w:name="_Hlk101259491"/>
      <w:r>
        <w:rPr>
          <w:rFonts w:hint="eastAsia" w:ascii="宋体" w:hAnsi="宋体" w:eastAsia="宋体" w:cs="宋体"/>
          <w:color w:val="FF0000"/>
          <w:sz w:val="32"/>
          <w:szCs w:val="32"/>
        </w:rPr>
        <w:t>（如果有）</w:t>
      </w:r>
      <w:bookmarkEnd w:id="546"/>
    </w:p>
    <w:p>
      <w:pPr>
        <w:widowControl/>
        <w:spacing w:line="360" w:lineRule="auto"/>
        <w:ind w:firstLine="120" w:firstLineChars="50"/>
        <w:jc w:val="left"/>
        <w:rPr>
          <w:rFonts w:ascii="宋体" w:hAnsi="宋体" w:cs="宋体"/>
          <w:b/>
          <w:color w:val="FF0000"/>
          <w:sz w:val="24"/>
        </w:rPr>
      </w:pPr>
      <w:r>
        <w:rPr>
          <w:rFonts w:hint="eastAsia" w:ascii="宋体" w:hAnsi="宋体" w:cs="宋体"/>
          <w:b/>
          <w:color w:val="FF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FF0000"/>
          <w:sz w:val="24"/>
        </w:rPr>
        <w:t>7</w:t>
      </w:r>
      <w:r>
        <w:rPr>
          <w:rFonts w:hint="eastAsia" w:ascii="宋体" w:hAnsi="宋体" w:cs="宋体"/>
          <w:b/>
          <w:color w:val="FF0000"/>
          <w:sz w:val="24"/>
        </w:rPr>
        <w:t>）。]</w:t>
      </w:r>
    </w:p>
    <w:p>
      <w:pPr>
        <w:pStyle w:val="690"/>
        <w:keepNext w:val="0"/>
        <w:pageBreakBefore w:val="0"/>
        <w:tabs>
          <w:tab w:val="clear" w:pos="720"/>
        </w:tabs>
        <w:snapToGrid w:val="0"/>
        <w:spacing w:before="120" w:after="120"/>
        <w:ind w:firstLine="643"/>
        <w:outlineLvl w:val="9"/>
        <w:rPr>
          <w:rFonts w:ascii="宋体" w:hAnsi="宋体" w:eastAsia="宋体" w:cs="宋体"/>
          <w:b w:val="0"/>
          <w:color w:val="FF0000"/>
          <w:sz w:val="32"/>
          <w:szCs w:val="32"/>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pStyle w:val="4"/>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547" w:name="_Toc465665161"/>
      <w:r>
        <w:rPr>
          <w:rFonts w:hint="eastAsia" w:ascii="宋体" w:hAnsi="宋体" w:cs="宋体"/>
        </w:rPr>
        <w:t>附件</w:t>
      </w:r>
      <w:bookmarkEnd w:id="547"/>
    </w:p>
    <w:p>
      <w:pPr>
        <w:spacing w:line="360" w:lineRule="auto"/>
        <w:rPr>
          <w:rFonts w:ascii="宋体" w:hAnsi="宋体" w:cs="宋体"/>
          <w:b/>
          <w:spacing w:val="6"/>
          <w:sz w:val="32"/>
          <w:szCs w:val="32"/>
        </w:rPr>
      </w:pPr>
      <w:r>
        <w:rPr>
          <w:rFonts w:hint="eastAsia" w:ascii="宋体" w:hAnsi="宋体" w:cs="宋体"/>
          <w:b/>
          <w:spacing w:val="6"/>
          <w:sz w:val="32"/>
          <w:szCs w:val="32"/>
        </w:rPr>
        <w:t>附件1：</w:t>
      </w:r>
    </w:p>
    <w:p>
      <w:pPr>
        <w:spacing w:line="360" w:lineRule="auto"/>
        <w:jc w:val="center"/>
        <w:rPr>
          <w:rFonts w:ascii="宋体" w:hAnsi="宋体" w:cs="宋体"/>
          <w:b/>
          <w:spacing w:val="6"/>
          <w:sz w:val="32"/>
          <w:szCs w:val="32"/>
        </w:rPr>
      </w:pPr>
      <w:bookmarkStart w:id="548" w:name="OLE_LINK13"/>
      <w:bookmarkStart w:id="549" w:name="OLE_LINK14"/>
      <w:r>
        <w:rPr>
          <w:rFonts w:hint="eastAsia" w:ascii="宋体" w:hAnsi="宋体" w:cs="宋体"/>
          <w:b/>
          <w:spacing w:val="6"/>
          <w:sz w:val="32"/>
          <w:szCs w:val="32"/>
        </w:rPr>
        <w:t>残疾人福利性单位声明函</w:t>
      </w:r>
    </w:p>
    <w:bookmarkEnd w:id="548"/>
    <w:bookmarkEnd w:id="549"/>
    <w:p>
      <w:pPr>
        <w:spacing w:line="360" w:lineRule="auto"/>
        <w:rPr>
          <w:rFonts w:ascii="宋体" w:hAnsi="宋体" w:cs="宋体"/>
          <w:b/>
          <w:spacing w:val="6"/>
          <w:sz w:val="30"/>
          <w:szCs w:val="30"/>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0000FF"/>
          <w:sz w:val="24"/>
          <w:u w:val="single"/>
        </w:rPr>
        <w:t>（采购人）</w:t>
      </w:r>
      <w:r>
        <w:rPr>
          <w:rFonts w:hint="eastAsia" w:ascii="宋体" w:hAnsi="宋体" w:cs="宋体"/>
          <w:sz w:val="24"/>
        </w:rPr>
        <w:t>_单位的_</w:t>
      </w:r>
      <w:r>
        <w:rPr>
          <w:rFonts w:hint="eastAsia" w:ascii="宋体" w:hAnsi="宋体" w:cs="宋体"/>
          <w:color w:val="0000FF"/>
          <w:sz w:val="24"/>
          <w:u w:val="single"/>
        </w:rPr>
        <w:t>（项目名称）</w:t>
      </w:r>
      <w:r>
        <w:rPr>
          <w:rFonts w:hint="eastAsia" w:ascii="宋体" w:hAnsi="宋体" w:cs="宋体"/>
          <w:color w:val="0000FF"/>
          <w:sz w:val="24"/>
        </w:rPr>
        <w:t>_</w:t>
      </w:r>
      <w:r>
        <w:rPr>
          <w:rFonts w:hint="eastAsia" w:ascii="宋体" w:hAnsi="宋体" w:cs="宋体"/>
          <w:sz w:val="24"/>
        </w:rPr>
        <w:t>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pPr>
        <w:spacing w:line="360" w:lineRule="auto"/>
        <w:ind w:firstLine="480" w:firstLineChars="200"/>
        <w:rPr>
          <w:rFonts w:ascii="宋体" w:hAnsi="宋体" w:cs="宋体"/>
          <w:sz w:val="24"/>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pPr>
        <w:spacing w:line="360" w:lineRule="auto"/>
        <w:rPr>
          <w:rFonts w:ascii="宋体" w:hAnsi="宋体" w:cs="宋体"/>
          <w:sz w:val="24"/>
          <w:u w:val="single"/>
        </w:rPr>
      </w:pP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pPr>
        <w:spacing w:line="360" w:lineRule="auto"/>
        <w:rPr>
          <w:rFonts w:ascii="宋体" w:hAnsi="宋体" w:cs="宋体"/>
          <w:color w:val="0000FF"/>
          <w:sz w:val="24"/>
          <w:u w:val="single"/>
        </w:rPr>
      </w:pPr>
    </w:p>
    <w:p>
      <w:pPr>
        <w:spacing w:line="360" w:lineRule="auto"/>
        <w:rPr>
          <w:rFonts w:ascii="宋体" w:hAnsi="宋体" w:cs="宋体"/>
          <w:sz w:val="24"/>
        </w:rPr>
      </w:pPr>
      <w:r>
        <w:rPr>
          <w:rFonts w:hint="eastAsia" w:ascii="宋体" w:hAnsi="宋体" w:cs="宋体"/>
          <w:color w:val="0000FF"/>
          <w:sz w:val="24"/>
          <w:u w:val="single"/>
        </w:rPr>
        <w:t>（采购人）</w:t>
      </w:r>
      <w:r>
        <w:rPr>
          <w:rFonts w:hint="eastAsia" w:ascii="宋体" w:hAnsi="宋体" w:cs="宋体"/>
          <w:sz w:val="24"/>
          <w:u w:val="single"/>
        </w:rPr>
        <w:t>、（采购代理机构）：</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pPr>
        <w:snapToGrid w:val="0"/>
        <w:spacing w:line="360" w:lineRule="auto"/>
        <w:ind w:firstLine="576"/>
        <w:rPr>
          <w:rFonts w:ascii="宋体" w:hAnsi="宋体" w:cs="宋体"/>
          <w:kern w:val="0"/>
          <w:sz w:val="24"/>
          <w:lang w:val="zh-CN"/>
        </w:rPr>
      </w:pPr>
      <w:bookmarkStart w:id="550"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550"/>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pPr>
        <w:pStyle w:val="5"/>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551"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551"/>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snapToGrid w:val="0"/>
        <w:spacing w:line="360" w:lineRule="auto"/>
        <w:outlineLvl w:val="0"/>
        <w:rPr>
          <w:rFonts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pPr>
        <w:spacing w:line="360" w:lineRule="auto"/>
        <w:jc w:val="center"/>
        <w:rPr>
          <w:rFonts w:ascii="宋体" w:hAnsi="宋体" w:cs="宋体"/>
          <w:sz w:val="24"/>
          <w:u w:val="single"/>
        </w:rPr>
      </w:pPr>
    </w:p>
    <w:p>
      <w:pPr>
        <w:spacing w:line="360" w:lineRule="auto"/>
        <w:jc w:val="center"/>
        <w:rPr>
          <w:rFonts w:ascii="宋体" w:hAnsi="宋体" w:cs="宋体"/>
          <w:b/>
          <w:sz w:val="32"/>
          <w:szCs w:val="32"/>
        </w:rPr>
      </w:pPr>
      <w:r>
        <w:rPr>
          <w:rFonts w:hint="eastAsia" w:ascii="宋体" w:hAnsi="宋体" w:cs="宋体"/>
          <w:b/>
          <w:sz w:val="32"/>
          <w:szCs w:val="32"/>
        </w:rPr>
        <w:t>中小企业声明函（货物）</w:t>
      </w:r>
    </w:p>
    <w:p>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color w:val="0000FF"/>
          <w:sz w:val="24"/>
          <w:u w:val="single"/>
        </w:rPr>
        <w:t>（采购人）</w:t>
      </w:r>
      <w:r>
        <w:rPr>
          <w:rFonts w:hint="eastAsia" w:ascii="宋体" w:hAnsi="宋体" w:cs="宋体"/>
          <w:sz w:val="24"/>
          <w:u w:val="single"/>
        </w:rPr>
        <w:t xml:space="preserve"> </w:t>
      </w:r>
      <w:r>
        <w:rPr>
          <w:rFonts w:hint="eastAsia" w:ascii="宋体" w:hAnsi="宋体" w:cs="宋体"/>
          <w:sz w:val="24"/>
        </w:rPr>
        <w:t xml:space="preserve">的 </w:t>
      </w:r>
      <w:r>
        <w:rPr>
          <w:rFonts w:hint="eastAsia" w:ascii="宋体" w:hAnsi="宋体" w:cs="宋体"/>
          <w:color w:val="0000FF"/>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color w:val="0000FF"/>
          <w:sz w:val="24"/>
          <w:u w:val="single"/>
        </w:rPr>
        <w:t>（标的名称）</w:t>
      </w:r>
      <w:r>
        <w:rPr>
          <w:rFonts w:hint="eastAsia" w:ascii="宋体" w:hAnsi="宋体" w:cs="宋体"/>
          <w:sz w:val="24"/>
        </w:rPr>
        <w:t xml:space="preserve"> ，属于</w:t>
      </w:r>
      <w:r>
        <w:rPr>
          <w:rFonts w:hint="eastAsia" w:ascii="宋体" w:hAnsi="宋体" w:cs="宋体"/>
          <w:color w:val="0000FF"/>
          <w:sz w:val="24"/>
        </w:rPr>
        <w:t xml:space="preserve"> </w:t>
      </w:r>
      <w:r>
        <w:rPr>
          <w:rFonts w:hint="eastAsia" w:ascii="宋体" w:hAnsi="宋体" w:cs="宋体"/>
          <w:color w:val="0000FF"/>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color w:val="0000FF"/>
          <w:sz w:val="24"/>
          <w:u w:val="single"/>
        </w:rPr>
        <w:t>（标的名称）</w:t>
      </w:r>
      <w:r>
        <w:rPr>
          <w:rFonts w:hint="eastAsia" w:ascii="宋体" w:hAnsi="宋体" w:cs="宋体"/>
          <w:sz w:val="24"/>
        </w:rPr>
        <w:t xml:space="preserve"> ，属于 </w:t>
      </w:r>
      <w:r>
        <w:rPr>
          <w:rFonts w:hint="eastAsia" w:ascii="宋体" w:hAnsi="宋体" w:cs="宋体"/>
          <w:color w:val="0000FF"/>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pPr>
        <w:spacing w:line="360" w:lineRule="auto"/>
        <w:ind w:right="420" w:firstLine="480" w:firstLineChars="200"/>
        <w:rPr>
          <w:rFonts w:ascii="宋体" w:hAnsi="宋体" w:cs="宋体"/>
          <w:sz w:val="24"/>
        </w:rPr>
      </w:pPr>
      <w:r>
        <w:rPr>
          <w:rFonts w:hint="eastAsia" w:ascii="宋体" w:hAnsi="宋体" w:cs="宋体"/>
          <w:sz w:val="24"/>
        </w:rPr>
        <w:t>注：</w:t>
      </w:r>
    </w:p>
    <w:p>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rPr>
          <w:rFonts w:ascii="宋体" w:hAnsi="宋体" w:cs="宋体"/>
          <w:bCs/>
          <w:sz w:val="24"/>
        </w:rPr>
      </w:pPr>
    </w:p>
    <w:sectPr>
      <w:headerReference r:id="rId26" w:type="first"/>
      <w:footerReference r:id="rId29" w:type="first"/>
      <w:headerReference r:id="rId25" w:type="default"/>
      <w:footerReference r:id="rId27" w:type="default"/>
      <w:footerReference r:id="rId2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MS Gothic"/>
    <w:panose1 w:val="02020609040205080304"/>
    <w:charset w:val="80"/>
    <w:family w:val="roman"/>
    <w:pitch w:val="default"/>
    <w:sig w:usb0="00000000" w:usb1="00000000" w:usb2="00000010" w:usb3="00000000" w:csb0="00020000" w:csb1="00000000"/>
  </w:font>
  <w:font w:name="TimesNewRomanPSMT">
    <w:altName w:val="Times New Roman"/>
    <w:panose1 w:val="00000000000000000000"/>
    <w:charset w:val="00"/>
    <w:family w:val="roman"/>
    <w:pitch w:val="default"/>
    <w:sig w:usb0="00000000" w:usb1="00000000" w:usb2="00000010" w:usb3="00000000" w:csb0="00040001"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2" w:name="_Toc91899912"/>
    <w:bookmarkStart w:id="553" w:name="_Toc36110187"/>
    <w:bookmarkStart w:id="554" w:name="_Toc131845147"/>
    <w:bookmarkStart w:id="555" w:name="_Toc164085800"/>
    <w:r>
      <w:rPr>
        <w:rFonts w:hint="eastAsia" w:ascii="仿宋_GB2312" w:eastAsia="仿宋_GB2312"/>
        <w:kern w:val="0"/>
        <w:szCs w:val="21"/>
      </w:rPr>
      <w:t xml:space="preserve"> 页</w:t>
    </w:r>
    <w:bookmarkEnd w:id="552"/>
    <w:bookmarkEnd w:id="553"/>
    <w:bookmarkEnd w:id="554"/>
    <w:bookmarkEnd w:id="55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w:t>
    </w:r>
    <w:r>
      <w:rPr>
        <w:rFonts w:hint="eastAsia"/>
      </w:rPr>
      <w:t xml:space="preserve">             </w:t>
    </w:r>
    <w:r>
      <w:t>杭州市政府采购公开招标文件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w:t>
    </w:r>
    <w:r>
      <w:rPr>
        <w:rFonts w:hint="eastAsia"/>
      </w:rPr>
      <w:t xml:space="preserve">             </w:t>
    </w:r>
    <w:r>
      <w:t>杭州市政府采购公开招标文件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CA428A"/>
    <w:multiLevelType w:val="multilevel"/>
    <w:tmpl w:val="09CA428A"/>
    <w:lvl w:ilvl="0" w:tentative="0">
      <w:start w:val="1"/>
      <w:numFmt w:val="decimal"/>
      <w:lvlText w:val="%1"/>
      <w:lvlJc w:val="left"/>
      <w:pPr>
        <w:ind w:left="360" w:hanging="36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77C5E04"/>
    <w:multiLevelType w:val="multilevel"/>
    <w:tmpl w:val="677C5E0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EA15D4E"/>
    <w:multiLevelType w:val="singleLevel"/>
    <w:tmpl w:val="7EA15D4E"/>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0ZWNjNzAxZDY1ODYwOTRhMGY0ZTRmYjkwNmM5Ym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409F4"/>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9528F6"/>
    <w:rsid w:val="09A92330"/>
    <w:rsid w:val="09B06B87"/>
    <w:rsid w:val="09C13146"/>
    <w:rsid w:val="09E04166"/>
    <w:rsid w:val="09F24D40"/>
    <w:rsid w:val="0A1C0718"/>
    <w:rsid w:val="0A3E7710"/>
    <w:rsid w:val="0A430D0D"/>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904AE8"/>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74D0F"/>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DD6047"/>
    <w:rsid w:val="11E104CC"/>
    <w:rsid w:val="11E20309"/>
    <w:rsid w:val="12255233"/>
    <w:rsid w:val="12530213"/>
    <w:rsid w:val="127723A9"/>
    <w:rsid w:val="12862074"/>
    <w:rsid w:val="12883966"/>
    <w:rsid w:val="129E45B4"/>
    <w:rsid w:val="12D81596"/>
    <w:rsid w:val="13072A44"/>
    <w:rsid w:val="135256ED"/>
    <w:rsid w:val="135F4BE2"/>
    <w:rsid w:val="139B1A0A"/>
    <w:rsid w:val="139D25C7"/>
    <w:rsid w:val="13A71401"/>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7B4A83"/>
    <w:rsid w:val="22BE6801"/>
    <w:rsid w:val="233500BF"/>
    <w:rsid w:val="23377FF7"/>
    <w:rsid w:val="234D7256"/>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5E733D"/>
    <w:rsid w:val="276142BF"/>
    <w:rsid w:val="27695F9F"/>
    <w:rsid w:val="27783712"/>
    <w:rsid w:val="27907362"/>
    <w:rsid w:val="28333E1D"/>
    <w:rsid w:val="28454BD6"/>
    <w:rsid w:val="28455253"/>
    <w:rsid w:val="28551971"/>
    <w:rsid w:val="285B1C53"/>
    <w:rsid w:val="289F7086"/>
    <w:rsid w:val="28C32028"/>
    <w:rsid w:val="28CC490F"/>
    <w:rsid w:val="28DE40AA"/>
    <w:rsid w:val="28EE5383"/>
    <w:rsid w:val="29221D26"/>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A43FDE"/>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5D15DF"/>
    <w:rsid w:val="38BC0149"/>
    <w:rsid w:val="38D87D1C"/>
    <w:rsid w:val="395106A6"/>
    <w:rsid w:val="39636459"/>
    <w:rsid w:val="396B7F6C"/>
    <w:rsid w:val="39B417A9"/>
    <w:rsid w:val="39BA6046"/>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1E037C"/>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AD124E"/>
    <w:rsid w:val="47B025FA"/>
    <w:rsid w:val="4809698F"/>
    <w:rsid w:val="4811697D"/>
    <w:rsid w:val="487A3E25"/>
    <w:rsid w:val="488B5503"/>
    <w:rsid w:val="48937E21"/>
    <w:rsid w:val="489A0361"/>
    <w:rsid w:val="48B94FF3"/>
    <w:rsid w:val="48C578ED"/>
    <w:rsid w:val="48E37AAB"/>
    <w:rsid w:val="48FD4B4C"/>
    <w:rsid w:val="490A68E0"/>
    <w:rsid w:val="491055FE"/>
    <w:rsid w:val="495F5B3E"/>
    <w:rsid w:val="496F77D7"/>
    <w:rsid w:val="497654FD"/>
    <w:rsid w:val="49B64211"/>
    <w:rsid w:val="49F6167F"/>
    <w:rsid w:val="4A064FA0"/>
    <w:rsid w:val="4A100DF7"/>
    <w:rsid w:val="4A16615C"/>
    <w:rsid w:val="4A4424D7"/>
    <w:rsid w:val="4AB82D0F"/>
    <w:rsid w:val="4AEB7664"/>
    <w:rsid w:val="4AFD7C19"/>
    <w:rsid w:val="4B0567D1"/>
    <w:rsid w:val="4B236AAE"/>
    <w:rsid w:val="4B481704"/>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662296"/>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42C85"/>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2F099A"/>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A270AB"/>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422F4F"/>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8EC1071"/>
    <w:rsid w:val="78F625B9"/>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597C0A"/>
    <w:rsid w:val="7D6E6D43"/>
    <w:rsid w:val="7DB57A34"/>
    <w:rsid w:val="7DE60973"/>
    <w:rsid w:val="7DEF0916"/>
    <w:rsid w:val="7E1E5218"/>
    <w:rsid w:val="7E8B2AF9"/>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18"/>
    <w:qFormat/>
    <w:uiPriority w:val="0"/>
    <w:pPr>
      <w:adjustRightInd/>
      <w:spacing w:after="120" w:line="240" w:lineRule="auto"/>
      <w:ind w:left="420" w:leftChars="200" w:firstLine="210"/>
    </w:pPr>
    <w:rPr>
      <w:sz w:val="21"/>
    </w:rPr>
  </w:style>
  <w:style w:type="paragraph" w:styleId="3">
    <w:name w:val="Body Text Indent"/>
    <w:basedOn w:val="1"/>
    <w:next w:val="1"/>
    <w:link w:val="262"/>
    <w:qFormat/>
    <w:uiPriority w:val="0"/>
    <w:pPr>
      <w:spacing w:line="480" w:lineRule="exact"/>
      <w:ind w:firstLine="480" w:firstLineChars="200"/>
    </w:pPr>
    <w:rPr>
      <w:rFonts w:ascii="宋体" w:hAnsi="宋体"/>
      <w:sz w:val="24"/>
    </w:rPr>
  </w:style>
  <w:style w:type="paragraph" w:styleId="7">
    <w:name w:val="Normal Indent"/>
    <w:basedOn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6"/>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199"/>
    <w:qFormat/>
    <w:uiPriority w:val="0"/>
    <w:pPr>
      <w:shd w:val="clear" w:color="auto" w:fill="000080"/>
    </w:pPr>
  </w:style>
  <w:style w:type="paragraph" w:styleId="21">
    <w:name w:val="annotation text"/>
    <w:basedOn w:val="1"/>
    <w:link w:val="341"/>
    <w:qFormat/>
    <w:uiPriority w:val="99"/>
    <w:pPr>
      <w:jc w:val="left"/>
    </w:pPr>
  </w:style>
  <w:style w:type="paragraph" w:styleId="22">
    <w:name w:val="Salutation"/>
    <w:basedOn w:val="1"/>
    <w:next w:val="1"/>
    <w:link w:val="295"/>
    <w:qFormat/>
    <w:uiPriority w:val="0"/>
    <w:rPr>
      <w:rFonts w:ascii="仿宋_GB2312" w:eastAsia="仿宋_GB2312"/>
      <w:sz w:val="28"/>
      <w:szCs w:val="20"/>
    </w:rPr>
  </w:style>
  <w:style w:type="paragraph" w:styleId="23">
    <w:name w:val="Body Text 3"/>
    <w:basedOn w:val="1"/>
    <w:link w:val="327"/>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link w:val="427"/>
    <w:qFormat/>
    <w:uiPriority w:val="0"/>
    <w:pPr>
      <w:autoSpaceDE w:val="0"/>
      <w:autoSpaceDN w:val="0"/>
      <w:spacing w:line="360" w:lineRule="auto"/>
    </w:pPr>
    <w:rPr>
      <w:rFonts w:ascii="宋体" w:hAnsi="Arial" w:cs="Arial"/>
      <w:snapToGrid w:val="0"/>
      <w:sz w:val="24"/>
      <w:szCs w:val="21"/>
      <w:lang w:val="zh-CN"/>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2"/>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8"/>
    <w:qFormat/>
    <w:uiPriority w:val="0"/>
    <w:pPr>
      <w:ind w:left="100" w:leftChars="2500"/>
    </w:pPr>
    <w:rPr>
      <w:rFonts w:ascii="宋体"/>
      <w:sz w:val="24"/>
      <w:szCs w:val="21"/>
      <w:lang w:val="zh-CN"/>
    </w:rPr>
  </w:style>
  <w:style w:type="paragraph" w:styleId="37">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8">
    <w:name w:val="endnote text"/>
    <w:basedOn w:val="1"/>
    <w:link w:val="929"/>
    <w:qFormat/>
    <w:uiPriority w:val="0"/>
    <w:rPr>
      <w:lang w:val="zh-CN"/>
    </w:rPr>
  </w:style>
  <w:style w:type="paragraph" w:styleId="39">
    <w:name w:val="Balloon Text"/>
    <w:basedOn w:val="1"/>
    <w:link w:val="185"/>
    <w:qFormat/>
    <w:uiPriority w:val="0"/>
    <w:rPr>
      <w:sz w:val="18"/>
      <w:szCs w:val="18"/>
    </w:rPr>
  </w:style>
  <w:style w:type="paragraph" w:styleId="40">
    <w:name w:val="footer"/>
    <w:basedOn w:val="1"/>
    <w:link w:val="380"/>
    <w:qFormat/>
    <w:uiPriority w:val="99"/>
    <w:pPr>
      <w:tabs>
        <w:tab w:val="center" w:pos="4153"/>
        <w:tab w:val="right" w:pos="8306"/>
      </w:tabs>
      <w:snapToGrid w:val="0"/>
      <w:jc w:val="left"/>
    </w:pPr>
    <w:rPr>
      <w:sz w:val="18"/>
      <w:szCs w:val="18"/>
    </w:rPr>
  </w:style>
  <w:style w:type="paragraph" w:styleId="41">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7"/>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299"/>
    <w:qFormat/>
    <w:uiPriority w:val="0"/>
    <w:pPr>
      <w:spacing w:after="120" w:line="480" w:lineRule="auto"/>
    </w:pPr>
  </w:style>
  <w:style w:type="paragraph" w:styleId="57">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3"/>
    <w:qFormat/>
    <w:uiPriority w:val="0"/>
    <w:rPr>
      <w:b/>
      <w:bCs/>
    </w:rPr>
  </w:style>
  <w:style w:type="paragraph" w:styleId="61">
    <w:name w:val="Body Text First Indent"/>
    <w:basedOn w:val="25"/>
    <w:link w:val="318"/>
    <w:qFormat/>
    <w:uiPriority w:val="0"/>
    <w:pPr>
      <w:ind w:firstLine="420"/>
    </w:pPr>
    <w:rPr>
      <w:rFonts w:hAnsi="Calibri" w:cs="Times New Roman"/>
      <w:snapToGrid/>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Char1"/>
    <w:link w:val="60"/>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Char"/>
    <w:link w:val="2"/>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7"/>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Char"/>
    <w:link w:val="10"/>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5"/>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6"/>
    <w:qFormat/>
    <w:uiPriority w:val="0"/>
    <w:rPr>
      <w:rFonts w:ascii="宋体"/>
      <w:kern w:val="2"/>
      <w:sz w:val="24"/>
      <w:szCs w:val="21"/>
      <w:lang w:val="zh-CN"/>
    </w:rPr>
  </w:style>
  <w:style w:type="character" w:customStyle="1" w:styleId="179">
    <w:name w:val="标题 9 Char"/>
    <w:link w:val="13"/>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0"/>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39"/>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7"/>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20"/>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30"/>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8"/>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18"/>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3"/>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4"/>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9"/>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9"/>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2"/>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7"/>
    <w:qFormat/>
    <w:uiPriority w:val="0"/>
    <w:rPr>
      <w:rFonts w:ascii="黑体" w:hAnsi="Courier New" w:eastAsia="黑体"/>
    </w:rPr>
  </w:style>
  <w:style w:type="character" w:customStyle="1" w:styleId="299">
    <w:name w:val="正文文本 2 Char1"/>
    <w:link w:val="56"/>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8"/>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11"/>
    <w:qFormat/>
    <w:uiPriority w:val="0"/>
    <w:rPr>
      <w:b/>
      <w:bCs/>
      <w:kern w:val="2"/>
      <w:sz w:val="24"/>
      <w:szCs w:val="24"/>
    </w:rPr>
  </w:style>
  <w:style w:type="character" w:customStyle="1" w:styleId="305">
    <w:name w:val="正文文本缩进 2 Char"/>
    <w:link w:val="37"/>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0"/>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61"/>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8"/>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3"/>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21"/>
    <w:qFormat/>
    <w:uiPriority w:val="0"/>
    <w:rPr>
      <w:kern w:val="2"/>
      <w:sz w:val="21"/>
      <w:szCs w:val="24"/>
    </w:rPr>
  </w:style>
  <w:style w:type="character" w:customStyle="1" w:styleId="342">
    <w:name w:val="签名 Char"/>
    <w:link w:val="42"/>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2"/>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0"/>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1"/>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7"/>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8"/>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5"/>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5"/>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6"/>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9"/>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6"/>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8"/>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4"/>
    <w:qFormat/>
    <w:uiPriority w:val="0"/>
    <w:pPr>
      <w:tabs>
        <w:tab w:val="left" w:pos="840"/>
      </w:tabs>
      <w:adjustRightInd/>
      <w:ind w:left="840" w:hanging="420"/>
    </w:pPr>
  </w:style>
  <w:style w:type="paragraph" w:customStyle="1" w:styleId="623">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8"/>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7"/>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6"/>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0"/>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9"/>
    <w:next w:val="1"/>
    <w:qFormat/>
    <w:uiPriority w:val="0"/>
    <w:pPr>
      <w:tabs>
        <w:tab w:val="left" w:pos="1080"/>
      </w:tabs>
      <w:ind w:left="1080" w:hanging="1080"/>
    </w:pPr>
  </w:style>
  <w:style w:type="paragraph" w:customStyle="1" w:styleId="894">
    <w:name w:val="数字标题1"/>
    <w:basedOn w:val="4"/>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8"/>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bookmark-item"/>
    <w:basedOn w:val="69"/>
    <w:qFormat/>
    <w:uiPriority w:val="0"/>
  </w:style>
  <w:style w:type="character" w:customStyle="1" w:styleId="963">
    <w:name w:val="font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1.png"/><Relationship Id="rId50" Type="http://schemas.openxmlformats.org/officeDocument/2006/relationships/image" Target="media/image20.png"/><Relationship Id="rId5" Type="http://schemas.openxmlformats.org/officeDocument/2006/relationships/footer" Target="footer1.xml"/><Relationship Id="rId49" Type="http://schemas.openxmlformats.org/officeDocument/2006/relationships/image" Target="media/image19.jpeg"/><Relationship Id="rId48" Type="http://schemas.openxmlformats.org/officeDocument/2006/relationships/image" Target="media/image18.png"/><Relationship Id="rId47" Type="http://schemas.openxmlformats.org/officeDocument/2006/relationships/image" Target="media/image17.png"/><Relationship Id="rId46" Type="http://schemas.openxmlformats.org/officeDocument/2006/relationships/image" Target="media/image16.jpeg"/><Relationship Id="rId45"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image" Target="media/image13.png"/><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header" Target="header2.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jpe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672B4D-9256-4782-95A6-08916EF33AD5}">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42309</Words>
  <Characters>45487</Characters>
  <Lines>279</Lines>
  <Paragraphs>78</Paragraphs>
  <TotalTime>12</TotalTime>
  <ScaleCrop>false</ScaleCrop>
  <LinksUpToDate>false</LinksUpToDate>
  <CharactersWithSpaces>50897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王花花</cp:lastModifiedBy>
  <cp:lastPrinted>2021-12-27T03:06:00Z</cp:lastPrinted>
  <dcterms:modified xsi:type="dcterms:W3CDTF">2023-04-04T02:27:37Z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