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spacing w:line="360" w:lineRule="auto"/>
        <w:jc w:val="center"/>
        <w:rPr>
          <w:rFonts w:ascii="宋体" w:hAnsi="宋体" w:cs="宋体"/>
          <w:b/>
          <w:sz w:val="24"/>
        </w:rPr>
      </w:pPr>
    </w:p>
    <w:p>
      <w:pPr>
        <w:adjustRightInd/>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adjustRightInd/>
        <w:spacing w:line="360" w:lineRule="auto"/>
        <w:jc w:val="center"/>
        <w:rPr>
          <w:rFonts w:ascii="宋体" w:hAnsi="宋体" w:cs="宋体"/>
          <w:b/>
          <w:sz w:val="48"/>
          <w:szCs w:val="48"/>
        </w:rPr>
      </w:pPr>
    </w:p>
    <w:p>
      <w:pPr>
        <w:adjustRightInd/>
        <w:spacing w:line="360" w:lineRule="auto"/>
        <w:jc w:val="center"/>
        <w:rPr>
          <w:rFonts w:hint="eastAsia" w:ascii="宋体" w:hAnsi="宋体" w:cs="宋体"/>
          <w:sz w:val="48"/>
          <w:szCs w:val="48"/>
        </w:rPr>
      </w:pPr>
      <w:r>
        <w:rPr>
          <w:rFonts w:hint="eastAsia" w:ascii="宋体" w:hAnsi="宋体" w:cs="宋体"/>
          <w:sz w:val="48"/>
          <w:szCs w:val="48"/>
        </w:rPr>
        <w:t>2022年桐庐县中小学</w:t>
      </w:r>
      <w:r>
        <w:rPr>
          <w:rFonts w:hint="eastAsia" w:ascii="宋体" w:hAnsi="宋体" w:cs="宋体"/>
          <w:sz w:val="48"/>
          <w:szCs w:val="48"/>
          <w:lang w:val="en-US" w:eastAsia="zh-CN"/>
        </w:rPr>
        <w:t>校课桌椅采购</w:t>
      </w:r>
      <w:r>
        <w:rPr>
          <w:rFonts w:hint="eastAsia" w:ascii="宋体" w:hAnsi="宋体" w:cs="宋体"/>
          <w:sz w:val="48"/>
          <w:szCs w:val="48"/>
        </w:rPr>
        <w:t>项目</w:t>
      </w:r>
    </w:p>
    <w:p>
      <w:pPr>
        <w:adjustRightInd/>
        <w:spacing w:line="360" w:lineRule="auto"/>
        <w:jc w:val="center"/>
        <w:rPr>
          <w:rFonts w:ascii="宋体" w:hAnsi="宋体" w:cs="宋体"/>
          <w:sz w:val="48"/>
          <w:szCs w:val="48"/>
        </w:rPr>
      </w:pPr>
      <w:r>
        <w:rPr>
          <w:rFonts w:hint="eastAsia" w:ascii="宋体" w:hAnsi="宋体" w:cs="宋体"/>
          <w:sz w:val="48"/>
          <w:szCs w:val="48"/>
        </w:rPr>
        <w:t>招标文件</w:t>
      </w:r>
    </w:p>
    <w:p>
      <w:pPr>
        <w:adjustRightInd/>
        <w:spacing w:line="360" w:lineRule="auto"/>
        <w:jc w:val="center"/>
        <w:rPr>
          <w:rFonts w:ascii="宋体" w:hAnsi="宋体" w:cs="宋体"/>
          <w:sz w:val="48"/>
          <w:szCs w:val="48"/>
        </w:rPr>
      </w:pPr>
      <w:r>
        <w:rPr>
          <w:rFonts w:hint="eastAsia" w:ascii="宋体" w:hAnsi="宋体" w:cs="宋体"/>
          <w:sz w:val="48"/>
          <w:szCs w:val="48"/>
        </w:rPr>
        <w:t xml:space="preserve"> </w:t>
      </w: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snapToGrid w:val="0"/>
        <w:spacing w:line="360" w:lineRule="auto"/>
        <w:jc w:val="center"/>
        <w:rPr>
          <w:rFonts w:ascii="宋体" w:hAnsi="宋体" w:cs="宋体"/>
          <w:sz w:val="30"/>
          <w:szCs w:val="30"/>
        </w:rPr>
      </w:pPr>
      <w:r>
        <w:rPr>
          <w:rFonts w:hint="eastAsia" w:ascii="宋体" w:hAnsi="宋体" w:cs="宋体"/>
          <w:sz w:val="30"/>
          <w:szCs w:val="30"/>
        </w:rPr>
        <w:t>编号:（</w:t>
      </w:r>
      <w:r>
        <w:rPr>
          <w:rFonts w:hint="eastAsia" w:ascii="仿宋" w:hAnsi="仿宋" w:eastAsia="仿宋" w:cs="仿宋_GB2312"/>
          <w:sz w:val="30"/>
          <w:szCs w:val="30"/>
        </w:rPr>
        <w:t>TLZFCG2022-GK-00</w:t>
      </w:r>
      <w:r>
        <w:rPr>
          <w:rFonts w:hint="eastAsia" w:ascii="仿宋" w:hAnsi="仿宋" w:eastAsia="仿宋" w:cs="仿宋_GB2312"/>
          <w:sz w:val="30"/>
          <w:szCs w:val="30"/>
          <w:lang w:val="en-US" w:eastAsia="zh-CN"/>
        </w:rPr>
        <w:t>6-1</w:t>
      </w:r>
      <w:r>
        <w:rPr>
          <w:rFonts w:hint="eastAsia" w:ascii="宋体" w:hAnsi="宋体" w:cs="宋体"/>
          <w:sz w:val="30"/>
          <w:szCs w:val="30"/>
        </w:rPr>
        <w:t>）</w:t>
      </w:r>
    </w:p>
    <w:p>
      <w:pPr>
        <w:adjustRightInd/>
        <w:spacing w:line="360" w:lineRule="auto"/>
        <w:rPr>
          <w:rFonts w:ascii="宋体" w:hAnsi="宋体" w:cs="宋体"/>
          <w:sz w:val="28"/>
          <w:szCs w:val="20"/>
        </w:rPr>
      </w:pPr>
    </w:p>
    <w:p>
      <w:pPr>
        <w:spacing w:line="360" w:lineRule="auto"/>
        <w:jc w:val="center"/>
        <w:rPr>
          <w:rFonts w:ascii="宋体" w:hAnsi="宋体" w:cs="宋体"/>
          <w:b/>
          <w:sz w:val="44"/>
          <w:szCs w:val="44"/>
        </w:rPr>
      </w:pPr>
      <w:r>
        <w:rPr>
          <w:rFonts w:hint="eastAsia" w:ascii="宋体" w:hAnsi="宋体" w:cs="宋体"/>
          <w:b/>
          <w:sz w:val="44"/>
          <w:szCs w:val="44"/>
        </w:rPr>
        <w:t xml:space="preserve"> </w:t>
      </w:r>
    </w:p>
    <w:p>
      <w:pPr>
        <w:spacing w:line="360" w:lineRule="auto"/>
        <w:jc w:val="center"/>
        <w:rPr>
          <w:rFonts w:ascii="宋体" w:hAnsi="宋体" w:cs="宋体"/>
          <w:b/>
          <w:sz w:val="44"/>
          <w:szCs w:val="44"/>
        </w:rPr>
      </w:pPr>
    </w:p>
    <w:p>
      <w:pPr>
        <w:spacing w:line="360" w:lineRule="auto"/>
        <w:jc w:val="center"/>
        <w:rPr>
          <w:rFonts w:ascii="宋体" w:hAnsi="宋体" w:cs="宋体"/>
          <w:sz w:val="24"/>
        </w:rPr>
      </w:pPr>
    </w:p>
    <w:p>
      <w:pPr>
        <w:spacing w:line="360" w:lineRule="auto"/>
        <w:jc w:val="center"/>
        <w:rPr>
          <w:rFonts w:ascii="宋体" w:hAnsi="宋体" w:cs="宋体"/>
          <w:sz w:val="24"/>
        </w:rPr>
      </w:pPr>
    </w:p>
    <w:p>
      <w:pPr>
        <w:spacing w:line="360" w:lineRule="auto"/>
        <w:rPr>
          <w:rFonts w:ascii="宋体" w:hAnsi="宋体" w:cs="宋体"/>
          <w:sz w:val="32"/>
          <w:szCs w:val="32"/>
        </w:rPr>
      </w:pPr>
    </w:p>
    <w:p>
      <w:pPr>
        <w:snapToGrid w:val="0"/>
        <w:spacing w:line="360" w:lineRule="auto"/>
        <w:jc w:val="center"/>
        <w:rPr>
          <w:rFonts w:ascii="宋体" w:hAnsi="宋体" w:cs="宋体"/>
          <w:sz w:val="32"/>
          <w:szCs w:val="32"/>
        </w:rPr>
      </w:pPr>
      <w:r>
        <w:rPr>
          <w:rFonts w:hint="eastAsia" w:ascii="仿宋" w:hAnsi="仿宋" w:eastAsia="仿宋" w:cs="仿宋_GB2312"/>
          <w:sz w:val="32"/>
          <w:szCs w:val="32"/>
        </w:rPr>
        <w:t>桐庐县</w:t>
      </w:r>
      <w:r>
        <w:rPr>
          <w:rFonts w:hint="eastAsia" w:ascii="仿宋" w:hAnsi="仿宋" w:eastAsia="仿宋" w:cs="仿宋_GB2312"/>
          <w:sz w:val="32"/>
          <w:szCs w:val="32"/>
          <w:lang w:val="en-US" w:eastAsia="zh-CN"/>
        </w:rPr>
        <w:t>教育后勤服务中心</w:t>
      </w:r>
    </w:p>
    <w:p>
      <w:pPr>
        <w:spacing w:line="360" w:lineRule="auto"/>
        <w:jc w:val="center"/>
        <w:rPr>
          <w:rFonts w:ascii="仿宋" w:hAnsi="仿宋" w:eastAsia="仿宋" w:cs="仿宋_GB2312"/>
          <w:bCs/>
          <w:sz w:val="32"/>
          <w:szCs w:val="32"/>
        </w:rPr>
      </w:pPr>
      <w:r>
        <w:rPr>
          <w:rFonts w:hint="eastAsia" w:ascii="仿宋" w:hAnsi="仿宋" w:eastAsia="仿宋" w:cs="仿宋_GB2312"/>
          <w:bCs/>
          <w:sz w:val="32"/>
          <w:szCs w:val="32"/>
        </w:rPr>
        <w:t>杭州市公共资源交易中心桐庐分中心</w:t>
      </w:r>
    </w:p>
    <w:p>
      <w:pPr>
        <w:snapToGrid w:val="0"/>
        <w:spacing w:line="360" w:lineRule="auto"/>
        <w:jc w:val="center"/>
        <w:rPr>
          <w:rFonts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val="en-US" w:eastAsia="zh-CN"/>
        </w:rPr>
        <w:t>二</w:t>
      </w:r>
      <w:r>
        <w:rPr>
          <w:rFonts w:hint="eastAsia" w:ascii="宋体" w:hAnsi="宋体" w:cs="宋体"/>
          <w:bCs/>
          <w:sz w:val="32"/>
          <w:szCs w:val="32"/>
        </w:rPr>
        <w:t>年</w:t>
      </w:r>
      <w:r>
        <w:rPr>
          <w:rFonts w:hint="eastAsia" w:ascii="宋体" w:hAnsi="宋体" w:cs="宋体"/>
          <w:bCs/>
          <w:sz w:val="32"/>
          <w:szCs w:val="32"/>
          <w:lang w:val="en-US" w:eastAsia="zh-CN"/>
        </w:rPr>
        <w:t>七</w:t>
      </w:r>
      <w:r>
        <w:rPr>
          <w:rFonts w:hint="eastAsia" w:ascii="宋体" w:hAnsi="宋体" w:cs="宋体"/>
          <w:bCs/>
          <w:sz w:val="32"/>
          <w:szCs w:val="32"/>
        </w:rPr>
        <w:t>月</w:t>
      </w:r>
      <w:r>
        <w:rPr>
          <w:rFonts w:hint="eastAsia" w:ascii="宋体" w:hAnsi="宋体" w:cs="宋体"/>
          <w:bCs/>
          <w:sz w:val="32"/>
          <w:szCs w:val="32"/>
          <w:lang w:val="en-US" w:eastAsia="zh-CN"/>
        </w:rPr>
        <w:t>十四</w:t>
      </w:r>
      <w:r>
        <w:rPr>
          <w:rFonts w:hint="eastAsia" w:ascii="宋体" w:hAnsi="宋体" w:cs="宋体"/>
          <w:bCs/>
          <w:sz w:val="32"/>
          <w:szCs w:val="32"/>
        </w:rPr>
        <w:t>日</w:t>
      </w:r>
    </w:p>
    <w:p>
      <w:pPr>
        <w:spacing w:line="360" w:lineRule="auto"/>
        <w:jc w:val="center"/>
        <w:rPr>
          <w:rFonts w:ascii="宋体" w:hAnsi="宋体" w:cs="宋体"/>
          <w:sz w:val="24"/>
        </w:rPr>
        <w:sectPr>
          <w:headerReference r:id="rId4" w:type="first"/>
          <w:headerReference r:id="rId3" w:type="default"/>
          <w:footerReference r:id="rId5" w:type="even"/>
          <w:pgSz w:w="11906" w:h="16838"/>
          <w:pgMar w:top="680" w:right="1418" w:bottom="468" w:left="1418" w:header="851" w:footer="992" w:gutter="0"/>
          <w:cols w:space="720" w:num="1"/>
          <w:titlePg/>
          <w:docGrid w:linePitch="312" w:charSpace="0"/>
        </w:sectPr>
      </w:pPr>
    </w:p>
    <w:p>
      <w:pPr>
        <w:pStyle w:val="2"/>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0" w:name="_Hlt91233176"/>
      <w:bookmarkEnd w:id="0"/>
      <w:bookmarkStart w:id="1"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bookmarkEnd w:id="1"/>
    <w:p>
      <w:pPr>
        <w:adjustRightInd/>
        <w:spacing w:line="360" w:lineRule="auto"/>
        <w:jc w:val="center"/>
        <w:outlineLvl w:val="0"/>
        <w:rPr>
          <w:rFonts w:hint="eastAsia" w:ascii="宋体" w:hAnsi="宋体" w:cs="宋体"/>
          <w:b/>
          <w:sz w:val="36"/>
          <w:szCs w:val="20"/>
        </w:rPr>
        <w:sectPr>
          <w:footerReference r:id="rId7" w:type="first"/>
          <w:footerReference r:id="rId6" w:type="default"/>
          <w:pgSz w:w="11906" w:h="16838"/>
          <w:pgMar w:top="680" w:right="1418" w:bottom="468" w:left="1418" w:header="851" w:footer="992" w:gutter="0"/>
          <w:pgNumType w:start="1"/>
          <w:cols w:space="720" w:num="1"/>
          <w:docGrid w:linePitch="312" w:charSpace="0"/>
        </w:sectPr>
      </w:pPr>
      <w:bookmarkStart w:id="2" w:name="_Hlt74649545"/>
      <w:bookmarkEnd w:id="2"/>
      <w:bookmarkStart w:id="3" w:name="_Hlt74728647"/>
      <w:bookmarkEnd w:id="3"/>
      <w:bookmarkStart w:id="4" w:name="_Hlt74707423"/>
      <w:bookmarkEnd w:id="4"/>
      <w:bookmarkStart w:id="5" w:name="_Hlt74729822"/>
      <w:bookmarkEnd w:id="5"/>
      <w:bookmarkStart w:id="6" w:name="第二部分"/>
      <w:bookmarkStart w:id="7" w:name="_Toc91899870"/>
      <w:bookmarkStart w:id="8" w:name="_Toc91899871"/>
    </w:p>
    <w:p>
      <w:pPr>
        <w:adjustRightInd/>
        <w:spacing w:line="360" w:lineRule="auto"/>
        <w:jc w:val="center"/>
        <w:outlineLvl w:val="0"/>
        <w:rPr>
          <w:rFonts w:ascii="宋体" w:hAnsi="宋体" w:cs="宋体"/>
          <w:b/>
          <w:sz w:val="36"/>
          <w:szCs w:val="20"/>
        </w:rPr>
      </w:pPr>
      <w:r>
        <w:rPr>
          <w:rFonts w:hint="eastAsia" w:ascii="宋体" w:hAnsi="宋体" w:cs="宋体"/>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u w:val="single"/>
        </w:rPr>
      </w:pPr>
      <w:r>
        <w:rPr>
          <w:rFonts w:hint="eastAsia" w:ascii="宋体" w:hAnsi="宋体" w:cs="宋体"/>
          <w:sz w:val="24"/>
          <w:u w:val="single"/>
        </w:rPr>
        <w:t>2022年桐庐县中小学计算机更新改造项目</w:t>
      </w:r>
      <w:r>
        <w:rPr>
          <w:rFonts w:hint="eastAsia" w:ascii="宋体" w:hAnsi="宋体" w:cs="宋体"/>
          <w:sz w:val="24"/>
        </w:rPr>
        <w:t>招标项目的潜在投标人应在政采云平台（</w:t>
      </w:r>
      <w:r>
        <w:fldChar w:fldCharType="begin"/>
      </w:r>
      <w:r>
        <w:instrText xml:space="preserve"> HYPERLINK "https://www.zcygov.cn/）获取（下载）招标文件，并于2021年" </w:instrText>
      </w:r>
      <w:r>
        <w:fldChar w:fldCharType="separate"/>
      </w:r>
      <w:r>
        <w:rPr>
          <w:rStyle w:val="77"/>
          <w:rFonts w:hint="eastAsia" w:ascii="宋体" w:hAnsi="宋体" w:eastAsia="宋体" w:cs="宋体"/>
          <w:snapToGrid/>
          <w:color w:val="auto"/>
          <w:kern w:val="2"/>
          <w:sz w:val="24"/>
          <w:szCs w:val="24"/>
        </w:rPr>
        <w:t>https://www.zcygov.cn/）获取（下载）招标文件，并于</w:t>
      </w:r>
      <w:r>
        <w:rPr>
          <w:rFonts w:hint="eastAsia" w:ascii="宋体" w:hAnsi="宋体" w:cs="宋体"/>
          <w:sz w:val="24"/>
          <w:u w:val="single"/>
        </w:rPr>
        <w:t>202</w:t>
      </w:r>
      <w:r>
        <w:rPr>
          <w:rFonts w:hint="eastAsia" w:ascii="宋体" w:hAnsi="宋体" w:cs="宋体"/>
          <w:sz w:val="24"/>
          <w:u w:val="single"/>
          <w:lang w:val="en-US" w:eastAsia="zh-CN"/>
        </w:rPr>
        <w:t>2</w:t>
      </w:r>
      <w:r>
        <w:rPr>
          <w:rFonts w:hint="eastAsia" w:ascii="宋体" w:hAnsi="宋体" w:cs="宋体"/>
          <w:sz w:val="24"/>
          <w:u w:val="single"/>
        </w:rPr>
        <w:t>年</w:t>
      </w:r>
      <w:r>
        <w:rPr>
          <w:rFonts w:hint="eastAsia" w:ascii="宋体" w:hAnsi="宋体" w:cs="宋体"/>
          <w:sz w:val="24"/>
          <w:u w:val="single"/>
          <w:lang w:val="en-US" w:eastAsia="zh-CN"/>
        </w:rPr>
        <w:t>8</w:t>
      </w:r>
      <w:r>
        <w:rPr>
          <w:rFonts w:hint="eastAsia" w:ascii="宋体" w:hAnsi="宋体" w:cs="宋体"/>
          <w:sz w:val="24"/>
          <w:u w:val="single"/>
        </w:rPr>
        <w:t>月</w:t>
      </w:r>
      <w:r>
        <w:rPr>
          <w:rFonts w:hint="eastAsia" w:ascii="宋体" w:hAnsi="宋体" w:cs="宋体"/>
          <w:sz w:val="24"/>
          <w:u w:val="single"/>
          <w:lang w:val="en-US" w:eastAsia="zh-CN"/>
        </w:rPr>
        <w:t>4</w:t>
      </w:r>
      <w:r>
        <w:rPr>
          <w:rFonts w:hint="eastAsia" w:ascii="宋体" w:hAnsi="宋体" w:cs="宋体"/>
          <w:sz w:val="24"/>
          <w:u w:val="single"/>
        </w:rPr>
        <w:t>日</w:t>
      </w:r>
      <w:r>
        <w:rPr>
          <w:rFonts w:hint="eastAsia" w:ascii="宋体" w:hAnsi="宋体" w:cs="宋体"/>
          <w:sz w:val="24"/>
          <w:u w:val="single"/>
          <w:lang w:val="en-US" w:eastAsia="zh-CN"/>
        </w:rPr>
        <w:t>10</w:t>
      </w:r>
      <w:r>
        <w:rPr>
          <w:rFonts w:hint="eastAsia" w:ascii="宋体" w:hAnsi="宋体" w:cs="宋体"/>
          <w:sz w:val="24"/>
          <w:u w:val="single"/>
        </w:rPr>
        <w:t>点</w:t>
      </w:r>
      <w:r>
        <w:rPr>
          <w:rFonts w:hint="eastAsia" w:ascii="宋体" w:hAnsi="宋体" w:cs="宋体"/>
          <w:sz w:val="24"/>
          <w:u w:val="single"/>
          <w:lang w:val="en-US" w:eastAsia="zh-CN"/>
        </w:rPr>
        <w:t>30</w:t>
      </w:r>
      <w:r>
        <w:rPr>
          <w:rFonts w:hint="eastAsia" w:ascii="宋体" w:hAnsi="宋体" w:cs="宋体"/>
          <w:sz w:val="24"/>
          <w:u w:val="single"/>
        </w:rPr>
        <w:t>分</w:t>
      </w:r>
      <w:r>
        <w:rPr>
          <w:rFonts w:hint="eastAsia" w:ascii="宋体" w:hAnsi="宋体" w:cs="宋体"/>
          <w:bCs/>
          <w:sz w:val="24"/>
          <w:u w:val="single"/>
        </w:rPr>
        <w:t>00秒</w:t>
      </w:r>
      <w:r>
        <w:rPr>
          <w:rFonts w:hint="eastAsia" w:ascii="宋体" w:hAnsi="宋体" w:cs="宋体"/>
          <w:bCs/>
          <w:sz w:val="24"/>
          <w:u w:val="single"/>
        </w:rPr>
        <w:fldChar w:fldCharType="end"/>
      </w:r>
      <w:r>
        <w:rPr>
          <w:rFonts w:hint="eastAsia" w:ascii="宋体" w:hAnsi="宋体" w:cs="宋体"/>
          <w:bCs/>
          <w:sz w:val="24"/>
        </w:rPr>
        <w:t>（北京时间）前</w:t>
      </w:r>
      <w:r>
        <w:rPr>
          <w:rFonts w:hint="eastAsia" w:ascii="宋体" w:hAnsi="宋体" w:cs="宋体"/>
          <w:sz w:val="24"/>
        </w:rPr>
        <w:t>递交（上传）投标文件。</w:t>
      </w:r>
    </w:p>
    <w:p>
      <w:pPr>
        <w:spacing w:line="360" w:lineRule="auto"/>
        <w:rPr>
          <w:rFonts w:ascii="宋体" w:hAnsi="宋体" w:cs="宋体"/>
          <w:b/>
          <w:sz w:val="24"/>
        </w:rPr>
      </w:pPr>
      <w:r>
        <w:rPr>
          <w:rFonts w:hint="eastAsia" w:ascii="宋体" w:hAnsi="宋体" w:cs="宋体"/>
          <w:b/>
          <w:sz w:val="24"/>
        </w:rPr>
        <w:t xml:space="preserve">一、项目基本情况                                            </w:t>
      </w:r>
    </w:p>
    <w:p>
      <w:pPr>
        <w:spacing w:line="360" w:lineRule="auto"/>
        <w:ind w:firstLine="480"/>
        <w:rPr>
          <w:rFonts w:hint="default" w:ascii="宋体" w:hAnsi="宋体" w:cs="宋体"/>
          <w:b/>
          <w:sz w:val="24"/>
          <w:lang w:val="en-US" w:eastAsia="zh-CN"/>
        </w:rPr>
      </w:pPr>
      <w:r>
        <w:rPr>
          <w:rFonts w:hint="eastAsia" w:ascii="宋体" w:hAnsi="宋体" w:cs="宋体"/>
          <w:b/>
          <w:sz w:val="24"/>
        </w:rPr>
        <w:t>项目编号：TLZFCG2022-GK-00</w:t>
      </w:r>
      <w:r>
        <w:rPr>
          <w:rFonts w:hint="eastAsia" w:ascii="宋体" w:hAnsi="宋体" w:cs="宋体"/>
          <w:b/>
          <w:sz w:val="24"/>
          <w:lang w:val="en-US" w:eastAsia="zh-CN"/>
        </w:rPr>
        <w:t>6-1</w:t>
      </w:r>
    </w:p>
    <w:p>
      <w:pPr>
        <w:spacing w:line="360" w:lineRule="auto"/>
        <w:ind w:firstLine="480"/>
        <w:rPr>
          <w:rFonts w:ascii="宋体" w:hAnsi="宋体" w:cs="宋体"/>
          <w:sz w:val="24"/>
        </w:rPr>
      </w:pPr>
      <w:r>
        <w:rPr>
          <w:rFonts w:hint="eastAsia" w:ascii="宋体" w:hAnsi="宋体" w:cs="宋体"/>
          <w:b/>
          <w:sz w:val="24"/>
        </w:rPr>
        <w:t>项目名称：2022年桐庐县中小学计算机更新改造项目</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预算金额（元）：</w:t>
      </w:r>
      <w:r>
        <w:rPr>
          <w:rFonts w:hint="eastAsia" w:ascii="宋体" w:hAnsi="宋体" w:cs="宋体"/>
          <w:b/>
          <w:sz w:val="24"/>
          <w:lang w:val="en-US" w:eastAsia="zh-CN"/>
        </w:rPr>
        <w:t>5200000</w:t>
      </w:r>
      <w:r>
        <w:rPr>
          <w:rFonts w:hint="eastAsia" w:ascii="宋体" w:hAnsi="宋体" w:cs="宋体"/>
          <w:sz w:val="24"/>
        </w:rPr>
        <w:t xml:space="preserve">    </w:t>
      </w:r>
    </w:p>
    <w:p>
      <w:pPr>
        <w:spacing w:line="360" w:lineRule="auto"/>
        <w:ind w:firstLine="480"/>
        <w:rPr>
          <w:rFonts w:ascii="宋体" w:hAnsi="宋体" w:cs="宋体"/>
          <w:sz w:val="24"/>
        </w:rPr>
      </w:pPr>
      <w:r>
        <w:rPr>
          <w:rFonts w:hint="eastAsia" w:ascii="宋体" w:hAnsi="宋体" w:cs="宋体"/>
          <w:b/>
          <w:sz w:val="24"/>
        </w:rPr>
        <w:t>最高限价（元）：</w:t>
      </w:r>
      <w:r>
        <w:rPr>
          <w:rFonts w:hint="eastAsia" w:ascii="宋体" w:hAnsi="宋体" w:cs="宋体"/>
          <w:sz w:val="24"/>
        </w:rPr>
        <w:t xml:space="preserve"> </w:t>
      </w:r>
      <w:r>
        <w:rPr>
          <w:rFonts w:hint="eastAsia" w:ascii="宋体" w:hAnsi="宋体" w:cs="宋体"/>
          <w:b/>
          <w:sz w:val="24"/>
          <w:lang w:val="en-US" w:eastAsia="zh-CN"/>
        </w:rPr>
        <w:t>5200000</w:t>
      </w:r>
      <w:r>
        <w:rPr>
          <w:rFonts w:hint="eastAsia" w:ascii="宋体" w:hAnsi="宋体" w:cs="宋体"/>
          <w:sz w:val="24"/>
        </w:rPr>
        <w:t xml:space="preserve">   </w:t>
      </w:r>
    </w:p>
    <w:p>
      <w:pPr>
        <w:pStyle w:val="6"/>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hAnsi="宋体" w:cs="宋体"/>
          <w:bCs/>
          <w:snapToGrid/>
          <w:color w:val="auto"/>
          <w:kern w:val="2"/>
          <w:sz w:val="24"/>
          <w:szCs w:val="24"/>
        </w:rPr>
        <w:t xml:space="preserve"> </w:t>
      </w:r>
      <w:r>
        <w:rPr>
          <w:rFonts w:hint="eastAsia" w:hAnsi="宋体" w:cs="宋体"/>
          <w:bCs/>
          <w:snapToGrid/>
          <w:color w:val="auto"/>
          <w:kern w:val="2"/>
          <w:sz w:val="24"/>
          <w:szCs w:val="24"/>
          <w:lang w:val="en-US" w:eastAsia="zh-CN"/>
        </w:rPr>
        <w:t>计算机设备</w:t>
      </w:r>
      <w:r>
        <w:rPr>
          <w:rFonts w:hint="eastAsia" w:hAnsi="宋体" w:cs="宋体"/>
          <w:bCs/>
          <w:snapToGrid/>
          <w:color w:val="auto"/>
          <w:kern w:val="2"/>
          <w:sz w:val="24"/>
          <w:szCs w:val="24"/>
        </w:rPr>
        <w:t>。详见招标文件第三部分采购需求。</w:t>
      </w:r>
    </w:p>
    <w:p>
      <w:pPr>
        <w:pStyle w:val="129"/>
        <w:ind w:firstLine="482"/>
        <w:outlineLvl w:val="2"/>
        <w:rPr>
          <w:rFonts w:ascii="宋体" w:hAnsi="宋体" w:cs="宋体"/>
        </w:rPr>
      </w:pPr>
      <w:r>
        <w:rPr>
          <w:rFonts w:hint="eastAsia" w:ascii="宋体" w:hAnsi="宋体" w:cs="宋体"/>
          <w:b/>
        </w:rPr>
        <w:t>合同履约期限：</w:t>
      </w:r>
    </w:p>
    <w:p>
      <w:pPr>
        <w:pStyle w:val="6"/>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ascii="Wingdings" w:hAnsi="Wingdings" w:eastAsia="宋体" w:cs="宋体"/>
              <w:snapToGrid w:val="0"/>
              <w:color w:val="auto"/>
              <w:kern w:val="0"/>
              <w:sz w:val="24"/>
              <w:szCs w:val="20"/>
              <w:lang w:val="en-US" w:eastAsia="zh-CN" w:bidi="ar-SA"/>
            </w:rPr>
            <w:t>þ</w:t>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ascii="MS Gothic" w:hAnsi="MS Gothic" w:eastAsia="宋体" w:cs="宋体"/>
              <w:snapToGrid w:val="0"/>
              <w:color w:val="auto"/>
              <w:kern w:val="0"/>
              <w:sz w:val="24"/>
              <w:szCs w:val="20"/>
              <w:lang w:val="en-US" w:eastAsia="zh-CN" w:bidi="ar-SA"/>
            </w:rPr>
            <w:t>☐</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sz w:val="24"/>
        </w:rPr>
      </w:pPr>
      <w:r>
        <w:rPr>
          <w:rFonts w:hint="eastAsia" w:ascii="宋体" w:hAnsi="宋体" w:cs="宋体"/>
          <w:b/>
          <w:sz w:val="24"/>
        </w:rPr>
        <w:t>二、</w:t>
      </w:r>
      <w:bookmarkStart w:id="9" w:name="_Hlk101132948"/>
      <w:r>
        <w:rPr>
          <w:rFonts w:hint="eastAsia" w:ascii="宋体" w:hAnsi="宋体" w:cs="宋体"/>
          <w:b/>
          <w:sz w:val="24"/>
        </w:rPr>
        <w:t>申请人的资格要求</w:t>
      </w:r>
      <w:bookmarkEnd w:id="9"/>
      <w:r>
        <w:rPr>
          <w:rFonts w:hint="eastAsia" w:ascii="宋体" w:hAnsi="宋体" w:cs="宋体"/>
          <w:b/>
          <w:sz w:val="24"/>
        </w:rPr>
        <w:t>：</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pPr>
        <w:spacing w:line="360" w:lineRule="auto"/>
        <w:ind w:firstLine="480" w:firstLineChars="200"/>
        <w:rPr>
          <w:rFonts w:ascii="宋体" w:hAnsi="宋体" w:cs="宋体"/>
          <w:sz w:val="24"/>
        </w:rPr>
      </w:pPr>
      <w:sdt>
        <w:sdtPr>
          <w:rPr>
            <w:rFonts w:hint="eastAsia" w:ascii="宋体" w:hAnsi="宋体" w:cs="宋体"/>
            <w:kern w:val="0"/>
            <w:sz w:val="24"/>
          </w:rPr>
          <w:id w:val="192861692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pPr>
        <w:spacing w:line="360" w:lineRule="auto"/>
        <w:ind w:firstLine="480" w:firstLineChars="200"/>
        <w:rPr>
          <w:rFonts w:ascii="宋体" w:hAnsi="宋体" w:cs="宋体"/>
          <w:sz w:val="24"/>
        </w:rPr>
      </w:pPr>
      <w:sdt>
        <w:sdtPr>
          <w:rPr>
            <w:rFonts w:hint="eastAsia" w:ascii="宋体" w:hAnsi="宋体" w:cs="宋体"/>
            <w:kern w:val="0"/>
            <w:sz w:val="24"/>
          </w:rPr>
          <w:id w:val="-102470430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kern w:val="0"/>
          <w:sz w:val="24"/>
        </w:rPr>
        <w:t>专</w:t>
      </w:r>
      <w:r>
        <w:rPr>
          <w:rFonts w:hint="eastAsia" w:ascii="宋体" w:hAnsi="宋体" w:cs="宋体"/>
          <w:sz w:val="24"/>
        </w:rPr>
        <w:t>门面向中小企业</w:t>
      </w:r>
    </w:p>
    <w:p>
      <w:pPr>
        <w:spacing w:line="360" w:lineRule="auto"/>
        <w:ind w:firstLine="897" w:firstLineChars="374"/>
        <w:rPr>
          <w:rFonts w:ascii="宋体" w:hAnsi="宋体" w:cs="宋体"/>
          <w:sz w:val="24"/>
          <w:u w:val="single"/>
        </w:rPr>
      </w:pPr>
      <w:sdt>
        <w:sdtPr>
          <w:rPr>
            <w:rFonts w:hint="eastAsia" w:ascii="宋体" w:hAnsi="宋体" w:cs="宋体"/>
            <w:kern w:val="0"/>
            <w:sz w:val="24"/>
          </w:rPr>
          <w:id w:val="-92473058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sz w:val="24"/>
        </w:rPr>
        <w:t>货物全部由符合政策要求的中小企业制造，提供中小企业声明函；</w:t>
      </w:r>
    </w:p>
    <w:p>
      <w:pPr>
        <w:spacing w:line="360" w:lineRule="auto"/>
        <w:ind w:firstLine="897" w:firstLineChars="374"/>
        <w:rPr>
          <w:rFonts w:ascii="宋体" w:hAnsi="宋体" w:cs="宋体"/>
          <w:sz w:val="24"/>
        </w:rPr>
      </w:pPr>
      <w:sdt>
        <w:sdtPr>
          <w:rPr>
            <w:rFonts w:hint="eastAsia" w:ascii="宋体" w:hAnsi="宋体" w:cs="宋体"/>
            <w:kern w:val="0"/>
            <w:sz w:val="24"/>
          </w:rPr>
          <w:id w:val="-115260493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货物全部由符合政策要求的小微企业制造，提供中小企业声明函；</w:t>
      </w:r>
    </w:p>
    <w:p>
      <w:pPr>
        <w:spacing w:line="360" w:lineRule="auto"/>
        <w:ind w:firstLine="480" w:firstLineChars="200"/>
        <w:rPr>
          <w:rFonts w:ascii="宋体" w:hAnsi="宋体" w:cs="宋体"/>
          <w:sz w:val="24"/>
        </w:rPr>
      </w:pPr>
      <w:sdt>
        <w:sdtPr>
          <w:rPr>
            <w:rFonts w:hint="eastAsia" w:ascii="宋体" w:hAnsi="宋体" w:cs="宋体"/>
            <w:kern w:val="0"/>
            <w:sz w:val="24"/>
          </w:rPr>
          <w:id w:val="-1985607795"/>
          <w14:checkbox>
            <w14:checked w14:val="0"/>
            <w14:checkedState w14:val="00FE" w14:font="Wingdings"/>
            <w14:uncheckedState w14:val="2610" w14:font="MS Gothic"/>
          </w14:checkbox>
        </w:sdtPr>
        <w:sdtEndPr>
          <w:rPr>
            <w:rFonts w:hint="eastAsia" w:ascii="宋体" w:hAnsi="宋体" w:cs="宋体"/>
            <w:kern w:val="0"/>
            <w:sz w:val="24"/>
          </w:rPr>
        </w:sdtEndPr>
        <w:sdtContent>
          <w:bookmarkStart w:id="10" w:name="_Hlk101132524"/>
          <w:r>
            <w:rPr>
              <w:rFonts w:hint="eastAsia" w:ascii="MS Gothic" w:hAnsi="MS Gothic" w:eastAsia="宋体" w:cs="宋体"/>
              <w:kern w:val="0"/>
              <w:sz w:val="24"/>
              <w:szCs w:val="24"/>
              <w:lang w:val="en-US" w:eastAsia="zh-CN" w:bidi="ar-SA"/>
            </w:rPr>
            <w:t>☐</w:t>
          </w:r>
        </w:sdtContent>
      </w:sdt>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lang w:val="en-US" w:eastAsia="zh-CN"/>
        </w:rPr>
        <w:t xml:space="preserve">  </w:t>
      </w:r>
      <w:r>
        <w:rPr>
          <w:rFonts w:hint="eastAsia" w:ascii="宋体" w:hAnsi="宋体" w:cs="宋体"/>
          <w:sz w:val="24"/>
        </w:rPr>
        <w:t>%，小微企业合同金额应当达到</w:t>
      </w:r>
      <w:r>
        <w:rPr>
          <w:rFonts w:hint="eastAsia" w:ascii="宋体" w:hAnsi="宋体" w:cs="宋体"/>
          <w:sz w:val="24"/>
          <w:u w:val="single"/>
          <w:lang w:val="en-US" w:eastAsia="zh-CN"/>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宋体" w:hAnsi="宋体" w:cs="宋体"/>
          <w:sz w:val="24"/>
        </w:rPr>
        <w:t>；</w:t>
      </w:r>
    </w:p>
    <w:bookmarkEnd w:id="10"/>
    <w:p>
      <w:pPr>
        <w:spacing w:line="360" w:lineRule="auto"/>
        <w:ind w:firstLine="480" w:firstLineChars="200"/>
        <w:rPr>
          <w:rFonts w:ascii="宋体" w:hAnsi="宋体" w:cs="宋体"/>
          <w:sz w:val="24"/>
        </w:rPr>
      </w:pPr>
      <w:sdt>
        <w:sdtPr>
          <w:rPr>
            <w:rFonts w:hint="eastAsia" w:ascii="宋体" w:hAnsi="宋体" w:cs="宋体"/>
            <w:kern w:val="0"/>
            <w:sz w:val="24"/>
          </w:rPr>
          <w:id w:val="3463064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如果供应商本身提供所有标的均由中小企业制造、承建或承接，视同符合了资格条件，无需再向中小企业分包，无需提供分包意向协议</w:t>
      </w:r>
      <w:r>
        <w:rPr>
          <w:rFonts w:hint="eastAsia" w:ascii="宋体" w:hAnsi="宋体" w:cs="宋体"/>
          <w:sz w:val="24"/>
        </w:rPr>
        <w:t>；</w:t>
      </w:r>
    </w:p>
    <w:p>
      <w:pPr>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.本项目的特定资格要求：无；</w:t>
      </w:r>
    </w:p>
    <w:p>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sz w:val="24"/>
        </w:rPr>
      </w:pPr>
      <w:r>
        <w:rPr>
          <w:rFonts w:hint="eastAsia" w:ascii="宋体" w:hAnsi="宋体" w:cs="宋体"/>
          <w:b/>
          <w:sz w:val="24"/>
        </w:rPr>
        <w:t xml:space="preserve">三、获取招标文件 </w:t>
      </w:r>
    </w:p>
    <w:p>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w:t>
      </w:r>
      <w:r>
        <w:rPr>
          <w:rFonts w:hint="eastAsia" w:ascii="宋体" w:hAnsi="宋体" w:cs="宋体"/>
          <w:sz w:val="24"/>
          <w:u w:val="single"/>
          <w:lang w:val="en-US" w:eastAsia="zh-CN"/>
        </w:rPr>
        <w:t>2</w:t>
      </w:r>
      <w:r>
        <w:rPr>
          <w:rFonts w:hint="eastAsia" w:ascii="宋体" w:hAnsi="宋体" w:cs="宋体"/>
          <w:sz w:val="24"/>
          <w:u w:val="single"/>
        </w:rPr>
        <w:t>年</w:t>
      </w:r>
      <w:r>
        <w:rPr>
          <w:rFonts w:hint="eastAsia" w:ascii="宋体" w:hAnsi="宋体" w:cs="宋体"/>
          <w:sz w:val="24"/>
          <w:u w:val="single"/>
          <w:lang w:val="en-US" w:eastAsia="zh-CN"/>
        </w:rPr>
        <w:t>8</w:t>
      </w:r>
      <w:r>
        <w:rPr>
          <w:rFonts w:hint="eastAsia" w:ascii="宋体" w:hAnsi="宋体" w:cs="宋体"/>
          <w:sz w:val="24"/>
          <w:u w:val="single"/>
        </w:rPr>
        <w:t>月</w:t>
      </w:r>
      <w:r>
        <w:rPr>
          <w:rFonts w:hint="eastAsia" w:ascii="宋体" w:hAnsi="宋体" w:cs="宋体"/>
          <w:sz w:val="24"/>
          <w:u w:val="single"/>
          <w:lang w:val="en-US" w:eastAsia="zh-CN"/>
        </w:rPr>
        <w:t>4</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spacing w:line="360" w:lineRule="auto"/>
        <w:rPr>
          <w:rFonts w:ascii="宋体" w:hAnsi="宋体" w:cs="宋体"/>
          <w:b/>
          <w:sz w:val="24"/>
        </w:rPr>
      </w:pPr>
      <w:r>
        <w:rPr>
          <w:rFonts w:hint="eastAsia" w:ascii="宋体" w:hAnsi="宋体" w:cs="宋体"/>
          <w:b/>
          <w:sz w:val="24"/>
        </w:rPr>
        <w:t>四、提交投标文件截止时间、开标时间和地点</w:t>
      </w:r>
    </w:p>
    <w:p>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 xml:space="preserve"> 202</w:t>
      </w:r>
      <w:r>
        <w:rPr>
          <w:rFonts w:hint="eastAsia" w:ascii="宋体" w:hAnsi="宋体" w:cs="宋体"/>
          <w:sz w:val="24"/>
          <w:u w:val="single"/>
          <w:lang w:val="en-US" w:eastAsia="zh-CN"/>
        </w:rPr>
        <w:t>2</w:t>
      </w:r>
      <w:r>
        <w:rPr>
          <w:rFonts w:hint="eastAsia" w:ascii="宋体" w:hAnsi="宋体" w:cs="宋体"/>
          <w:sz w:val="24"/>
          <w:u w:val="single"/>
        </w:rPr>
        <w:t>年</w:t>
      </w:r>
      <w:r>
        <w:rPr>
          <w:rFonts w:hint="eastAsia" w:ascii="宋体" w:hAnsi="宋体" w:cs="宋体"/>
          <w:sz w:val="24"/>
          <w:u w:val="single"/>
          <w:lang w:val="en-US" w:eastAsia="zh-CN"/>
        </w:rPr>
        <w:t>8</w:t>
      </w:r>
      <w:r>
        <w:rPr>
          <w:rFonts w:hint="eastAsia" w:ascii="宋体" w:hAnsi="宋体" w:cs="宋体"/>
          <w:sz w:val="24"/>
          <w:u w:val="single"/>
        </w:rPr>
        <w:t>月</w:t>
      </w:r>
      <w:r>
        <w:rPr>
          <w:rFonts w:hint="eastAsia" w:ascii="宋体" w:hAnsi="宋体" w:cs="宋体"/>
          <w:sz w:val="24"/>
          <w:u w:val="single"/>
          <w:lang w:val="en-US" w:eastAsia="zh-CN"/>
        </w:rPr>
        <w:t>4</w:t>
      </w:r>
      <w:r>
        <w:rPr>
          <w:rFonts w:hint="eastAsia" w:ascii="宋体" w:hAnsi="宋体" w:cs="宋体"/>
          <w:sz w:val="24"/>
          <w:u w:val="single"/>
        </w:rPr>
        <w:t>日</w:t>
      </w:r>
      <w:r>
        <w:rPr>
          <w:rFonts w:hint="eastAsia" w:ascii="宋体" w:hAnsi="宋体" w:cs="宋体"/>
          <w:sz w:val="24"/>
          <w:u w:val="single"/>
          <w:lang w:val="en-US" w:eastAsia="zh-CN"/>
        </w:rPr>
        <w:t>10</w:t>
      </w:r>
      <w:r>
        <w:rPr>
          <w:rFonts w:hint="eastAsia" w:ascii="宋体" w:hAnsi="宋体" w:cs="宋体"/>
          <w:sz w:val="24"/>
          <w:u w:val="single"/>
        </w:rPr>
        <w:t>点</w:t>
      </w:r>
      <w:r>
        <w:rPr>
          <w:rFonts w:hint="eastAsia" w:ascii="宋体" w:hAnsi="宋体" w:cs="宋体"/>
          <w:sz w:val="24"/>
          <w:u w:val="single"/>
          <w:lang w:val="en-US" w:eastAsia="zh-CN"/>
        </w:rPr>
        <w:t>30</w:t>
      </w:r>
      <w:r>
        <w:rPr>
          <w:rFonts w:hint="eastAsia" w:ascii="宋体" w:hAnsi="宋体" w:cs="宋体"/>
          <w:sz w:val="24"/>
          <w:u w:val="single"/>
        </w:rPr>
        <w:t>分</w:t>
      </w:r>
      <w:r>
        <w:rPr>
          <w:rFonts w:hint="eastAsia" w:ascii="宋体" w:hAnsi="宋体" w:cs="宋体"/>
          <w:bCs/>
          <w:sz w:val="24"/>
          <w:u w:val="single"/>
        </w:rPr>
        <w:t xml:space="preserve"> </w:t>
      </w:r>
      <w:r>
        <w:rPr>
          <w:rFonts w:hint="eastAsia" w:ascii="宋体" w:hAnsi="宋体" w:cs="宋体"/>
          <w:sz w:val="24"/>
        </w:rPr>
        <w:t>（北京时间）</w:t>
      </w:r>
    </w:p>
    <w:p>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w:t>
      </w:r>
      <w:r>
        <w:rPr>
          <w:rFonts w:hint="eastAsia" w:ascii="宋体" w:hAnsi="宋体" w:cs="宋体"/>
          <w:sz w:val="24"/>
          <w:u w:val="single"/>
          <w:lang w:val="en-US" w:eastAsia="zh-CN"/>
        </w:rPr>
        <w:t>2</w:t>
      </w:r>
      <w:r>
        <w:rPr>
          <w:rFonts w:hint="eastAsia" w:ascii="宋体" w:hAnsi="宋体" w:cs="宋体"/>
          <w:sz w:val="24"/>
          <w:u w:val="single"/>
        </w:rPr>
        <w:t>年</w:t>
      </w:r>
      <w:r>
        <w:rPr>
          <w:rFonts w:hint="eastAsia" w:ascii="宋体" w:hAnsi="宋体" w:cs="宋体"/>
          <w:sz w:val="24"/>
          <w:u w:val="single"/>
          <w:lang w:val="en-US" w:eastAsia="zh-CN"/>
        </w:rPr>
        <w:t>8</w:t>
      </w:r>
      <w:r>
        <w:rPr>
          <w:rFonts w:hint="eastAsia" w:ascii="宋体" w:hAnsi="宋体" w:cs="宋体"/>
          <w:sz w:val="24"/>
          <w:u w:val="single"/>
        </w:rPr>
        <w:t>月</w:t>
      </w:r>
      <w:r>
        <w:rPr>
          <w:rFonts w:hint="eastAsia" w:ascii="宋体" w:hAnsi="宋体" w:cs="宋体"/>
          <w:sz w:val="24"/>
          <w:u w:val="single"/>
          <w:lang w:val="en-US" w:eastAsia="zh-CN"/>
        </w:rPr>
        <w:t>4</w:t>
      </w:r>
      <w:r>
        <w:rPr>
          <w:rFonts w:hint="eastAsia" w:ascii="宋体" w:hAnsi="宋体" w:cs="宋体"/>
          <w:sz w:val="24"/>
          <w:u w:val="single"/>
        </w:rPr>
        <w:t>日</w:t>
      </w:r>
      <w:r>
        <w:rPr>
          <w:rFonts w:hint="eastAsia" w:ascii="宋体" w:hAnsi="宋体" w:cs="宋体"/>
          <w:sz w:val="24"/>
          <w:u w:val="single"/>
          <w:lang w:val="en-US" w:eastAsia="zh-CN"/>
        </w:rPr>
        <w:t>10</w:t>
      </w:r>
      <w:r>
        <w:rPr>
          <w:rFonts w:hint="eastAsia" w:ascii="宋体" w:hAnsi="宋体" w:cs="宋体"/>
          <w:sz w:val="24"/>
          <w:u w:val="single"/>
        </w:rPr>
        <w:t>点</w:t>
      </w:r>
      <w:r>
        <w:rPr>
          <w:rFonts w:hint="eastAsia" w:ascii="宋体" w:hAnsi="宋体" w:cs="宋体"/>
          <w:sz w:val="24"/>
          <w:u w:val="single"/>
          <w:lang w:val="en-US" w:eastAsia="zh-CN"/>
        </w:rPr>
        <w:t>30</w:t>
      </w:r>
      <w:r>
        <w:rPr>
          <w:rFonts w:hint="eastAsia" w:ascii="宋体" w:hAnsi="宋体" w:cs="宋体"/>
          <w:sz w:val="24"/>
          <w:u w:val="single"/>
        </w:rPr>
        <w:t>分</w:t>
      </w:r>
      <w:r>
        <w:rPr>
          <w:rFonts w:hint="eastAsia" w:ascii="宋体" w:hAnsi="宋体" w:cs="宋体"/>
          <w:bCs/>
          <w:sz w:val="24"/>
          <w:u w:val="single"/>
        </w:rPr>
        <w:t xml:space="preserve"> </w:t>
      </w:r>
    </w:p>
    <w:p>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pPr>
        <w:spacing w:line="360" w:lineRule="auto"/>
        <w:rPr>
          <w:rFonts w:ascii="宋体" w:hAnsi="宋体" w:cs="宋体"/>
          <w:sz w:val="24"/>
        </w:rPr>
      </w:pPr>
      <w:r>
        <w:rPr>
          <w:rFonts w:hint="eastAsia" w:ascii="宋体" w:hAnsi="宋体" w:cs="宋体"/>
          <w:b/>
          <w:sz w:val="24"/>
        </w:rPr>
        <w:t xml:space="preserve">五、公告期限 </w:t>
      </w:r>
    </w:p>
    <w:p>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rPr>
          <w:rFonts w:ascii="宋体" w:hAnsi="宋体" w:cs="宋体"/>
          <w:b/>
          <w:sz w:val="24"/>
        </w:rPr>
      </w:pPr>
      <w:r>
        <w:rPr>
          <w:rFonts w:hint="eastAsia" w:ascii="宋体" w:hAnsi="宋体" w:cs="宋体"/>
          <w:b/>
          <w:sz w:val="24"/>
        </w:rPr>
        <w:t>六、其他补充事宜</w:t>
      </w:r>
    </w:p>
    <w:p>
      <w:pPr>
        <w:spacing w:line="360" w:lineRule="auto"/>
        <w:ind w:firstLine="480" w:firstLineChars="200"/>
        <w:rPr>
          <w:rFonts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60" w:lineRule="auto"/>
        <w:rPr>
          <w:rFonts w:ascii="宋体" w:hAnsi="宋体" w:cs="宋体"/>
          <w:sz w:val="24"/>
        </w:rPr>
      </w:pPr>
      <w:r>
        <w:rPr>
          <w:rFonts w:hint="eastAsia" w:ascii="宋体" w:hAnsi="宋体" w:cs="宋体"/>
          <w:sz w:val="24"/>
        </w:rPr>
        <w:t xml:space="preserve">    1.采购人信息</w:t>
      </w:r>
    </w:p>
    <w:p>
      <w:pPr>
        <w:spacing w:line="360" w:lineRule="auto"/>
        <w:ind w:firstLine="480"/>
        <w:rPr>
          <w:rFonts w:hint="eastAsia" w:ascii="宋体" w:hAnsi="宋体" w:eastAsia="宋体" w:cs="宋体"/>
          <w:sz w:val="24"/>
          <w:highlight w:val="none"/>
        </w:rPr>
      </w:pPr>
      <w:r>
        <w:rPr>
          <w:rFonts w:hint="eastAsia" w:ascii="宋体" w:hAnsi="宋体" w:cs="宋体"/>
          <w:sz w:val="24"/>
        </w:rPr>
        <w:t xml:space="preserve"> </w:t>
      </w:r>
      <w:r>
        <w:rPr>
          <w:rFonts w:hint="eastAsia" w:ascii="宋体" w:hAnsi="宋体" w:eastAsia="宋体" w:cs="宋体"/>
          <w:sz w:val="24"/>
          <w:highlight w:val="none"/>
        </w:rPr>
        <w:t>名    称：</w:t>
      </w:r>
      <w:r>
        <w:rPr>
          <w:rFonts w:hint="eastAsia" w:ascii="宋体" w:hAnsi="宋体" w:eastAsia="宋体" w:cs="宋体"/>
          <w:sz w:val="24"/>
          <w:highlight w:val="none"/>
          <w:lang w:val="en-US" w:eastAsia="zh-CN"/>
        </w:rPr>
        <w:t xml:space="preserve"> 桐庐县教育后勤服务中心</w:t>
      </w:r>
      <w:r>
        <w:rPr>
          <w:rFonts w:hint="eastAsia" w:ascii="宋体" w:hAnsi="宋体" w:eastAsia="宋体" w:cs="宋体"/>
          <w:sz w:val="24"/>
          <w:highlight w:val="none"/>
        </w:rPr>
        <w:t xml:space="preserve"> </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 xml:space="preserve">地    址： </w:t>
      </w:r>
      <w:r>
        <w:rPr>
          <w:rFonts w:hint="eastAsia" w:ascii="宋体" w:hAnsi="宋体" w:eastAsia="宋体" w:cs="宋体"/>
          <w:sz w:val="24"/>
          <w:highlight w:val="none"/>
          <w:lang w:val="en-US" w:eastAsia="zh-CN"/>
        </w:rPr>
        <w:t xml:space="preserve"> 桐庐县迎宾路109</w:t>
      </w:r>
      <w:r>
        <w:rPr>
          <w:rFonts w:hint="eastAsia" w:ascii="宋体" w:hAnsi="宋体" w:eastAsia="宋体" w:cs="宋体"/>
          <w:sz w:val="24"/>
          <w:highlight w:val="none"/>
        </w:rPr>
        <w:t xml:space="preserve"> </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传    真： /</w:t>
      </w:r>
    </w:p>
    <w:p>
      <w:pPr>
        <w:spacing w:line="360" w:lineRule="auto"/>
        <w:ind w:firstLine="480" w:firstLineChars="0"/>
        <w:rPr>
          <w:rFonts w:hint="eastAsia" w:ascii="宋体" w:hAnsi="宋体" w:eastAsia="宋体" w:cs="宋体"/>
          <w:sz w:val="24"/>
          <w:highlight w:val="none"/>
          <w:lang w:eastAsia="zh-CN"/>
        </w:rPr>
      </w:pPr>
      <w:r>
        <w:rPr>
          <w:rFonts w:hint="eastAsia" w:ascii="宋体" w:hAnsi="宋体" w:eastAsia="宋体" w:cs="宋体"/>
          <w:sz w:val="24"/>
          <w:highlight w:val="none"/>
        </w:rPr>
        <w:t>项目联系人（询问）：</w:t>
      </w:r>
      <w:r>
        <w:rPr>
          <w:rFonts w:hint="eastAsia" w:ascii="宋体" w:hAnsi="宋体" w:eastAsia="宋体" w:cs="宋体"/>
          <w:sz w:val="24"/>
          <w:highlight w:val="none"/>
          <w:lang w:val="en-US" w:eastAsia="zh-CN"/>
        </w:rPr>
        <w:t xml:space="preserve">王群英 </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项目联系方式（询问）：0571-56981809</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质疑联系人：</w:t>
      </w:r>
      <w:r>
        <w:rPr>
          <w:rFonts w:hint="eastAsia" w:ascii="宋体" w:hAnsi="宋体" w:eastAsia="宋体" w:cs="宋体"/>
          <w:sz w:val="24"/>
          <w:highlight w:val="none"/>
          <w:lang w:val="en-US" w:eastAsia="zh-CN"/>
        </w:rPr>
        <w:t xml:space="preserve">王亦农 </w:t>
      </w:r>
      <w:r>
        <w:rPr>
          <w:rFonts w:hint="eastAsia" w:ascii="宋体" w:hAnsi="宋体" w:eastAsia="宋体" w:cs="宋体"/>
          <w:sz w:val="24"/>
          <w:highlight w:val="none"/>
        </w:rPr>
        <w:t xml:space="preserve"> </w:t>
      </w:r>
    </w:p>
    <w:p>
      <w:pPr>
        <w:spacing w:line="360" w:lineRule="auto"/>
        <w:ind w:firstLine="480" w:firstLineChars="200"/>
        <w:rPr>
          <w:rFonts w:ascii="宋体" w:hAnsi="宋体" w:cs="宋体"/>
          <w:sz w:val="24"/>
        </w:rPr>
      </w:pPr>
      <w:r>
        <w:rPr>
          <w:rFonts w:hint="eastAsia" w:ascii="宋体" w:hAnsi="宋体" w:eastAsia="宋体" w:cs="宋体"/>
          <w:sz w:val="24"/>
          <w:highlight w:val="none"/>
        </w:rPr>
        <w:t>质疑联系方式：0571-58597079</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    2.采购代理机构信息            </w:t>
      </w:r>
    </w:p>
    <w:p>
      <w:pPr>
        <w:spacing w:line="360" w:lineRule="auto"/>
        <w:ind w:firstLine="480"/>
        <w:rPr>
          <w:rFonts w:hint="eastAsia" w:ascii="宋体" w:hAnsi="宋体" w:eastAsia="宋体" w:cs="宋体"/>
          <w:sz w:val="24"/>
        </w:rPr>
      </w:pPr>
      <w:r>
        <w:rPr>
          <w:rFonts w:hint="eastAsia" w:ascii="宋体" w:hAnsi="宋体" w:eastAsia="宋体" w:cs="宋体"/>
          <w:sz w:val="24"/>
        </w:rPr>
        <w:t>名    称：杭州市公共资源交易中心桐庐分中心</w:t>
      </w:r>
    </w:p>
    <w:p>
      <w:pPr>
        <w:spacing w:line="360" w:lineRule="auto"/>
        <w:ind w:firstLine="480"/>
        <w:rPr>
          <w:rFonts w:hint="eastAsia" w:ascii="宋体" w:hAnsi="宋体" w:eastAsia="宋体" w:cs="宋体"/>
          <w:sz w:val="24"/>
        </w:rPr>
      </w:pPr>
      <w:r>
        <w:rPr>
          <w:rFonts w:hint="eastAsia" w:ascii="宋体" w:hAnsi="宋体" w:eastAsia="宋体" w:cs="宋体"/>
          <w:sz w:val="24"/>
        </w:rPr>
        <w:t xml:space="preserve">地    址：杭州市桐庐县迎春南路258号国资大厦5楼 </w:t>
      </w:r>
    </w:p>
    <w:p>
      <w:pPr>
        <w:spacing w:line="360" w:lineRule="auto"/>
        <w:ind w:firstLine="480"/>
        <w:rPr>
          <w:rFonts w:hint="eastAsia" w:ascii="宋体" w:hAnsi="宋体" w:eastAsia="宋体" w:cs="宋体"/>
          <w:sz w:val="24"/>
        </w:rPr>
      </w:pPr>
      <w:r>
        <w:rPr>
          <w:rFonts w:hint="eastAsia" w:ascii="宋体" w:hAnsi="宋体" w:eastAsia="宋体" w:cs="宋体"/>
          <w:sz w:val="24"/>
        </w:rPr>
        <w:t xml:space="preserve">传    真：/          </w:t>
      </w:r>
    </w:p>
    <w:p>
      <w:pPr>
        <w:spacing w:line="360" w:lineRule="auto"/>
        <w:ind w:firstLine="480"/>
        <w:rPr>
          <w:rFonts w:hint="eastAsia" w:ascii="宋体" w:hAnsi="宋体" w:eastAsia="宋体" w:cs="宋体"/>
          <w:sz w:val="24"/>
        </w:rPr>
      </w:pPr>
      <w:r>
        <w:rPr>
          <w:rFonts w:hint="eastAsia" w:ascii="宋体" w:hAnsi="宋体" w:eastAsia="宋体" w:cs="宋体"/>
          <w:sz w:val="24"/>
        </w:rPr>
        <w:t xml:space="preserve">项目联系人（询问）：王赛栎  </w:t>
      </w:r>
    </w:p>
    <w:p>
      <w:pPr>
        <w:spacing w:line="360" w:lineRule="auto"/>
        <w:ind w:firstLine="480"/>
        <w:rPr>
          <w:rFonts w:hint="eastAsia" w:ascii="宋体" w:hAnsi="宋体" w:eastAsia="宋体" w:cs="宋体"/>
          <w:sz w:val="24"/>
        </w:rPr>
      </w:pPr>
      <w:r>
        <w:rPr>
          <w:rFonts w:hint="eastAsia" w:ascii="宋体" w:hAnsi="宋体" w:eastAsia="宋体" w:cs="宋体"/>
          <w:sz w:val="24"/>
        </w:rPr>
        <w:t xml:space="preserve">项目联系方式（询问）：0571-64217659 </w:t>
      </w:r>
    </w:p>
    <w:p>
      <w:pPr>
        <w:spacing w:line="360" w:lineRule="auto"/>
        <w:ind w:firstLine="480"/>
        <w:rPr>
          <w:rFonts w:hint="eastAsia" w:ascii="宋体" w:hAnsi="宋体" w:eastAsia="宋体" w:cs="宋体"/>
          <w:sz w:val="24"/>
        </w:rPr>
      </w:pPr>
      <w:r>
        <w:rPr>
          <w:rFonts w:hint="eastAsia" w:ascii="宋体" w:hAnsi="宋体" w:eastAsia="宋体" w:cs="宋体"/>
          <w:sz w:val="24"/>
        </w:rPr>
        <w:t xml:space="preserve">质疑联系人：陈璠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质疑联系方式：0571-64217670</w:t>
      </w:r>
    </w:p>
    <w:p>
      <w:pPr>
        <w:spacing w:line="360" w:lineRule="auto"/>
        <w:rPr>
          <w:rFonts w:ascii="宋体" w:hAnsi="宋体" w:cs="宋体"/>
          <w:sz w:val="24"/>
        </w:rPr>
      </w:pPr>
      <w:r>
        <w:rPr>
          <w:rFonts w:hint="eastAsia" w:ascii="宋体" w:hAnsi="宋体" w:cs="宋体"/>
          <w:sz w:val="24"/>
        </w:rPr>
        <w:t xml:space="preserve">    3.同级政府采购监督管理部门            </w:t>
      </w:r>
    </w:p>
    <w:p>
      <w:pPr>
        <w:spacing w:line="360" w:lineRule="auto"/>
        <w:ind w:firstLine="480"/>
        <w:rPr>
          <w:rFonts w:hint="eastAsia" w:ascii="宋体" w:hAnsi="宋体" w:eastAsia="宋体" w:cs="宋体"/>
          <w:sz w:val="24"/>
        </w:rPr>
      </w:pPr>
      <w:r>
        <w:rPr>
          <w:rFonts w:hint="eastAsia" w:ascii="宋体" w:hAnsi="宋体" w:eastAsia="宋体" w:cs="宋体"/>
          <w:sz w:val="24"/>
        </w:rPr>
        <w:t>名    称： 桐庐县财政局</w:t>
      </w:r>
    </w:p>
    <w:p>
      <w:pPr>
        <w:spacing w:line="360" w:lineRule="auto"/>
        <w:ind w:firstLine="480"/>
        <w:rPr>
          <w:rFonts w:hint="eastAsia" w:ascii="宋体" w:hAnsi="宋体" w:eastAsia="宋体" w:cs="宋体"/>
          <w:sz w:val="24"/>
        </w:rPr>
      </w:pPr>
      <w:r>
        <w:rPr>
          <w:rFonts w:hint="eastAsia" w:ascii="宋体" w:hAnsi="宋体" w:eastAsia="宋体" w:cs="宋体"/>
          <w:sz w:val="24"/>
        </w:rPr>
        <w:t>地    址： 桐庐县春江路688号</w:t>
      </w:r>
    </w:p>
    <w:p>
      <w:pPr>
        <w:spacing w:line="360" w:lineRule="auto"/>
        <w:ind w:firstLine="480" w:firstLineChars="0"/>
        <w:rPr>
          <w:rFonts w:hint="eastAsia" w:ascii="宋体" w:hAnsi="宋体" w:eastAsia="宋体" w:cs="宋体"/>
          <w:sz w:val="24"/>
        </w:rPr>
      </w:pPr>
      <w:r>
        <w:rPr>
          <w:rFonts w:hint="eastAsia" w:ascii="宋体" w:hAnsi="宋体" w:eastAsia="宋体" w:cs="宋体"/>
          <w:sz w:val="24"/>
        </w:rPr>
        <w:t>传    真： /</w:t>
      </w:r>
    </w:p>
    <w:p>
      <w:pPr>
        <w:spacing w:line="360" w:lineRule="auto"/>
        <w:ind w:firstLine="480"/>
        <w:rPr>
          <w:rFonts w:hint="eastAsia" w:ascii="宋体" w:hAnsi="宋体" w:eastAsia="宋体" w:cs="宋体"/>
          <w:sz w:val="24"/>
        </w:rPr>
      </w:pPr>
      <w:r>
        <w:rPr>
          <w:rFonts w:hint="eastAsia" w:ascii="宋体" w:hAnsi="宋体" w:eastAsia="宋体" w:cs="宋体"/>
          <w:sz w:val="24"/>
        </w:rPr>
        <w:t xml:space="preserve">联系人 ：方翔 </w:t>
      </w:r>
    </w:p>
    <w:p>
      <w:pPr>
        <w:spacing w:line="360" w:lineRule="auto"/>
        <w:ind w:firstLine="480" w:firstLineChars="200"/>
        <w:rPr>
          <w:rFonts w:ascii="宋体" w:hAnsi="宋体" w:cs="宋体"/>
          <w:sz w:val="24"/>
        </w:rPr>
      </w:pPr>
      <w:r>
        <w:rPr>
          <w:rFonts w:hint="eastAsia" w:ascii="宋体" w:hAnsi="宋体" w:eastAsia="宋体" w:cs="宋体"/>
          <w:sz w:val="24"/>
        </w:rPr>
        <w:t xml:space="preserve">监督投诉电话：0571-58507058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pStyle w:val="35"/>
        <w:spacing w:line="360" w:lineRule="auto"/>
        <w:rPr>
          <w:rFonts w:hAnsi="宋体" w:cs="宋体"/>
          <w:sz w:val="24"/>
        </w:rPr>
      </w:pPr>
      <w:r>
        <w:rPr>
          <w:rFonts w:hint="eastAsia" w:hAnsi="宋体" w:cs="宋体"/>
          <w:sz w:val="24"/>
        </w:rPr>
        <w:t xml:space="preserve">                       </w:t>
      </w:r>
    </w:p>
    <w:p>
      <w:pPr>
        <w:pStyle w:val="35"/>
        <w:spacing w:line="360" w:lineRule="auto"/>
        <w:ind w:firstLine="1680" w:firstLineChars="700"/>
        <w:rPr>
          <w:rFonts w:hint="eastAsia" w:hAnsi="宋体" w:cs="宋体"/>
          <w:sz w:val="24"/>
        </w:rPr>
      </w:pPr>
    </w:p>
    <w:p>
      <w:pPr>
        <w:pStyle w:val="35"/>
        <w:spacing w:line="360" w:lineRule="auto"/>
        <w:ind w:firstLine="1680" w:firstLineChars="700"/>
        <w:rPr>
          <w:rFonts w:hAnsi="宋体" w:cs="宋体"/>
          <w:b/>
          <w:sz w:val="36"/>
          <w:szCs w:val="20"/>
        </w:rPr>
      </w:pPr>
      <w:r>
        <w:rPr>
          <w:rFonts w:hint="eastAsia" w:hAnsi="宋体" w:cs="宋体"/>
          <w:sz w:val="24"/>
        </w:rPr>
        <w:t xml:space="preserve"> </w:t>
      </w:r>
      <w:r>
        <w:rPr>
          <w:rFonts w:hAnsi="宋体" w:cs="宋体"/>
          <w:b/>
          <w:sz w:val="36"/>
          <w:szCs w:val="20"/>
        </w:rPr>
        <w:t xml:space="preserve"> </w:t>
      </w:r>
      <w:r>
        <w:rPr>
          <w:rFonts w:hint="eastAsia" w:hAnsi="宋体" w:cs="宋体"/>
          <w:b/>
          <w:sz w:val="36"/>
          <w:szCs w:val="20"/>
        </w:rPr>
        <w:t>第二部分</w:t>
      </w:r>
      <w:bookmarkEnd w:id="6"/>
      <w:r>
        <w:rPr>
          <w:rFonts w:hint="eastAsia" w:hAnsi="宋体" w:cs="宋体"/>
          <w:b/>
          <w:sz w:val="36"/>
          <w:szCs w:val="20"/>
        </w:rPr>
        <w:t xml:space="preserve"> 投标人须知</w:t>
      </w:r>
      <w:bookmarkEnd w:id="7"/>
    </w:p>
    <w:p>
      <w:pPr>
        <w:snapToGrid w:val="0"/>
        <w:spacing w:line="360" w:lineRule="auto"/>
        <w:jc w:val="center"/>
        <w:rPr>
          <w:rFonts w:ascii="宋体" w:hAnsi="宋体" w:cs="宋体"/>
          <w:b/>
          <w:sz w:val="32"/>
          <w:szCs w:val="20"/>
        </w:rPr>
      </w:pPr>
      <w:r>
        <w:rPr>
          <w:rFonts w:hint="eastAsia" w:ascii="宋体" w:hAnsi="宋体" w:cs="宋体"/>
          <w:b/>
          <w:sz w:val="32"/>
          <w:szCs w:val="20"/>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sz w:val="24"/>
                <w:u w:val="single"/>
              </w:rPr>
              <w:t xml:space="preserve">  教师机（全套）、教师机（主机）、学生计算机1（I5全套）、学生微型计算机2（i3全套）、笔记本   </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w:t>
            </w:r>
            <w:r>
              <w:rPr>
                <w:rFonts w:hint="eastAsia" w:ascii="宋体" w:hAnsi="宋体" w:cs="宋体"/>
                <w:sz w:val="24"/>
                <w:u w:val="single"/>
              </w:rPr>
              <w:t>教师机（全套）</w:t>
            </w:r>
            <w:r>
              <w:rPr>
                <w:rFonts w:hint="eastAsia" w:ascii="宋体" w:hAnsi="宋体" w:cs="宋体"/>
                <w:kern w:val="0"/>
                <w:sz w:val="24"/>
              </w:rPr>
              <w:t>，属于</w:t>
            </w:r>
            <w:r>
              <w:rPr>
                <w:rFonts w:hint="eastAsia" w:ascii="宋体" w:hAnsi="宋体" w:cs="宋体"/>
                <w:kern w:val="0"/>
                <w:sz w:val="24"/>
                <w:u w:val="single"/>
              </w:rPr>
              <w:t xml:space="preserve"> </w:t>
            </w:r>
            <w:r>
              <w:rPr>
                <w:rFonts w:hint="eastAsia" w:ascii="宋体" w:hAnsi="宋体" w:cs="宋体"/>
                <w:kern w:val="0"/>
                <w:sz w:val="24"/>
                <w:u w:val="single"/>
                <w:lang w:val="en-US" w:eastAsia="zh-CN"/>
              </w:rPr>
              <w:t>工业</w:t>
            </w:r>
            <w:r>
              <w:rPr>
                <w:rFonts w:hint="eastAsia" w:ascii="宋体" w:hAnsi="宋体" w:cs="宋体"/>
                <w:kern w:val="0"/>
                <w:sz w:val="24"/>
              </w:rPr>
              <w:t>行业；</w:t>
            </w:r>
          </w:p>
          <w:p>
            <w:pPr>
              <w:numPr>
                <w:ilvl w:val="0"/>
                <w:numId w:val="1"/>
              </w:numPr>
              <w:snapToGrid w:val="0"/>
              <w:spacing w:line="360" w:lineRule="auto"/>
              <w:rPr>
                <w:rFonts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w:t>
            </w:r>
            <w:r>
              <w:rPr>
                <w:rFonts w:hint="eastAsia" w:ascii="宋体" w:hAnsi="宋体" w:cs="宋体"/>
                <w:sz w:val="24"/>
                <w:u w:val="single"/>
              </w:rPr>
              <w:t>教师机（主机）</w:t>
            </w:r>
            <w:r>
              <w:rPr>
                <w:rFonts w:hint="eastAsia" w:ascii="宋体" w:hAnsi="宋体" w:cs="宋体"/>
                <w:kern w:val="0"/>
                <w:sz w:val="24"/>
              </w:rPr>
              <w:t>，属于</w:t>
            </w:r>
            <w:r>
              <w:rPr>
                <w:rFonts w:hint="eastAsia" w:ascii="宋体" w:hAnsi="宋体" w:cs="宋体"/>
                <w:kern w:val="0"/>
                <w:sz w:val="24"/>
                <w:u w:val="single"/>
                <w:lang w:val="en-US" w:eastAsia="zh-CN"/>
              </w:rPr>
              <w:t>工业</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学生计算机1（I5全套）</w:t>
            </w:r>
            <w:r>
              <w:rPr>
                <w:rFonts w:hint="eastAsia" w:ascii="宋体" w:hAnsi="宋体" w:cs="宋体"/>
                <w:kern w:val="0"/>
                <w:sz w:val="24"/>
              </w:rPr>
              <w:t>，属于</w:t>
            </w:r>
            <w:r>
              <w:rPr>
                <w:rFonts w:hint="eastAsia" w:ascii="宋体" w:hAnsi="宋体" w:cs="宋体"/>
                <w:kern w:val="0"/>
                <w:sz w:val="24"/>
                <w:u w:val="single"/>
                <w:lang w:val="en-US" w:eastAsia="zh-CN"/>
              </w:rPr>
              <w:t>工业</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学生微型计算机2（i3全套）</w:t>
            </w:r>
            <w:r>
              <w:rPr>
                <w:rFonts w:hint="eastAsia" w:ascii="宋体" w:hAnsi="宋体" w:cs="宋体"/>
                <w:kern w:val="0"/>
                <w:sz w:val="24"/>
              </w:rPr>
              <w:t>，属于</w:t>
            </w:r>
            <w:r>
              <w:rPr>
                <w:rFonts w:hint="eastAsia" w:ascii="宋体" w:hAnsi="宋体" w:cs="宋体"/>
                <w:kern w:val="0"/>
                <w:sz w:val="24"/>
                <w:u w:val="single"/>
                <w:lang w:val="en-US" w:eastAsia="zh-CN"/>
              </w:rPr>
              <w:t>工业</w:t>
            </w:r>
            <w:r>
              <w:rPr>
                <w:rFonts w:hint="eastAsia" w:ascii="宋体" w:hAnsi="宋体" w:cs="宋体"/>
                <w:kern w:val="0"/>
                <w:sz w:val="24"/>
                <w:u w:val="single"/>
              </w:rPr>
              <w:t xml:space="preserve"> </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学生微型计算机3（i3主机）</w:t>
            </w:r>
            <w:r>
              <w:rPr>
                <w:rFonts w:hint="eastAsia" w:ascii="宋体" w:hAnsi="宋体" w:cs="宋体"/>
                <w:kern w:val="0"/>
                <w:sz w:val="24"/>
              </w:rPr>
              <w:t>，属于</w:t>
            </w:r>
            <w:r>
              <w:rPr>
                <w:rFonts w:hint="eastAsia" w:ascii="宋体" w:hAnsi="宋体" w:cs="宋体"/>
                <w:kern w:val="0"/>
                <w:sz w:val="24"/>
                <w:u w:val="single"/>
                <w:lang w:val="en-US" w:eastAsia="zh-CN"/>
              </w:rPr>
              <w:t>工业</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笔记本</w:t>
            </w:r>
            <w:r>
              <w:rPr>
                <w:rFonts w:hint="eastAsia" w:ascii="宋体" w:hAnsi="宋体" w:cs="宋体"/>
                <w:kern w:val="0"/>
                <w:sz w:val="24"/>
                <w:u w:val="single"/>
                <w:lang w:val="en-US" w:eastAsia="zh-CN"/>
              </w:rPr>
              <w:t>电脑</w:t>
            </w:r>
            <w:r>
              <w:rPr>
                <w:rFonts w:hint="eastAsia" w:ascii="宋体" w:hAnsi="宋体" w:cs="宋体"/>
                <w:kern w:val="0"/>
                <w:sz w:val="24"/>
              </w:rPr>
              <w:t>，属于</w:t>
            </w:r>
            <w:r>
              <w:rPr>
                <w:rFonts w:hint="eastAsia" w:ascii="宋体" w:hAnsi="宋体" w:cs="宋体"/>
                <w:kern w:val="0"/>
                <w:sz w:val="24"/>
                <w:u w:val="single"/>
                <w:lang w:val="en-US" w:eastAsia="zh-CN"/>
              </w:rPr>
              <w:t>工业</w:t>
            </w:r>
            <w:r>
              <w:rPr>
                <w:rFonts w:hint="eastAsia" w:ascii="宋体" w:hAnsi="宋体" w:cs="宋体"/>
                <w:kern w:val="0"/>
                <w:sz w:val="24"/>
                <w:u w:val="single"/>
              </w:rPr>
              <w:t xml:space="preserve"> </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24口交换机</w:t>
            </w:r>
            <w:r>
              <w:rPr>
                <w:rFonts w:hint="eastAsia" w:ascii="宋体" w:hAnsi="宋体" w:cs="宋体"/>
                <w:kern w:val="0"/>
                <w:sz w:val="24"/>
              </w:rPr>
              <w:t>，属于</w:t>
            </w:r>
            <w:r>
              <w:rPr>
                <w:rFonts w:hint="eastAsia" w:ascii="宋体" w:hAnsi="宋体" w:cs="宋体"/>
                <w:kern w:val="0"/>
                <w:sz w:val="24"/>
                <w:u w:val="single"/>
              </w:rPr>
              <w:t xml:space="preserve"> </w:t>
            </w:r>
            <w:r>
              <w:rPr>
                <w:rFonts w:hint="eastAsia" w:ascii="宋体" w:hAnsi="宋体" w:cs="宋体"/>
                <w:kern w:val="0"/>
                <w:sz w:val="24"/>
                <w:u w:val="single"/>
                <w:lang w:val="en-US" w:eastAsia="zh-CN"/>
              </w:rPr>
              <w:t>工业</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教师讲台桌</w:t>
            </w:r>
            <w:r>
              <w:rPr>
                <w:rFonts w:hint="eastAsia" w:ascii="宋体" w:hAnsi="宋体" w:cs="宋体"/>
                <w:kern w:val="0"/>
                <w:sz w:val="24"/>
              </w:rPr>
              <w:t>，属于</w:t>
            </w:r>
            <w:r>
              <w:rPr>
                <w:rFonts w:hint="eastAsia" w:ascii="宋体" w:hAnsi="宋体" w:cs="宋体"/>
                <w:kern w:val="0"/>
                <w:sz w:val="24"/>
                <w:u w:val="single"/>
                <w:lang w:val="en-US" w:eastAsia="zh-CN"/>
              </w:rPr>
              <w:t>工业</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两人电脑桌</w:t>
            </w:r>
            <w:r>
              <w:rPr>
                <w:rFonts w:hint="eastAsia" w:ascii="宋体" w:hAnsi="宋体" w:cs="宋体"/>
                <w:kern w:val="0"/>
                <w:sz w:val="24"/>
              </w:rPr>
              <w:t>，属于</w:t>
            </w:r>
            <w:r>
              <w:rPr>
                <w:rFonts w:hint="eastAsia" w:ascii="宋体" w:hAnsi="宋体" w:cs="宋体"/>
                <w:kern w:val="0"/>
                <w:sz w:val="24"/>
                <w:u w:val="single"/>
              </w:rPr>
              <w:t xml:space="preserve"> </w:t>
            </w:r>
            <w:r>
              <w:rPr>
                <w:rFonts w:hint="eastAsia" w:ascii="宋体" w:hAnsi="宋体" w:cs="宋体"/>
                <w:kern w:val="0"/>
                <w:sz w:val="24"/>
                <w:u w:val="single"/>
                <w:lang w:val="en-US" w:eastAsia="zh-CN"/>
              </w:rPr>
              <w:t>工业</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 xml:space="preserve"> 电脑凳</w:t>
            </w:r>
            <w:r>
              <w:rPr>
                <w:rFonts w:hint="eastAsia" w:ascii="宋体" w:hAnsi="宋体" w:cs="宋体"/>
                <w:kern w:val="0"/>
                <w:sz w:val="24"/>
              </w:rPr>
              <w:t>，属于</w:t>
            </w:r>
            <w:r>
              <w:rPr>
                <w:rFonts w:hint="eastAsia" w:ascii="宋体" w:hAnsi="宋体" w:cs="宋体"/>
                <w:kern w:val="0"/>
                <w:sz w:val="24"/>
                <w:u w:val="single"/>
                <w:lang w:val="en-US" w:eastAsia="zh-CN"/>
              </w:rPr>
              <w:t>工业</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电脑教室教学控制软件</w:t>
            </w:r>
            <w:r>
              <w:rPr>
                <w:rFonts w:hint="eastAsia" w:ascii="宋体" w:hAnsi="宋体" w:cs="宋体"/>
                <w:kern w:val="0"/>
                <w:sz w:val="24"/>
              </w:rPr>
              <w:t>，属于</w:t>
            </w:r>
            <w:r>
              <w:rPr>
                <w:rFonts w:hint="eastAsia" w:ascii="宋体" w:hAnsi="宋体" w:cs="宋体"/>
                <w:kern w:val="0"/>
                <w:sz w:val="24"/>
                <w:u w:val="single"/>
                <w:lang w:val="en-US" w:eastAsia="zh-CN"/>
              </w:rPr>
              <w:t>软件和信息技术服务</w:t>
            </w:r>
            <w:r>
              <w:rPr>
                <w:rFonts w:hint="eastAsia" w:ascii="宋体" w:hAnsi="宋体" w:cs="宋体"/>
                <w:kern w:val="0"/>
                <w:sz w:val="24"/>
              </w:rPr>
              <w:t>行业；</w:t>
            </w:r>
          </w:p>
          <w:p>
            <w:pPr>
              <w:numPr>
                <w:ilvl w:val="0"/>
                <w:numId w:val="1"/>
              </w:numPr>
              <w:snapToGrid w:val="0"/>
              <w:spacing w:line="360" w:lineRule="auto"/>
              <w:rPr>
                <w:rFonts w:hint="eastAsia"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附件及系统集成（信息点）</w:t>
            </w:r>
            <w:r>
              <w:rPr>
                <w:rFonts w:hint="eastAsia" w:ascii="宋体" w:hAnsi="宋体" w:cs="宋体"/>
                <w:kern w:val="0"/>
                <w:sz w:val="24"/>
              </w:rPr>
              <w:t>，属于</w:t>
            </w:r>
            <w:r>
              <w:rPr>
                <w:rFonts w:hint="eastAsia" w:ascii="宋体" w:hAnsi="宋体" w:cs="宋体"/>
                <w:kern w:val="0"/>
                <w:sz w:val="24"/>
                <w:u w:val="single"/>
              </w:rPr>
              <w:t xml:space="preserve"> </w:t>
            </w:r>
            <w:r>
              <w:rPr>
                <w:rFonts w:hint="eastAsia" w:ascii="宋体" w:hAnsi="宋体" w:cs="宋体"/>
                <w:kern w:val="0"/>
                <w:sz w:val="24"/>
                <w:u w:val="single"/>
                <w:lang w:val="en-US" w:eastAsia="zh-CN"/>
              </w:rPr>
              <w:t>软件和信息技术服务</w:t>
            </w:r>
            <w:r>
              <w:rPr>
                <w:rFonts w:hint="eastAsia" w:ascii="宋体" w:hAnsi="宋体" w:cs="宋体"/>
                <w:kern w:val="0"/>
                <w:sz w:val="24"/>
              </w:rPr>
              <w:t>行业；</w:t>
            </w:r>
          </w:p>
          <w:p>
            <w:pPr>
              <w:numPr>
                <w:ilvl w:val="0"/>
                <w:numId w:val="1"/>
              </w:numPr>
              <w:snapToGrid w:val="0"/>
              <w:spacing w:line="360" w:lineRule="auto"/>
              <w:rPr>
                <w:rFonts w:ascii="宋体" w:hAnsi="宋体" w:cs="宋体"/>
                <w:kern w:val="0"/>
                <w:sz w:val="24"/>
              </w:rPr>
            </w:pPr>
            <w:r>
              <w:rPr>
                <w:rFonts w:hint="eastAsia" w:ascii="宋体" w:hAnsi="宋体" w:cs="宋体"/>
                <w:kern w:val="0"/>
                <w:sz w:val="24"/>
              </w:rPr>
              <w:t>标的：</w:t>
            </w:r>
            <w:r>
              <w:rPr>
                <w:rFonts w:hint="eastAsia" w:ascii="宋体" w:hAnsi="宋体" w:cs="宋体"/>
                <w:kern w:val="0"/>
                <w:sz w:val="24"/>
                <w:u w:val="single"/>
              </w:rPr>
              <w:t>陶瓷防静电地板</w:t>
            </w:r>
            <w:r>
              <w:rPr>
                <w:rFonts w:hint="eastAsia" w:ascii="宋体" w:hAnsi="宋体" w:cs="宋体"/>
                <w:kern w:val="0"/>
                <w:sz w:val="24"/>
              </w:rPr>
              <w:t>，属于</w:t>
            </w:r>
            <w:r>
              <w:rPr>
                <w:rFonts w:hint="eastAsia" w:ascii="宋体" w:hAnsi="宋体" w:cs="宋体"/>
                <w:kern w:val="0"/>
                <w:sz w:val="24"/>
                <w:u w:val="single"/>
              </w:rPr>
              <w:t xml:space="preserve"> </w:t>
            </w:r>
            <w:r>
              <w:rPr>
                <w:rFonts w:hint="eastAsia" w:ascii="宋体" w:hAnsi="宋体" w:cs="宋体"/>
                <w:kern w:val="0"/>
                <w:sz w:val="24"/>
                <w:u w:val="single"/>
                <w:lang w:val="en-US" w:eastAsia="zh-CN"/>
              </w:rPr>
              <w:t>工业</w:t>
            </w:r>
            <w:r>
              <w:rPr>
                <w:rFonts w:hint="eastAsia" w:ascii="宋体" w:hAnsi="宋体" w:cs="宋体"/>
                <w:kern w:val="0"/>
                <w:sz w:val="24"/>
              </w:rPr>
              <w:t>行业；</w:t>
            </w:r>
          </w:p>
          <w:p>
            <w:pPr>
              <w:pStyle w:val="2"/>
              <w:rPr>
                <w:rFonts w:ascii="宋体" w:hAnsi="宋体" w:eastAsia="宋体" w:cs="宋体"/>
                <w:lang w:val="en-US"/>
              </w:rPr>
            </w:pPr>
            <w:r>
              <w:rPr>
                <w:rFonts w:hint="eastAsia" w:ascii="宋体" w:hAnsi="宋体" w:eastAsia="宋体" w:cs="宋体"/>
                <w:bCs w:val="0"/>
                <w:sz w:val="24"/>
                <w:szCs w:val="24"/>
                <w:lang w:val="en-US"/>
              </w:rPr>
              <w:t>中小企业划型标准详见：工信部联企业〔2011〕300号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kern w:val="0"/>
                <w:sz w:val="24"/>
              </w:rPr>
            </w:pPr>
            <w:sdt>
              <w:sdtPr>
                <w:rPr>
                  <w:rFonts w:hint="eastAsia" w:ascii="宋体" w:hAnsi="宋体" w:cs="宋体"/>
                  <w:kern w:val="0"/>
                  <w:sz w:val="24"/>
                </w:rPr>
                <w:id w:val="-182842570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pPr>
              <w:spacing w:line="360" w:lineRule="auto"/>
              <w:rPr>
                <w:rFonts w:ascii="宋体" w:hAnsi="宋体" w:cs="宋体"/>
              </w:rPr>
            </w:pPr>
            <w:sdt>
              <w:sdtPr>
                <w:rPr>
                  <w:rFonts w:hint="eastAsia" w:ascii="宋体" w:hAnsi="宋体" w:cs="宋体"/>
                  <w:kern w:val="0"/>
                  <w:sz w:val="24"/>
                </w:rPr>
                <w:id w:val="-5285282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47728692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cs="宋体"/>
                    <w:kern w:val="0"/>
                    <w:sz w:val="24"/>
                  </w:rPr>
                  <w:t>þ</w:t>
                </w:r>
              </w:sdtContent>
            </w:sdt>
            <w:r>
              <w:rPr>
                <w:rFonts w:hint="eastAsia" w:ascii="宋体" w:hAnsi="宋体" w:cs="宋体"/>
                <w:kern w:val="0"/>
                <w:sz w:val="24"/>
              </w:rPr>
              <w:t xml:space="preserve"> A</w:t>
            </w:r>
            <w:r>
              <w:rPr>
                <w:rFonts w:hint="eastAsia" w:ascii="宋体" w:hAnsi="宋体" w:cs="宋体"/>
                <w:sz w:val="24"/>
              </w:rPr>
              <w:t>同意将非主体、非关键性的</w:t>
            </w:r>
            <w:r>
              <w:rPr>
                <w:rFonts w:hint="eastAsia" w:ascii="宋体" w:hAnsi="宋体" w:cs="宋体"/>
                <w:sz w:val="24"/>
                <w:u w:val="single"/>
              </w:rPr>
              <w:t xml:space="preserve">      </w:t>
            </w:r>
            <w:r>
              <w:rPr>
                <w:rFonts w:hint="eastAsia" w:ascii="宋体" w:hAnsi="宋体" w:cs="宋体"/>
                <w:sz w:val="24"/>
                <w:u w:val="single"/>
                <w:lang w:val="en-US" w:eastAsia="zh-CN"/>
              </w:rPr>
              <w:t>运输</w:t>
            </w:r>
            <w:r>
              <w:rPr>
                <w:rFonts w:hint="eastAsia" w:ascii="宋体" w:hAnsi="宋体" w:cs="宋体"/>
                <w:sz w:val="24"/>
                <w:u w:val="single"/>
              </w:rPr>
              <w:t xml:space="preserve">       </w:t>
            </w:r>
            <w:r>
              <w:rPr>
                <w:rFonts w:hint="eastAsia" w:ascii="宋体" w:hAnsi="宋体" w:cs="宋体"/>
                <w:sz w:val="24"/>
              </w:rPr>
              <w:t>工作分包。</w:t>
            </w:r>
            <w:sdt>
              <w:sdtPr>
                <w:rPr>
                  <w:rFonts w:hint="eastAsia" w:ascii="宋体" w:hAnsi="宋体" w:cs="宋体"/>
                  <w:kern w:val="0"/>
                  <w:sz w:val="24"/>
                </w:rPr>
                <w:id w:val="-127633135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p>
            <w:pPr>
              <w:spacing w:line="360" w:lineRule="auto"/>
              <w:rPr>
                <w:rFonts w:ascii="宋体" w:hAnsi="宋体" w:cs="宋体"/>
                <w:sz w:val="24"/>
              </w:rPr>
            </w:pPr>
            <w:r>
              <w:rPr>
                <w:rFonts w:hint="eastAsia" w:ascii="宋体" w:hAnsi="宋体" w:cs="宋体"/>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21296641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sz w:val="24"/>
                <w:szCs w:val="20"/>
              </w:rPr>
            </w:pPr>
            <w:sdt>
              <w:sdtPr>
                <w:rPr>
                  <w:rFonts w:hint="eastAsia" w:ascii="宋体" w:hAnsi="宋体" w:cs="宋体"/>
                  <w:kern w:val="0"/>
                  <w:sz w:val="24"/>
                </w:rPr>
                <w:id w:val="-99980297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63994648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不要求提供。</w:t>
            </w:r>
          </w:p>
          <w:p>
            <w:pPr>
              <w:spacing w:line="360" w:lineRule="auto"/>
              <w:rPr>
                <w:rFonts w:ascii="宋体" w:hAnsi="宋体" w:cs="宋体"/>
                <w:kern w:val="0"/>
                <w:sz w:val="24"/>
              </w:rPr>
            </w:pPr>
            <w:sdt>
              <w:sdtPr>
                <w:rPr>
                  <w:rFonts w:hint="eastAsia" w:ascii="宋体" w:hAnsi="宋体" w:cs="宋体"/>
                  <w:kern w:val="0"/>
                  <w:sz w:val="24"/>
                </w:rPr>
                <w:id w:val="102683198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kern w:val="0"/>
                <w:sz w:val="24"/>
              </w:rPr>
              <w:t>B要求提供，</w:t>
            </w:r>
          </w:p>
          <w:p>
            <w:pPr>
              <w:spacing w:line="360" w:lineRule="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pPr>
              <w:spacing w:line="360" w:lineRule="auto"/>
              <w:rPr>
                <w:rFonts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85934854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cs="宋体"/>
                    <w:kern w:val="0"/>
                    <w:sz w:val="24"/>
                  </w:rPr>
                  <w:t>þ</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sz w:val="24"/>
              </w:rPr>
              <w:t>开标一览表（报价表）是报价的唯一载体</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宋体" w:hAnsi="宋体" w:cs="宋体"/>
                <w:sz w:val="24"/>
              </w:rPr>
            </w:pPr>
            <w:r>
              <w:rPr>
                <w:rFonts w:hint="eastAsia" w:ascii="宋体" w:hAnsi="宋体" w:cs="宋体"/>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rPr>
                <w:rFonts w:ascii="宋体" w:hAnsi="宋体" w:cs="宋体"/>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ascii="宋体" w:hAnsi="宋体" w:cs="宋体"/>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hAnsi="宋体" w:cs="宋体"/>
                <w:kern w:val="28"/>
                <w:sz w:val="24"/>
              </w:rPr>
            </w:pPr>
            <w:r>
              <w:rPr>
                <w:rFonts w:hint="eastAsia" w:hAnsi="宋体" w:cs="宋体"/>
                <w:kern w:val="28"/>
                <w:sz w:val="24"/>
                <w:szCs w:val="24"/>
              </w:rPr>
              <w:t>备份投标文件送达地点：</w:t>
            </w:r>
            <w:r>
              <w:rPr>
                <w:rFonts w:hint="eastAsia" w:hAnsi="宋体" w:cs="宋体"/>
                <w:kern w:val="28"/>
                <w:sz w:val="24"/>
                <w:szCs w:val="24"/>
                <w:u w:val="single"/>
              </w:rPr>
              <w:t>桐庐县迎春南路258号国资大厦5楼窗口</w:t>
            </w:r>
            <w:r>
              <w:rPr>
                <w:rFonts w:hint="eastAsia" w:hAnsi="宋体" w:cs="宋体"/>
                <w:sz w:val="24"/>
                <w:u w:val="single"/>
              </w:rPr>
              <w:t xml:space="preserve"> </w:t>
            </w:r>
            <w:r>
              <w:rPr>
                <w:rFonts w:hint="eastAsia" w:hAnsi="宋体" w:cs="宋体"/>
                <w:kern w:val="28"/>
                <w:sz w:val="24"/>
                <w:szCs w:val="24"/>
              </w:rPr>
              <w:t>；备份投标文件签收人员联系电话：</w:t>
            </w:r>
            <w:r>
              <w:rPr>
                <w:rFonts w:hint="eastAsia" w:hAnsi="宋体" w:cs="宋体"/>
                <w:sz w:val="24"/>
                <w:u w:val="single"/>
              </w:rPr>
              <w:t xml:space="preserve">  0571-</w:t>
            </w:r>
            <w:r>
              <w:rPr>
                <w:rFonts w:hint="eastAsia" w:hAnsi="宋体" w:cs="宋体"/>
                <w:sz w:val="24"/>
                <w:u w:val="single"/>
                <w:lang w:val="en-US" w:eastAsia="zh-CN"/>
              </w:rPr>
              <w:t>64217659</w:t>
            </w:r>
            <w:r>
              <w:rPr>
                <w:rFonts w:hint="eastAsia" w:hAnsi="宋体" w:cs="宋体"/>
                <w:sz w:val="24"/>
                <w:szCs w:val="24"/>
              </w:rPr>
              <w:t>。</w:t>
            </w:r>
            <w:r>
              <w:rPr>
                <w:rFonts w:hint="eastAsia" w:hAnsi="宋体" w:cs="宋体"/>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bl>
    <w:p>
      <w:pPr>
        <w:snapToGrid w:val="0"/>
        <w:spacing w:line="360" w:lineRule="auto"/>
        <w:jc w:val="center"/>
        <w:rPr>
          <w:rFonts w:ascii="宋体" w:hAnsi="宋体" w:cs="宋体"/>
          <w:b/>
          <w:sz w:val="32"/>
          <w:szCs w:val="20"/>
        </w:rPr>
      </w:pPr>
    </w:p>
    <w:bookmarkEnd w:id="8"/>
    <w:p>
      <w:pPr>
        <w:adjustRightInd/>
        <w:spacing w:line="360" w:lineRule="auto"/>
        <w:ind w:firstLine="3845" w:firstLineChars="1197"/>
        <w:outlineLvl w:val="0"/>
        <w:rPr>
          <w:rFonts w:ascii="宋体" w:hAnsi="宋体" w:cs="宋体"/>
          <w:b/>
          <w:sz w:val="32"/>
          <w:szCs w:val="20"/>
        </w:rPr>
      </w:pPr>
      <w:bookmarkStart w:id="11" w:name="_Toc164416483"/>
      <w:bookmarkStart w:id="12" w:name="第三部分"/>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 “采购机构”系指招标公告中载明的本项目的采购机构。</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2.6“电子交易平台”是指本项目政府采购活动所依托的政府采购云平台（https://www.zcygov.cn/）。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cs="宋体"/>
              <w:kern w:val="0"/>
              <w:sz w:val="24"/>
            </w:rPr>
            <w:t>þ</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3" w:name="_Hlk107568539"/>
      <w:r>
        <w:rPr>
          <w:rFonts w:hint="eastAsia" w:ascii="宋体" w:hAnsi="宋体" w:cs="宋体"/>
          <w:sz w:val="24"/>
          <w:highlight w:val="yellow"/>
        </w:rPr>
        <w:t>优先采购绿色包装产品、绿色物流配送服务以及循环利用产品</w:t>
      </w:r>
      <w:bookmarkEnd w:id="13"/>
      <w:r>
        <w:rPr>
          <w:rFonts w:hint="eastAsia" w:ascii="宋体" w:hAnsi="宋体" w:cs="宋体"/>
          <w:sz w:val="24"/>
          <w:highlight w:val="yellow"/>
        </w:rPr>
        <w:t>。</w:t>
      </w:r>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4" w:name="_Hlk101132181"/>
      <w:r>
        <w:rPr>
          <w:rFonts w:hint="eastAsia" w:ascii="宋体" w:hAnsi="宋体" w:cs="宋体"/>
          <w:sz w:val="24"/>
        </w:rPr>
        <w:t>联合协议或者分包意向协议约定小微企业的合同份额占到合同总金额30%以上的</w:t>
      </w:r>
      <w:bookmarkEnd w:id="14"/>
      <w:r>
        <w:rPr>
          <w:rFonts w:hint="eastAsia" w:ascii="宋体" w:hAnsi="宋体" w:cs="宋体"/>
          <w:sz w:val="24"/>
        </w:rPr>
        <w:t>，对联合体或者大中型企业的报价给予</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宋体" w:hAnsi="宋体" w:cs="宋体"/>
          <w:sz w:val="24"/>
        </w:rPr>
      </w:pPr>
      <w:r>
        <w:rPr>
          <w:rFonts w:hint="eastAsia" w:ascii="宋体" w:hAnsi="宋体" w:cs="宋体"/>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pPr>
        <w:spacing w:line="360" w:lineRule="auto"/>
        <w:ind w:firstLine="240" w:firstLineChars="100"/>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4.1供应商询问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4.2供应商质疑</w:t>
      </w:r>
    </w:p>
    <w:p>
      <w:pPr>
        <w:pStyle w:val="35"/>
        <w:spacing w:line="360" w:lineRule="auto"/>
        <w:ind w:firstLine="480" w:firstLineChars="200"/>
        <w:rPr>
          <w:rFonts w:hAnsi="宋体" w:cs="宋体"/>
          <w:sz w:val="24"/>
        </w:rPr>
      </w:pPr>
      <w:r>
        <w:rPr>
          <w:rFonts w:hint="eastAsia" w:hAnsi="宋体" w:cs="宋体"/>
          <w:kern w:val="0"/>
          <w:sz w:val="24"/>
          <w:lang w:val="zh-CN"/>
        </w:rPr>
        <w:t>4.2</w:t>
      </w:r>
      <w:r>
        <w:rPr>
          <w:rFonts w:hint="eastAsia" w:hAnsi="宋体" w:cs="宋体"/>
          <w:sz w:val="24"/>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hAnsi="宋体" w:cs="宋体"/>
          <w:sz w:val="24"/>
        </w:rPr>
      </w:pPr>
      <w:r>
        <w:rPr>
          <w:rFonts w:hint="eastAsia" w:hAnsi="宋体" w:cs="宋体"/>
          <w:kern w:val="0"/>
          <w:sz w:val="24"/>
          <w:lang w:val="zh-CN"/>
        </w:rPr>
        <w:t>4.2</w:t>
      </w:r>
      <w:r>
        <w:rPr>
          <w:rFonts w:hint="eastAsia" w:hAnsi="宋体" w:cs="宋体"/>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4.2.2.1对招标文件提出质疑的，质疑期限为供应商获得招标文件之日或者招标文件公告期限届满之日起计算。</w:t>
      </w:r>
    </w:p>
    <w:p>
      <w:pPr>
        <w:pStyle w:val="35"/>
        <w:spacing w:line="360" w:lineRule="auto"/>
        <w:ind w:left="479" w:leftChars="228"/>
        <w:rPr>
          <w:rFonts w:hAnsi="宋体" w:cs="宋体"/>
          <w:sz w:val="24"/>
        </w:rPr>
      </w:pPr>
      <w:r>
        <w:rPr>
          <w:rFonts w:hint="eastAsia" w:hAnsi="宋体" w:cs="宋体"/>
          <w:sz w:val="24"/>
        </w:rPr>
        <w:t>4.2.2.2对采购过程提出质疑的，质疑期限为各采购程序环节结束之日起计算。4.2.2.3对采购结果提出质疑的，质疑期限自采购结果公告期限届满之日起计算。</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4.2.3</w:t>
      </w:r>
      <w:r>
        <w:rPr>
          <w:rFonts w:hint="eastAsia" w:hAnsi="宋体" w:cs="宋体"/>
          <w:sz w:val="24"/>
        </w:rPr>
        <w:t>供应商提出质疑应当提交质疑函和必要的证明材料。质疑函应当包括下列内容：</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　　4.2.3.1供应商的姓名或者名称、地址、邮编、联系人及联系电话；</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　　4.2.3.2质疑项目的名称、编号；</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　　4.2.3.3具体、明确的质疑事项和与质疑事项相关的请求；</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　　4.2.3.4事实依据；</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　　4.2.3.5必要的法律依据；</w:t>
      </w:r>
    </w:p>
    <w:p>
      <w:pPr>
        <w:pStyle w:val="35"/>
        <w:spacing w:line="360" w:lineRule="auto"/>
        <w:ind w:firstLine="960" w:firstLineChars="400"/>
        <w:rPr>
          <w:rFonts w:hAnsi="宋体" w:cs="宋体"/>
          <w:kern w:val="0"/>
          <w:sz w:val="24"/>
          <w:lang w:val="zh-CN"/>
        </w:rPr>
      </w:pPr>
      <w:r>
        <w:rPr>
          <w:rFonts w:hint="eastAsia" w:hAnsi="宋体" w:cs="宋体"/>
          <w:kern w:val="0"/>
          <w:sz w:val="24"/>
          <w:lang w:val="zh-CN"/>
        </w:rPr>
        <w:t>4.2.3.6提出质疑的日期。</w:t>
      </w:r>
    </w:p>
    <w:p>
      <w:pPr>
        <w:pStyle w:val="887"/>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pPr>
      <w:r>
        <w:rPr>
          <w:rFonts w:hint="eastAsia"/>
        </w:rPr>
        <w:t>质疑函范本及制作说明详见附件2。</w:t>
      </w:r>
    </w:p>
    <w:p>
      <w:pPr>
        <w:pStyle w:val="887"/>
        <w:shd w:val="clear" w:color="auto" w:fill="FFFFFF"/>
        <w:snapToGrid w:val="0"/>
        <w:spacing w:after="240" w:afterAutospacing="0" w:line="360" w:lineRule="auto"/>
        <w:ind w:firstLine="400"/>
        <w:contextualSpacing/>
      </w:pPr>
      <w:r>
        <w:rPr>
          <w:rFonts w:hint="eastAsia"/>
        </w:rPr>
        <w:t>4.2.4对同一采购程序环节的质疑，供应商须在法定质疑期内一次性提出。</w:t>
      </w:r>
    </w:p>
    <w:p>
      <w:pPr>
        <w:pStyle w:val="887"/>
        <w:shd w:val="clear" w:color="auto" w:fill="FFFFFF"/>
        <w:snapToGrid w:val="0"/>
        <w:spacing w:after="240" w:afterAutospacing="0" w:line="360" w:lineRule="auto"/>
        <w:ind w:firstLine="400"/>
        <w:contextualSpacing/>
      </w:pPr>
      <w:r>
        <w:rPr>
          <w:rFonts w:hint="eastAsia"/>
          <w:lang w:val="zh-CN"/>
        </w:rPr>
        <w:t>4.2</w:t>
      </w:r>
      <w:r>
        <w:rPr>
          <w:rFonts w:hint="eastAsia"/>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7"/>
        <w:shd w:val="clear" w:color="auto" w:fill="FFFFFF"/>
        <w:snapToGrid w:val="0"/>
        <w:spacing w:after="240" w:afterAutospacing="0" w:line="360" w:lineRule="auto"/>
        <w:ind w:firstLine="400"/>
        <w:contextualSpacing/>
      </w:pPr>
      <w:r>
        <w:rPr>
          <w:rFonts w:hint="eastAsia"/>
          <w:lang w:val="zh-CN"/>
        </w:rPr>
        <w:t>4.2</w:t>
      </w:r>
      <w:r>
        <w:rPr>
          <w:rFonts w:hint="eastAsia"/>
        </w:rPr>
        <w:t>.6询问或者质疑事项可能影响采购结果的，采购人应当暂停签订合同，已经签订合同的，应当中止履行合同。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480" w:firstLineChars="200"/>
        <w:contextualSpacing/>
        <w:rPr>
          <w:lang w:val="zh-CN"/>
        </w:rPr>
      </w:pPr>
      <w:r>
        <w:rPr>
          <w:rFonts w:hint="eastAsia"/>
          <w:lang w:val="zh-CN"/>
        </w:rPr>
        <w:t>4.3供应商投诉</w:t>
      </w:r>
    </w:p>
    <w:p>
      <w:pPr>
        <w:pStyle w:val="887"/>
        <w:shd w:val="clear" w:color="auto" w:fill="FFFFFF"/>
        <w:snapToGrid w:val="0"/>
        <w:spacing w:after="240" w:afterAutospacing="0" w:line="360" w:lineRule="auto"/>
        <w:ind w:firstLine="400"/>
        <w:contextualSpacing/>
      </w:pPr>
      <w:r>
        <w:rPr>
          <w:rFonts w:hint="eastAsia"/>
        </w:rPr>
        <w:t>4.3.1质疑供应商对采购人、采购机构的答复不满意或者采购人、采购机构未在规定的时间内作出答复的，可以在答复期满后十五个工作日内向同级政府采购监督管理部门提出投诉。</w:t>
      </w:r>
    </w:p>
    <w:p>
      <w:pPr>
        <w:pStyle w:val="887"/>
        <w:shd w:val="clear" w:color="auto" w:fill="FFFFFF"/>
        <w:snapToGrid w:val="0"/>
        <w:spacing w:after="240" w:afterAutospacing="0" w:line="360" w:lineRule="auto"/>
        <w:ind w:firstLine="400"/>
        <w:contextualSpacing/>
      </w:pPr>
      <w:r>
        <w:rPr>
          <w:rFonts w:hint="eastAsia"/>
        </w:rPr>
        <w:t>4.3.</w:t>
      </w:r>
      <w:r>
        <w:rPr>
          <w:rFonts w:hint="eastAsia"/>
          <w:lang w:val="zh-CN"/>
        </w:rPr>
        <w:t>2</w:t>
      </w:r>
      <w:r>
        <w:rPr>
          <w:rFonts w:hint="eastAsia"/>
        </w:rPr>
        <w:t>供应商投诉的事项不得超出已质疑事项的范围，基于质疑答复内容提出的投诉事项除外。</w:t>
      </w:r>
    </w:p>
    <w:p>
      <w:pPr>
        <w:pStyle w:val="887"/>
        <w:shd w:val="clear" w:color="auto" w:fill="FFFFFF"/>
        <w:snapToGrid w:val="0"/>
        <w:spacing w:after="240" w:afterAutospacing="0" w:line="360" w:lineRule="auto"/>
        <w:ind w:firstLine="400"/>
        <w:contextualSpacing/>
      </w:pPr>
      <w:r>
        <w:rPr>
          <w:rFonts w:hint="eastAsia"/>
        </w:rPr>
        <w:t>4.3.3供应商投诉应当有明确的请求和必要的证明材料。</w:t>
      </w:r>
    </w:p>
    <w:p>
      <w:pPr>
        <w:pStyle w:val="887"/>
        <w:shd w:val="clear" w:color="auto" w:fill="FFFFFF"/>
        <w:snapToGrid w:val="0"/>
        <w:spacing w:after="240" w:afterAutospacing="0" w:line="360" w:lineRule="auto"/>
        <w:ind w:firstLine="400"/>
        <w:contextualSpacing/>
      </w:pPr>
      <w:r>
        <w:rPr>
          <w:rFonts w:hint="eastAsia"/>
        </w:rPr>
        <w:t>4.3.5 以联合体形式参加政府采购活动的，其投诉应当由组成联合体的所有供应商共同提出。</w:t>
      </w:r>
    </w:p>
    <w:p>
      <w:pPr>
        <w:pStyle w:val="887"/>
        <w:shd w:val="clear" w:color="auto" w:fill="FFFFFF"/>
        <w:snapToGrid w:val="0"/>
        <w:spacing w:after="240" w:afterAutospacing="0" w:line="360" w:lineRule="auto"/>
        <w:ind w:firstLine="400"/>
        <w:contextualSpacing/>
      </w:pPr>
      <w:r>
        <w:rPr>
          <w:rFonts w:hint="eastAsia"/>
        </w:rPr>
        <w:t>投诉书范本及制作说明详见附件3。</w:t>
      </w:r>
    </w:p>
    <w:p>
      <w:pPr>
        <w:pStyle w:val="887"/>
        <w:shd w:val="clear" w:color="auto" w:fill="FFFFFF"/>
        <w:snapToGrid w:val="0"/>
        <w:spacing w:after="240" w:afterAutospacing="0" w:line="360" w:lineRule="auto"/>
        <w:ind w:firstLine="400"/>
        <w:contextualSpacing/>
      </w:pPr>
      <w:r>
        <w:rPr>
          <w:rFonts w:hint="eastAsia"/>
        </w:rPr>
        <w:t>4.4在线质疑、投诉。</w:t>
      </w:r>
    </w:p>
    <w:p>
      <w:pPr>
        <w:pStyle w:val="887"/>
        <w:shd w:val="clear" w:color="auto" w:fill="FFFFFF"/>
        <w:snapToGrid w:val="0"/>
        <w:spacing w:after="240" w:afterAutospacing="0" w:line="360" w:lineRule="auto"/>
        <w:ind w:firstLine="480" w:firstLineChars="200"/>
        <w:contextualSpacing/>
      </w:pPr>
      <w:r>
        <w:rPr>
          <w:rFonts w:hint="eastAsi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29"/>
        <w:snapToGrid w:val="0"/>
        <w:spacing w:before="0"/>
        <w:ind w:firstLine="360"/>
        <w:rPr>
          <w:rFonts w:ascii="宋体" w:hAnsi="宋体" w:cs="宋体"/>
          <w:sz w:val="18"/>
          <w:szCs w:val="18"/>
        </w:rPr>
      </w:pP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5"/>
        <w:spacing w:line="360" w:lineRule="auto"/>
        <w:rPr>
          <w:rFonts w:hAnsi="宋体" w:cs="宋体"/>
          <w:b/>
          <w:sz w:val="24"/>
          <w:szCs w:val="24"/>
        </w:rPr>
      </w:pPr>
      <w:r>
        <w:rPr>
          <w:rFonts w:hint="eastAsia" w:hAnsi="宋体" w:cs="宋体"/>
          <w:b/>
          <w:sz w:val="24"/>
          <w:szCs w:val="24"/>
        </w:rPr>
        <w:t>5．招标文件的构成</w:t>
      </w:r>
    </w:p>
    <w:p>
      <w:pPr>
        <w:pStyle w:val="35"/>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5"/>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5"/>
        <w:spacing w:line="360" w:lineRule="auto"/>
        <w:rPr>
          <w:rFonts w:hAnsi="宋体" w:cs="宋体"/>
          <w:b/>
          <w:sz w:val="24"/>
          <w:szCs w:val="24"/>
        </w:rPr>
      </w:pPr>
      <w:r>
        <w:rPr>
          <w:rFonts w:hint="eastAsia" w:hAnsi="宋体" w:cs="宋体"/>
          <w:b/>
          <w:sz w:val="24"/>
          <w:szCs w:val="24"/>
        </w:rPr>
        <w:t>6. 招标文件的澄清、修改</w:t>
      </w:r>
    </w:p>
    <w:p>
      <w:pPr>
        <w:pStyle w:val="129"/>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6.1已获取招标文件的潜在投标人，若有问题需要澄清，应于投标截止时间前，以书面形式向采购机构提出。</w:t>
      </w:r>
    </w:p>
    <w:p>
      <w:pPr>
        <w:pStyle w:val="129"/>
        <w:snapToGrid w:val="0"/>
        <w:spacing w:before="0"/>
        <w:ind w:firstLine="480"/>
        <w:rPr>
          <w:rFonts w:ascii="宋体" w:hAnsi="宋体" w:cs="宋体"/>
        </w:rPr>
      </w:pPr>
      <w:r>
        <w:rPr>
          <w:rFonts w:hint="eastAsia" w:ascii="宋体" w:hAnsi="宋体" w:cs="宋体"/>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6"/>
        <w:rPr>
          <w:rFonts w:hAnsi="宋体" w:cs="宋体"/>
          <w:sz w:val="18"/>
          <w:szCs w:val="18"/>
          <w:lang w:val="en-US"/>
        </w:rPr>
      </w:pPr>
      <w:r>
        <w:rPr>
          <w:rFonts w:hint="eastAsia" w:hAnsi="宋体" w:cs="宋体"/>
          <w:szCs w:val="24"/>
          <w:lang w:val="en-US"/>
        </w:rPr>
        <w:t xml:space="preserve">    </w:t>
      </w: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5"/>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5"/>
        <w:spacing w:line="360" w:lineRule="auto"/>
        <w:rPr>
          <w:rFonts w:hAnsi="宋体" w:cs="宋体"/>
          <w:b/>
          <w:sz w:val="24"/>
          <w:szCs w:val="24"/>
        </w:rPr>
      </w:pPr>
      <w:r>
        <w:rPr>
          <w:rFonts w:hint="eastAsia" w:hAnsi="宋体" w:cs="宋体"/>
          <w:b/>
          <w:sz w:val="24"/>
          <w:szCs w:val="24"/>
        </w:rPr>
        <w:t>8.开标前答疑会或现场考察</w:t>
      </w:r>
    </w:p>
    <w:p>
      <w:pPr>
        <w:pStyle w:val="35"/>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5"/>
        <w:spacing w:line="360" w:lineRule="auto"/>
        <w:rPr>
          <w:rFonts w:hAnsi="宋体" w:cs="宋体"/>
          <w:b/>
          <w:szCs w:val="24"/>
        </w:rPr>
      </w:pPr>
      <w:r>
        <w:rPr>
          <w:rFonts w:hint="eastAsia" w:hAnsi="宋体" w:cs="宋体"/>
          <w:b/>
          <w:kern w:val="28"/>
          <w:sz w:val="24"/>
          <w:szCs w:val="24"/>
        </w:rPr>
        <w:t>9.投标保证金</w:t>
      </w:r>
    </w:p>
    <w:p>
      <w:pPr>
        <w:pStyle w:val="6"/>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5"/>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5"/>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5" w:name="_Hlk101259339"/>
      <w:r>
        <w:rPr>
          <w:rFonts w:hint="eastAsia" w:ascii="宋体" w:hAnsi="宋体" w:cs="宋体"/>
          <w:snapToGrid w:val="0"/>
          <w:kern w:val="28"/>
          <w:sz w:val="24"/>
          <w:szCs w:val="20"/>
        </w:rPr>
        <w:t>联合协议</w:t>
      </w:r>
      <w:bookmarkStart w:id="16" w:name="_Hlk101257010"/>
      <w:r>
        <w:rPr>
          <w:rFonts w:hint="eastAsia" w:ascii="宋体" w:hAnsi="宋体" w:cs="宋体"/>
          <w:snapToGrid w:val="0"/>
          <w:kern w:val="28"/>
          <w:sz w:val="24"/>
          <w:szCs w:val="20"/>
        </w:rPr>
        <w:t>（如果有)</w:t>
      </w:r>
      <w:bookmarkEnd w:id="15"/>
      <w:bookmarkEnd w:id="16"/>
      <w:r>
        <w:rPr>
          <w:rFonts w:hint="eastAsia" w:ascii="宋体" w:hAnsi="宋体" w:cs="宋体"/>
          <w:snapToGrid w:val="0"/>
          <w:kern w:val="28"/>
          <w:sz w:val="24"/>
          <w:szCs w:val="20"/>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snapToGrid w:val="0"/>
        <w:spacing w:line="360" w:lineRule="auto"/>
        <w:ind w:firstLine="960" w:firstLineChars="400"/>
        <w:rPr>
          <w:rFonts w:ascii="宋体" w:hAnsi="宋体" w:cs="宋体"/>
          <w:sz w:val="24"/>
        </w:rPr>
      </w:pPr>
      <w:r>
        <w:rPr>
          <w:rFonts w:hint="eastAsia" w:ascii="宋体" w:hAnsi="宋体" w:cs="宋体"/>
          <w:sz w:val="24"/>
        </w:rPr>
        <w:t>11.3.2中小企业声明函。</w:t>
      </w:r>
    </w:p>
    <w:p>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pPr>
        <w:pStyle w:val="129"/>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29"/>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29"/>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29"/>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29"/>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宋体" w:hAnsi="宋体" w:cs="宋体"/>
          <w:szCs w:val="24"/>
        </w:rPr>
      </w:pPr>
      <w:r>
        <w:rPr>
          <w:rFonts w:hint="eastAsia" w:ascii="宋体" w:hAnsi="宋体" w:cs="宋体"/>
          <w:szCs w:val="24"/>
        </w:rPr>
        <w:t>14.3采购人、采购机构可以视情况延长投标文件提交的截止时间。在上述情况下，采购机构与投标人以前在投标截止期方面的全部权利、责任和义务，将适用于延长至新的投标截止期。</w:t>
      </w:r>
    </w:p>
    <w:p>
      <w:pPr>
        <w:pStyle w:val="35"/>
        <w:spacing w:line="360" w:lineRule="auto"/>
        <w:rPr>
          <w:rFonts w:hAnsi="宋体" w:cs="宋体"/>
          <w:b/>
          <w:sz w:val="24"/>
          <w:szCs w:val="24"/>
        </w:rPr>
      </w:pPr>
      <w:r>
        <w:rPr>
          <w:rFonts w:hint="eastAsia" w:hAnsi="宋体" w:cs="宋体"/>
          <w:b/>
          <w:sz w:val="24"/>
          <w:szCs w:val="24"/>
        </w:rPr>
        <w:t>15.备份投标文件</w:t>
      </w:r>
    </w:p>
    <w:p>
      <w:pPr>
        <w:pStyle w:val="35"/>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但采购人、采购机构不强制或变相强制投标人提交备份投标文件。</w:t>
      </w:r>
    </w:p>
    <w:p>
      <w:pPr>
        <w:pStyle w:val="35"/>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5"/>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15.3直接提交备份投标文件的，投标人应于投标截止时间前在招标公告中载明的开标地点将备份投标文件提交给采购机构，采购机构将拒绝接受逾期送达的备份投标文件。</w:t>
      </w:r>
    </w:p>
    <w:p>
      <w:pPr>
        <w:pStyle w:val="35"/>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送达时间以签收人签收时间为准。采购机构将拒绝接受逾期送达的备份投标文件。邮寄过程中，电子备份投标文件发生泄露、遗失、损坏或延期送达等情况的，由投标人自行负责。</w:t>
      </w:r>
    </w:p>
    <w:p>
      <w:pPr>
        <w:pStyle w:val="35"/>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29"/>
        <w:spacing w:before="0"/>
        <w:ind w:firstLine="0" w:firstLineChars="0"/>
        <w:rPr>
          <w:rFonts w:ascii="宋体" w:hAnsi="宋体" w:cs="宋体"/>
          <w:b/>
          <w:szCs w:val="24"/>
        </w:rPr>
      </w:pPr>
      <w:r>
        <w:rPr>
          <w:rFonts w:hint="eastAsia" w:ascii="宋体" w:hAnsi="宋体" w:cs="宋体"/>
          <w:b/>
          <w:szCs w:val="24"/>
        </w:rPr>
        <w:t>16.投标文件的无效处理</w:t>
      </w:r>
    </w:p>
    <w:p>
      <w:pPr>
        <w:pStyle w:val="27"/>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pPr>
        <w:pStyle w:val="129"/>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29"/>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129"/>
        <w:spacing w:before="0"/>
        <w:ind w:firstLine="480"/>
        <w:rPr>
          <w:rFonts w:ascii="宋体" w:hAnsi="宋体" w:cs="宋体"/>
        </w:rPr>
      </w:pPr>
      <w:r>
        <w:rPr>
          <w:rFonts w:hint="eastAsia" w:ascii="宋体" w:hAnsi="宋体" w:cs="宋体"/>
        </w:rPr>
        <w:t>17.3在原定投标有效期满之前，如果出现特殊情况，采购机构可以以书面形式通知投标人延长投标有效期。投标人同意延长的，不得要求或被允许修改其投标文件，投标人拒绝延长的，其投标无效。</w:t>
      </w:r>
    </w:p>
    <w:p>
      <w:pPr>
        <w:pStyle w:val="129"/>
        <w:spacing w:before="0"/>
        <w:ind w:firstLine="643"/>
        <w:rPr>
          <w:rFonts w:ascii="宋体" w:hAnsi="宋体" w:cs="宋体"/>
          <w:b/>
          <w:sz w:val="32"/>
        </w:rPr>
      </w:pPr>
    </w:p>
    <w:p>
      <w:pPr>
        <w:pStyle w:val="129"/>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55"/>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pPr>
        <w:pStyle w:val="555"/>
        <w:spacing w:before="0" w:line="360" w:lineRule="auto"/>
        <w:ind w:left="0" w:firstLine="480" w:firstLineChars="200"/>
        <w:contextualSpacing/>
        <w:rPr>
          <w:rFonts w:ascii="宋体" w:hAnsi="宋体" w:cs="宋体"/>
          <w:sz w:val="24"/>
        </w:rPr>
      </w:pPr>
      <w:r>
        <w:rPr>
          <w:rFonts w:hint="eastAsia" w:ascii="宋体" w:hAnsi="宋体" w:cs="宋体"/>
          <w:sz w:val="24"/>
        </w:rPr>
        <w:t>18.1采购机构按照招标文件规定的时间通过电子交易平台组织开标，所有投标人均应当准时在线参加。投标人不足3家的，不得开标。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18.2开标时，电子交易平台按开标时间自动提取所有投标文件。采购机构依托电子交易平台发起开始解密指令，投标人按照平台提示和招标文件的规定在半小时内完成在线解密。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pPr>
        <w:pStyle w:val="129"/>
        <w:spacing w:before="0"/>
        <w:ind w:firstLine="480"/>
        <w:rPr>
          <w:rFonts w:ascii="宋体" w:hAnsi="宋体" w:cs="宋体"/>
          <w:kern w:val="0"/>
          <w:szCs w:val="24"/>
        </w:rPr>
      </w:pPr>
      <w:r>
        <w:rPr>
          <w:rFonts w:hint="eastAsia" w:ascii="宋体" w:hAnsi="宋体" w:cs="宋体"/>
          <w:kern w:val="0"/>
          <w:szCs w:val="24"/>
        </w:rPr>
        <w:t>19.1开标后，采购人或采购机构将依法对投标人的资格进行审查。</w:t>
      </w:r>
    </w:p>
    <w:p>
      <w:pPr>
        <w:snapToGrid w:val="0"/>
        <w:spacing w:line="360" w:lineRule="auto"/>
        <w:ind w:firstLine="480" w:firstLineChars="200"/>
        <w:rPr>
          <w:rFonts w:ascii="宋体" w:hAnsi="宋体" w:cs="宋体"/>
          <w:sz w:val="24"/>
        </w:rPr>
      </w:pPr>
      <w:r>
        <w:rPr>
          <w:rFonts w:hint="eastAsia" w:ascii="宋体" w:hAnsi="宋体" w:cs="宋体"/>
          <w:kern w:val="0"/>
          <w:sz w:val="24"/>
        </w:rPr>
        <w:t>19.2</w:t>
      </w:r>
      <w:r>
        <w:rPr>
          <w:rFonts w:hint="eastAsia" w:ascii="宋体" w:hAnsi="宋体" w:cs="宋体"/>
          <w:sz w:val="24"/>
        </w:rPr>
        <w:t>采购人或采购机构依据法律法规和招标文件的规定，对投标人的资格进行审查。</w:t>
      </w:r>
    </w:p>
    <w:p>
      <w:pPr>
        <w:pStyle w:val="129"/>
        <w:spacing w:before="0"/>
        <w:ind w:firstLine="480"/>
        <w:rPr>
          <w:rFonts w:ascii="宋体" w:hAnsi="宋体" w:cs="宋体"/>
        </w:rPr>
      </w:pPr>
      <w:r>
        <w:rPr>
          <w:rFonts w:hint="eastAsia" w:ascii="宋体" w:hAnsi="宋体" w:cs="宋体"/>
          <w:kern w:val="0"/>
          <w:szCs w:val="24"/>
        </w:rPr>
        <w:t>19.3投标人未按照招标文件要求提供与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29"/>
        <w:spacing w:before="0"/>
        <w:ind w:firstLine="480"/>
        <w:rPr>
          <w:rFonts w:ascii="宋体" w:hAnsi="宋体" w:cs="宋体"/>
        </w:rPr>
      </w:pPr>
      <w:r>
        <w:rPr>
          <w:rFonts w:hint="eastAsia" w:ascii="宋体" w:hAnsi="宋体" w:cs="宋体"/>
          <w:kern w:val="0"/>
          <w:szCs w:val="24"/>
        </w:rPr>
        <w:t>19.</w:t>
      </w:r>
      <w:r>
        <w:rPr>
          <w:rFonts w:hint="eastAsia" w:ascii="宋体" w:hAnsi="宋体" w:cs="宋体"/>
        </w:rPr>
        <w:t>4对未通过资格审查的投标人，采购人或采购机构告知其未通过的原因。</w:t>
      </w:r>
    </w:p>
    <w:p>
      <w:pPr>
        <w:pStyle w:val="129"/>
        <w:spacing w:before="0"/>
        <w:ind w:firstLine="480"/>
        <w:rPr>
          <w:rFonts w:ascii="宋体" w:hAnsi="宋体" w:cs="宋体"/>
        </w:rPr>
      </w:pPr>
      <w:r>
        <w:rPr>
          <w:rFonts w:hint="eastAsia" w:ascii="宋体" w:hAnsi="宋体" w:cs="宋体"/>
          <w:kern w:val="0"/>
          <w:szCs w:val="24"/>
        </w:rPr>
        <w:t>19.</w:t>
      </w:r>
      <w:r>
        <w:rPr>
          <w:rFonts w:hint="eastAsia" w:ascii="宋体" w:hAnsi="宋体" w:cs="宋体"/>
        </w:rPr>
        <w:t>5合格投标人不足3家的，不再评标。</w:t>
      </w:r>
    </w:p>
    <w:p>
      <w:pPr>
        <w:pStyle w:val="129"/>
        <w:spacing w:before="0"/>
        <w:ind w:firstLine="0" w:firstLineChars="0"/>
        <w:rPr>
          <w:rFonts w:ascii="宋体" w:hAnsi="宋体" w:cs="宋体"/>
          <w:b/>
          <w:szCs w:val="24"/>
        </w:rPr>
      </w:pPr>
      <w:r>
        <w:rPr>
          <w:rFonts w:hint="eastAsia" w:ascii="宋体" w:hAnsi="宋体" w:cs="宋体"/>
          <w:b/>
          <w:szCs w:val="24"/>
        </w:rPr>
        <w:t>20、信用信息查询</w:t>
      </w:r>
    </w:p>
    <w:p>
      <w:pPr>
        <w:pStyle w:val="129"/>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20.1信用信息查询渠道及截止时间：采购机构将在资格审查时通过“信用中国”网站(www.creditchina.gov.cn)、中国政府采购网(www.ccgp.gov.cn)渠道查询投标人接受资格审查时的信用记录。</w:t>
      </w:r>
    </w:p>
    <w:p>
      <w:pPr>
        <w:pStyle w:val="129"/>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29"/>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129"/>
        <w:spacing w:before="0"/>
        <w:ind w:firstLine="0" w:firstLineChars="0"/>
        <w:rPr>
          <w:rFonts w:ascii="宋体" w:hAnsi="宋体" w:cs="宋体"/>
          <w:kern w:val="0"/>
          <w:szCs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bookmarkStart w:id="17"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27"/>
        <w:spacing w:line="360" w:lineRule="auto"/>
        <w:ind w:left="479" w:hanging="479" w:hangingChars="199"/>
        <w:rPr>
          <w:rFonts w:cs="宋体"/>
          <w:b/>
        </w:rPr>
      </w:pPr>
      <w:r>
        <w:rPr>
          <w:rFonts w:hint="eastAsia" w:cs="宋体"/>
          <w:b/>
        </w:rPr>
        <w:t>22. 确定中标供应商</w:t>
      </w:r>
    </w:p>
    <w:p>
      <w:pPr>
        <w:pStyle w:val="129"/>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9"/>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482" w:firstLineChars="150"/>
        <w:jc w:val="center"/>
        <w:rPr>
          <w:rFonts w:ascii="宋体" w:hAnsi="宋体" w:cs="宋体"/>
          <w:b/>
          <w:sz w:val="32"/>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7"/>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pPr>
        <w:pStyle w:val="27"/>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29"/>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7"/>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pPr>
        <w:tabs>
          <w:tab w:val="left" w:pos="0"/>
        </w:tabs>
        <w:spacing w:line="360" w:lineRule="auto"/>
        <w:ind w:firstLine="482"/>
        <w:rPr>
          <w:rFonts w:ascii="宋体" w:hAnsi="宋体" w:cs="宋体"/>
          <w:sz w:val="24"/>
          <w:szCs w:val="20"/>
        </w:rPr>
      </w:pPr>
      <w:r>
        <w:rPr>
          <w:rFonts w:hint="eastAsia" w:ascii="宋体" w:hAnsi="宋体" w:cs="宋体"/>
          <w:sz w:val="24"/>
          <w:szCs w:val="20"/>
        </w:rPr>
        <w:t>政府采购货物和服务项目中，采购单位可根据杭州市政府采购网公布的供应商履约评价情况减免履约保证金。供应商履约验收评价总分为100分的，采购单位应当免收履约保证金。</w:t>
      </w:r>
    </w:p>
    <w:p>
      <w:pPr>
        <w:pStyle w:val="2"/>
        <w:ind w:left="0" w:firstLine="480" w:firstLineChars="200"/>
        <w:rPr>
          <w:rFonts w:ascii="宋体" w:hAnsi="宋体" w:eastAsia="宋体" w:cs="宋体"/>
          <w:lang w:val="en-US"/>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宋体" w:hAnsi="宋体" w:cs="宋体"/>
          <w:b/>
          <w:sz w:val="32"/>
        </w:rPr>
      </w:pP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129"/>
        <w:snapToGrid w:val="0"/>
        <w:spacing w:before="0"/>
        <w:ind w:firstLine="0" w:firstLineChars="0"/>
        <w:rPr>
          <w:rFonts w:ascii="宋体" w:hAnsi="宋体" w:cs="宋体"/>
        </w:rPr>
      </w:pPr>
      <w:r>
        <w:rPr>
          <w:rFonts w:hint="eastAsia" w:ascii="宋体" w:hAnsi="宋体" w:cs="宋体"/>
        </w:rPr>
        <w:t>2</w:t>
      </w:r>
      <w:r>
        <w:rPr>
          <w:rFonts w:hint="eastAsia" w:ascii="宋体" w:hAnsi="宋体" w:cs="宋体"/>
          <w:b/>
          <w:szCs w:val="24"/>
        </w:rPr>
        <w:t>7. 电子交易活动的中止。</w:t>
      </w:r>
      <w:r>
        <w:rPr>
          <w:rFonts w:hint="eastAsia" w:ascii="宋体" w:hAnsi="宋体" w:cs="宋体"/>
        </w:rPr>
        <w:t>采购过程中出现以下情形，导致电子交易平台无法正常运行，或者无法保证电子交易的公平、公正和安全时，采购机构可中止电子交易活动：</w:t>
      </w:r>
    </w:p>
    <w:p>
      <w:pPr>
        <w:pStyle w:val="129"/>
        <w:snapToGrid w:val="0"/>
        <w:spacing w:before="0"/>
        <w:ind w:firstLine="480"/>
        <w:rPr>
          <w:rFonts w:ascii="宋体" w:hAnsi="宋体" w:cs="宋体"/>
        </w:rPr>
      </w:pPr>
      <w:r>
        <w:rPr>
          <w:rFonts w:hint="eastAsia" w:ascii="宋体" w:hAnsi="宋体" w:cs="宋体"/>
        </w:rPr>
        <w:t xml:space="preserve">27.1电子交易平台发生故障而无法登录访问的； </w:t>
      </w:r>
    </w:p>
    <w:p>
      <w:pPr>
        <w:pStyle w:val="129"/>
        <w:snapToGrid w:val="0"/>
        <w:spacing w:before="0"/>
        <w:ind w:firstLine="480"/>
        <w:rPr>
          <w:rFonts w:ascii="宋体" w:hAnsi="宋体" w:cs="宋体"/>
        </w:rPr>
      </w:pPr>
      <w:r>
        <w:rPr>
          <w:rFonts w:hint="eastAsia" w:ascii="宋体" w:hAnsi="宋体" w:cs="宋体"/>
        </w:rPr>
        <w:t>27.2电子交易平台应用或数据库出现错误，不能进行正常操作的；</w:t>
      </w:r>
    </w:p>
    <w:p>
      <w:pPr>
        <w:pStyle w:val="129"/>
        <w:snapToGrid w:val="0"/>
        <w:spacing w:before="0"/>
        <w:ind w:firstLine="480"/>
        <w:rPr>
          <w:rFonts w:ascii="宋体" w:hAnsi="宋体" w:cs="宋体"/>
        </w:rPr>
      </w:pPr>
      <w:r>
        <w:rPr>
          <w:rFonts w:hint="eastAsia" w:ascii="宋体" w:hAnsi="宋体" w:cs="宋体"/>
        </w:rPr>
        <w:t>27.3电子交易平台发现严重安全漏洞，有潜在泄密危险的；</w:t>
      </w:r>
    </w:p>
    <w:p>
      <w:pPr>
        <w:pStyle w:val="129"/>
        <w:snapToGrid w:val="0"/>
        <w:spacing w:before="0"/>
        <w:ind w:firstLine="480"/>
        <w:rPr>
          <w:rFonts w:ascii="宋体" w:hAnsi="宋体" w:cs="宋体"/>
        </w:rPr>
      </w:pPr>
      <w:r>
        <w:rPr>
          <w:rFonts w:hint="eastAsia" w:ascii="宋体" w:hAnsi="宋体" w:cs="宋体"/>
        </w:rPr>
        <w:t xml:space="preserve">27.4病毒发作导致不能进行正常操作的； </w:t>
      </w:r>
    </w:p>
    <w:p>
      <w:pPr>
        <w:pStyle w:val="129"/>
        <w:snapToGrid w:val="0"/>
        <w:spacing w:before="0"/>
        <w:ind w:firstLine="480"/>
        <w:rPr>
          <w:rFonts w:ascii="宋体" w:hAnsi="宋体" w:cs="宋体"/>
        </w:rPr>
      </w:pPr>
      <w:r>
        <w:rPr>
          <w:rFonts w:hint="eastAsia" w:ascii="宋体" w:hAnsi="宋体" w:cs="宋体"/>
        </w:rPr>
        <w:t>27.5其他无法保证电子交易的公平、公正和安全的情况。</w:t>
      </w:r>
    </w:p>
    <w:p>
      <w:pPr>
        <w:pStyle w:val="129"/>
        <w:snapToGrid w:val="0"/>
        <w:spacing w:before="0"/>
        <w:ind w:firstLine="0" w:firstLineChars="0"/>
        <w:rPr>
          <w:rFonts w:ascii="宋体" w:hAnsi="宋体" w:cs="宋体"/>
        </w:rPr>
      </w:pPr>
      <w:r>
        <w:rPr>
          <w:rFonts w:hint="eastAsia" w:ascii="宋体" w:hAnsi="宋体" w:cs="宋体"/>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sz w:val="24"/>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7"/>
        <w:spacing w:line="360" w:lineRule="auto"/>
        <w:ind w:firstLine="0" w:firstLineChars="0"/>
        <w:rPr>
          <w:rFonts w:cs="宋体"/>
          <w:b/>
        </w:rPr>
      </w:pPr>
      <w:r>
        <w:rPr>
          <w:rFonts w:hint="eastAsia" w:cs="宋体"/>
          <w:b/>
        </w:rPr>
        <w:t>29.验收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sz w:val="18"/>
          <w:szCs w:val="18"/>
        </w:rPr>
      </w:pPr>
      <w:r>
        <w:rPr>
          <w:rFonts w:hint="eastAsia" w:ascii="宋体" w:hAnsi="宋体" w:cs="宋体"/>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7"/>
    <w:p>
      <w:pPr>
        <w:tabs>
          <w:tab w:val="left" w:pos="0"/>
        </w:tabs>
        <w:spacing w:line="360" w:lineRule="auto"/>
        <w:ind w:firstLine="480"/>
        <w:rPr>
          <w:rFonts w:ascii="宋体" w:hAnsi="宋体" w:cs="宋体"/>
          <w:kern w:val="0"/>
          <w:sz w:val="24"/>
        </w:rPr>
        <w:sectPr>
          <w:footerReference r:id="rId8" w:type="default"/>
          <w:pgSz w:w="11906" w:h="16838"/>
          <w:pgMar w:top="680" w:right="1418" w:bottom="468" w:left="1418" w:header="851" w:footer="992" w:gutter="0"/>
          <w:pgNumType w:start="1"/>
          <w:cols w:space="720" w:num="1"/>
          <w:docGrid w:linePitch="312" w:charSpace="0"/>
        </w:sectPr>
      </w:pPr>
      <w:bookmarkStart w:id="18" w:name="_Hlt74707468"/>
      <w:bookmarkEnd w:id="18"/>
      <w:bookmarkStart w:id="19" w:name="_Hlt68073093"/>
      <w:bookmarkEnd w:id="19"/>
      <w:bookmarkStart w:id="20" w:name="_Hlt74730295"/>
      <w:bookmarkEnd w:id="20"/>
      <w:bookmarkStart w:id="21" w:name="_Hlt68072998"/>
      <w:bookmarkEnd w:id="21"/>
      <w:bookmarkStart w:id="22" w:name="_Hlt68057669"/>
      <w:bookmarkEnd w:id="22"/>
      <w:bookmarkStart w:id="23" w:name="_Hlt68403820"/>
      <w:bookmarkEnd w:id="23"/>
      <w:bookmarkStart w:id="24" w:name="_Hlt68072990"/>
      <w:bookmarkEnd w:id="24"/>
      <w:bookmarkStart w:id="25" w:name="_Hlt74714665"/>
      <w:bookmarkEnd w:id="25"/>
      <w:bookmarkStart w:id="26" w:name="_Hlt75236290"/>
      <w:bookmarkEnd w:id="26"/>
      <w:bookmarkStart w:id="27" w:name="_Hlt75236101"/>
      <w:bookmarkEnd w:id="27"/>
      <w:bookmarkStart w:id="28" w:name="_Hlt75236011"/>
      <w:bookmarkEnd w:id="28"/>
      <w:bookmarkStart w:id="29" w:name="_Hlt74729768"/>
      <w:bookmarkEnd w:id="29"/>
    </w:p>
    <w:bookmarkEnd w:id="11"/>
    <w:bookmarkEnd w:id="12"/>
    <w:p>
      <w:pPr>
        <w:spacing w:line="360" w:lineRule="auto"/>
        <w:jc w:val="center"/>
        <w:outlineLvl w:val="0"/>
        <w:rPr>
          <w:rFonts w:ascii="宋体" w:hAnsi="宋体" w:cs="宋体"/>
          <w:b/>
          <w:sz w:val="36"/>
          <w:szCs w:val="36"/>
        </w:rPr>
      </w:pPr>
      <w:bookmarkStart w:id="30" w:name="第四部分"/>
      <w:r>
        <w:rPr>
          <w:rFonts w:hint="eastAsia" w:ascii="宋体" w:hAnsi="宋体" w:cs="宋体"/>
          <w:b/>
          <w:sz w:val="36"/>
          <w:szCs w:val="36"/>
        </w:rPr>
        <w:t>第三部分   采购需求</w:t>
      </w:r>
    </w:p>
    <w:p>
      <w:pPr>
        <w:pStyle w:val="519"/>
        <w:rPr>
          <w:rFonts w:hint="eastAsia" w:ascii="宋体" w:hAnsi="宋体" w:eastAsia="仿宋_GB2312" w:cs="宋体"/>
          <w:kern w:val="0"/>
          <w:sz w:val="24"/>
          <w:szCs w:val="24"/>
          <w:lang w:val="en-US" w:eastAsia="zh-CN"/>
        </w:rPr>
      </w:pPr>
      <w:r>
        <w:rPr>
          <w:rFonts w:hint="eastAsia" w:ascii="宋体" w:hAnsi="宋体" w:cs="宋体"/>
          <w:b/>
          <w:bCs/>
          <w:sz w:val="24"/>
          <w:szCs w:val="24"/>
        </w:rPr>
        <w:t>本项目</w:t>
      </w:r>
      <w:r>
        <w:rPr>
          <w:rFonts w:ascii="宋体" w:hAnsi="宋体" w:cs="宋体"/>
          <w:b/>
          <w:bCs/>
          <w:sz w:val="24"/>
          <w:szCs w:val="24"/>
        </w:rPr>
        <w:t>核心产品</w:t>
      </w:r>
      <w:r>
        <w:rPr>
          <w:rFonts w:hint="eastAsia" w:ascii="宋体" w:hAnsi="宋体" w:cs="宋体"/>
          <w:b/>
          <w:bCs/>
          <w:sz w:val="24"/>
          <w:szCs w:val="24"/>
        </w:rPr>
        <w:t>：</w:t>
      </w:r>
      <w:r>
        <w:rPr>
          <w:rFonts w:hint="eastAsia"/>
          <w:sz w:val="24"/>
          <w:szCs w:val="24"/>
        </w:rPr>
        <w:t>教师机</w:t>
      </w:r>
      <w:r>
        <w:rPr>
          <w:rFonts w:hint="eastAsia" w:ascii="宋体" w:hAnsi="宋体" w:cs="宋体"/>
          <w:kern w:val="0"/>
          <w:sz w:val="24"/>
          <w:szCs w:val="24"/>
        </w:rPr>
        <w:t>（全套）、</w:t>
      </w:r>
      <w:r>
        <w:rPr>
          <w:rFonts w:hint="eastAsia"/>
          <w:sz w:val="24"/>
          <w:szCs w:val="24"/>
        </w:rPr>
        <w:t>教师机（主机）、学生计算机1（I5全套）、学生微型计算机2（</w:t>
      </w:r>
      <w:r>
        <w:rPr>
          <w:rFonts w:hint="eastAsia" w:ascii="宋体" w:hAnsi="宋体" w:cs="宋体"/>
          <w:kern w:val="0"/>
          <w:sz w:val="24"/>
          <w:szCs w:val="24"/>
        </w:rPr>
        <w:t>i3</w:t>
      </w:r>
      <w:r>
        <w:rPr>
          <w:rFonts w:hint="eastAsia"/>
          <w:sz w:val="24"/>
          <w:szCs w:val="24"/>
        </w:rPr>
        <w:t>全套）、</w:t>
      </w:r>
      <w:r>
        <w:rPr>
          <w:rFonts w:hint="eastAsia" w:ascii="宋体" w:hAnsi="宋体" w:cs="宋体"/>
          <w:kern w:val="0"/>
          <w:sz w:val="24"/>
          <w:szCs w:val="24"/>
        </w:rPr>
        <w:t>笔记本</w:t>
      </w:r>
      <w:r>
        <w:rPr>
          <w:rFonts w:hint="eastAsia" w:ascii="宋体" w:hAnsi="宋体" w:cs="宋体"/>
          <w:kern w:val="0"/>
          <w:sz w:val="24"/>
          <w:szCs w:val="24"/>
          <w:lang w:val="en-US" w:eastAsia="zh-CN"/>
        </w:rPr>
        <w:t>电脑</w:t>
      </w:r>
      <w:bookmarkStart w:id="566" w:name="_GoBack"/>
      <w:bookmarkEnd w:id="566"/>
    </w:p>
    <w:p>
      <w:pPr>
        <w:pStyle w:val="27"/>
        <w:ind w:left="0" w:leftChars="0"/>
        <w:rPr>
          <w:sz w:val="24"/>
          <w:szCs w:val="24"/>
        </w:rPr>
      </w:pPr>
    </w:p>
    <w:p>
      <w:pPr>
        <w:spacing w:line="360" w:lineRule="auto"/>
        <w:rPr>
          <w:rFonts w:ascii="宋体" w:hAnsi="宋体"/>
          <w:b/>
          <w:sz w:val="24"/>
          <w:szCs w:val="24"/>
        </w:rPr>
      </w:pPr>
      <w:r>
        <w:rPr>
          <w:rFonts w:hint="eastAsia" w:ascii="宋体" w:hAnsi="宋体"/>
          <w:b/>
          <w:sz w:val="24"/>
          <w:szCs w:val="24"/>
        </w:rPr>
        <w:t>一、采购内容、规格及要求</w:t>
      </w:r>
    </w:p>
    <w:p>
      <w:pPr>
        <w:pStyle w:val="2"/>
        <w:numPr>
          <w:ilvl w:val="0"/>
          <w:numId w:val="2"/>
        </w:numPr>
        <w:spacing w:line="400" w:lineRule="exact"/>
        <w:rPr>
          <w:rFonts w:ascii="宋体" w:hAnsi="宋体"/>
          <w:b w:val="0"/>
          <w:sz w:val="24"/>
          <w:szCs w:val="24"/>
        </w:rPr>
      </w:pPr>
      <w:r>
        <w:rPr>
          <w:rFonts w:hint="eastAsia" w:ascii="宋体" w:hAnsi="宋体"/>
          <w:b w:val="0"/>
          <w:sz w:val="24"/>
          <w:szCs w:val="24"/>
        </w:rPr>
        <w:t>采购清单</w:t>
      </w:r>
    </w:p>
    <w:tbl>
      <w:tblPr>
        <w:tblStyle w:val="63"/>
        <w:tblW w:w="808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089"/>
        <w:gridCol w:w="1108"/>
        <w:gridCol w:w="1083"/>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68" w:type="dxa"/>
            <w:vAlign w:val="center"/>
          </w:tcPr>
          <w:p>
            <w:pPr>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序号</w:t>
            </w:r>
          </w:p>
        </w:tc>
        <w:tc>
          <w:tcPr>
            <w:tcW w:w="3089" w:type="dxa"/>
            <w:vAlign w:val="center"/>
          </w:tcPr>
          <w:p>
            <w:pPr>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商品名称</w:t>
            </w:r>
          </w:p>
        </w:tc>
        <w:tc>
          <w:tcPr>
            <w:tcW w:w="1108" w:type="dxa"/>
            <w:vAlign w:val="center"/>
          </w:tcPr>
          <w:p>
            <w:pPr>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单位</w:t>
            </w:r>
          </w:p>
        </w:tc>
        <w:tc>
          <w:tcPr>
            <w:tcW w:w="1083" w:type="dxa"/>
            <w:vAlign w:val="center"/>
          </w:tcPr>
          <w:p>
            <w:pPr>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数量</w:t>
            </w:r>
          </w:p>
        </w:tc>
        <w:tc>
          <w:tcPr>
            <w:tcW w:w="2139" w:type="dxa"/>
          </w:tcPr>
          <w:p>
            <w:pPr>
              <w:jc w:val="center"/>
              <w:rPr>
                <w:b/>
                <w:color w:val="000000" w:themeColor="text1"/>
                <w:sz w:val="24"/>
                <w:szCs w:val="24"/>
                <w14:textFill>
                  <w14:solidFill>
                    <w14:schemeClr w14:val="tx1"/>
                  </w14:solidFill>
                </w14:textFill>
              </w:rPr>
            </w:pPr>
          </w:p>
          <w:p>
            <w:pPr>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68" w:type="dxa"/>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教师机</w:t>
            </w:r>
            <w:r>
              <w:rPr>
                <w:rFonts w:hint="eastAsia" w:ascii="宋体" w:hAnsi="宋体" w:cs="宋体"/>
                <w:color w:val="000000" w:themeColor="text1"/>
                <w:kern w:val="0"/>
                <w:sz w:val="24"/>
                <w:szCs w:val="24"/>
                <w14:textFill>
                  <w14:solidFill>
                    <w14:schemeClr w14:val="tx1"/>
                  </w14:solidFill>
                </w14:textFill>
              </w:rPr>
              <w:t>（全套）</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套</w:t>
            </w:r>
          </w:p>
        </w:tc>
        <w:tc>
          <w:tcPr>
            <w:tcW w:w="1083" w:type="dxa"/>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314</w:t>
            </w:r>
          </w:p>
        </w:tc>
        <w:tc>
          <w:tcPr>
            <w:tcW w:w="2139" w:type="dxa"/>
          </w:tcPr>
          <w:p>
            <w:pPr>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教师机（主机）</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套</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64</w:t>
            </w:r>
          </w:p>
        </w:tc>
        <w:tc>
          <w:tcPr>
            <w:tcW w:w="2139" w:type="dxa"/>
          </w:tcPr>
          <w:p>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学生计算机1（I5全套）</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套</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56</w:t>
            </w:r>
          </w:p>
        </w:tc>
        <w:tc>
          <w:tcPr>
            <w:tcW w:w="2139" w:type="dxa"/>
          </w:tcPr>
          <w:p>
            <w:pPr>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学生微型计算机2（</w:t>
            </w:r>
            <w:r>
              <w:rPr>
                <w:rFonts w:hint="eastAsia" w:ascii="宋体" w:hAnsi="宋体" w:cs="宋体"/>
                <w:color w:val="000000" w:themeColor="text1"/>
                <w:kern w:val="0"/>
                <w:sz w:val="24"/>
                <w:szCs w:val="24"/>
                <w14:textFill>
                  <w14:solidFill>
                    <w14:schemeClr w14:val="tx1"/>
                  </w14:solidFill>
                </w14:textFill>
              </w:rPr>
              <w:t>i3</w:t>
            </w:r>
            <w:r>
              <w:rPr>
                <w:rFonts w:hint="eastAsia"/>
                <w:color w:val="000000" w:themeColor="text1"/>
                <w:sz w:val="24"/>
                <w:szCs w:val="24"/>
                <w14:textFill>
                  <w14:solidFill>
                    <w14:schemeClr w14:val="tx1"/>
                  </w14:solidFill>
                </w14:textFill>
              </w:rPr>
              <w:t>全套）</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套</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458</w:t>
            </w:r>
          </w:p>
        </w:tc>
        <w:tc>
          <w:tcPr>
            <w:tcW w:w="2139" w:type="dxa"/>
          </w:tcPr>
          <w:p>
            <w:pPr>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学生微型计算机3（</w:t>
            </w:r>
            <w:r>
              <w:rPr>
                <w:rFonts w:hint="eastAsia" w:ascii="宋体" w:hAnsi="宋体" w:cs="宋体"/>
                <w:color w:val="000000" w:themeColor="text1"/>
                <w:kern w:val="0"/>
                <w:sz w:val="24"/>
                <w:szCs w:val="24"/>
                <w14:textFill>
                  <w14:solidFill>
                    <w14:schemeClr w14:val="tx1"/>
                  </w14:solidFill>
                </w14:textFill>
              </w:rPr>
              <w:t>i3</w:t>
            </w:r>
            <w:r>
              <w:rPr>
                <w:rFonts w:hint="eastAsia"/>
                <w:color w:val="000000" w:themeColor="text1"/>
                <w:sz w:val="24"/>
                <w:szCs w:val="24"/>
                <w14:textFill>
                  <w14:solidFill>
                    <w14:schemeClr w14:val="tx1"/>
                  </w14:solidFill>
                </w14:textFill>
              </w:rPr>
              <w:t>主机）</w:t>
            </w:r>
          </w:p>
        </w:tc>
        <w:tc>
          <w:tcPr>
            <w:tcW w:w="1108" w:type="dxa"/>
            <w:vAlign w:val="center"/>
          </w:tcPr>
          <w:p>
            <w:pPr>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台</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46</w:t>
            </w:r>
          </w:p>
        </w:tc>
        <w:tc>
          <w:tcPr>
            <w:tcW w:w="2139" w:type="dxa"/>
          </w:tcPr>
          <w:p>
            <w:pPr>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w:t>
            </w:r>
          </w:p>
        </w:tc>
        <w:tc>
          <w:tcPr>
            <w:tcW w:w="3089" w:type="dxa"/>
            <w:vAlign w:val="center"/>
          </w:tcPr>
          <w:p>
            <w:pPr>
              <w:tabs>
                <w:tab w:val="center" w:pos="1436"/>
              </w:tabs>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笔记本</w:t>
            </w:r>
            <w:r>
              <w:rPr>
                <w:rFonts w:hint="eastAsia"/>
                <w:color w:val="000000" w:themeColor="text1"/>
                <w:sz w:val="24"/>
                <w:szCs w:val="24"/>
                <w:lang w:val="en-US" w:eastAsia="zh-CN"/>
                <w14:textFill>
                  <w14:solidFill>
                    <w14:schemeClr w14:val="tx1"/>
                  </w14:solidFill>
                </w14:textFill>
              </w:rPr>
              <w:t>电脑</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套</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101</w:t>
            </w:r>
          </w:p>
        </w:tc>
        <w:tc>
          <w:tcPr>
            <w:tcW w:w="2139" w:type="dxa"/>
          </w:tcPr>
          <w:p>
            <w:pPr>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口交换机</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台</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36</w:t>
            </w:r>
          </w:p>
        </w:tc>
        <w:tc>
          <w:tcPr>
            <w:tcW w:w="2139" w:type="dxa"/>
          </w:tcPr>
          <w:p>
            <w:pPr>
              <w:jc w:val="right"/>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教师讲台桌</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张</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11</w:t>
            </w:r>
          </w:p>
        </w:tc>
        <w:tc>
          <w:tcPr>
            <w:tcW w:w="2139" w:type="dxa"/>
          </w:tcPr>
          <w:p>
            <w:pPr>
              <w:jc w:val="right"/>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两人电脑桌</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张</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259</w:t>
            </w:r>
          </w:p>
        </w:tc>
        <w:tc>
          <w:tcPr>
            <w:tcW w:w="2139" w:type="dxa"/>
          </w:tcPr>
          <w:p>
            <w:pPr>
              <w:jc w:val="right"/>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10</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电脑凳</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张</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518</w:t>
            </w:r>
          </w:p>
        </w:tc>
        <w:tc>
          <w:tcPr>
            <w:tcW w:w="2139" w:type="dxa"/>
          </w:tcPr>
          <w:p>
            <w:pPr>
              <w:jc w:val="right"/>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11</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电脑教室教学控制软件</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套</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w:t>
            </w:r>
          </w:p>
        </w:tc>
        <w:tc>
          <w:tcPr>
            <w:tcW w:w="2139" w:type="dxa"/>
          </w:tcPr>
          <w:p>
            <w:pPr>
              <w:jc w:val="right"/>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附件及系统集成（信息点）</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套</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576</w:t>
            </w:r>
          </w:p>
        </w:tc>
        <w:tc>
          <w:tcPr>
            <w:tcW w:w="2139" w:type="dxa"/>
          </w:tcPr>
          <w:p>
            <w:pPr>
              <w:jc w:val="left"/>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13</w:t>
            </w:r>
          </w:p>
        </w:tc>
        <w:tc>
          <w:tcPr>
            <w:tcW w:w="3089" w:type="dxa"/>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陶瓷防静电地板</w:t>
            </w:r>
          </w:p>
        </w:tc>
        <w:tc>
          <w:tcPr>
            <w:tcW w:w="110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平方米</w:t>
            </w:r>
          </w:p>
        </w:tc>
        <w:tc>
          <w:tcPr>
            <w:tcW w:w="108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1000</w:t>
            </w:r>
          </w:p>
        </w:tc>
        <w:tc>
          <w:tcPr>
            <w:tcW w:w="2139" w:type="dxa"/>
          </w:tcPr>
          <w:p>
            <w:pPr>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安装面积按实结算（损耗考虑在综合报价中）</w:t>
            </w:r>
          </w:p>
        </w:tc>
      </w:tr>
    </w:tbl>
    <w:p>
      <w:pPr>
        <w:rPr>
          <w:sz w:val="24"/>
          <w:szCs w:val="24"/>
        </w:rPr>
      </w:pPr>
    </w:p>
    <w:p>
      <w:pPr>
        <w:pStyle w:val="2"/>
        <w:numPr>
          <w:ilvl w:val="0"/>
          <w:numId w:val="2"/>
        </w:numPr>
        <w:spacing w:line="400" w:lineRule="exact"/>
        <w:rPr>
          <w:rFonts w:ascii="宋体" w:hAnsi="宋体"/>
          <w:b w:val="0"/>
          <w:sz w:val="24"/>
          <w:szCs w:val="24"/>
        </w:rPr>
      </w:pPr>
      <w:r>
        <w:rPr>
          <w:rFonts w:hint="eastAsia" w:ascii="宋体" w:hAnsi="宋体"/>
          <w:b w:val="0"/>
          <w:sz w:val="24"/>
          <w:szCs w:val="24"/>
        </w:rPr>
        <w:t>技术参数要求</w:t>
      </w:r>
    </w:p>
    <w:p>
      <w:pPr>
        <w:rPr>
          <w:sz w:val="24"/>
          <w:szCs w:val="24"/>
        </w:rPr>
      </w:pPr>
    </w:p>
    <w:tbl>
      <w:tblPr>
        <w:tblStyle w:val="63"/>
        <w:tblW w:w="8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992"/>
        <w:gridCol w:w="6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83" w:type="dxa"/>
            <w:vAlign w:val="center"/>
          </w:tcPr>
          <w:p>
            <w:pPr>
              <w:jc w:val="center"/>
              <w:rPr>
                <w:rFonts w:ascii="宋体" w:hAnsi="宋体" w:cs="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序号</w:t>
            </w:r>
          </w:p>
        </w:tc>
        <w:tc>
          <w:tcPr>
            <w:tcW w:w="992" w:type="dxa"/>
            <w:vAlign w:val="center"/>
          </w:tcPr>
          <w:p>
            <w:pPr>
              <w:jc w:val="center"/>
              <w:rPr>
                <w:rFonts w:ascii="宋体" w:hAnsi="宋体" w:cs="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商品名称</w:t>
            </w:r>
          </w:p>
        </w:tc>
        <w:tc>
          <w:tcPr>
            <w:tcW w:w="6826" w:type="dxa"/>
            <w:vAlign w:val="center"/>
          </w:tcPr>
          <w:p>
            <w:pPr>
              <w:jc w:val="center"/>
              <w:rPr>
                <w:rFonts w:ascii="宋体" w:hAnsi="宋体" w:cs="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dxa"/>
            <w:vAlign w:val="center"/>
          </w:tcPr>
          <w:p>
            <w:pPr>
              <w:numPr>
                <w:ilvl w:val="0"/>
                <w:numId w:val="3"/>
              </w:numPr>
              <w:jc w:val="center"/>
              <w:rPr>
                <w:rFonts w:ascii="宋体" w:hAnsi="宋体" w:cs="宋体"/>
                <w:color w:val="000000" w:themeColor="text1"/>
                <w:sz w:val="24"/>
                <w:szCs w:val="24"/>
                <w14:textFill>
                  <w14:solidFill>
                    <w14:schemeClr w14:val="tx1"/>
                  </w14:solidFill>
                </w14:textFill>
              </w:rPr>
            </w:pPr>
          </w:p>
        </w:tc>
        <w:tc>
          <w:tcPr>
            <w:tcW w:w="992" w:type="dxa"/>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教师机1（全套）</w:t>
            </w:r>
          </w:p>
        </w:tc>
        <w:tc>
          <w:tcPr>
            <w:tcW w:w="6826" w:type="dxa"/>
          </w:tcPr>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1．商用计算</w:t>
            </w:r>
            <w:r>
              <w:rPr>
                <w:rFonts w:ascii="宋体" w:hAnsi="宋体"/>
                <w:color w:val="000000" w:themeColor="text1"/>
                <w:sz w:val="24"/>
                <w:szCs w:val="24"/>
                <w14:textFill>
                  <w14:solidFill>
                    <w14:schemeClr w14:val="tx1"/>
                  </w14:solidFill>
                </w14:textFill>
              </w:rPr>
              <w:t>机；</w:t>
            </w:r>
            <w:r>
              <w:rPr>
                <w:rFonts w:hint="eastAsia" w:ascii="宋体" w:hAnsi="宋体"/>
                <w:color w:val="000000" w:themeColor="text1"/>
                <w:sz w:val="24"/>
                <w:szCs w:val="24"/>
                <w14:textFill>
                  <w14:solidFill>
                    <w14:schemeClr w14:val="tx1"/>
                  </w14:solidFill>
                </w14:textFill>
              </w:rPr>
              <w:t xml:space="preserve"> </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2．与主机同品牌，</w:t>
            </w:r>
            <w:r>
              <w:rPr>
                <w:rFonts w:ascii="宋体" w:hAnsi="宋体"/>
                <w:color w:val="000000" w:themeColor="text1"/>
                <w:sz w:val="24"/>
                <w:szCs w:val="24"/>
                <w14:textFill>
                  <w14:solidFill>
                    <w14:schemeClr w14:val="tx1"/>
                  </w14:solidFill>
                </w14:textFill>
              </w:rPr>
              <w:t>21.5</w:t>
            </w:r>
            <w:r>
              <w:rPr>
                <w:rFonts w:hint="eastAsia" w:ascii="宋体" w:hAnsi="宋体"/>
                <w:color w:val="000000" w:themeColor="text1"/>
                <w:sz w:val="24"/>
                <w:szCs w:val="24"/>
                <w14:textFill>
                  <w14:solidFill>
                    <w14:schemeClr w14:val="tx1"/>
                  </w14:solidFill>
                </w14:textFill>
              </w:rPr>
              <w:t>寸宽屏防眩光液晶显示器</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（VGA+高清接口,通过TUV低蓝光护眼认证）</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分辨率：1920*1080，仰角可调节</w:t>
            </w:r>
            <w:r>
              <w:rPr>
                <w:rFonts w:hint="eastAsia" w:ascii="仿宋" w:hAnsi="仿宋" w:eastAsia="仿宋" w:cs="仿宋"/>
                <w:color w:val="000000" w:themeColor="text1"/>
                <w:sz w:val="24"/>
                <w:szCs w:val="24"/>
                <w14:textFill>
                  <w14:solidFill>
                    <w14:schemeClr w14:val="tx1"/>
                  </w14:solidFill>
                </w14:textFill>
              </w:rPr>
              <w:t>。</w:t>
            </w:r>
          </w:p>
          <w:p>
            <w:pPr>
              <w:contextualSpacing/>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Intel B660或H670芯片组相当或以上的。</w:t>
            </w:r>
          </w:p>
          <w:p>
            <w:pPr>
              <w:contextualSpacing/>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C</w:t>
            </w:r>
            <w:r>
              <w:rPr>
                <w:rFonts w:ascii="宋体" w:hAnsi="宋体"/>
                <w:color w:val="000000" w:themeColor="text1"/>
                <w:sz w:val="24"/>
                <w:szCs w:val="24"/>
                <w14:textFill>
                  <w14:solidFill>
                    <w14:schemeClr w14:val="tx1"/>
                  </w14:solidFill>
                </w14:textFill>
              </w:rPr>
              <w:t>PU</w:t>
            </w:r>
            <w:r>
              <w:rPr>
                <w:rFonts w:hint="eastAsia" w:ascii="宋体" w:hAnsi="宋体"/>
                <w:color w:val="000000" w:themeColor="text1"/>
                <w:sz w:val="24"/>
                <w:szCs w:val="24"/>
                <w14:textFill>
                  <w14:solidFill>
                    <w14:schemeClr w14:val="tx1"/>
                  </w14:solidFill>
                </w14:textFill>
              </w:rPr>
              <w:t>英特尔酷睿i5-12500(</w:t>
            </w:r>
            <w:r>
              <w:rPr>
                <w:rFonts w:hint="eastAsia" w:ascii="宋体" w:hAnsi="宋体"/>
                <w:color w:val="000000" w:themeColor="text1"/>
                <w:sz w:val="24"/>
                <w:szCs w:val="24"/>
                <w:u w:val="single"/>
                <w14:textFill>
                  <w14:solidFill>
                    <w14:schemeClr w14:val="tx1"/>
                  </w14:solidFill>
                </w14:textFill>
              </w:rPr>
              <w:t>3G</w:t>
            </w:r>
            <w:r>
              <w:rPr>
                <w:rFonts w:hint="eastAsia" w:ascii="宋体" w:hAnsi="宋体"/>
                <w:color w:val="000000" w:themeColor="text1"/>
                <w:sz w:val="24"/>
                <w:szCs w:val="24"/>
                <w14:textFill>
                  <w14:solidFill>
                    <w14:schemeClr w14:val="tx1"/>
                  </w14:solidFill>
                </w14:textFill>
              </w:rPr>
              <w:t>/18M/6核)</w:t>
            </w:r>
            <w:r>
              <w:rPr>
                <w:rFonts w:hint="eastAsia"/>
                <w:color w:val="000000" w:themeColor="text1"/>
                <w:sz w:val="24"/>
                <w:szCs w:val="24"/>
                <w14:textFill>
                  <w14:solidFill>
                    <w14:schemeClr w14:val="tx1"/>
                  </w14:solidFill>
                </w14:textFill>
              </w:rPr>
              <w:t>或以上</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 xml:space="preserve"> </w:t>
            </w:r>
          </w:p>
          <w:p>
            <w:pPr>
              <w:contextualSpacing/>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内存≥</w:t>
            </w:r>
            <w:r>
              <w:rPr>
                <w:rFonts w:ascii="宋体" w:hAnsi="宋体"/>
                <w:color w:val="000000" w:themeColor="text1"/>
                <w:sz w:val="24"/>
                <w:szCs w:val="24"/>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G（单条） DDR4 3200Mhz</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支持双内存条插槽。</w:t>
            </w:r>
          </w:p>
          <w:p>
            <w:pPr>
              <w:contextualSpacing/>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．立式机箱≥13L，机箱钢板厚度尺寸≥0.7mm。</w:t>
            </w:r>
            <w:r>
              <w:rPr>
                <w:rFonts w:ascii="宋体" w:hAnsi="宋体"/>
                <w:color w:val="000000" w:themeColor="text1"/>
                <w:sz w:val="24"/>
                <w:szCs w:val="24"/>
                <w14:textFill>
                  <w14:solidFill>
                    <w14:schemeClr w14:val="tx1"/>
                  </w14:solidFill>
                </w14:textFill>
              </w:rPr>
              <w:t xml:space="preserve"> </w:t>
            </w:r>
          </w:p>
          <w:p>
            <w:pPr>
              <w:contextualSpacing/>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 M.2接口PCIe NVme硬盘容量≥</w:t>
            </w:r>
            <w:r>
              <w:rPr>
                <w:rFonts w:ascii="宋体" w:hAnsi="宋体"/>
                <w:color w:val="000000" w:themeColor="text1"/>
                <w:sz w:val="24"/>
                <w:szCs w:val="24"/>
                <w14:textFill>
                  <w14:solidFill>
                    <w14:schemeClr w14:val="tx1"/>
                  </w14:solidFill>
                </w14:textFill>
              </w:rPr>
              <w:t>256</w:t>
            </w:r>
            <w:r>
              <w:rPr>
                <w:rFonts w:hint="eastAsia" w:ascii="宋体" w:hAnsi="宋体"/>
                <w:color w:val="000000" w:themeColor="text1"/>
                <w:sz w:val="24"/>
                <w:szCs w:val="24"/>
                <w14:textFill>
                  <w14:solidFill>
                    <w14:schemeClr w14:val="tx1"/>
                  </w14:solidFill>
                </w14:textFill>
              </w:rPr>
              <w:t>G固态硬盘+</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T机械硬盘，支持SATA硬盘接口；支持双硬盘同时使用；</w:t>
            </w:r>
          </w:p>
          <w:p>
            <w:pPr>
              <w:contextualSpacing/>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．Intel 730集成显卡或以上，要求支持双屏显示；</w:t>
            </w:r>
          </w:p>
          <w:p>
            <w:pPr>
              <w:contextualSpacing/>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9</w:t>
            </w:r>
            <w:r>
              <w:rPr>
                <w:rFonts w:hint="eastAsia" w:ascii="宋体" w:hAnsi="宋体"/>
                <w:color w:val="000000" w:themeColor="text1"/>
                <w:sz w:val="24"/>
                <w:szCs w:val="24"/>
                <w14:textFill>
                  <w14:solidFill>
                    <w14:schemeClr w14:val="tx1"/>
                  </w14:solidFill>
                </w14:textFill>
              </w:rPr>
              <w:t>．USB接口总数≥6个 （其中：USB3.2及以上端口≥</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个）；高清接口≥1个,VGA端口≥1个；音频输入输出口。</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．10/100/1000M以太网卡；</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．电源≥240W内置电源、能效≥85%，具有国家级电源典型效率认证；</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．与主机同品牌原厂抗菌防水USB键盘/光电鼠标。</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．出厂</w:t>
            </w:r>
            <w:r>
              <w:rPr>
                <w:rFonts w:hint="eastAsia"/>
                <w:color w:val="000000" w:themeColor="text1"/>
                <w:sz w:val="24"/>
                <w:szCs w:val="24"/>
                <w14:textFill>
                  <w14:solidFill>
                    <w14:schemeClr w14:val="tx1"/>
                  </w14:solidFill>
                </w14:textFill>
              </w:rPr>
              <w:t>预装</w:t>
            </w:r>
            <w:r>
              <w:rPr>
                <w:rFonts w:hint="eastAsia" w:ascii="宋体" w:hAnsi="宋体"/>
                <w:color w:val="000000" w:themeColor="text1"/>
                <w:sz w:val="24"/>
                <w:szCs w:val="24"/>
                <w14:textFill>
                  <w14:solidFill>
                    <w14:schemeClr w14:val="tx1"/>
                  </w14:solidFill>
                </w14:textFill>
              </w:rPr>
              <w:t xml:space="preserve"> Windows</w:t>
            </w:r>
            <w:r>
              <w:rPr>
                <w:rFonts w:hint="eastAsia" w:ascii="宋体" w:hAnsi="宋体"/>
                <w:color w:val="000000" w:themeColor="text1"/>
                <w:sz w:val="24"/>
                <w:szCs w:val="24"/>
                <w:lang w:val="en-US" w:eastAsia="zh-CN"/>
                <w14:textFill>
                  <w14:solidFill>
                    <w14:schemeClr w14:val="tx1"/>
                  </w14:solidFill>
                </w14:textFill>
              </w:rPr>
              <w:t>10或以上</w:t>
            </w:r>
            <w:r>
              <w:rPr>
                <w:rFonts w:hint="eastAsia" w:ascii="宋体" w:hAnsi="宋体"/>
                <w:color w:val="000000" w:themeColor="text1"/>
                <w:sz w:val="24"/>
                <w:szCs w:val="24"/>
                <w14:textFill>
                  <w14:solidFill>
                    <w14:schemeClr w14:val="tx1"/>
                  </w14:solidFill>
                </w14:textFill>
              </w:rPr>
              <w:t xml:space="preserve">（64位）中文版； </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．权威检验中心出具的MTBF平均无故障时间 ≥</w:t>
            </w:r>
            <w:r>
              <w:rPr>
                <w:rFonts w:ascii="宋体" w:hAnsi="宋体"/>
                <w:color w:val="000000" w:themeColor="text1"/>
                <w:sz w:val="24"/>
                <w:szCs w:val="24"/>
                <w14:textFill>
                  <w14:solidFill>
                    <w14:schemeClr w14:val="tx1"/>
                  </w14:solidFill>
                </w14:textFill>
              </w:rPr>
              <w:t>100</w:t>
            </w:r>
            <w:r>
              <w:rPr>
                <w:rFonts w:hint="eastAsia" w:ascii="宋体" w:hAnsi="宋体"/>
                <w:color w:val="000000" w:themeColor="text1"/>
                <w:sz w:val="24"/>
                <w:szCs w:val="24"/>
                <w14:textFill>
                  <w14:solidFill>
                    <w14:schemeClr w14:val="tx1"/>
                  </w14:solidFill>
                </w14:textFill>
              </w:rPr>
              <w:t>0000小时，提供证书复印件；</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15．主板集成硬盘保护、网络同传功能。</w:t>
            </w:r>
          </w:p>
          <w:p>
            <w:pPr>
              <w:contextualSpacing/>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6．整机（含显示器）三年质保，质保期内免费上门服务，通过序列号官网可查询质保服务内容，签订合同前提供原厂家针对该项目的售后服务承诺书</w:t>
            </w:r>
          </w:p>
          <w:p>
            <w:pPr>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 xml:space="preserve"> 产品整机通过国家强制3C认证，提供证书复印件。</w:t>
            </w:r>
          </w:p>
          <w:p>
            <w:pPr>
              <w:contextualSpacing/>
              <w:jc w:val="left"/>
              <w:rPr>
                <w:rFonts w:ascii="宋体" w:hAnsi="宋体"/>
                <w:b/>
                <w:bCs/>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18. 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83" w:type="dxa"/>
            <w:vAlign w:val="center"/>
          </w:tcPr>
          <w:p>
            <w:pPr>
              <w:numPr>
                <w:ilvl w:val="0"/>
                <w:numId w:val="3"/>
              </w:numPr>
              <w:jc w:val="center"/>
              <w:rPr>
                <w:rFonts w:ascii="宋体" w:hAnsi="宋体"/>
                <w:color w:val="000000" w:themeColor="text1"/>
                <w:sz w:val="24"/>
                <w:szCs w:val="24"/>
                <w14:textFill>
                  <w14:solidFill>
                    <w14:schemeClr w14:val="tx1"/>
                  </w14:solidFill>
                </w14:textFill>
              </w:rPr>
            </w:pPr>
          </w:p>
        </w:tc>
        <w:tc>
          <w:tcPr>
            <w:tcW w:w="992" w:type="dxa"/>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教师机2（主机）</w:t>
            </w:r>
          </w:p>
        </w:tc>
        <w:tc>
          <w:tcPr>
            <w:tcW w:w="6826" w:type="dxa"/>
          </w:tcPr>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1．商用计算</w:t>
            </w:r>
            <w:r>
              <w:rPr>
                <w:rFonts w:ascii="宋体" w:hAnsi="宋体"/>
                <w:color w:val="000000" w:themeColor="text1"/>
                <w:sz w:val="24"/>
                <w:szCs w:val="24"/>
                <w14:textFill>
                  <w14:solidFill>
                    <w14:schemeClr w14:val="tx1"/>
                  </w14:solidFill>
                </w14:textFill>
              </w:rPr>
              <w:t>机；</w:t>
            </w:r>
            <w:r>
              <w:rPr>
                <w:rFonts w:hint="eastAsia" w:ascii="宋体" w:hAnsi="宋体"/>
                <w:color w:val="000000" w:themeColor="text1"/>
                <w:sz w:val="24"/>
                <w:szCs w:val="24"/>
                <w14:textFill>
                  <w14:solidFill>
                    <w14:schemeClr w14:val="tx1"/>
                  </w14:solidFill>
                </w14:textFill>
              </w:rPr>
              <w:t xml:space="preserve"> </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Intel B660或H670芯片组相当或以上的。</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C</w:t>
            </w:r>
            <w:r>
              <w:rPr>
                <w:rFonts w:ascii="宋体" w:hAnsi="宋体"/>
                <w:color w:val="000000" w:themeColor="text1"/>
                <w:sz w:val="24"/>
                <w:szCs w:val="24"/>
                <w14:textFill>
                  <w14:solidFill>
                    <w14:schemeClr w14:val="tx1"/>
                  </w14:solidFill>
                </w14:textFill>
              </w:rPr>
              <w:t>PU</w:t>
            </w:r>
            <w:r>
              <w:rPr>
                <w:rFonts w:hint="eastAsia" w:ascii="宋体" w:hAnsi="宋体"/>
                <w:color w:val="000000" w:themeColor="text1"/>
                <w:sz w:val="24"/>
                <w:szCs w:val="24"/>
                <w14:textFill>
                  <w14:solidFill>
                    <w14:schemeClr w14:val="tx1"/>
                  </w14:solidFill>
                </w14:textFill>
              </w:rPr>
              <w:t>英特尔酷睿i5-12500(</w:t>
            </w:r>
            <w:r>
              <w:rPr>
                <w:rFonts w:hint="eastAsia" w:ascii="宋体" w:hAnsi="宋体"/>
                <w:color w:val="000000" w:themeColor="text1"/>
                <w:sz w:val="24"/>
                <w:szCs w:val="24"/>
                <w:u w:val="single"/>
                <w14:textFill>
                  <w14:solidFill>
                    <w14:schemeClr w14:val="tx1"/>
                  </w14:solidFill>
                </w14:textFill>
              </w:rPr>
              <w:t>3G</w:t>
            </w:r>
            <w:r>
              <w:rPr>
                <w:rFonts w:hint="eastAsia" w:ascii="宋体" w:hAnsi="宋体"/>
                <w:color w:val="000000" w:themeColor="text1"/>
                <w:sz w:val="24"/>
                <w:szCs w:val="24"/>
                <w14:textFill>
                  <w14:solidFill>
                    <w14:schemeClr w14:val="tx1"/>
                  </w14:solidFill>
                </w14:textFill>
              </w:rPr>
              <w:t>/18M/6核)</w:t>
            </w:r>
            <w:r>
              <w:rPr>
                <w:rFonts w:hint="eastAsia"/>
                <w:color w:val="000000" w:themeColor="text1"/>
                <w:sz w:val="24"/>
                <w:szCs w:val="24"/>
                <w14:textFill>
                  <w14:solidFill>
                    <w14:schemeClr w14:val="tx1"/>
                  </w14:solidFill>
                </w14:textFill>
              </w:rPr>
              <w:t>或以上</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 xml:space="preserve"> </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内存≥</w:t>
            </w:r>
            <w:r>
              <w:rPr>
                <w:rFonts w:ascii="宋体" w:hAnsi="宋体"/>
                <w:color w:val="000000" w:themeColor="text1"/>
                <w:sz w:val="24"/>
                <w:szCs w:val="24"/>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G（单条） DDR4 3200Mhz</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支持双内存条插槽。</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5．立式机箱≥13L，机箱钢板厚度尺寸≥0.7mm。</w:t>
            </w:r>
            <w:r>
              <w:rPr>
                <w:rFonts w:ascii="宋体" w:hAnsi="宋体"/>
                <w:color w:val="000000" w:themeColor="text1"/>
                <w:sz w:val="24"/>
                <w:szCs w:val="24"/>
                <w14:textFill>
                  <w14:solidFill>
                    <w14:schemeClr w14:val="tx1"/>
                  </w14:solidFill>
                </w14:textFill>
              </w:rPr>
              <w:t xml:space="preserve"> </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 M.2接口PCIe NVme硬盘容量≥</w:t>
            </w:r>
            <w:r>
              <w:rPr>
                <w:rFonts w:ascii="宋体" w:hAnsi="宋体"/>
                <w:color w:val="000000" w:themeColor="text1"/>
                <w:sz w:val="24"/>
                <w:szCs w:val="24"/>
                <w14:textFill>
                  <w14:solidFill>
                    <w14:schemeClr w14:val="tx1"/>
                  </w14:solidFill>
                </w14:textFill>
              </w:rPr>
              <w:t>256</w:t>
            </w:r>
            <w:r>
              <w:rPr>
                <w:rFonts w:hint="eastAsia" w:ascii="宋体" w:hAnsi="宋体"/>
                <w:color w:val="000000" w:themeColor="text1"/>
                <w:sz w:val="24"/>
                <w:szCs w:val="24"/>
                <w14:textFill>
                  <w14:solidFill>
                    <w14:schemeClr w14:val="tx1"/>
                  </w14:solidFill>
                </w14:textFill>
              </w:rPr>
              <w:t>G固态硬盘+</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T机械硬盘，支持SATA硬盘接口；支持双硬盘同时使用；</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7．Intel 730集成显卡或以上，要求支持双屏显示；</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8．USB接口总数≥6个 （其中：USB3.2及以上端口≥</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个）；高清接口≥1个,VGA端口≥1个；音频输入输出口。</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9．10/100/1000M以太网卡；</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10．电源≥240W内置电源、能效≥85%，具有国家级电源典型效率认证；</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11．与主机同品牌原厂抗菌防水USB键盘/光电鼠标。</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12．出厂</w:t>
            </w:r>
            <w:r>
              <w:rPr>
                <w:rFonts w:hint="eastAsia"/>
                <w:color w:val="000000" w:themeColor="text1"/>
                <w:sz w:val="24"/>
                <w:szCs w:val="24"/>
                <w14:textFill>
                  <w14:solidFill>
                    <w14:schemeClr w14:val="tx1"/>
                  </w14:solidFill>
                </w14:textFill>
              </w:rPr>
              <w:t>预装</w:t>
            </w:r>
            <w:r>
              <w:rPr>
                <w:rFonts w:hint="eastAsia" w:ascii="宋体" w:hAnsi="宋体"/>
                <w:color w:val="000000" w:themeColor="text1"/>
                <w:sz w:val="24"/>
                <w:szCs w:val="24"/>
                <w14:textFill>
                  <w14:solidFill>
                    <w14:schemeClr w14:val="tx1"/>
                  </w14:solidFill>
                </w14:textFill>
              </w:rPr>
              <w:t xml:space="preserve"> Windows</w:t>
            </w:r>
            <w:r>
              <w:rPr>
                <w:rFonts w:hint="eastAsia" w:ascii="宋体" w:hAnsi="宋体"/>
                <w:color w:val="000000" w:themeColor="text1"/>
                <w:sz w:val="24"/>
                <w:szCs w:val="24"/>
                <w:lang w:val="en-US" w:eastAsia="zh-CN"/>
                <w14:textFill>
                  <w14:solidFill>
                    <w14:schemeClr w14:val="tx1"/>
                  </w14:solidFill>
                </w14:textFill>
              </w:rPr>
              <w:t>10或以上</w:t>
            </w:r>
            <w:r>
              <w:rPr>
                <w:rFonts w:hint="eastAsia" w:ascii="宋体" w:hAnsi="宋体"/>
                <w:color w:val="000000" w:themeColor="text1"/>
                <w:sz w:val="24"/>
                <w:szCs w:val="24"/>
                <w14:textFill>
                  <w14:solidFill>
                    <w14:schemeClr w14:val="tx1"/>
                  </w14:solidFill>
                </w14:textFill>
              </w:rPr>
              <w:t xml:space="preserve">（64位）中文版； </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13．权威检验中心出具的MTBF平均无故障时间 ≥</w:t>
            </w:r>
            <w:r>
              <w:rPr>
                <w:rFonts w:ascii="宋体" w:hAnsi="宋体"/>
                <w:color w:val="000000" w:themeColor="text1"/>
                <w:sz w:val="24"/>
                <w:szCs w:val="24"/>
                <w14:textFill>
                  <w14:solidFill>
                    <w14:schemeClr w14:val="tx1"/>
                  </w14:solidFill>
                </w14:textFill>
              </w:rPr>
              <w:t>100</w:t>
            </w:r>
            <w:r>
              <w:rPr>
                <w:rFonts w:hint="eastAsia" w:ascii="宋体" w:hAnsi="宋体"/>
                <w:color w:val="000000" w:themeColor="text1"/>
                <w:sz w:val="24"/>
                <w:szCs w:val="24"/>
                <w14:textFill>
                  <w14:solidFill>
                    <w14:schemeClr w14:val="tx1"/>
                  </w14:solidFill>
                </w14:textFill>
              </w:rPr>
              <w:t>0000小时，提供证书复印件；</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14．主板集成硬盘保护、网络同传功能。</w:t>
            </w:r>
          </w:p>
          <w:p>
            <w:pPr>
              <w:contextualSpacing/>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5．整机（含显示器）三年质保，质保期内免费上门服务，通过序列号官网可查询质保服务内容，签订合同前提供原厂家针对该项目的售后服务承诺书</w:t>
            </w:r>
          </w:p>
          <w:p>
            <w:pPr>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 xml:space="preserve"> 产品整机通过国家强制3C认证，提供证书复印件。</w:t>
            </w:r>
          </w:p>
          <w:p>
            <w:pPr>
              <w:contextualSpacing/>
              <w:jc w:val="left"/>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 产品整机需原厂出品，不支持另外加装。</w:t>
            </w:r>
            <w:r>
              <w:rPr>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0" w:hRule="atLeast"/>
          <w:jc w:val="center"/>
        </w:trPr>
        <w:tc>
          <w:tcPr>
            <w:tcW w:w="483" w:type="dxa"/>
            <w:vAlign w:val="center"/>
          </w:tcPr>
          <w:p>
            <w:pPr>
              <w:numPr>
                <w:ilvl w:val="0"/>
                <w:numId w:val="3"/>
              </w:numPr>
              <w:jc w:val="center"/>
              <w:rPr>
                <w:rFonts w:ascii="宋体" w:hAnsi="宋体"/>
                <w:color w:val="000000" w:themeColor="text1"/>
                <w:sz w:val="24"/>
                <w:szCs w:val="24"/>
                <w14:textFill>
                  <w14:solidFill>
                    <w14:schemeClr w14:val="tx1"/>
                  </w14:solidFill>
                </w14:textFill>
              </w:rPr>
            </w:pPr>
          </w:p>
        </w:tc>
        <w:tc>
          <w:tcPr>
            <w:tcW w:w="992" w:type="dxa"/>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学生计算机1</w:t>
            </w:r>
            <w:r>
              <w:rPr>
                <w:rFonts w:hint="eastAsia" w:ascii="宋体" w:hAnsi="宋体" w:cs="宋体"/>
                <w:color w:val="000000" w:themeColor="text1"/>
                <w:kern w:val="0"/>
                <w:sz w:val="24"/>
                <w:szCs w:val="24"/>
                <w14:textFill>
                  <w14:solidFill>
                    <w14:schemeClr w14:val="tx1"/>
                  </w14:solidFill>
                </w14:textFill>
              </w:rPr>
              <w:t>（全套）</w:t>
            </w:r>
          </w:p>
        </w:tc>
        <w:tc>
          <w:tcPr>
            <w:tcW w:w="6826" w:type="dxa"/>
          </w:tcPr>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1．商用计算机； </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2．与主机同品牌，21.5寸宽屏防眩光液晶显示器，（VGA+高清接口,通过TUV低蓝光护眼认证）；分辨率：1920*1080，仰角可调节。</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 xml:space="preserve">Intel </w:t>
            </w:r>
            <w:r>
              <w:rPr>
                <w:rFonts w:hint="eastAsia" w:ascii="宋体" w:hAnsi="宋体"/>
                <w:color w:val="000000" w:themeColor="text1"/>
                <w:sz w:val="24"/>
                <w:szCs w:val="24"/>
                <w14:textFill>
                  <w14:solidFill>
                    <w14:schemeClr w14:val="tx1"/>
                  </w14:solidFill>
                </w14:textFill>
              </w:rPr>
              <w:t>B660或H670</w:t>
            </w:r>
            <w:r>
              <w:rPr>
                <w:rFonts w:hint="eastAsia"/>
                <w:color w:val="000000" w:themeColor="text1"/>
                <w:sz w:val="24"/>
                <w:szCs w:val="24"/>
                <w14:textFill>
                  <w14:solidFill>
                    <w14:schemeClr w14:val="tx1"/>
                  </w14:solidFill>
                </w14:textFill>
              </w:rPr>
              <w:t>芯片组相当或以上的。</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 xml:space="preserve">CPU英特尔酷睿i5-12500(3G/18M/6核)或以上； </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内存≥8G（单条） DDR4 3200Mhz；支持双内存条插槽。</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6．立式机箱≥13L，机箱钢板厚度尺寸≥0.7mm。 </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 M.2接口PCIe NVme硬盘容量≥256G固态硬盘+1T机械硬盘，支持SATA硬盘接口；支持双硬盘同时使用；</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8．Intel 730集成显卡或以上，要求支持双屏显示；</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9．USB接口总数≥6个 （其中：USB3.2及以上端口≥4个）；高清接口≥1个,VGA端口≥1个；音频输入输出口。</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10．10/100/1000M以太网卡；</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11．电源≥240W内置电源、能效≥85%，具有国家级电源典型效率认证；</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12．与主机同品牌原厂抗菌防水USB键盘/光电鼠标/标配耳麦（</w:t>
            </w:r>
            <w:r>
              <w:rPr>
                <w:rFonts w:hint="eastAsia" w:ascii="宋体" w:hAnsi="宋体" w:cs="宋体"/>
                <w:color w:val="000000" w:themeColor="text1"/>
                <w:kern w:val="0"/>
                <w:sz w:val="24"/>
                <w:szCs w:val="24"/>
                <w14:textFill>
                  <w14:solidFill>
                    <w14:schemeClr w14:val="tx1"/>
                  </w14:solidFill>
                </w14:textFill>
              </w:rPr>
              <w:t>与</w:t>
            </w:r>
            <w:r>
              <w:rPr>
                <w:rFonts w:hint="eastAsia"/>
                <w:color w:val="000000" w:themeColor="text1"/>
                <w:sz w:val="24"/>
                <w:szCs w:val="24"/>
                <w14:textFill>
                  <w14:solidFill>
                    <w14:schemeClr w14:val="tx1"/>
                  </w14:solidFill>
                </w14:textFill>
              </w:rPr>
              <w:t>音频输入输出</w:t>
            </w:r>
            <w:r>
              <w:rPr>
                <w:rFonts w:hint="eastAsia" w:ascii="宋体" w:hAnsi="宋体" w:cs="宋体"/>
                <w:color w:val="000000" w:themeColor="text1"/>
                <w:kern w:val="0"/>
                <w:sz w:val="24"/>
                <w:szCs w:val="24"/>
                <w14:textFill>
                  <w14:solidFill>
                    <w14:schemeClr w14:val="tx1"/>
                  </w14:solidFill>
                </w14:textFill>
              </w:rPr>
              <w:t>接口</w:t>
            </w:r>
            <w:r>
              <w:rPr>
                <w:rFonts w:hint="eastAsia"/>
                <w:color w:val="000000" w:themeColor="text1"/>
                <w:sz w:val="24"/>
                <w:szCs w:val="24"/>
                <w14:textFill>
                  <w14:solidFill>
                    <w14:schemeClr w14:val="tx1"/>
                  </w14:solidFill>
                </w14:textFill>
              </w:rPr>
              <w:t>匹配）。</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13．</w:t>
            </w:r>
            <w:r>
              <w:rPr>
                <w:rFonts w:hint="eastAsia" w:ascii="宋体" w:hAnsi="宋体"/>
                <w:color w:val="000000" w:themeColor="text1"/>
                <w:sz w:val="24"/>
                <w:szCs w:val="24"/>
                <w14:textFill>
                  <w14:solidFill>
                    <w14:schemeClr w14:val="tx1"/>
                  </w14:solidFill>
                </w14:textFill>
              </w:rPr>
              <w:t>出厂预装Windows（64位）中文版</w:t>
            </w:r>
            <w:r>
              <w:rPr>
                <w:rFonts w:hint="eastAsia"/>
                <w:color w:val="000000" w:themeColor="text1"/>
                <w:sz w:val="24"/>
                <w:szCs w:val="24"/>
                <w14:textFill>
                  <w14:solidFill>
                    <w14:schemeClr w14:val="tx1"/>
                  </w14:solidFill>
                </w14:textFill>
              </w:rPr>
              <w:t xml:space="preserve">； </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14．权威检验中心出具的MTBF平均无故障时间 ≥1000000小时，提供证书复印件；</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15．主板集成硬盘保护、网络同传功能。</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16．整机（含显示器）三年质保，质保期内免费上门服务，通过序列号官网可查询质保服务内容，签订合同前提供原厂家针对该项目的售后服务承诺书</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17. 产品整机通过国家强制3C认证，提供证书复印件。</w:t>
            </w:r>
          </w:p>
          <w:p>
            <w:pPr>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18. 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3" w:type="dxa"/>
            <w:vAlign w:val="center"/>
          </w:tcPr>
          <w:p>
            <w:pPr>
              <w:numPr>
                <w:ilvl w:val="0"/>
                <w:numId w:val="3"/>
              </w:numPr>
              <w:jc w:val="center"/>
              <w:rPr>
                <w:rFonts w:ascii="宋体" w:hAnsi="宋体"/>
                <w:color w:val="000000" w:themeColor="text1"/>
                <w:sz w:val="24"/>
                <w:szCs w:val="24"/>
                <w14:textFill>
                  <w14:solidFill>
                    <w14:schemeClr w14:val="tx1"/>
                  </w14:solidFill>
                </w14:textFill>
              </w:rPr>
            </w:pPr>
          </w:p>
        </w:tc>
        <w:tc>
          <w:tcPr>
            <w:tcW w:w="992" w:type="dxa"/>
            <w:vAlign w:val="center"/>
          </w:tcPr>
          <w:p>
            <w:pPr>
              <w:jc w:val="center"/>
              <w:rPr>
                <w:rFonts w:ascii="宋体" w:hAnsi="宋体"/>
                <w:color w:val="000000" w:themeColor="text1"/>
                <w:sz w:val="24"/>
                <w:szCs w:val="24"/>
                <w14:textFill>
                  <w14:solidFill>
                    <w14:schemeClr w14:val="tx1"/>
                  </w14:solidFill>
                </w14:textFill>
              </w:rPr>
            </w:pPr>
          </w:p>
        </w:tc>
        <w:tc>
          <w:tcPr>
            <w:tcW w:w="6826" w:type="dxa"/>
          </w:tcPr>
          <w:p>
            <w:pPr>
              <w:contextualSpacing/>
              <w:jc w:val="left"/>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2" w:hRule="atLeast"/>
          <w:jc w:val="center"/>
        </w:trPr>
        <w:tc>
          <w:tcPr>
            <w:tcW w:w="483" w:type="dxa"/>
            <w:vAlign w:val="center"/>
          </w:tcPr>
          <w:p>
            <w:pPr>
              <w:widowControl/>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widowControl/>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学生微型计算机2</w:t>
            </w:r>
            <w:r>
              <w:rPr>
                <w:rFonts w:hint="eastAsia" w:ascii="宋体" w:hAnsi="宋体" w:cs="宋体"/>
                <w:color w:val="000000" w:themeColor="text1"/>
                <w:kern w:val="0"/>
                <w:sz w:val="24"/>
                <w:szCs w:val="24"/>
                <w14:textFill>
                  <w14:solidFill>
                    <w14:schemeClr w14:val="tx1"/>
                  </w14:solidFill>
                </w14:textFill>
              </w:rPr>
              <w:t>（全套）</w:t>
            </w:r>
          </w:p>
        </w:tc>
        <w:tc>
          <w:tcPr>
            <w:tcW w:w="6826" w:type="dxa"/>
          </w:tcPr>
          <w:p>
            <w:pPr>
              <w:numPr>
                <w:ilvl w:val="0"/>
                <w:numId w:val="4"/>
              </w:numPr>
              <w:contextualSpacing/>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 xml:space="preserve">商用计算机； </w:t>
            </w:r>
          </w:p>
          <w:p>
            <w:pPr>
              <w:contextualSpacing/>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与主机同品牌，21.5寸宽屏防眩光液晶显示器，（VGA+高清接口,通过TUV低蓝光护眼认证）；分辨率：1920*1080，仰角可调节。</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Intel Q670芯片组相当或以上的。</w:t>
            </w:r>
            <w:r>
              <w:rPr>
                <w:rFonts w:hint="eastAsia" w:ascii="宋体" w:hAnsi="宋体" w:cs="宋体"/>
                <w:color w:val="000000" w:themeColor="text1"/>
                <w:kern w:val="0"/>
                <w:sz w:val="24"/>
                <w:szCs w:val="24"/>
                <w14:textFill>
                  <w14:solidFill>
                    <w14:schemeClr w14:val="tx1"/>
                  </w14:solidFill>
                </w14:textFill>
              </w:rPr>
              <w:t xml:space="preserve"> </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4</w:t>
            </w:r>
            <w:r>
              <w:rPr>
                <w:rFonts w:hint="eastAsia" w:ascii="宋体" w:hAnsi="宋体" w:cs="宋体"/>
                <w:color w:val="000000" w:themeColor="text1"/>
                <w:kern w:val="0"/>
                <w:sz w:val="24"/>
                <w:szCs w:val="24"/>
                <w14:textFill>
                  <w14:solidFill>
                    <w14:schemeClr w14:val="tx1"/>
                  </w14:solidFill>
                </w14:textFill>
              </w:rPr>
              <w:t>．</w:t>
            </w:r>
            <w:r>
              <w:rPr>
                <w:rFonts w:hint="eastAsia" w:ascii="宋体" w:hAnsi="宋体"/>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CPU</w:t>
            </w:r>
            <w:r>
              <w:rPr>
                <w:rFonts w:hint="eastAsia" w:ascii="宋体" w:hAnsi="宋体" w:cs="宋体"/>
                <w:color w:val="000000" w:themeColor="text1"/>
                <w:kern w:val="0"/>
                <w:sz w:val="24"/>
                <w:szCs w:val="24"/>
                <w14:textFill>
                  <w14:solidFill>
                    <w14:schemeClr w14:val="tx1"/>
                  </w14:solidFill>
                </w14:textFill>
              </w:rPr>
              <w:t>英特尔酷睿i3-</w:t>
            </w: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21</w:t>
            </w:r>
            <w:r>
              <w:rPr>
                <w:rFonts w:ascii="宋体" w:hAnsi="宋体" w:cs="宋体"/>
                <w:color w:val="000000" w:themeColor="text1"/>
                <w:kern w:val="0"/>
                <w:sz w:val="24"/>
                <w:szCs w:val="24"/>
                <w14:textFill>
                  <w14:solidFill>
                    <w14:schemeClr w14:val="tx1"/>
                  </w14:solidFill>
                </w14:textFill>
              </w:rPr>
              <w:t>0</w:t>
            </w:r>
            <w:r>
              <w:rPr>
                <w:rFonts w:hint="eastAsia" w:ascii="宋体" w:hAnsi="宋体" w:cs="宋体"/>
                <w:color w:val="000000" w:themeColor="text1"/>
                <w:kern w:val="0"/>
                <w:sz w:val="24"/>
                <w:szCs w:val="24"/>
                <w14:textFill>
                  <w14:solidFill>
                    <w14:schemeClr w14:val="tx1"/>
                  </w14:solidFill>
                </w14:textFill>
              </w:rPr>
              <w:t>0T</w:t>
            </w:r>
            <w:r>
              <w:rPr>
                <w:rFonts w:hint="eastAsia" w:ascii="宋体" w:hAnsi="宋体" w:cs="宋体"/>
                <w:color w:val="000000" w:themeColor="text1"/>
                <w:kern w:val="0"/>
                <w:sz w:val="24"/>
                <w:szCs w:val="24"/>
                <w:lang w:val="en-US" w:eastAsia="zh-CN"/>
                <w14:textFill>
                  <w14:solidFill>
                    <w14:schemeClr w14:val="tx1"/>
                  </w14:solidFill>
                </w14:textFill>
              </w:rPr>
              <w:t>或以上</w:t>
            </w:r>
            <w:r>
              <w:rPr>
                <w:rFonts w:hint="eastAsia" w:ascii="宋体" w:hAnsi="宋体" w:cs="宋体"/>
                <w:color w:val="000000" w:themeColor="text1"/>
                <w:kern w:val="0"/>
                <w:sz w:val="24"/>
                <w:szCs w:val="24"/>
                <w14:textFill>
                  <w14:solidFill>
                    <w14:schemeClr w14:val="tx1"/>
                  </w14:solidFill>
                </w14:textFill>
              </w:rPr>
              <w:t xml:space="preserve">，主频≥2.2G； </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5</w:t>
            </w:r>
            <w:r>
              <w:rPr>
                <w:rFonts w:hint="eastAsia" w:ascii="宋体" w:hAnsi="宋体" w:cs="宋体"/>
                <w:color w:val="000000" w:themeColor="text1"/>
                <w:kern w:val="0"/>
                <w:sz w:val="24"/>
                <w:szCs w:val="24"/>
                <w14:textFill>
                  <w14:solidFill>
                    <w14:schemeClr w14:val="tx1"/>
                  </w14:solidFill>
                </w14:textFill>
              </w:rPr>
              <w:t>．</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 xml:space="preserve">内存≥8G（单条）DDR4 </w:t>
            </w:r>
            <w:r>
              <w:rPr>
                <w:rFonts w:hint="eastAsia" w:ascii="宋体" w:hAnsi="宋体"/>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3200</w:t>
            </w:r>
            <w:r>
              <w:rPr>
                <w:rFonts w:hint="eastAsia" w:ascii="宋体" w:hAnsi="宋体"/>
                <w:color w:val="000000" w:themeColor="text1"/>
                <w:sz w:val="24"/>
                <w:szCs w:val="24"/>
                <w14:textFill>
                  <w14:solidFill>
                    <w14:schemeClr w14:val="tx1"/>
                  </w14:solidFill>
                </w14:textFill>
              </w:rPr>
              <w:t>Mhz</w:t>
            </w:r>
            <w:r>
              <w:rPr>
                <w:rFonts w:hint="eastAsia" w:ascii="宋体" w:hAnsi="宋体" w:cs="宋体"/>
                <w:color w:val="000000" w:themeColor="text1"/>
                <w:kern w:val="0"/>
                <w:sz w:val="24"/>
                <w:szCs w:val="24"/>
                <w14:textFill>
                  <w14:solidFill>
                    <w14:schemeClr w14:val="tx1"/>
                  </w14:solidFill>
                </w14:textFill>
              </w:rPr>
              <w:t>，支持双内存条插槽；</w:t>
            </w:r>
          </w:p>
          <w:p>
            <w:r>
              <w:rPr>
                <w:rFonts w:hint="eastAsia" w:ascii="宋体" w:hAnsi="宋体" w:cs="宋体"/>
                <w:color w:val="000000" w:themeColor="text1"/>
                <w:kern w:val="0"/>
                <w:sz w:val="24"/>
                <w:szCs w:val="24"/>
                <w:lang w:val="en-US" w:eastAsia="zh-CN"/>
                <w14:textFill>
                  <w14:solidFill>
                    <w14:schemeClr w14:val="tx1"/>
                  </w14:solidFill>
                </w14:textFill>
              </w:rPr>
              <w:t>6</w:t>
            </w:r>
            <w:r>
              <w:rPr>
                <w:rFonts w:hint="eastAsia" w:ascii="宋体" w:hAnsi="宋体" w:cs="宋体"/>
                <w:color w:val="000000" w:themeColor="text1"/>
                <w:kern w:val="0"/>
                <w:sz w:val="24"/>
                <w:szCs w:val="24"/>
                <w14:textFill>
                  <w14:solidFill>
                    <w14:schemeClr w14:val="tx1"/>
                  </w14:solidFill>
                </w14:textFill>
              </w:rPr>
              <w:t>．机箱标配固定套件，支持显示器</w:t>
            </w:r>
            <w:r>
              <w:rPr>
                <w:rFonts w:hint="eastAsia" w:ascii="宋体" w:hAnsi="宋体" w:cs="宋体"/>
                <w:color w:val="000000" w:themeColor="text1"/>
                <w:kern w:val="0"/>
                <w:sz w:val="24"/>
                <w:szCs w:val="24"/>
                <w:lang w:val="en-US" w:eastAsia="zh-CN"/>
                <w14:textFill>
                  <w14:solidFill>
                    <w14:schemeClr w14:val="tx1"/>
                  </w14:solidFill>
                </w14:textFill>
              </w:rPr>
              <w:t>壁</w:t>
            </w:r>
            <w:r>
              <w:rPr>
                <w:rFonts w:hint="eastAsia" w:ascii="宋体" w:hAnsi="宋体" w:cs="宋体"/>
                <w:color w:val="000000" w:themeColor="text1"/>
                <w:kern w:val="0"/>
                <w:sz w:val="24"/>
                <w:szCs w:val="24"/>
                <w14:textFill>
                  <w14:solidFill>
                    <w14:schemeClr w14:val="tx1"/>
                  </w14:solidFill>
                </w14:textFill>
              </w:rPr>
              <w:t>挂安装</w:t>
            </w:r>
          </w:p>
          <w:p>
            <w:pPr>
              <w:contextualSpacing/>
              <w:rPr>
                <w:rFonts w:hint="eastAsia" w:ascii="宋体" w:hAnsi="宋体" w:cs="宋体"/>
                <w:color w:val="000000" w:themeColor="text1"/>
                <w:kern w:val="0"/>
                <w:sz w:val="24"/>
                <w:szCs w:val="24"/>
                <w:lang w:eastAsia="zh-CN"/>
                <w14:textFill>
                  <w14:solidFill>
                    <w14:schemeClr w14:val="tx1"/>
                  </w14:solidFill>
                </w14:textFill>
              </w:rPr>
            </w:pPr>
            <w:r>
              <w:rPr>
                <w:rFonts w:hint="eastAsia" w:ascii="宋体" w:hAnsi="宋体" w:cs="宋体"/>
                <w:color w:val="000000" w:themeColor="text1"/>
                <w:kern w:val="0"/>
                <w:sz w:val="24"/>
                <w:szCs w:val="24"/>
                <w:lang w:eastAsia="zh-CN"/>
                <w14:textFill>
                  <w14:solidFill>
                    <w14:schemeClr w14:val="tx1"/>
                  </w14:solidFill>
                </w14:textFill>
              </w:rPr>
              <w:t>；</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7</w:t>
            </w:r>
            <w:r>
              <w:rPr>
                <w:rFonts w:hint="eastAsia" w:ascii="宋体" w:hAnsi="宋体" w:cs="宋体"/>
                <w:color w:val="000000" w:themeColor="text1"/>
                <w:kern w:val="0"/>
                <w:sz w:val="24"/>
                <w:szCs w:val="24"/>
                <w14:textFill>
                  <w14:solidFill>
                    <w14:schemeClr w14:val="tx1"/>
                  </w14:solidFill>
                </w14:textFill>
              </w:rPr>
              <w:t>. M.2接口PCIe NVme硬盘容量≥256G固态硬盘，支持SATA硬盘接口；支持双硬盘同时使用；</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8</w:t>
            </w:r>
            <w:r>
              <w:rPr>
                <w:rFonts w:hint="eastAsia" w:ascii="宋体" w:hAnsi="宋体" w:cs="宋体"/>
                <w:color w:val="000000" w:themeColor="text1"/>
                <w:kern w:val="0"/>
                <w:sz w:val="24"/>
                <w:szCs w:val="24"/>
                <w14:textFill>
                  <w14:solidFill>
                    <w14:schemeClr w14:val="tx1"/>
                  </w14:solidFill>
                </w14:textFill>
              </w:rPr>
              <w:t>．集成显卡、要求支持双屏显示；</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9</w:t>
            </w:r>
            <w:r>
              <w:rPr>
                <w:rFonts w:hint="eastAsia" w:ascii="宋体" w:hAnsi="宋体" w:cs="宋体"/>
                <w:color w:val="000000" w:themeColor="text1"/>
                <w:kern w:val="0"/>
                <w:sz w:val="24"/>
                <w:szCs w:val="24"/>
                <w14:textFill>
                  <w14:solidFill>
                    <w14:schemeClr w14:val="tx1"/>
                  </w14:solidFill>
                </w14:textFill>
              </w:rPr>
              <w:t>．USB3.2及以上端口≥4个，VGA端口≥1个，高清接口≥1个；音频输入输出口。</w:t>
            </w:r>
            <w:r>
              <w:rPr>
                <w:rFonts w:ascii="宋体" w:hAnsi="宋体" w:cs="宋体"/>
                <w:color w:val="000000" w:themeColor="text1"/>
                <w:kern w:val="0"/>
                <w:sz w:val="24"/>
                <w:szCs w:val="24"/>
                <w14:textFill>
                  <w14:solidFill>
                    <w14:schemeClr w14:val="tx1"/>
                  </w14:solidFill>
                </w14:textFill>
              </w:rPr>
              <w:t xml:space="preserve"> </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10</w:t>
            </w:r>
            <w:r>
              <w:rPr>
                <w:rFonts w:hint="eastAsia" w:ascii="宋体" w:hAnsi="宋体" w:cs="宋体"/>
                <w:color w:val="000000" w:themeColor="text1"/>
                <w:kern w:val="0"/>
                <w:sz w:val="24"/>
                <w:szCs w:val="24"/>
                <w14:textFill>
                  <w14:solidFill>
                    <w14:schemeClr w14:val="tx1"/>
                  </w14:solidFill>
                </w14:textFill>
              </w:rPr>
              <w:t>．10/100/1000M以太网卡；</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lang w:val="en-US" w:eastAsia="zh-CN"/>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w:t>
            </w:r>
            <w:r>
              <w:rPr>
                <w:rFonts w:ascii="宋体" w:hAnsi="宋体" w:cs="宋体"/>
                <w:color w:val="000000" w:themeColor="text1"/>
                <w:kern w:val="0"/>
                <w:sz w:val="24"/>
                <w:szCs w:val="24"/>
                <w14:textFill>
                  <w14:solidFill>
                    <w14:schemeClr w14:val="tx1"/>
                  </w14:solidFill>
                </w14:textFill>
              </w:rPr>
              <w:t>主板</w:t>
            </w:r>
            <w:r>
              <w:rPr>
                <w:rFonts w:hint="eastAsia" w:ascii="宋体" w:hAnsi="宋体" w:cs="宋体"/>
                <w:color w:val="000000" w:themeColor="text1"/>
                <w:kern w:val="0"/>
                <w:sz w:val="24"/>
                <w:szCs w:val="24"/>
                <w14:textFill>
                  <w14:solidFill>
                    <w14:schemeClr w14:val="tx1"/>
                  </w14:solidFill>
                </w14:textFill>
              </w:rPr>
              <w:t>集成硬盘保护、网络同传功能。</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lang w:val="en-US" w:eastAsia="zh-CN"/>
                <w14:textFill>
                  <w14:solidFill>
                    <w14:schemeClr w14:val="tx1"/>
                  </w14:solidFill>
                </w14:textFill>
              </w:rPr>
              <w:t>2</w:t>
            </w:r>
            <w:r>
              <w:rPr>
                <w:rFonts w:hint="eastAsia" w:ascii="宋体" w:hAnsi="宋体" w:cs="宋体"/>
                <w:color w:val="000000" w:themeColor="text1"/>
                <w:kern w:val="0"/>
                <w:sz w:val="24"/>
                <w:szCs w:val="24"/>
                <w14:textFill>
                  <w14:solidFill>
                    <w14:schemeClr w14:val="tx1"/>
                  </w14:solidFill>
                </w14:textFill>
              </w:rPr>
              <w:t>．与主机同品牌原厂抗菌防水USB键盘/光电</w:t>
            </w:r>
            <w:r>
              <w:rPr>
                <w:rFonts w:hint="eastAsia" w:ascii="宋体" w:hAnsi="宋体"/>
                <w:color w:val="000000" w:themeColor="text1"/>
                <w:sz w:val="24"/>
                <w:szCs w:val="24"/>
                <w14:textFill>
                  <w14:solidFill>
                    <w14:schemeClr w14:val="tx1"/>
                  </w14:solidFill>
                </w14:textFill>
              </w:rPr>
              <w:t>鼠标</w:t>
            </w:r>
            <w:r>
              <w:rPr>
                <w:rFonts w:hint="eastAsia" w:ascii="宋体" w:hAnsi="宋体" w:cs="宋体"/>
                <w:color w:val="000000" w:themeColor="text1"/>
                <w:kern w:val="0"/>
                <w:sz w:val="24"/>
                <w:szCs w:val="24"/>
                <w14:textFill>
                  <w14:solidFill>
                    <w14:schemeClr w14:val="tx1"/>
                  </w14:solidFill>
                </w14:textFill>
              </w:rPr>
              <w:t>/标配耳麦（与音频输入输出接口匹配）；</w:t>
            </w:r>
          </w:p>
          <w:p>
            <w:pPr>
              <w:contextualSpacing/>
              <w:rPr>
                <w:rFonts w:ascii="宋体" w:hAnsi="宋体" w:cs="宋体"/>
                <w:color w:val="000000" w:themeColor="text1"/>
                <w:kern w:val="0"/>
                <w:sz w:val="24"/>
                <w:szCs w:val="24"/>
                <w:u w:val="single"/>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lang w:val="en-US" w:eastAsia="zh-CN"/>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出厂</w:t>
            </w:r>
            <w:r>
              <w:rPr>
                <w:rFonts w:hint="eastAsia"/>
                <w:color w:val="000000" w:themeColor="text1"/>
                <w:sz w:val="24"/>
                <w:szCs w:val="24"/>
                <w14:textFill>
                  <w14:solidFill>
                    <w14:schemeClr w14:val="tx1"/>
                  </w14:solidFill>
                </w14:textFill>
              </w:rPr>
              <w:t>预装</w:t>
            </w:r>
            <w:r>
              <w:rPr>
                <w:rFonts w:hint="eastAsia" w:ascii="宋体" w:hAnsi="宋体"/>
                <w:color w:val="000000" w:themeColor="text1"/>
                <w:sz w:val="24"/>
                <w:szCs w:val="24"/>
                <w14:textFill>
                  <w14:solidFill>
                    <w14:schemeClr w14:val="tx1"/>
                  </w14:solidFill>
                </w14:textFill>
              </w:rPr>
              <w:t xml:space="preserve"> Windows</w:t>
            </w:r>
            <w:r>
              <w:rPr>
                <w:rFonts w:hint="eastAsia" w:ascii="宋体" w:hAnsi="宋体"/>
                <w:color w:val="000000" w:themeColor="text1"/>
                <w:sz w:val="24"/>
                <w:szCs w:val="24"/>
                <w:lang w:val="en-US" w:eastAsia="zh-CN"/>
                <w14:textFill>
                  <w14:solidFill>
                    <w14:schemeClr w14:val="tx1"/>
                  </w14:solidFill>
                </w14:textFill>
              </w:rPr>
              <w:t>10或以上</w:t>
            </w:r>
            <w:r>
              <w:rPr>
                <w:rFonts w:hint="eastAsia" w:ascii="宋体" w:hAnsi="宋体"/>
                <w:color w:val="000000" w:themeColor="text1"/>
                <w:sz w:val="24"/>
                <w:szCs w:val="24"/>
                <w14:textFill>
                  <w14:solidFill>
                    <w14:schemeClr w14:val="tx1"/>
                  </w14:solidFill>
                </w14:textFill>
              </w:rPr>
              <w:t>（64位）中文版；</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lang w:val="en-US" w:eastAsia="zh-CN"/>
                <w14:textFill>
                  <w14:solidFill>
                    <w14:schemeClr w14:val="tx1"/>
                  </w14:solidFill>
                </w14:textFill>
              </w:rPr>
              <w:t>4</w:t>
            </w:r>
            <w:r>
              <w:rPr>
                <w:rFonts w:hint="eastAsia" w:ascii="宋体" w:hAnsi="宋体" w:cs="宋体"/>
                <w:color w:val="000000" w:themeColor="text1"/>
                <w:kern w:val="0"/>
                <w:sz w:val="24"/>
                <w:szCs w:val="24"/>
                <w14:textFill>
                  <w14:solidFill>
                    <w14:schemeClr w14:val="tx1"/>
                  </w14:solidFill>
                </w14:textFill>
              </w:rPr>
              <w:t>．权威检验中心出具的MTBF平均无故障时间 ≥1000000小时，</w:t>
            </w:r>
            <w:r>
              <w:rPr>
                <w:rFonts w:hint="eastAsia" w:ascii="宋体" w:hAnsi="宋体"/>
                <w:color w:val="000000" w:themeColor="text1"/>
                <w:sz w:val="24"/>
                <w:szCs w:val="24"/>
                <w14:textFill>
                  <w14:solidFill>
                    <w14:schemeClr w14:val="tx1"/>
                  </w14:solidFill>
                </w14:textFill>
              </w:rPr>
              <w:t>提供证书复印件；</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lang w:val="en-US" w:eastAsia="zh-CN"/>
                <w14:textFill>
                  <w14:solidFill>
                    <w14:schemeClr w14:val="tx1"/>
                  </w14:solidFill>
                </w14:textFill>
              </w:rPr>
              <w:t>5</w:t>
            </w:r>
            <w:r>
              <w:rPr>
                <w:rFonts w:hint="eastAsia" w:ascii="宋体" w:hAnsi="宋体" w:cs="宋体"/>
                <w:color w:val="000000" w:themeColor="text1"/>
                <w:kern w:val="0"/>
                <w:sz w:val="24"/>
                <w:szCs w:val="24"/>
                <w14:textFill>
                  <w14:solidFill>
                    <w14:schemeClr w14:val="tx1"/>
                  </w14:solidFill>
                </w14:textFill>
              </w:rPr>
              <w:t>．产品整机通过国家强制3C认证，提供证书复印件</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lang w:val="en-US" w:eastAsia="zh-CN"/>
                <w14:textFill>
                  <w14:solidFill>
                    <w14:schemeClr w14:val="tx1"/>
                  </w14:solidFill>
                </w14:textFill>
              </w:rPr>
              <w:t>6</w:t>
            </w:r>
            <w:r>
              <w:rPr>
                <w:rFonts w:hint="eastAsia" w:ascii="宋体" w:hAnsi="宋体" w:cs="宋体"/>
                <w:color w:val="000000" w:themeColor="text1"/>
                <w:kern w:val="0"/>
                <w:sz w:val="24"/>
                <w:szCs w:val="24"/>
                <w14:textFill>
                  <w14:solidFill>
                    <w14:schemeClr w14:val="tx1"/>
                  </w14:solidFill>
                </w14:textFill>
              </w:rPr>
              <w:t>．整机（含显示器）三年质保，质保期内免费上门服务，序列号厂商官网可查询，签订合同前提供原厂家针对该项目的售后服务承诺书</w:t>
            </w:r>
          </w:p>
          <w:p>
            <w:pPr>
              <w:contextualSpacing/>
              <w:jc w:val="left"/>
              <w:rPr>
                <w:rFonts w:ascii="Arial" w:hAnsi="Arial"/>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lang w:val="en-US" w:eastAsia="zh-CN"/>
                <w14:textFill>
                  <w14:solidFill>
                    <w14:schemeClr w14:val="tx1"/>
                  </w14:solidFill>
                </w14:textFill>
              </w:rPr>
              <w:t>7</w:t>
            </w:r>
            <w:r>
              <w:rPr>
                <w:rFonts w:hint="eastAsia" w:ascii="宋体" w:hAnsi="宋体" w:cs="宋体"/>
                <w:color w:val="000000" w:themeColor="text1"/>
                <w:kern w:val="0"/>
                <w:sz w:val="24"/>
                <w:szCs w:val="24"/>
                <w14:textFill>
                  <w14:solidFill>
                    <w14:schemeClr w14:val="tx1"/>
                  </w14:solidFill>
                </w14:textFill>
              </w:rPr>
              <w:t>.产品整机需原厂出品，不支持另外加装。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83" w:type="dxa"/>
            <w:vAlign w:val="center"/>
          </w:tcPr>
          <w:p>
            <w:pPr>
              <w:widowControl/>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学生微型计算机3</w:t>
            </w:r>
            <w:r>
              <w:rPr>
                <w:rFonts w:hint="eastAsia" w:ascii="宋体" w:hAnsi="宋体" w:cs="宋体"/>
                <w:color w:val="000000" w:themeColor="text1"/>
                <w:kern w:val="0"/>
                <w:sz w:val="24"/>
                <w:szCs w:val="24"/>
                <w14:textFill>
                  <w14:solidFill>
                    <w14:schemeClr w14:val="tx1"/>
                  </w14:solidFill>
                </w14:textFill>
              </w:rPr>
              <w:t>（主机）</w:t>
            </w:r>
          </w:p>
        </w:tc>
        <w:tc>
          <w:tcPr>
            <w:tcW w:w="6826" w:type="dxa"/>
          </w:tcPr>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 xml:space="preserve">1．商用计算机； </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Intel Q670芯片组相当或以上的。</w:t>
            </w:r>
            <w:r>
              <w:rPr>
                <w:rFonts w:hint="eastAsia" w:ascii="宋体" w:hAnsi="宋体" w:cs="宋体"/>
                <w:color w:val="000000" w:themeColor="text1"/>
                <w:kern w:val="0"/>
                <w:sz w:val="24"/>
                <w:szCs w:val="24"/>
                <w14:textFill>
                  <w14:solidFill>
                    <w14:schemeClr w14:val="tx1"/>
                  </w14:solidFill>
                </w14:textFill>
              </w:rPr>
              <w:t xml:space="preserve"> </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3．</w:t>
            </w:r>
            <w:r>
              <w:rPr>
                <w:rFonts w:hint="eastAsia" w:ascii="宋体" w:hAnsi="宋体"/>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CPU</w:t>
            </w:r>
            <w:r>
              <w:rPr>
                <w:rFonts w:hint="eastAsia" w:ascii="宋体" w:hAnsi="宋体" w:cs="宋体"/>
                <w:color w:val="000000" w:themeColor="text1"/>
                <w:kern w:val="0"/>
                <w:sz w:val="24"/>
                <w:szCs w:val="24"/>
                <w14:textFill>
                  <w14:solidFill>
                    <w14:schemeClr w14:val="tx1"/>
                  </w14:solidFill>
                </w14:textFill>
              </w:rPr>
              <w:t>英特尔酷睿i3-</w:t>
            </w: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21</w:t>
            </w:r>
            <w:r>
              <w:rPr>
                <w:rFonts w:ascii="宋体" w:hAnsi="宋体" w:cs="宋体"/>
                <w:color w:val="000000" w:themeColor="text1"/>
                <w:kern w:val="0"/>
                <w:sz w:val="24"/>
                <w:szCs w:val="24"/>
                <w14:textFill>
                  <w14:solidFill>
                    <w14:schemeClr w14:val="tx1"/>
                  </w14:solidFill>
                </w14:textFill>
              </w:rPr>
              <w:t>0</w:t>
            </w:r>
            <w:r>
              <w:rPr>
                <w:rFonts w:hint="eastAsia" w:ascii="宋体" w:hAnsi="宋体" w:cs="宋体"/>
                <w:color w:val="000000" w:themeColor="text1"/>
                <w:kern w:val="0"/>
                <w:sz w:val="24"/>
                <w:szCs w:val="24"/>
                <w14:textFill>
                  <w14:solidFill>
                    <w14:schemeClr w14:val="tx1"/>
                  </w14:solidFill>
                </w14:textFill>
              </w:rPr>
              <w:t>0T</w:t>
            </w:r>
            <w:r>
              <w:rPr>
                <w:rFonts w:hint="eastAsia" w:ascii="宋体" w:hAnsi="宋体" w:cs="宋体"/>
                <w:color w:val="000000" w:themeColor="text1"/>
                <w:kern w:val="0"/>
                <w:sz w:val="24"/>
                <w:szCs w:val="24"/>
                <w:lang w:val="en-US" w:eastAsia="zh-CN"/>
                <w14:textFill>
                  <w14:solidFill>
                    <w14:schemeClr w14:val="tx1"/>
                  </w14:solidFill>
                </w14:textFill>
              </w:rPr>
              <w:t>或以上</w:t>
            </w:r>
            <w:r>
              <w:rPr>
                <w:rFonts w:hint="eastAsia" w:ascii="宋体" w:hAnsi="宋体" w:cs="宋体"/>
                <w:color w:val="000000" w:themeColor="text1"/>
                <w:kern w:val="0"/>
                <w:sz w:val="24"/>
                <w:szCs w:val="24"/>
                <w14:textFill>
                  <w14:solidFill>
                    <w14:schemeClr w14:val="tx1"/>
                  </w14:solidFill>
                </w14:textFill>
              </w:rPr>
              <w:t xml:space="preserve">，主频≥2.2G； </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 xml:space="preserve">内存≥8G（单条）DDR4 </w:t>
            </w:r>
            <w:r>
              <w:rPr>
                <w:rFonts w:hint="eastAsia" w:ascii="宋体" w:hAnsi="宋体"/>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3200</w:t>
            </w:r>
            <w:r>
              <w:rPr>
                <w:rFonts w:hint="eastAsia" w:ascii="宋体" w:hAnsi="宋体"/>
                <w:color w:val="000000" w:themeColor="text1"/>
                <w:sz w:val="24"/>
                <w:szCs w:val="24"/>
                <w14:textFill>
                  <w14:solidFill>
                    <w14:schemeClr w14:val="tx1"/>
                  </w14:solidFill>
                </w14:textFill>
              </w:rPr>
              <w:t>Mhz</w:t>
            </w:r>
            <w:r>
              <w:rPr>
                <w:rFonts w:hint="eastAsia" w:ascii="宋体" w:hAnsi="宋体" w:cs="宋体"/>
                <w:color w:val="000000" w:themeColor="text1"/>
                <w:kern w:val="0"/>
                <w:sz w:val="24"/>
                <w:szCs w:val="24"/>
                <w14:textFill>
                  <w14:solidFill>
                    <w14:schemeClr w14:val="tx1"/>
                  </w14:solidFill>
                </w14:textFill>
              </w:rPr>
              <w:t>，支持双内存条插槽；</w:t>
            </w:r>
          </w:p>
          <w:p>
            <w:pPr>
              <w:contextualSpacing/>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5．机箱标配固定套件，支持显示器</w:t>
            </w:r>
            <w:r>
              <w:rPr>
                <w:rFonts w:hint="eastAsia" w:ascii="宋体" w:hAnsi="宋体" w:cs="宋体"/>
                <w:color w:val="000000" w:themeColor="text1"/>
                <w:kern w:val="0"/>
                <w:sz w:val="24"/>
                <w:szCs w:val="24"/>
                <w:lang w:val="en-US" w:eastAsia="zh-CN"/>
                <w14:textFill>
                  <w14:solidFill>
                    <w14:schemeClr w14:val="tx1"/>
                  </w14:solidFill>
                </w14:textFill>
              </w:rPr>
              <w:t>壁</w:t>
            </w:r>
            <w:r>
              <w:rPr>
                <w:rFonts w:hint="eastAsia" w:ascii="宋体" w:hAnsi="宋体" w:cs="宋体"/>
                <w:color w:val="000000" w:themeColor="text1"/>
                <w:kern w:val="0"/>
                <w:sz w:val="24"/>
                <w:szCs w:val="24"/>
                <w14:textFill>
                  <w14:solidFill>
                    <w14:schemeClr w14:val="tx1"/>
                  </w14:solidFill>
                </w14:textFill>
              </w:rPr>
              <w:t>挂安装</w:t>
            </w:r>
            <w:r>
              <w:rPr>
                <w:rFonts w:hint="eastAsia" w:ascii="宋体" w:hAnsi="宋体" w:cs="宋体"/>
                <w:color w:val="000000" w:themeColor="text1"/>
                <w:kern w:val="0"/>
                <w:sz w:val="24"/>
                <w:szCs w:val="24"/>
                <w:lang w:eastAsia="zh-CN"/>
                <w14:textFill>
                  <w14:solidFill>
                    <w14:schemeClr w14:val="tx1"/>
                  </w14:solidFill>
                </w14:textFill>
              </w:rPr>
              <w:t>；</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6. M.2接口PCIe NVme硬盘容量≥256G固态硬盘，支持SATA硬盘接口；支持双硬盘同时使用；</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7．集成显卡、要求支持双屏显示；</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8．USB3.2及以上端口≥4个，VGA端口≥1个，高清接口≥1个；音频输入输出口。</w:t>
            </w:r>
            <w:r>
              <w:rPr>
                <w:rFonts w:ascii="宋体" w:hAnsi="宋体" w:cs="宋体"/>
                <w:color w:val="000000" w:themeColor="text1"/>
                <w:kern w:val="0"/>
                <w:sz w:val="24"/>
                <w:szCs w:val="24"/>
                <w14:textFill>
                  <w14:solidFill>
                    <w14:schemeClr w14:val="tx1"/>
                  </w14:solidFill>
                </w14:textFill>
              </w:rPr>
              <w:t xml:space="preserve"> </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9．10/100/1000M以太网卡；</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10．</w:t>
            </w:r>
            <w:r>
              <w:rPr>
                <w:rFonts w:ascii="宋体" w:hAnsi="宋体" w:cs="宋体"/>
                <w:color w:val="000000" w:themeColor="text1"/>
                <w:kern w:val="0"/>
                <w:sz w:val="24"/>
                <w:szCs w:val="24"/>
                <w14:textFill>
                  <w14:solidFill>
                    <w14:schemeClr w14:val="tx1"/>
                  </w14:solidFill>
                </w14:textFill>
              </w:rPr>
              <w:t>主板</w:t>
            </w:r>
            <w:r>
              <w:rPr>
                <w:rFonts w:hint="eastAsia" w:ascii="宋体" w:hAnsi="宋体" w:cs="宋体"/>
                <w:color w:val="000000" w:themeColor="text1"/>
                <w:kern w:val="0"/>
                <w:sz w:val="24"/>
                <w:szCs w:val="24"/>
                <w14:textFill>
                  <w14:solidFill>
                    <w14:schemeClr w14:val="tx1"/>
                  </w14:solidFill>
                </w14:textFill>
              </w:rPr>
              <w:t>集成硬盘保护、网络同传功能。</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11．与主机同品牌原厂抗菌防水USB键盘/光电</w:t>
            </w:r>
            <w:r>
              <w:rPr>
                <w:rFonts w:hint="eastAsia" w:ascii="宋体" w:hAnsi="宋体"/>
                <w:color w:val="000000" w:themeColor="text1"/>
                <w:sz w:val="24"/>
                <w:szCs w:val="24"/>
                <w14:textFill>
                  <w14:solidFill>
                    <w14:schemeClr w14:val="tx1"/>
                  </w14:solidFill>
                </w14:textFill>
              </w:rPr>
              <w:t>鼠标</w:t>
            </w:r>
            <w:r>
              <w:rPr>
                <w:rFonts w:hint="eastAsia" w:ascii="宋体" w:hAnsi="宋体" w:cs="宋体"/>
                <w:color w:val="000000" w:themeColor="text1"/>
                <w:kern w:val="0"/>
                <w:sz w:val="24"/>
                <w:szCs w:val="24"/>
                <w14:textFill>
                  <w14:solidFill>
                    <w14:schemeClr w14:val="tx1"/>
                  </w14:solidFill>
                </w14:textFill>
              </w:rPr>
              <w:t>/标配耳麦（与音频输入输出接口匹配）；</w:t>
            </w:r>
          </w:p>
          <w:p>
            <w:pPr>
              <w:contextualSpacing/>
              <w:rPr>
                <w:rFonts w:ascii="宋体" w:hAnsi="宋体" w:cs="宋体"/>
                <w:color w:val="000000" w:themeColor="text1"/>
                <w:kern w:val="0"/>
                <w:sz w:val="24"/>
                <w:szCs w:val="24"/>
                <w:u w:val="single"/>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12．</w:t>
            </w:r>
            <w:r>
              <w:rPr>
                <w:rFonts w:hint="eastAsia" w:ascii="宋体" w:hAnsi="宋体"/>
                <w:color w:val="000000" w:themeColor="text1"/>
                <w:sz w:val="24"/>
                <w:szCs w:val="24"/>
                <w14:textFill>
                  <w14:solidFill>
                    <w14:schemeClr w14:val="tx1"/>
                  </w14:solidFill>
                </w14:textFill>
              </w:rPr>
              <w:t>出厂</w:t>
            </w:r>
            <w:r>
              <w:rPr>
                <w:rFonts w:hint="eastAsia"/>
                <w:color w:val="000000" w:themeColor="text1"/>
                <w:sz w:val="24"/>
                <w:szCs w:val="24"/>
                <w14:textFill>
                  <w14:solidFill>
                    <w14:schemeClr w14:val="tx1"/>
                  </w14:solidFill>
                </w14:textFill>
              </w:rPr>
              <w:t>预装</w:t>
            </w:r>
            <w:r>
              <w:rPr>
                <w:rFonts w:hint="eastAsia" w:ascii="宋体" w:hAnsi="宋体"/>
                <w:color w:val="000000" w:themeColor="text1"/>
                <w:sz w:val="24"/>
                <w:szCs w:val="24"/>
                <w14:textFill>
                  <w14:solidFill>
                    <w14:schemeClr w14:val="tx1"/>
                  </w14:solidFill>
                </w14:textFill>
              </w:rPr>
              <w:t xml:space="preserve"> Windows</w:t>
            </w:r>
            <w:r>
              <w:rPr>
                <w:rFonts w:hint="eastAsia" w:ascii="宋体" w:hAnsi="宋体"/>
                <w:color w:val="000000" w:themeColor="text1"/>
                <w:sz w:val="24"/>
                <w:szCs w:val="24"/>
                <w:lang w:val="en-US" w:eastAsia="zh-CN"/>
                <w14:textFill>
                  <w14:solidFill>
                    <w14:schemeClr w14:val="tx1"/>
                  </w14:solidFill>
                </w14:textFill>
              </w:rPr>
              <w:t>10或以上</w:t>
            </w:r>
            <w:r>
              <w:rPr>
                <w:rFonts w:hint="eastAsia" w:ascii="宋体" w:hAnsi="宋体"/>
                <w:color w:val="000000" w:themeColor="text1"/>
                <w:sz w:val="24"/>
                <w:szCs w:val="24"/>
                <w14:textFill>
                  <w14:solidFill>
                    <w14:schemeClr w14:val="tx1"/>
                  </w14:solidFill>
                </w14:textFill>
              </w:rPr>
              <w:t>（64位）中文版；</w:t>
            </w:r>
          </w:p>
          <w:p>
            <w:pPr>
              <w:contextualSpacing/>
              <w:jc w:val="left"/>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13．权威检验中心出具的MTBF平均无故障时间 ≥1000000小时，</w:t>
            </w:r>
            <w:r>
              <w:rPr>
                <w:rFonts w:hint="eastAsia" w:ascii="宋体" w:hAnsi="宋体"/>
                <w:color w:val="000000" w:themeColor="text1"/>
                <w:sz w:val="24"/>
                <w:szCs w:val="24"/>
                <w14:textFill>
                  <w14:solidFill>
                    <w14:schemeClr w14:val="tx1"/>
                  </w14:solidFill>
                </w14:textFill>
              </w:rPr>
              <w:t>提供证书复印件；</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14．产品整机通过国家强制3C认证，提供证书复印件</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15．整机（含显示器）三年质保，质保期内免费上门服务，序列号厂商官网可查询，签订合同前提供原厂家针对该项目的售后服务承诺书</w:t>
            </w:r>
          </w:p>
          <w:p>
            <w:pPr>
              <w:contextualSpacing/>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16.产品整机需原厂出品，不支持另外加装。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Align w:val="center"/>
          </w:tcPr>
          <w:p>
            <w:pPr>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笔记本</w:t>
            </w:r>
          </w:p>
        </w:tc>
        <w:tc>
          <w:tcPr>
            <w:tcW w:w="6826" w:type="dxa"/>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1.商用便携式</w:t>
            </w:r>
            <w:r>
              <w:rPr>
                <w:rFonts w:hint="eastAsia" w:ascii="宋体" w:hAnsi="宋体" w:cs="宋体"/>
                <w:color w:val="000000" w:themeColor="text1"/>
                <w:kern w:val="0"/>
                <w:sz w:val="24"/>
                <w:szCs w:val="24"/>
                <w14:textFill>
                  <w14:solidFill>
                    <w14:schemeClr w14:val="tx1"/>
                  </w14:solidFill>
                </w14:textFill>
              </w:rPr>
              <w:t>轻薄型商用笔记本</w:t>
            </w:r>
            <w:r>
              <w:rPr>
                <w:rFonts w:hint="eastAsia"/>
                <w:color w:val="000000" w:themeColor="text1"/>
                <w:sz w:val="24"/>
                <w:szCs w:val="24"/>
                <w14:textFill>
                  <w14:solidFill>
                    <w14:schemeClr w14:val="tx1"/>
                  </w14:solidFill>
                </w14:textFill>
              </w:rPr>
              <w:t xml:space="preserve">；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CPU第十一代英特尔®酷睿</w:t>
            </w:r>
            <w:r>
              <w:rPr>
                <w:color w:val="000000" w:themeColor="text1"/>
                <w:sz w:val="24"/>
                <w:szCs w:val="24"/>
                <w14:textFill>
                  <w14:solidFill>
                    <w14:schemeClr w14:val="tx1"/>
                  </w14:solidFill>
                </w14:textFill>
              </w:rPr>
              <w:t>i5-1135G7</w:t>
            </w:r>
            <w:r>
              <w:rPr>
                <w:rFonts w:hint="eastAsia"/>
                <w:color w:val="000000" w:themeColor="text1"/>
                <w:sz w:val="24"/>
                <w:szCs w:val="24"/>
                <w14:textFill>
                  <w14:solidFill>
                    <w14:schemeClr w14:val="tx1"/>
                  </w14:solidFill>
                </w14:textFill>
              </w:rPr>
              <w:t>处理器或以上；</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内存：≥8GB(单条) ，支持双内存，至少有一空余插槽；</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硬盘：≥</w:t>
            </w:r>
            <w:r>
              <w:rPr>
                <w:color w:val="000000" w:themeColor="text1"/>
                <w:sz w:val="24"/>
                <w:szCs w:val="24"/>
                <w14:textFill>
                  <w14:solidFill>
                    <w14:schemeClr w14:val="tx1"/>
                  </w14:solidFill>
                </w14:textFill>
              </w:rPr>
              <w:t>512G M.2 PCIe NVME SSD</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 xml:space="preserve">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5.网络：支持wifi 6协议，内置无线网卡和</w:t>
            </w:r>
            <w:r>
              <w:rPr>
                <w:rFonts w:hint="eastAsia" w:ascii="宋体" w:hAnsi="宋体" w:cs="宋体"/>
                <w:color w:val="000000" w:themeColor="text1"/>
                <w:kern w:val="0"/>
                <w:sz w:val="24"/>
                <w:szCs w:val="24"/>
                <w14:textFill>
                  <w14:solidFill>
                    <w14:schemeClr w14:val="tx1"/>
                  </w14:solidFill>
                </w14:textFill>
              </w:rPr>
              <w:t>支持</w:t>
            </w:r>
            <w:r>
              <w:rPr>
                <w:rFonts w:ascii="宋体" w:hAnsi="宋体" w:cs="宋体"/>
                <w:color w:val="000000" w:themeColor="text1"/>
                <w:kern w:val="0"/>
                <w:sz w:val="24"/>
                <w:szCs w:val="24"/>
                <w14:textFill>
                  <w14:solidFill>
                    <w14:schemeClr w14:val="tx1"/>
                  </w14:solidFill>
                </w14:textFill>
              </w:rPr>
              <w:t>4</w:t>
            </w:r>
            <w:r>
              <w:rPr>
                <w:rFonts w:hint="eastAsia" w:ascii="宋体" w:hAnsi="宋体" w:cs="宋体"/>
                <w:color w:val="000000" w:themeColor="text1"/>
                <w:kern w:val="0"/>
                <w:sz w:val="24"/>
                <w:szCs w:val="24"/>
                <w14:textFill>
                  <w14:solidFill>
                    <w14:schemeClr w14:val="tx1"/>
                  </w14:solidFill>
                </w14:textFill>
              </w:rPr>
              <w:t>.0及以上</w:t>
            </w:r>
            <w:r>
              <w:rPr>
                <w:rFonts w:hint="eastAsia"/>
                <w:color w:val="000000" w:themeColor="text1"/>
                <w:sz w:val="24"/>
                <w:szCs w:val="24"/>
                <w14:textFill>
                  <w14:solidFill>
                    <w14:schemeClr w14:val="tx1"/>
                  </w14:solidFill>
                </w14:textFill>
              </w:rPr>
              <w:t>蓝牙；</w:t>
            </w:r>
            <w:r>
              <w:rPr>
                <w:color w:val="000000" w:themeColor="text1"/>
                <w:sz w:val="24"/>
                <w:szCs w:val="24"/>
                <w14:textFill>
                  <w14:solidFill>
                    <w14:schemeClr w14:val="tx1"/>
                  </w14:solidFill>
                </w14:textFill>
              </w:rPr>
              <w:t xml:space="preserve">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屏幕尺寸：1</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.0英寸，</w:t>
            </w:r>
            <w:r>
              <w:rPr>
                <w:color w:val="000000" w:themeColor="text1"/>
                <w:sz w:val="24"/>
                <w:szCs w:val="24"/>
                <w14:textFill>
                  <w14:solidFill>
                    <w14:schemeClr w14:val="tx1"/>
                  </w14:solidFill>
                </w14:textFill>
              </w:rPr>
              <w:t>1920*1080</w:t>
            </w:r>
            <w:r>
              <w:rPr>
                <w:rFonts w:hint="eastAsia"/>
                <w:color w:val="000000" w:themeColor="text1"/>
                <w:sz w:val="24"/>
                <w:szCs w:val="24"/>
                <w14:textFill>
                  <w14:solidFill>
                    <w14:schemeClr w14:val="tx1"/>
                  </w14:solidFill>
                </w14:textFill>
              </w:rPr>
              <w:t>防眩光显示屏（屏体材质），A面、D面为金属材质或碳纤维复合材质；</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7.接口：Type-C接口≥1个、USB</w:t>
            </w:r>
            <w:r>
              <w:rPr>
                <w:color w:val="000000" w:themeColor="text1"/>
                <w:sz w:val="24"/>
                <w:szCs w:val="24"/>
                <w14:textFill>
                  <w14:solidFill>
                    <w14:schemeClr w14:val="tx1"/>
                  </w14:solidFill>
                </w14:textFill>
              </w:rPr>
              <w:t>3.1</w:t>
            </w:r>
            <w:r>
              <w:rPr>
                <w:rFonts w:hint="eastAsia"/>
                <w:color w:val="000000" w:themeColor="text1"/>
                <w:sz w:val="24"/>
                <w:szCs w:val="24"/>
                <w14:textFill>
                  <w14:solidFill>
                    <w14:schemeClr w14:val="tx1"/>
                  </w14:solidFill>
                </w14:textFill>
              </w:rPr>
              <w:t>接口≥2</w:t>
            </w:r>
            <w:r>
              <w:rPr>
                <w:rFonts w:hint="eastAsia"/>
                <w:color w:val="000000" w:themeColor="text1"/>
                <w:sz w:val="24"/>
                <w:szCs w:val="24"/>
                <w:u w:val="single"/>
                <w14:textFill>
                  <w14:solidFill>
                    <w14:schemeClr w14:val="tx1"/>
                  </w14:solidFill>
                </w14:textFill>
              </w:rPr>
              <w:t>个</w:t>
            </w:r>
            <w:r>
              <w:rPr>
                <w:rFonts w:hint="eastAsia"/>
                <w:color w:val="000000" w:themeColor="text1"/>
                <w:sz w:val="24"/>
                <w:szCs w:val="24"/>
                <w14:textFill>
                  <w14:solidFill>
                    <w14:schemeClr w14:val="tx1"/>
                  </w14:solidFill>
                </w14:textFill>
              </w:rPr>
              <w:t>，RJ45端口、带</w:t>
            </w:r>
            <w:r>
              <w:rPr>
                <w:color w:val="000000" w:themeColor="text1"/>
                <w:sz w:val="24"/>
                <w:szCs w:val="24"/>
                <w14:textFill>
                  <w14:solidFill>
                    <w14:schemeClr w14:val="tx1"/>
                  </w14:solidFill>
                </w14:textFill>
              </w:rPr>
              <w:t>HDMI接口</w:t>
            </w:r>
            <w:r>
              <w:rPr>
                <w:rFonts w:hint="eastAsia"/>
                <w:color w:val="000000" w:themeColor="text1"/>
                <w:sz w:val="24"/>
                <w:szCs w:val="24"/>
                <w14:textFill>
                  <w14:solidFill>
                    <w14:schemeClr w14:val="tx1"/>
                  </w14:solidFill>
                </w14:textFill>
              </w:rPr>
              <w:t>；1个耳机输出/麦克输出；</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8.电池：锂聚合物≥4</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Whr</w:t>
            </w:r>
            <w:r>
              <w:rPr>
                <w:rFonts w:hint="eastAsia" w:ascii="宋体" w:hAnsi="宋体" w:cs="宋体"/>
                <w:color w:val="000000" w:themeColor="text1"/>
                <w:kern w:val="0"/>
                <w:sz w:val="24"/>
                <w:szCs w:val="24"/>
                <w14:textFill>
                  <w14:solidFill>
                    <w14:schemeClr w14:val="tx1"/>
                  </w14:solidFill>
                </w14:textFill>
              </w:rPr>
              <w:t>（续航时间不少于3小时）</w:t>
            </w:r>
            <w:r>
              <w:rPr>
                <w:rFonts w:hint="eastAsia"/>
                <w:color w:val="000000" w:themeColor="text1"/>
                <w:sz w:val="24"/>
                <w:szCs w:val="24"/>
                <w14:textFill>
                  <w14:solidFill>
                    <w14:schemeClr w14:val="tx1"/>
                  </w14:solidFill>
                </w14:textFill>
              </w:rPr>
              <w:t>；</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9.重量≤1.6KG，厚度≤20mm（此数据以原厂产品彩页为准）；</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10.操作系统：</w:t>
            </w:r>
            <w:r>
              <w:rPr>
                <w:rFonts w:hint="eastAsia" w:ascii="宋体" w:hAnsi="宋体"/>
                <w:color w:val="000000" w:themeColor="text1"/>
                <w:sz w:val="24"/>
                <w:szCs w:val="24"/>
                <w14:textFill>
                  <w14:solidFill>
                    <w14:schemeClr w14:val="tx1"/>
                  </w14:solidFill>
                </w14:textFill>
              </w:rPr>
              <w:t>出厂</w:t>
            </w:r>
            <w:r>
              <w:rPr>
                <w:rFonts w:hint="eastAsia"/>
                <w:color w:val="000000" w:themeColor="text1"/>
                <w:sz w:val="24"/>
                <w:szCs w:val="24"/>
                <w14:textFill>
                  <w14:solidFill>
                    <w14:schemeClr w14:val="tx1"/>
                  </w14:solidFill>
                </w14:textFill>
              </w:rPr>
              <w:t>预装</w:t>
            </w:r>
            <w:r>
              <w:rPr>
                <w:rFonts w:hint="eastAsia" w:ascii="宋体" w:hAnsi="宋体"/>
                <w:color w:val="000000" w:themeColor="text1"/>
                <w:sz w:val="24"/>
                <w:szCs w:val="24"/>
                <w14:textFill>
                  <w14:solidFill>
                    <w14:schemeClr w14:val="tx1"/>
                  </w14:solidFill>
                </w14:textFill>
              </w:rPr>
              <w:t xml:space="preserve"> Windows</w:t>
            </w:r>
            <w:r>
              <w:rPr>
                <w:rFonts w:hint="eastAsia" w:ascii="宋体" w:hAnsi="宋体"/>
                <w:color w:val="000000" w:themeColor="text1"/>
                <w:sz w:val="24"/>
                <w:szCs w:val="24"/>
                <w:lang w:val="en-US" w:eastAsia="zh-CN"/>
                <w14:textFill>
                  <w14:solidFill>
                    <w14:schemeClr w14:val="tx1"/>
                  </w14:solidFill>
                </w14:textFill>
              </w:rPr>
              <w:t>10或以上</w:t>
            </w:r>
            <w:r>
              <w:rPr>
                <w:rFonts w:hint="eastAsia" w:ascii="宋体" w:hAnsi="宋体"/>
                <w:color w:val="000000" w:themeColor="text1"/>
                <w:sz w:val="24"/>
                <w:szCs w:val="24"/>
                <w14:textFill>
                  <w14:solidFill>
                    <w14:schemeClr w14:val="tx1"/>
                  </w14:solidFill>
                </w14:textFill>
              </w:rPr>
              <w:t>（64位）中文版；</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11.其它：原厂包、光电鼠标等；</w:t>
            </w:r>
          </w:p>
          <w:p>
            <w:pPr>
              <w:contextualSpacing/>
              <w:jc w:val="left"/>
              <w:rPr>
                <w:rFonts w:ascii="宋体"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w:t>
            </w:r>
            <w:r>
              <w:rPr>
                <w:color w:val="000000" w:themeColor="text1"/>
                <w:sz w:val="24"/>
                <w:szCs w:val="24"/>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 xml:space="preserve"> 权威检验中心出具的MTBF平均无故障时间 ≥</w:t>
            </w:r>
            <w:r>
              <w:rPr>
                <w:rFonts w:ascii="宋体" w:hAnsi="宋体" w:cs="宋体"/>
                <w:color w:val="000000" w:themeColor="text1"/>
                <w:kern w:val="0"/>
                <w:sz w:val="24"/>
                <w:szCs w:val="24"/>
                <w14:textFill>
                  <w14:solidFill>
                    <w14:schemeClr w14:val="tx1"/>
                  </w14:solidFill>
                </w14:textFill>
              </w:rPr>
              <w:t>80</w:t>
            </w:r>
            <w:r>
              <w:rPr>
                <w:rFonts w:hint="eastAsia" w:ascii="宋体" w:hAnsi="宋体" w:cs="宋体"/>
                <w:color w:val="000000" w:themeColor="text1"/>
                <w:kern w:val="0"/>
                <w:sz w:val="24"/>
                <w:szCs w:val="24"/>
                <w14:textFill>
                  <w14:solidFill>
                    <w14:schemeClr w14:val="tx1"/>
                  </w14:solidFill>
                </w14:textFill>
              </w:rPr>
              <w:t>0000小时，</w:t>
            </w:r>
            <w:r>
              <w:rPr>
                <w:rFonts w:hint="eastAsia" w:ascii="宋体" w:hAnsi="宋体"/>
                <w:color w:val="000000" w:themeColor="text1"/>
                <w:sz w:val="24"/>
                <w:szCs w:val="24"/>
                <w14:textFill>
                  <w14:solidFill>
                    <w14:schemeClr w14:val="tx1"/>
                  </w14:solidFill>
                </w14:textFill>
              </w:rPr>
              <w:t>提供证书复印件；</w:t>
            </w:r>
            <w:r>
              <w:rPr>
                <w:rFonts w:hint="eastAsia"/>
                <w:color w:val="000000" w:themeColor="text1"/>
                <w:sz w:val="24"/>
                <w:szCs w:val="24"/>
                <w14:textFill>
                  <w14:solidFill>
                    <w14:schemeClr w14:val="tx1"/>
                  </w14:solidFill>
                </w14:textFill>
              </w:rPr>
              <w:t xml:space="preserve">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13.整机1年原厂免费保修（电池免费保修1年），质保期内免费上门服务，通过序列号官网可查询质保服务内容，中标后提供原厂商质量承诺函。</w:t>
            </w:r>
          </w:p>
          <w:p>
            <w:pPr>
              <w:rPr>
                <w:rFonts w:ascii="宋体" w:hAnsi="宋体"/>
                <w:b/>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14.产品整机需原厂出品，不支持另外加装。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3" w:type="dxa"/>
            <w:vAlign w:val="center"/>
          </w:tcPr>
          <w:p>
            <w:pPr>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口交换机</w:t>
            </w:r>
          </w:p>
        </w:tc>
        <w:tc>
          <w:tcPr>
            <w:tcW w:w="6826" w:type="dxa"/>
            <w:vAlign w:val="center"/>
          </w:tcPr>
          <w:p>
            <w:pPr>
              <w:autoSpaceDE w:val="0"/>
              <w:autoSpaceDN w:val="0"/>
              <w:adjustRightInd w:val="0"/>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24口千兆以太网交换机（含配套理线架）；</w:t>
            </w:r>
          </w:p>
          <w:p>
            <w:pPr>
              <w:autoSpaceDE w:val="0"/>
              <w:autoSpaceDN w:val="0"/>
              <w:adjustRightInd w:val="0"/>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传输速率1000Mbps；千兆电口（非复用）数量≥24口，千兆光口（SFP）≥4个；交换容量：192Gbps。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3" w:type="dxa"/>
            <w:vAlign w:val="center"/>
          </w:tcPr>
          <w:p>
            <w:pPr>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教师讲台桌</w:t>
            </w:r>
          </w:p>
        </w:tc>
        <w:tc>
          <w:tcPr>
            <w:tcW w:w="6826" w:type="dxa"/>
            <w:vAlign w:val="center"/>
          </w:tcPr>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尺寸约：</w:t>
            </w:r>
            <w:r>
              <w:rPr>
                <w:rFonts w:ascii="宋体" w:hAnsi="宋体"/>
                <w:color w:val="000000" w:themeColor="text1"/>
                <w:kern w:val="2"/>
                <w:sz w:val="24"/>
                <w:szCs w:val="24"/>
                <w14:textFill>
                  <w14:solidFill>
                    <w14:schemeClr w14:val="tx1"/>
                  </w14:solidFill>
                </w14:textFill>
              </w:rPr>
              <w:t>1</w:t>
            </w:r>
            <w:r>
              <w:rPr>
                <w:rFonts w:hint="eastAsia" w:ascii="宋体" w:hAnsi="宋体"/>
                <w:color w:val="000000" w:themeColor="text1"/>
                <w:kern w:val="2"/>
                <w:sz w:val="24"/>
                <w:szCs w:val="24"/>
                <w14:textFill>
                  <w14:solidFill>
                    <w14:schemeClr w14:val="tx1"/>
                  </w14:solidFill>
                </w14:textFill>
              </w:rPr>
              <w:t>400mm（长）×700mm(宽)×800mm(高)，整体钢木结构。</w:t>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外观：与学生电脑桌款式一致，桌面下方左右放置</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带轮子</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kern w:val="2"/>
                <w:sz w:val="24"/>
                <w:szCs w:val="24"/>
                <w14:textFill>
                  <w14:solidFill>
                    <w14:schemeClr w14:val="tx1"/>
                  </w14:solidFill>
                </w14:textFill>
              </w:rPr>
              <w:t>活动抽屉柜和</w:t>
            </w:r>
            <w:r>
              <w:rPr>
                <w:rFonts w:ascii="宋体" w:hAnsi="宋体"/>
                <w:color w:val="000000" w:themeColor="text1"/>
                <w:kern w:val="2"/>
                <w:sz w:val="24"/>
                <w:szCs w:val="24"/>
                <w14:textFill>
                  <w14:solidFill>
                    <w14:schemeClr w14:val="tx1"/>
                  </w14:solidFill>
                </w14:textFill>
              </w:rPr>
              <w:t>活动主机托盘</w:t>
            </w:r>
            <w:r>
              <w:rPr>
                <w:rFonts w:hint="eastAsia" w:ascii="宋体" w:hAnsi="宋体"/>
                <w:color w:val="000000" w:themeColor="text1"/>
                <w:kern w:val="2"/>
                <w:sz w:val="24"/>
                <w:szCs w:val="24"/>
                <w14:textFill>
                  <w14:solidFill>
                    <w14:schemeClr w14:val="tx1"/>
                  </w14:solidFill>
                </w14:textFill>
              </w:rPr>
              <w:t>。</w:t>
            </w:r>
          </w:p>
          <w:p>
            <w:pPr>
              <w:contextualSpacing/>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板厚：18mm；</w:t>
            </w:r>
            <w:r>
              <w:rPr>
                <w:rFonts w:hint="eastAsia" w:ascii="宋体" w:hAnsi="宋体"/>
                <w:b/>
                <w:color w:val="000000" w:themeColor="text1"/>
                <w:sz w:val="24"/>
                <w:szCs w:val="24"/>
                <w14:textFill>
                  <w14:solidFill>
                    <w14:schemeClr w14:val="tx1"/>
                  </w14:solidFill>
                </w14:textFill>
              </w:rPr>
              <w:t>板材材质：实木板（橡木齿接板）。</w:t>
            </w:r>
          </w:p>
          <w:p>
            <w:pPr>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桌面板采用18mm的实木板（橡木齿接板），活动抽屉柜板材16mm的实木板（橡木齿接板），</w:t>
            </w:r>
            <w:r>
              <w:rPr>
                <w:rFonts w:ascii="宋体" w:hAnsi="宋体"/>
                <w:color w:val="000000" w:themeColor="text1"/>
                <w:sz w:val="24"/>
                <w:szCs w:val="24"/>
                <w14:textFill>
                  <w14:solidFill>
                    <w14:schemeClr w14:val="tx1"/>
                  </w14:solidFill>
                </w14:textFill>
              </w:rPr>
              <w:t>主机托盘</w:t>
            </w:r>
            <w:r>
              <w:rPr>
                <w:rFonts w:hint="eastAsia" w:ascii="宋体" w:hAnsi="宋体"/>
                <w:color w:val="000000" w:themeColor="text1"/>
                <w:sz w:val="24"/>
                <w:szCs w:val="24"/>
                <w14:textFill>
                  <w14:solidFill>
                    <w14:schemeClr w14:val="tx1"/>
                  </w14:solidFill>
                </w14:textFill>
              </w:rPr>
              <w:t>带轮</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橡木齿接板</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；颜色为原木清漆色（油漆：水性漆）</w:t>
            </w:r>
          </w:p>
          <w:p>
            <w:pPr>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2.桌架：桌面下方支撑架和立柱采用40*40mm，厚1.2mm方管，焊接拼接而成。立柱配脚套。</w:t>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3.桌体：（桌面以下）</w:t>
            </w:r>
            <w:r>
              <w:rPr>
                <w:rFonts w:hint="eastAsia" w:ascii="宋体" w:hAnsi="宋体"/>
                <w:color w:val="000000" w:themeColor="text1"/>
                <w:sz w:val="24"/>
                <w:szCs w:val="24"/>
                <w14:textFill>
                  <w14:solidFill>
                    <w14:schemeClr w14:val="tx1"/>
                  </w14:solidFill>
                </w14:textFill>
              </w:rPr>
              <w:t>采用折边钢板冲焊接（厚度不低于1mm），前面板、背板和左右侧板采用焊接做成，</w:t>
            </w:r>
            <w:r>
              <w:rPr>
                <w:rFonts w:hint="eastAsia" w:ascii="宋体" w:hAnsi="宋体"/>
                <w:color w:val="000000" w:themeColor="text1"/>
                <w:kern w:val="2"/>
                <w:sz w:val="24"/>
                <w:szCs w:val="24"/>
                <w14:textFill>
                  <w14:solidFill>
                    <w14:schemeClr w14:val="tx1"/>
                  </w14:solidFill>
                </w14:textFill>
              </w:rPr>
              <w:t>活动抽屉柜</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主机托盘（</w:t>
            </w:r>
            <w:r>
              <w:rPr>
                <w:rFonts w:hint="eastAsia" w:ascii="宋体" w:hAnsi="宋体"/>
                <w:color w:val="000000" w:themeColor="text1"/>
                <w:sz w:val="24"/>
                <w:szCs w:val="24"/>
                <w14:textFill>
                  <w14:solidFill>
                    <w14:schemeClr w14:val="tx1"/>
                  </w14:solidFill>
                </w14:textFill>
              </w:rPr>
              <w:t>带轮</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与用户采购桌子和电脑相匹配，可定制。</w:t>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4. 桌体（桌面以下）方管和钢板表面经过酸洗、磷化防腐防锈处理后静电喷塑，经久耐用。左右侧板预留布线位置，方便走线。</w:t>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5</w:t>
            </w:r>
            <w:r>
              <w:rPr>
                <w:rFonts w:ascii="宋体" w:hAnsi="宋体"/>
                <w:color w:val="000000" w:themeColor="text1"/>
                <w:kern w:val="2"/>
                <w:sz w:val="24"/>
                <w:szCs w:val="24"/>
                <w14:textFill>
                  <w14:solidFill>
                    <w14:schemeClr w14:val="tx1"/>
                  </w14:solidFill>
                </w14:textFill>
              </w:rPr>
              <w:t>.</w:t>
            </w:r>
            <w:r>
              <w:rPr>
                <w:rFonts w:hint="eastAsia" w:ascii="宋体" w:hAnsi="宋体"/>
                <w:color w:val="000000" w:themeColor="text1"/>
                <w:kern w:val="2"/>
                <w:sz w:val="24"/>
                <w:szCs w:val="24"/>
                <w14:textFill>
                  <w14:solidFill>
                    <w14:schemeClr w14:val="tx1"/>
                  </w14:solidFill>
                </w14:textFill>
              </w:rPr>
              <w:t>达到E1级国家环保要求，无异味。</w:t>
            </w:r>
          </w:p>
          <w:p>
            <w:pPr>
              <w:pStyle w:val="782"/>
              <w:spacing w:line="440" w:lineRule="atLeast"/>
              <w:contextualSpacing/>
              <w:rPr>
                <w:rFonts w:hint="eastAsia"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6. 原厂保修三年。</w:t>
            </w:r>
          </w:p>
          <w:p>
            <w:pPr>
              <w:pStyle w:val="782"/>
              <w:spacing w:line="440" w:lineRule="atLeast"/>
              <w:contextualSpacing/>
              <w:rPr>
                <w:rFonts w:hint="eastAsia"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748030" cy="727075"/>
                  <wp:effectExtent l="0" t="0" r="13970" b="15875"/>
                  <wp:docPr id="21" name="图片 21" descr="C:\Users\ADMINI~1\AppData\Local\Temp\16505991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1650599177(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52406" cy="731505"/>
                          </a:xfrm>
                          <a:prstGeom prst="rect">
                            <a:avLst/>
                          </a:prstGeom>
                          <a:noFill/>
                          <a:ln>
                            <a:noFill/>
                          </a:ln>
                        </pic:spPr>
                      </pic:pic>
                    </a:graphicData>
                  </a:graphic>
                </wp:inline>
              </w:drawing>
            </w:r>
            <w:r>
              <w:rPr>
                <w:rFonts w:hint="eastAsia" w:ascii="宋体" w:hAnsi="宋体"/>
                <w:color w:val="000000" w:themeColor="text1"/>
                <w:kern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1022985" cy="450215"/>
                  <wp:effectExtent l="0" t="0" r="5715" b="6985"/>
                  <wp:docPr id="22" name="图片 22" descr="C:\Users\ADMINI~1\AppData\Local\Temp\1650599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1650599245(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24496" cy="450771"/>
                          </a:xfrm>
                          <a:prstGeom prst="rect">
                            <a:avLst/>
                          </a:prstGeom>
                          <a:noFill/>
                          <a:ln>
                            <a:noFill/>
                          </a:ln>
                        </pic:spPr>
                      </pic:pic>
                    </a:graphicData>
                  </a:graphic>
                </wp:inline>
              </w:drawing>
            </w:r>
          </w:p>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活动抽屉柜</w:t>
            </w:r>
            <w:r>
              <w:rPr>
                <w:rFonts w:ascii="宋体" w:hAnsi="宋体"/>
                <w:color w:val="000000" w:themeColor="text1"/>
                <w:sz w:val="24"/>
                <w:szCs w:val="24"/>
                <w14:textFill>
                  <w14:solidFill>
                    <w14:schemeClr w14:val="tx1"/>
                  </w14:solidFill>
                </w14:textFill>
              </w:rPr>
              <w:t>主</w:t>
            </w:r>
            <w:r>
              <w:rPr>
                <w:rFonts w:hint="eastAsia" w:ascii="宋体" w:hAnsi="宋体"/>
                <w:color w:val="000000" w:themeColor="text1"/>
                <w:sz w:val="24"/>
                <w:szCs w:val="24"/>
                <w14:textFill>
                  <w14:solidFill>
                    <w14:schemeClr w14:val="tx1"/>
                  </w14:solidFill>
                </w14:textFill>
              </w:rPr>
              <w:t>和</w:t>
            </w:r>
            <w:r>
              <w:rPr>
                <w:rFonts w:ascii="宋体" w:hAnsi="宋体"/>
                <w:color w:val="000000" w:themeColor="text1"/>
                <w:sz w:val="24"/>
                <w:szCs w:val="24"/>
                <w14:textFill>
                  <w14:solidFill>
                    <w14:schemeClr w14:val="tx1"/>
                  </w14:solidFill>
                </w14:textFill>
              </w:rPr>
              <w:t>机托盘</w:t>
            </w:r>
            <w:r>
              <w:rPr>
                <w:rFonts w:hint="eastAsia" w:ascii="宋体" w:hAnsi="宋体"/>
                <w:color w:val="000000" w:themeColor="text1"/>
                <w:sz w:val="24"/>
                <w:szCs w:val="24"/>
                <w14:textFill>
                  <w14:solidFill>
                    <w14:schemeClr w14:val="tx1"/>
                  </w14:solidFill>
                </w14:textFill>
              </w:rPr>
              <w:t>带轮的参考样图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1" w:hRule="atLeast"/>
          <w:jc w:val="center"/>
        </w:trPr>
        <w:tc>
          <w:tcPr>
            <w:tcW w:w="483" w:type="dxa"/>
            <w:vAlign w:val="center"/>
          </w:tcPr>
          <w:p>
            <w:pPr>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两人电脑桌</w:t>
            </w:r>
          </w:p>
        </w:tc>
        <w:tc>
          <w:tcPr>
            <w:tcW w:w="6826" w:type="dxa"/>
            <w:vAlign w:val="center"/>
          </w:tcPr>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尺寸：</w:t>
            </w:r>
            <w:r>
              <w:rPr>
                <w:rFonts w:hint="eastAsia" w:ascii="宋体" w:hAnsi="宋体"/>
                <w:color w:val="000000" w:themeColor="text1"/>
                <w:sz w:val="24"/>
                <w:szCs w:val="24"/>
                <w14:textFill>
                  <w14:solidFill>
                    <w14:schemeClr w14:val="tx1"/>
                  </w14:solidFill>
                </w14:textFill>
              </w:rPr>
              <w:t xml:space="preserve"> 1400 mm （1300mm）（长）×600mm(宽)，</w:t>
            </w:r>
            <w:r>
              <w:rPr>
                <w:rFonts w:hint="eastAsia" w:ascii="宋体" w:hAnsi="宋体"/>
                <w:color w:val="000000" w:themeColor="text1"/>
                <w:kern w:val="2"/>
                <w:sz w:val="24"/>
                <w:szCs w:val="24"/>
                <w14:textFill>
                  <w14:solidFill>
                    <w14:schemeClr w14:val="tx1"/>
                  </w14:solidFill>
                </w14:textFill>
              </w:rPr>
              <w:t>小学桌高6</w:t>
            </w:r>
            <w:r>
              <w:rPr>
                <w:rFonts w:ascii="宋体" w:hAnsi="宋体"/>
                <w:color w:val="000000" w:themeColor="text1"/>
                <w:kern w:val="2"/>
                <w:sz w:val="24"/>
                <w:szCs w:val="24"/>
                <w14:textFill>
                  <w14:solidFill>
                    <w14:schemeClr w14:val="tx1"/>
                  </w14:solidFill>
                </w14:textFill>
              </w:rPr>
              <w:t>40</w:t>
            </w:r>
            <w:r>
              <w:rPr>
                <w:rFonts w:hint="eastAsia" w:ascii="宋体" w:hAnsi="宋体"/>
                <w:color w:val="000000" w:themeColor="text1"/>
                <w:kern w:val="2"/>
                <w:sz w:val="24"/>
                <w:szCs w:val="24"/>
                <w14:textFill>
                  <w14:solidFill>
                    <w14:schemeClr w14:val="tx1"/>
                  </w14:solidFill>
                </w14:textFill>
              </w:rPr>
              <w:t>mm，初中桌高7</w:t>
            </w:r>
            <w:r>
              <w:rPr>
                <w:rFonts w:ascii="宋体" w:hAnsi="宋体"/>
                <w:color w:val="000000" w:themeColor="text1"/>
                <w:kern w:val="2"/>
                <w:sz w:val="24"/>
                <w:szCs w:val="24"/>
                <w14:textFill>
                  <w14:solidFill>
                    <w14:schemeClr w14:val="tx1"/>
                  </w14:solidFill>
                </w14:textFill>
              </w:rPr>
              <w:t>00</w:t>
            </w:r>
            <w:r>
              <w:rPr>
                <w:rFonts w:hint="eastAsia" w:ascii="宋体" w:hAnsi="宋体"/>
                <w:color w:val="000000" w:themeColor="text1"/>
                <w:kern w:val="2"/>
                <w:sz w:val="24"/>
                <w:szCs w:val="24"/>
                <w14:textFill>
                  <w14:solidFill>
                    <w14:schemeClr w14:val="tx1"/>
                  </w14:solidFill>
                </w14:textFill>
              </w:rPr>
              <w:t>mm，高中桌面7</w:t>
            </w:r>
            <w:r>
              <w:rPr>
                <w:rFonts w:ascii="宋体" w:hAnsi="宋体"/>
                <w:color w:val="000000" w:themeColor="text1"/>
                <w:kern w:val="2"/>
                <w:sz w:val="24"/>
                <w:szCs w:val="24"/>
                <w14:textFill>
                  <w14:solidFill>
                    <w14:schemeClr w14:val="tx1"/>
                  </w14:solidFill>
                </w14:textFill>
              </w:rPr>
              <w:t>60</w:t>
            </w:r>
            <w:r>
              <w:rPr>
                <w:rFonts w:hint="eastAsia" w:ascii="宋体" w:hAnsi="宋体"/>
                <w:color w:val="000000" w:themeColor="text1"/>
                <w:kern w:val="2"/>
                <w:sz w:val="24"/>
                <w:szCs w:val="24"/>
                <w14:textFill>
                  <w14:solidFill>
                    <w14:schemeClr w14:val="tx1"/>
                  </w14:solidFill>
                </w14:textFill>
              </w:rPr>
              <w:t>mm。（具体尺寸供货前与学校确认）</w:t>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整体钢木结构，可坐两个学生。</w:t>
            </w:r>
          </w:p>
          <w:p>
            <w:pPr>
              <w:jc w:val="left"/>
              <w:rPr>
                <w:rFonts w:ascii="等线" w:hAnsi="等线"/>
                <w:b/>
                <w:color w:val="000000" w:themeColor="text1"/>
                <w:sz w:val="24"/>
                <w:szCs w:val="24"/>
                <w14:textFill>
                  <w14:solidFill>
                    <w14:schemeClr w14:val="tx1"/>
                  </w14:solidFill>
                </w14:textFill>
              </w:rPr>
            </w:pPr>
            <w:r>
              <w:rPr>
                <w:rFonts w:hint="eastAsia" w:ascii="等线" w:hAnsi="等线"/>
                <w:b/>
                <w:color w:val="000000" w:themeColor="text1"/>
                <w:sz w:val="24"/>
                <w:szCs w:val="24"/>
                <w14:textFill>
                  <w14:solidFill>
                    <w14:schemeClr w14:val="tx1"/>
                  </w14:solidFill>
                </w14:textFill>
              </w:rPr>
              <w:t>板厚：18mm；板材</w:t>
            </w:r>
            <w:r>
              <w:rPr>
                <w:rFonts w:hint="eastAsia" w:ascii="宋体" w:hAnsi="宋体"/>
                <w:b/>
                <w:color w:val="000000" w:themeColor="text1"/>
                <w:sz w:val="24"/>
                <w:szCs w:val="24"/>
                <w14:textFill>
                  <w14:solidFill>
                    <w14:schemeClr w14:val="tx1"/>
                  </w14:solidFill>
                </w14:textFill>
              </w:rPr>
              <w:t>材质</w:t>
            </w:r>
            <w:r>
              <w:rPr>
                <w:rFonts w:hint="eastAsia" w:ascii="等线" w:hAnsi="等线"/>
                <w:b/>
                <w:color w:val="000000" w:themeColor="text1"/>
                <w:sz w:val="24"/>
                <w:szCs w:val="24"/>
                <w14:textFill>
                  <w14:solidFill>
                    <w14:schemeClr w14:val="tx1"/>
                  </w14:solidFill>
                </w14:textFill>
              </w:rPr>
              <w:t>：实木板（橡木齿接板）。学生计算机主机嵌入放置在桌子下方对称或两端放置（具体由学校确定）。</w:t>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1.桌面采用18mm的实木板（橡木齿接板），颜色为原木清漆色（油漆：水性漆）</w:t>
            </w:r>
          </w:p>
          <w:p>
            <w:pPr>
              <w:pStyle w:val="782"/>
              <w:spacing w:line="440" w:lineRule="atLeast"/>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2.桌架：桌面下方</w:t>
            </w:r>
            <w:r>
              <w:rPr>
                <w:rFonts w:hint="eastAsia" w:ascii="宋体" w:hAnsi="宋体"/>
                <w:color w:val="000000" w:themeColor="text1"/>
                <w:sz w:val="24"/>
                <w:szCs w:val="24"/>
                <w14:textFill>
                  <w14:solidFill>
                    <w14:schemeClr w14:val="tx1"/>
                  </w14:solidFill>
                </w14:textFill>
              </w:rPr>
              <w:t>支撑架</w:t>
            </w:r>
            <w:r>
              <w:rPr>
                <w:rFonts w:hint="eastAsia" w:ascii="宋体" w:hAnsi="宋体"/>
                <w:color w:val="000000" w:themeColor="text1"/>
                <w:kern w:val="2"/>
                <w:sz w:val="24"/>
                <w:szCs w:val="24"/>
                <w14:textFill>
                  <w14:solidFill>
                    <w14:schemeClr w14:val="tx1"/>
                  </w14:solidFill>
                </w14:textFill>
              </w:rPr>
              <w:t>采用40*40mm，厚1.2mm方管，焊接拼接而成。</w:t>
            </w:r>
            <w:r>
              <w:rPr>
                <w:rFonts w:hint="eastAsia" w:ascii="宋体" w:hAnsi="宋体"/>
                <w:color w:val="000000" w:themeColor="text1"/>
                <w:sz w:val="24"/>
                <w:szCs w:val="24"/>
                <w14:textFill>
                  <w14:solidFill>
                    <w14:schemeClr w14:val="tx1"/>
                  </w14:solidFill>
                </w14:textFill>
              </w:rPr>
              <w:t>立柱配</w:t>
            </w:r>
            <w:r>
              <w:rPr>
                <w:rFonts w:hint="eastAsia" w:ascii="宋体" w:hAnsi="宋体"/>
                <w:color w:val="000000" w:themeColor="text1"/>
                <w:kern w:val="2"/>
                <w:sz w:val="24"/>
                <w:szCs w:val="24"/>
                <w14:textFill>
                  <w14:solidFill>
                    <w14:schemeClr w14:val="tx1"/>
                  </w14:solidFill>
                </w14:textFill>
              </w:rPr>
              <w:t>脚套</w:t>
            </w:r>
            <w:r>
              <w:rPr>
                <w:rFonts w:hint="eastAsia" w:ascii="宋体" w:hAnsi="宋体"/>
                <w:color w:val="000000" w:themeColor="text1"/>
                <w:sz w:val="24"/>
                <w:szCs w:val="24"/>
                <w14:textFill>
                  <w14:solidFill>
                    <w14:schemeClr w14:val="tx1"/>
                  </w14:solidFill>
                </w14:textFill>
              </w:rPr>
              <w:t>。</w:t>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3.桌体（桌面以下）采用钢板冲焊接（厚度不低于1mm），前面板、背板和左右侧板采用折边钢板焊接做成。</w:t>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4. 桌体（桌面以下）方管和钢板表面经过酸洗、磷化防腐防锈处理后静电喷塑，经久耐用。左右侧板预留布线位置，方便走线。</w:t>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5</w:t>
            </w:r>
            <w:r>
              <w:rPr>
                <w:rFonts w:ascii="宋体" w:hAnsi="宋体"/>
                <w:color w:val="000000" w:themeColor="text1"/>
                <w:kern w:val="2"/>
                <w:sz w:val="24"/>
                <w:szCs w:val="24"/>
                <w14:textFill>
                  <w14:solidFill>
                    <w14:schemeClr w14:val="tx1"/>
                  </w14:solidFill>
                </w14:textFill>
              </w:rPr>
              <w:t>.</w:t>
            </w:r>
            <w:r>
              <w:rPr>
                <w:rFonts w:hint="eastAsia" w:ascii="宋体" w:hAnsi="宋体"/>
                <w:color w:val="000000" w:themeColor="text1"/>
                <w:kern w:val="2"/>
                <w:sz w:val="24"/>
                <w:szCs w:val="24"/>
                <w14:textFill>
                  <w14:solidFill>
                    <w14:schemeClr w14:val="tx1"/>
                  </w14:solidFill>
                </w14:textFill>
              </w:rPr>
              <w:t>达到E1级国家环保要求，无异味。</w:t>
            </w:r>
          </w:p>
          <w:p>
            <w:pPr>
              <w:pStyle w:val="782"/>
              <w:spacing w:line="440" w:lineRule="atLeast"/>
              <w:contextualSpacing/>
              <w:rPr>
                <w:rFonts w:ascii="宋体" w:hAnsi="宋体"/>
                <w:color w:val="000000" w:themeColor="text1"/>
                <w:kern w:val="2"/>
                <w:sz w:val="24"/>
                <w:szCs w:val="24"/>
                <w:highlight w:val="yellow"/>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6. 原厂保修三年。</w:t>
            </w:r>
          </w:p>
          <w:p>
            <w:pPr>
              <w:pStyle w:val="782"/>
              <w:spacing w:line="440" w:lineRule="atLeast"/>
              <w:contextualSpacing/>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114300" distR="114300">
                  <wp:extent cx="3003550" cy="1593850"/>
                  <wp:effectExtent l="0" t="0" r="6350" b="6350"/>
                  <wp:docPr id="15" name="图片 1" descr="23492ade5a9481b399b35fc28bb7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23492ade5a9481b399b35fc28bb78a2"/>
                          <pic:cNvPicPr>
                            <a:picLocks noChangeAspect="1"/>
                          </pic:cNvPicPr>
                        </pic:nvPicPr>
                        <pic:blipFill>
                          <a:blip r:embed="rId29"/>
                          <a:stretch>
                            <a:fillRect/>
                          </a:stretch>
                        </pic:blipFill>
                        <pic:spPr>
                          <a:xfrm>
                            <a:off x="0" y="0"/>
                            <a:ext cx="3003550" cy="1593850"/>
                          </a:xfrm>
                          <a:prstGeom prst="rect">
                            <a:avLst/>
                          </a:prstGeom>
                          <a:noFill/>
                          <a:ln>
                            <a:noFill/>
                          </a:ln>
                        </pic:spPr>
                      </pic:pic>
                    </a:graphicData>
                  </a:graphic>
                </wp:inline>
              </w:drawing>
            </w:r>
          </w:p>
          <w:p>
            <w:pPr>
              <w:pStyle w:val="782"/>
              <w:spacing w:line="440" w:lineRule="atLeast"/>
              <w:contextualSpacing/>
              <w:jc w:val="center"/>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（参考图）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3" w:type="dxa"/>
            <w:vAlign w:val="center"/>
          </w:tcPr>
          <w:p>
            <w:pPr>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电脑凳</w:t>
            </w:r>
          </w:p>
        </w:tc>
        <w:tc>
          <w:tcPr>
            <w:tcW w:w="6826" w:type="dxa"/>
            <w:vAlign w:val="center"/>
          </w:tcPr>
          <w:p>
            <w:pPr>
              <w:ind w:firstLine="470" w:firstLineChars="196"/>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凳子采用钢木结构；学生方凳规格：3</w:t>
            </w:r>
            <w:r>
              <w:rPr>
                <w:rFonts w:ascii="宋体" w:hAnsi="宋体"/>
                <w:color w:val="000000" w:themeColor="text1"/>
                <w:sz w:val="24"/>
                <w:szCs w:val="24"/>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 xml:space="preserve">0mm ×240mm；凳面高低可调，高度调节范围（H）为 </w:t>
            </w:r>
            <w:r>
              <w:rPr>
                <w:rFonts w:ascii="宋体" w:hAnsi="宋体"/>
                <w:color w:val="000000" w:themeColor="text1"/>
                <w:sz w:val="24"/>
                <w:szCs w:val="24"/>
                <w14:textFill>
                  <w14:solidFill>
                    <w14:schemeClr w14:val="tx1"/>
                  </w14:solidFill>
                </w14:textFill>
              </w:rPr>
              <w:t>360</w:t>
            </w:r>
            <w:r>
              <w:rPr>
                <w:rFonts w:hint="eastAsia" w:ascii="宋体" w:hAnsi="宋体"/>
                <w:color w:val="000000" w:themeColor="text1"/>
                <w:sz w:val="24"/>
                <w:szCs w:val="24"/>
                <w14:textFill>
                  <w14:solidFill>
                    <w14:schemeClr w14:val="tx1"/>
                  </w14:solidFill>
                </w14:textFill>
              </w:rPr>
              <w:t>mm ～ 4</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0mm</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每</w:t>
            </w:r>
            <w:r>
              <w:rPr>
                <w:rFonts w:ascii="宋体" w:hAnsi="宋体"/>
                <w:color w:val="000000" w:themeColor="text1"/>
                <w:sz w:val="24"/>
                <w:szCs w:val="24"/>
                <w14:textFill>
                  <w14:solidFill>
                    <w14:schemeClr w14:val="tx1"/>
                  </w14:solidFill>
                </w14:textFill>
              </w:rPr>
              <w:t>档升降</w:t>
            </w:r>
            <w:r>
              <w:rPr>
                <w:rFonts w:hint="eastAsia" w:ascii="宋体" w:hAnsi="宋体"/>
                <w:color w:val="000000" w:themeColor="text1"/>
                <w:sz w:val="24"/>
                <w:szCs w:val="24"/>
                <w14:textFill>
                  <w14:solidFill>
                    <w14:schemeClr w14:val="tx1"/>
                  </w14:solidFill>
                </w14:textFill>
              </w:rPr>
              <w:t>20</w:t>
            </w:r>
            <w:r>
              <w:rPr>
                <w:rFonts w:ascii="宋体" w:hAnsi="宋体"/>
                <w:color w:val="000000" w:themeColor="text1"/>
                <w:sz w:val="24"/>
                <w:szCs w:val="24"/>
                <w14:textFill>
                  <w14:solidFill>
                    <w14:schemeClr w14:val="tx1"/>
                  </w14:solidFill>
                </w14:textFill>
              </w:rPr>
              <w:t>mm</w:t>
            </w:r>
            <w:r>
              <w:rPr>
                <w:rFonts w:hint="eastAsia" w:ascii="宋体" w:hAnsi="宋体"/>
                <w:color w:val="000000" w:themeColor="text1"/>
                <w:sz w:val="24"/>
                <w:szCs w:val="24"/>
                <w14:textFill>
                  <w14:solidFill>
                    <w14:schemeClr w14:val="tx1"/>
                  </w14:solidFill>
                </w14:textFill>
              </w:rPr>
              <w:t>；供货时：</w:t>
            </w:r>
            <w:r>
              <w:rPr>
                <w:rFonts w:hint="eastAsia" w:ascii="宋体" w:hAnsi="宋体"/>
                <w:b/>
                <w:color w:val="000000" w:themeColor="text1"/>
                <w:sz w:val="24"/>
                <w:szCs w:val="24"/>
                <w14:textFill>
                  <w14:solidFill>
                    <w14:schemeClr w14:val="tx1"/>
                  </w14:solidFill>
                </w14:textFill>
              </w:rPr>
              <w:t>小学座高统一调整为3</w:t>
            </w:r>
            <w:r>
              <w:rPr>
                <w:rFonts w:ascii="宋体" w:hAnsi="宋体"/>
                <w:b/>
                <w:color w:val="000000" w:themeColor="text1"/>
                <w:sz w:val="24"/>
                <w:szCs w:val="24"/>
                <w14:textFill>
                  <w14:solidFill>
                    <w14:schemeClr w14:val="tx1"/>
                  </w14:solidFill>
                </w14:textFill>
              </w:rPr>
              <w:t>60</w:t>
            </w:r>
            <w:r>
              <w:rPr>
                <w:rFonts w:hint="eastAsia" w:ascii="宋体" w:hAnsi="宋体"/>
                <w:b/>
                <w:color w:val="000000" w:themeColor="text1"/>
                <w:sz w:val="24"/>
                <w:szCs w:val="24"/>
                <w14:textFill>
                  <w14:solidFill>
                    <w14:schemeClr w14:val="tx1"/>
                  </w14:solidFill>
                </w14:textFill>
              </w:rPr>
              <w:t>mm、初中座高统一调整为4</w:t>
            </w:r>
            <w:r>
              <w:rPr>
                <w:rFonts w:ascii="宋体" w:hAnsi="宋体"/>
                <w:b/>
                <w:color w:val="000000" w:themeColor="text1"/>
                <w:sz w:val="24"/>
                <w:szCs w:val="24"/>
                <w14:textFill>
                  <w14:solidFill>
                    <w14:schemeClr w14:val="tx1"/>
                  </w14:solidFill>
                </w14:textFill>
              </w:rPr>
              <w:t>00</w:t>
            </w:r>
            <w:r>
              <w:rPr>
                <w:rFonts w:hint="eastAsia" w:ascii="宋体" w:hAnsi="宋体"/>
                <w:b/>
                <w:color w:val="000000" w:themeColor="text1"/>
                <w:sz w:val="24"/>
                <w:szCs w:val="24"/>
                <w14:textFill>
                  <w14:solidFill>
                    <w14:schemeClr w14:val="tx1"/>
                  </w14:solidFill>
                </w14:textFill>
              </w:rPr>
              <w:t>mm，高中座高统一调整为4</w:t>
            </w:r>
            <w:r>
              <w:rPr>
                <w:rFonts w:ascii="宋体" w:hAnsi="宋体"/>
                <w:b/>
                <w:color w:val="000000" w:themeColor="text1"/>
                <w:sz w:val="24"/>
                <w:szCs w:val="24"/>
                <w14:textFill>
                  <w14:solidFill>
                    <w14:schemeClr w14:val="tx1"/>
                  </w14:solidFill>
                </w14:textFill>
              </w:rPr>
              <w:t>40</w:t>
            </w:r>
            <w:r>
              <w:rPr>
                <w:rFonts w:hint="eastAsia" w:ascii="宋体" w:hAnsi="宋体"/>
                <w:b/>
                <w:color w:val="000000" w:themeColor="text1"/>
                <w:sz w:val="24"/>
                <w:szCs w:val="24"/>
                <w14:textFill>
                  <w14:solidFill>
                    <w14:schemeClr w14:val="tx1"/>
                  </w14:solidFill>
                </w14:textFill>
              </w:rPr>
              <w:t>mm</w:t>
            </w:r>
            <w:r>
              <w:rPr>
                <w:rFonts w:hint="eastAsia" w:ascii="宋体" w:hAnsi="宋体"/>
                <w:color w:val="000000" w:themeColor="text1"/>
                <w:sz w:val="24"/>
                <w:szCs w:val="24"/>
                <w14:textFill>
                  <w14:solidFill>
                    <w14:schemeClr w14:val="tx1"/>
                  </w14:solidFill>
                </w14:textFill>
              </w:rPr>
              <w:t>。</w:t>
            </w:r>
          </w:p>
          <w:p>
            <w:pPr>
              <w:ind w:firstLine="470" w:firstLineChars="196"/>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凳面板均采用18mm</w:t>
            </w:r>
            <w:r>
              <w:rPr>
                <w:rFonts w:hint="eastAsia" w:ascii="宋体" w:hAnsi="宋体"/>
                <w:color w:val="000000" w:themeColor="text1"/>
                <w:sz w:val="24"/>
                <w:szCs w:val="24"/>
                <w:shd w:val="clear" w:color="auto" w:fill="FFFFFF"/>
                <w14:textFill>
                  <w14:solidFill>
                    <w14:schemeClr w14:val="tx1"/>
                  </w14:solidFill>
                </w14:textFill>
              </w:rPr>
              <w:t>实木板</w:t>
            </w:r>
            <w:r>
              <w:rPr>
                <w:rFonts w:hint="eastAsia" w:ascii="宋体" w:hAnsi="宋体"/>
                <w:color w:val="000000" w:themeColor="text1"/>
                <w:sz w:val="24"/>
                <w:szCs w:val="24"/>
                <w14:textFill>
                  <w14:solidFill>
                    <w14:schemeClr w14:val="tx1"/>
                  </w14:solidFill>
                </w14:textFill>
              </w:rPr>
              <w:t>（橡木齿接板）。</w:t>
            </w:r>
          </w:p>
          <w:p>
            <w:pPr>
              <w:ind w:firstLine="470" w:firstLineChars="196"/>
              <w:contextualSpacing/>
              <w:rPr>
                <w:rFonts w:hint="eastAsia" w:ascii="宋体" w:hAnsi="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凳脚管采用20</w:t>
            </w:r>
            <w:r>
              <w:rPr>
                <w:rFonts w:ascii="宋体" w:hAnsi="宋体"/>
                <w:color w:val="000000" w:themeColor="text1"/>
                <w:sz w:val="24"/>
                <w:szCs w:val="24"/>
                <w14:textFill>
                  <w14:solidFill>
                    <w14:schemeClr w14:val="tx1"/>
                  </w14:solidFill>
                </w14:textFill>
              </w:rPr>
              <w:t>*50*1.2mm椭圆管和</w:t>
            </w:r>
            <w:r>
              <w:rPr>
                <w:rFonts w:hint="eastAsia" w:ascii="宋体" w:hAnsi="宋体"/>
                <w:color w:val="000000" w:themeColor="text1"/>
                <w:sz w:val="24"/>
                <w:szCs w:val="24"/>
                <w14:textFill>
                  <w14:solidFill>
                    <w14:schemeClr w14:val="tx1"/>
                  </w14:solidFill>
                </w14:textFill>
              </w:rPr>
              <w:t>20</w:t>
            </w:r>
            <w:r>
              <w:rPr>
                <w:rFonts w:ascii="宋体" w:hAnsi="宋体"/>
                <w:color w:val="000000" w:themeColor="text1"/>
                <w:sz w:val="24"/>
                <w:szCs w:val="24"/>
                <w14:textFill>
                  <w14:solidFill>
                    <w14:schemeClr w14:val="tx1"/>
                  </w14:solidFill>
                </w14:textFill>
              </w:rPr>
              <w:t>*50*1.2mm脚步管，拉</w:t>
            </w:r>
            <w:r>
              <w:rPr>
                <w:rFonts w:hint="eastAsia" w:ascii="宋体" w:hAnsi="宋体"/>
                <w:color w:val="000000" w:themeColor="text1"/>
                <w:sz w:val="24"/>
                <w:szCs w:val="24"/>
                <w14:textFill>
                  <w14:solidFill>
                    <w14:schemeClr w14:val="tx1"/>
                  </w14:solidFill>
                </w14:textFill>
              </w:rPr>
              <w:t>管</w:t>
            </w:r>
            <w:r>
              <w:rPr>
                <w:rFonts w:ascii="宋体" w:hAnsi="宋体"/>
                <w:color w:val="000000" w:themeColor="text1"/>
                <w:sz w:val="24"/>
                <w:szCs w:val="24"/>
                <w14:textFill>
                  <w14:solidFill>
                    <w14:schemeClr w14:val="tx1"/>
                  </w14:solidFill>
                </w14:textFill>
              </w:rPr>
              <w:t>采用</w:t>
            </w:r>
            <w:r>
              <w:rPr>
                <w:rFonts w:hint="eastAsia" w:ascii="宋体" w:hAnsi="宋体"/>
                <w:color w:val="000000" w:themeColor="text1"/>
                <w:sz w:val="24"/>
                <w:szCs w:val="24"/>
                <w14:textFill>
                  <w14:solidFill>
                    <w14:schemeClr w14:val="tx1"/>
                  </w14:solidFill>
                </w14:textFill>
              </w:rPr>
              <w:t>30</w:t>
            </w:r>
            <w:r>
              <w:rPr>
                <w:rFonts w:ascii="宋体" w:hAnsi="宋体"/>
                <w:color w:val="000000" w:themeColor="text1"/>
                <w:sz w:val="24"/>
                <w:szCs w:val="24"/>
                <w14:textFill>
                  <w14:solidFill>
                    <w14:schemeClr w14:val="tx1"/>
                  </w14:solidFill>
                </w14:textFill>
              </w:rPr>
              <w:t>*50*1.2mm椭圆管，凳旁板采用优质冷轧板</w:t>
            </w:r>
            <w:r>
              <w:rPr>
                <w:rFonts w:hint="eastAsia" w:ascii="宋体" w:hAnsi="宋体"/>
                <w:color w:val="000000" w:themeColor="text1"/>
                <w:sz w:val="24"/>
                <w:szCs w:val="24"/>
                <w14:textFill>
                  <w14:solidFill>
                    <w14:schemeClr w14:val="tx1"/>
                  </w14:solidFill>
                </w14:textFill>
              </w:rPr>
              <w:t>冲压件</w:t>
            </w:r>
            <w:r>
              <w:rPr>
                <w:rFonts w:ascii="宋体" w:hAnsi="宋体"/>
                <w:color w:val="000000" w:themeColor="text1"/>
                <w:sz w:val="24"/>
                <w:szCs w:val="24"/>
                <w14:textFill>
                  <w14:solidFill>
                    <w14:schemeClr w14:val="tx1"/>
                  </w14:solidFill>
                </w14:textFill>
              </w:rPr>
              <w:t>，厚度为</w:t>
            </w:r>
            <w:r>
              <w:rPr>
                <w:rFonts w:hint="eastAsia" w:ascii="宋体" w:hAnsi="宋体"/>
                <w:color w:val="000000" w:themeColor="text1"/>
                <w:sz w:val="24"/>
                <w:szCs w:val="24"/>
                <w14:textFill>
                  <w14:solidFill>
                    <w14:schemeClr w14:val="tx1"/>
                  </w14:solidFill>
                </w14:textFill>
              </w:rPr>
              <w:t>δ≥1</w:t>
            </w:r>
            <w:r>
              <w:rPr>
                <w:rFonts w:ascii="宋体" w:hAnsi="宋体"/>
                <w:color w:val="000000" w:themeColor="text1"/>
                <w:sz w:val="24"/>
                <w:szCs w:val="24"/>
                <w14:textFill>
                  <w14:solidFill>
                    <w14:schemeClr w14:val="tx1"/>
                  </w14:solidFill>
                </w14:textFill>
              </w:rPr>
              <w:t>.2mm，经</w:t>
            </w:r>
            <w:r>
              <w:rPr>
                <w:rFonts w:hint="eastAsia" w:ascii="宋体" w:hAnsi="宋体"/>
                <w:color w:val="000000" w:themeColor="text1"/>
                <w:sz w:val="24"/>
                <w:szCs w:val="24"/>
                <w14:textFill>
                  <w14:solidFill>
                    <w14:schemeClr w14:val="tx1"/>
                  </w14:solidFill>
                </w14:textFill>
              </w:rPr>
              <w:t>二氧化碳</w:t>
            </w:r>
            <w:r>
              <w:rPr>
                <w:rFonts w:ascii="宋体" w:hAnsi="宋体"/>
                <w:color w:val="000000" w:themeColor="text1"/>
                <w:sz w:val="24"/>
                <w:szCs w:val="24"/>
                <w14:textFill>
                  <w14:solidFill>
                    <w14:schemeClr w14:val="tx1"/>
                  </w14:solidFill>
                </w14:textFill>
              </w:rPr>
              <w:t>气体保护焊接，保证无稀</w:t>
            </w:r>
            <w:r>
              <w:rPr>
                <w:rFonts w:hint="eastAsia" w:ascii="宋体" w:hAnsi="宋体"/>
                <w:color w:val="000000" w:themeColor="text1"/>
                <w:sz w:val="24"/>
                <w:szCs w:val="24"/>
                <w14:textFill>
                  <w14:solidFill>
                    <w14:schemeClr w14:val="tx1"/>
                  </w14:solidFill>
                </w14:textFill>
              </w:rPr>
              <w:t>焊、</w:t>
            </w:r>
            <w:r>
              <w:rPr>
                <w:rFonts w:ascii="宋体" w:hAnsi="宋体"/>
                <w:color w:val="000000" w:themeColor="text1"/>
                <w:sz w:val="24"/>
                <w:szCs w:val="24"/>
                <w14:textFill>
                  <w14:solidFill>
                    <w14:schemeClr w14:val="tx1"/>
                  </w14:solidFill>
                </w14:textFill>
              </w:rPr>
              <w:t>漏焊现象，铁件</w:t>
            </w:r>
            <w:r>
              <w:rPr>
                <w:rFonts w:hint="eastAsia" w:ascii="宋体" w:hAnsi="宋体"/>
                <w:color w:val="000000" w:themeColor="text1"/>
                <w:sz w:val="24"/>
                <w:szCs w:val="24"/>
                <w14:textFill>
                  <w14:solidFill>
                    <w14:schemeClr w14:val="tx1"/>
                  </w14:solidFill>
                </w14:textFill>
              </w:rPr>
              <w:t>经过</w:t>
            </w:r>
            <w:r>
              <w:rPr>
                <w:rFonts w:ascii="宋体" w:hAnsi="宋体"/>
                <w:color w:val="000000" w:themeColor="text1"/>
                <w:sz w:val="24"/>
                <w:szCs w:val="24"/>
                <w14:textFill>
                  <w14:solidFill>
                    <w14:schemeClr w14:val="tx1"/>
                  </w14:solidFill>
                </w14:textFill>
              </w:rPr>
              <w:t>酸洗、磷化</w:t>
            </w:r>
            <w:r>
              <w:rPr>
                <w:rFonts w:hint="eastAsia" w:ascii="宋体" w:hAnsi="宋体"/>
                <w:color w:val="000000" w:themeColor="text1"/>
                <w:sz w:val="24"/>
                <w:szCs w:val="24"/>
                <w14:textFill>
                  <w14:solidFill>
                    <w14:schemeClr w14:val="tx1"/>
                  </w14:solidFill>
                </w14:textFill>
              </w:rPr>
              <w:t>，静电</w:t>
            </w:r>
            <w:r>
              <w:rPr>
                <w:rFonts w:ascii="宋体" w:hAnsi="宋体"/>
                <w:color w:val="000000" w:themeColor="text1"/>
                <w:sz w:val="24"/>
                <w:szCs w:val="24"/>
                <w14:textFill>
                  <w14:solidFill>
                    <w14:schemeClr w14:val="tx1"/>
                  </w14:solidFill>
                </w14:textFill>
              </w:rPr>
              <w:t>喷塑</w:t>
            </w:r>
            <w:r>
              <w:rPr>
                <w:rFonts w:hint="eastAsia" w:ascii="宋体" w:hAnsi="宋体"/>
                <w:color w:val="000000" w:themeColor="text1"/>
                <w:sz w:val="24"/>
                <w:szCs w:val="24"/>
                <w:lang w:eastAsia="zh-CN"/>
                <w14:textFill>
                  <w14:solidFill>
                    <w14:schemeClr w14:val="tx1"/>
                  </w14:solidFill>
                </w14:textFill>
              </w:rPr>
              <w:t>；</w:t>
            </w:r>
          </w:p>
          <w:p>
            <w:pPr>
              <w:ind w:firstLine="470" w:firstLineChars="196"/>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防滑脚套：1.材质：采用PP塑料（新料）一次注塑而成，</w:t>
            </w:r>
            <w:r>
              <w:rPr>
                <w:rFonts w:hint="eastAsia" w:ascii="宋体" w:hAnsi="宋体"/>
                <w:color w:val="000000" w:themeColor="text1"/>
                <w:sz w:val="24"/>
                <w:szCs w:val="24"/>
                <w:u w:val="single"/>
                <w14:textFill>
                  <w14:solidFill>
                    <w14:schemeClr w14:val="tx1"/>
                  </w14:solidFill>
                </w14:textFill>
              </w:rPr>
              <w:t>二次注塑成型橡胶脚垫，</w:t>
            </w:r>
            <w:r>
              <w:rPr>
                <w:rFonts w:hint="eastAsia" w:ascii="宋体" w:hAnsi="宋体"/>
                <w:color w:val="000000" w:themeColor="text1"/>
                <w:sz w:val="24"/>
                <w:szCs w:val="24"/>
                <w14:textFill>
                  <w14:solidFill>
                    <w14:schemeClr w14:val="tx1"/>
                  </w14:solidFill>
                </w14:textFill>
              </w:rPr>
              <w:t xml:space="preserve">耐磨抗老化。             </w:t>
            </w:r>
          </w:p>
          <w:p>
            <w:pPr>
              <w:ind w:firstLine="470" w:firstLineChars="196"/>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2.功能：底部带高低调节钮，可调椅子平整，并装有防滑橡胶脚垫。</w:t>
            </w:r>
          </w:p>
          <w:p>
            <w:pPr>
              <w:ind w:firstLine="470" w:firstLineChars="196"/>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凳子负载能承受不小于</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0</w:t>
            </w:r>
            <w:r>
              <w:rPr>
                <w:rFonts w:ascii="宋体" w:hAnsi="宋体"/>
                <w:color w:val="000000" w:themeColor="text1"/>
                <w:sz w:val="24"/>
                <w:szCs w:val="24"/>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0</w:t>
            </w:r>
            <w:r>
              <w:rPr>
                <w:rFonts w:ascii="宋体" w:hAnsi="宋体"/>
                <w:color w:val="000000" w:themeColor="text1"/>
                <w:sz w:val="24"/>
                <w:szCs w:val="24"/>
                <w14:textFill>
                  <w14:solidFill>
                    <w14:schemeClr w14:val="tx1"/>
                  </w14:solidFill>
                </w14:textFill>
              </w:rPr>
              <w:t>N</w:t>
            </w:r>
            <w:r>
              <w:rPr>
                <w:rFonts w:hint="eastAsia" w:ascii="宋体" w:hAnsi="宋体"/>
                <w:color w:val="000000" w:themeColor="text1"/>
                <w:sz w:val="24"/>
                <w:szCs w:val="24"/>
                <w14:textFill>
                  <w14:solidFill>
                    <w14:schemeClr w14:val="tx1"/>
                  </w14:solidFill>
                </w14:textFill>
              </w:rPr>
              <w:t xml:space="preserve">的力应无严重摇晃、变形；甲醛释放量（穿孔值）不低于E1级，甲醛释放量不大于1.5mg/L （符合GB18580-2001的规定）。 </w:t>
            </w:r>
          </w:p>
          <w:p>
            <w:pPr>
              <w:ind w:firstLine="480" w:firstLineChars="200"/>
              <w:contextualSpacing/>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114300" distR="114300">
                  <wp:extent cx="1339850" cy="1670050"/>
                  <wp:effectExtent l="0" t="0" r="1270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0"/>
                          <a:stretch>
                            <a:fillRect/>
                          </a:stretch>
                        </pic:blipFill>
                        <pic:spPr>
                          <a:xfrm>
                            <a:off x="0" y="0"/>
                            <a:ext cx="1339850" cy="1670050"/>
                          </a:xfrm>
                          <a:prstGeom prst="rect">
                            <a:avLst/>
                          </a:prstGeom>
                          <a:noFill/>
                          <a:ln>
                            <a:noFill/>
                          </a:ln>
                        </pic:spPr>
                      </pic:pic>
                    </a:graphicData>
                  </a:graphic>
                </wp:inline>
              </w:drawing>
            </w:r>
            <w:r>
              <w:rPr>
                <w:rFonts w:ascii="宋体" w:hAnsi="宋体"/>
                <w:color w:val="000000" w:themeColor="text1"/>
                <w:sz w:val="24"/>
                <w:szCs w:val="24"/>
                <w14:textFill>
                  <w14:solidFill>
                    <w14:schemeClr w14:val="tx1"/>
                  </w14:solidFill>
                </w14:textFill>
              </w:rPr>
              <w:drawing>
                <wp:inline distT="0" distB="0" distL="114300" distR="114300">
                  <wp:extent cx="1536700" cy="1816100"/>
                  <wp:effectExtent l="0" t="0" r="6350" b="1270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1"/>
                          <a:stretch>
                            <a:fillRect/>
                          </a:stretch>
                        </pic:blipFill>
                        <pic:spPr>
                          <a:xfrm>
                            <a:off x="0" y="0"/>
                            <a:ext cx="1536700" cy="1816100"/>
                          </a:xfrm>
                          <a:prstGeom prst="rect">
                            <a:avLst/>
                          </a:prstGeom>
                          <a:noFill/>
                          <a:ln>
                            <a:noFill/>
                          </a:ln>
                        </pic:spPr>
                      </pic:pic>
                    </a:graphicData>
                  </a:graphic>
                </wp:inline>
              </w:drawing>
            </w:r>
          </w:p>
          <w:p>
            <w:pPr>
              <w:pStyle w:val="782"/>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1232535" cy="924560"/>
                  <wp:effectExtent l="0" t="0" r="5715" b="8890"/>
                  <wp:docPr id="23" name="图片 23" descr="D:\桌面文件\我的文档\2022年\22年计算机和多媒体数量预测\计算机方案\微信图片_脚套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桌面文件\我的文档\2022年\22年计算机和多媒体数量预测\计算机方案\微信图片_脚套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5569" cy="92680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83" w:type="dxa"/>
            <w:vAlign w:val="center"/>
          </w:tcPr>
          <w:p>
            <w:pPr>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电脑教室教学控制软件</w:t>
            </w:r>
          </w:p>
        </w:tc>
        <w:tc>
          <w:tcPr>
            <w:tcW w:w="6826" w:type="dxa"/>
            <w:vAlign w:val="center"/>
          </w:tcPr>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安装部署快捷，升级简易方便，全中文人性化界面设计，支持主窗口功能按钮、浮动工具条、右键菜单、快捷键多项操作方式。</w:t>
            </w:r>
          </w:p>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采用核心的截屏及实时压缩技术，在网络条件较差时亦能体现良好的性能；可根据网络条件调节网络补偿强度，根据广播内容调节广播及录制效率，使广播达到最佳效果。</w:t>
            </w:r>
          </w:p>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采用流媒体技术，流畅无延时，文件清晰度几乎无损耗，支持几乎所有常见的媒体音视频格式， Windows Media文件，VCD文件，DVD文件，Real文件，AVI文件，MP3等主流文件格式，支持720p、1080p的高清视频。</w:t>
            </w:r>
          </w:p>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防杀进程、断线保护、卸载密码保护等辅助功能维护教学秩序。</w:t>
            </w:r>
          </w:p>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文件分发和提交支持拖拽添加文件，可添加不同目录下的文件或文件目录。</w:t>
            </w:r>
          </w:p>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全面支持Windows系列操作系统。</w:t>
            </w:r>
          </w:p>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软件的加密方式支持：服务器端授权、在线序列号加密、离线文件加密等多种方式的激活方式。</w:t>
            </w:r>
          </w:p>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功能具备课堂教学和课堂管理</w:t>
            </w:r>
          </w:p>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课堂教学：屏幕广播、扩展屏广播模式、屏幕广播速度增强、屏幕笔、网络影院、视频直播、学生演示、屏幕录制、学生端屏幕录制、回放、文件分发、文件提交、网络快照、屏幕监视、多频道教学。</w:t>
            </w:r>
          </w:p>
          <w:p>
            <w:pPr>
              <w:widowControl/>
              <w:spacing w:line="255" w:lineRule="atLeast"/>
              <w:ind w:left="105" w:leftChars="50" w:firstLine="240" w:firstLineChars="100"/>
              <w:contextualSpacing/>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课堂管理：班级模型、签到、学生端属性查看、系统日志、黑屏肃静、远程命令、图标监看、自动锁屏、防杀进程、请求帮助、远程消息、远程设置等功能。</w:t>
            </w:r>
          </w:p>
          <w:p>
            <w:pPr>
              <w:widowControl/>
              <w:spacing w:line="255" w:lineRule="atLeast"/>
              <w:ind w:left="105" w:leftChars="50" w:firstLine="240" w:firstLineChars="100"/>
              <w:contextualSpacing/>
              <w:jc w:val="left"/>
              <w:rPr>
                <w:rFonts w:hint="default" w:eastAsia="黑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提供功能偏离表</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提供三年售后服务</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满足机房实际需求</w:t>
            </w:r>
            <w:r>
              <w:rPr>
                <w:rFonts w:hint="eastAsia"/>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3" w:type="dxa"/>
            <w:vAlign w:val="center"/>
          </w:tcPr>
          <w:p>
            <w:pPr>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pacing w:val="20"/>
                <w:sz w:val="24"/>
                <w:szCs w:val="24"/>
                <w14:textFill>
                  <w14:solidFill>
                    <w14:schemeClr w14:val="tx1"/>
                  </w14:solidFill>
                </w14:textFill>
              </w:rPr>
              <w:t>附件及系统集成</w:t>
            </w:r>
          </w:p>
        </w:tc>
        <w:tc>
          <w:tcPr>
            <w:tcW w:w="6826" w:type="dxa"/>
            <w:vAlign w:val="center"/>
          </w:tcPr>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按实际集成信息点数结算</w:t>
            </w:r>
            <w:r>
              <w:rPr>
                <w:rFonts w:hint="eastAsia" w:ascii="宋体" w:hAnsi="宋体"/>
                <w:color w:val="000000" w:themeColor="text1"/>
                <w:sz w:val="24"/>
                <w:szCs w:val="24"/>
                <w14:textFill>
                  <w14:solidFill>
                    <w14:schemeClr w14:val="tx1"/>
                  </w14:solidFill>
                </w14:textFill>
              </w:rPr>
              <w:t>；</w:t>
            </w:r>
          </w:p>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附件及系统集成所需主要材料</w:t>
            </w:r>
          </w:p>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1.信息点插座及面板</w:t>
            </w:r>
            <w:r>
              <w:rPr>
                <w:rFonts w:hint="eastAsia" w:ascii="宋体" w:hAnsi="宋体"/>
                <w:color w:val="000000" w:themeColor="text1"/>
                <w:sz w:val="24"/>
                <w:szCs w:val="24"/>
                <w14:textFill>
                  <w14:solidFill>
                    <w14:schemeClr w14:val="tx1"/>
                  </w14:solidFill>
                </w14:textFill>
              </w:rPr>
              <w:t>：86系列三芯插座220V/10A，三芯插座和插座面板应符合GB1002中5的有关规定。</w:t>
            </w:r>
          </w:p>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2.网线、水晶头</w:t>
            </w:r>
            <w:r>
              <w:rPr>
                <w:rFonts w:hint="eastAsia" w:ascii="宋体" w:hAnsi="宋体"/>
                <w:color w:val="000000" w:themeColor="text1"/>
                <w:sz w:val="24"/>
                <w:szCs w:val="24"/>
                <w14:textFill>
                  <w14:solidFill>
                    <w14:schemeClr w14:val="tx1"/>
                  </w14:solidFill>
                </w14:textFill>
              </w:rPr>
              <w:t>：</w:t>
            </w:r>
            <w:r>
              <w:rPr>
                <w:rFonts w:hint="eastAsia" w:ascii="宋体" w:hAnsi="宋体"/>
                <w:b/>
                <w:color w:val="000000" w:themeColor="text1"/>
                <w:sz w:val="24"/>
                <w:szCs w:val="24"/>
                <w14:textFill>
                  <w14:solidFill>
                    <w14:schemeClr w14:val="tx1"/>
                  </w14:solidFill>
                </w14:textFill>
              </w:rPr>
              <w:t>6类</w:t>
            </w:r>
            <w:r>
              <w:rPr>
                <w:rFonts w:hint="eastAsia" w:ascii="宋体" w:hAnsi="宋体"/>
                <w:color w:val="000000" w:themeColor="text1"/>
                <w:sz w:val="24"/>
                <w:szCs w:val="24"/>
                <w14:textFill>
                  <w14:solidFill>
                    <w14:schemeClr w14:val="tx1"/>
                  </w14:solidFill>
                </w14:textFill>
              </w:rPr>
              <w:t>系列4对24WAG双绞线 （铜芯），符合</w:t>
            </w:r>
            <w:r>
              <w:rPr>
                <w:rFonts w:ascii="宋体" w:hAnsi="宋体"/>
                <w:color w:val="000000" w:themeColor="text1"/>
                <w:sz w:val="24"/>
                <w:szCs w:val="24"/>
                <w14:textFill>
                  <w14:solidFill>
                    <w14:schemeClr w14:val="tx1"/>
                  </w14:solidFill>
                </w14:textFill>
              </w:rPr>
              <w:t>YD-T1019</w:t>
            </w:r>
            <w:r>
              <w:rPr>
                <w:rFonts w:hint="eastAsia" w:ascii="宋体" w:hAnsi="宋体"/>
                <w:color w:val="000000" w:themeColor="text1"/>
                <w:sz w:val="24"/>
                <w:szCs w:val="24"/>
                <w14:textFill>
                  <w14:solidFill>
                    <w14:schemeClr w14:val="tx1"/>
                  </w14:solidFill>
                </w14:textFill>
              </w:rPr>
              <w:t>标准。</w:t>
            </w:r>
            <w:r>
              <w:rPr>
                <w:rFonts w:ascii="宋体" w:hAnsi="宋体"/>
                <w:color w:val="000000" w:themeColor="text1"/>
                <w:sz w:val="24"/>
                <w:szCs w:val="24"/>
                <w14:textFill>
                  <w14:solidFill>
                    <w14:schemeClr w14:val="tx1"/>
                  </w14:solidFill>
                </w14:textFill>
              </w:rPr>
              <w:t xml:space="preserve"> </w:t>
            </w:r>
          </w:p>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3.阻燃电源线</w:t>
            </w:r>
            <w:r>
              <w:rPr>
                <w:rFonts w:hint="eastAsia" w:ascii="宋体" w:hAnsi="宋体"/>
                <w:color w:val="000000" w:themeColor="text1"/>
                <w:sz w:val="24"/>
                <w:szCs w:val="24"/>
                <w14:textFill>
                  <w14:solidFill>
                    <w14:schemeClr w14:val="tx1"/>
                  </w14:solidFill>
                </w14:textFill>
              </w:rPr>
              <w:t>：BV、BVV型系列（铜芯），聚氯乙烯绝缘黄绿双色电源（中策永通）</w:t>
            </w:r>
          </w:p>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4.PVC波达线槽</w:t>
            </w:r>
            <w:r>
              <w:rPr>
                <w:rFonts w:hint="eastAsia" w:ascii="宋体" w:hAnsi="宋体"/>
                <w:color w:val="000000" w:themeColor="text1"/>
                <w:sz w:val="24"/>
                <w:szCs w:val="24"/>
                <w14:textFill>
                  <w14:solidFill>
                    <w14:schemeClr w14:val="tx1"/>
                  </w14:solidFill>
                </w14:textFill>
              </w:rPr>
              <w:t>（线槽≥20*60mm, 线缆在线槽内的占用空间不得超过线槽总空间的</w:t>
            </w:r>
            <w:r>
              <w:rPr>
                <w:rFonts w:ascii="宋体" w:hAnsi="宋体"/>
                <w:color w:val="000000" w:themeColor="text1"/>
                <w:sz w:val="24"/>
                <w:szCs w:val="24"/>
                <w14:textFill>
                  <w14:solidFill>
                    <w14:schemeClr w14:val="tx1"/>
                  </w14:solidFill>
                </w14:textFill>
              </w:rPr>
              <w:t>70%）</w:t>
            </w:r>
            <w:r>
              <w:rPr>
                <w:rFonts w:hint="eastAsia" w:ascii="宋体" w:hAnsi="宋体"/>
                <w:color w:val="000000" w:themeColor="text1"/>
                <w:sz w:val="24"/>
                <w:szCs w:val="24"/>
                <w14:textFill>
                  <w14:solidFill>
                    <w14:schemeClr w14:val="tx1"/>
                  </w14:solidFill>
                </w14:textFill>
              </w:rPr>
              <w:t>等，敷设时强电和弱电要求分开</w:t>
            </w:r>
          </w:p>
          <w:p>
            <w:pPr>
              <w:snapToGrid w:val="0"/>
              <w:spacing w:before="50" w:after="50"/>
              <w:ind w:left="-44"/>
              <w:rPr>
                <w:rFonts w:ascii="宋体" w:hAnsi="宋体"/>
                <w:b/>
                <w:color w:val="000000" w:themeColor="text1"/>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5.</w:t>
            </w:r>
            <w:r>
              <w:rPr>
                <w:rFonts w:hint="eastAsia" w:ascii="宋体" w:hAnsi="宋体"/>
                <w:b/>
                <w:color w:val="000000" w:themeColor="text1"/>
                <w:sz w:val="24"/>
                <w:szCs w:val="24"/>
                <w14:textFill>
                  <w14:solidFill>
                    <w14:schemeClr w14:val="tx1"/>
                  </w14:solidFill>
                </w14:textFill>
              </w:rPr>
              <w:t>空气开关（</w:t>
            </w:r>
            <w:r>
              <w:rPr>
                <w:rFonts w:hint="eastAsia" w:ascii="宋体" w:hAnsi="宋体"/>
                <w:color w:val="000000" w:themeColor="text1"/>
                <w:sz w:val="24"/>
                <w:szCs w:val="24"/>
                <w14:textFill>
                  <w14:solidFill>
                    <w14:schemeClr w14:val="tx1"/>
                  </w14:solidFill>
                </w14:textFill>
              </w:rPr>
              <w:t>带漏电保护器）：（含总开关1个、讲台与网络机柜1路、学生机4路，共6个</w:t>
            </w:r>
            <w:r>
              <w:rPr>
                <w:rFonts w:hint="eastAsia" w:ascii="宋体" w:hAnsi="宋体"/>
                <w:b/>
                <w:color w:val="000000" w:themeColor="text1"/>
                <w:sz w:val="24"/>
                <w:szCs w:val="24"/>
                <w14:textFill>
                  <w14:solidFill>
                    <w14:schemeClr w14:val="tx1"/>
                  </w14:solidFill>
                </w14:textFill>
              </w:rPr>
              <w:t>空气开关（</w:t>
            </w:r>
            <w:r>
              <w:rPr>
                <w:rFonts w:hint="eastAsia" w:ascii="宋体" w:hAnsi="宋体"/>
                <w:color w:val="000000" w:themeColor="text1"/>
                <w:sz w:val="24"/>
                <w:szCs w:val="24"/>
                <w14:textFill>
                  <w14:solidFill>
                    <w14:schemeClr w14:val="tx1"/>
                  </w14:solidFill>
                </w14:textFill>
              </w:rPr>
              <w:t>带漏电保护器）），需符合相关国家标准。</w:t>
            </w:r>
          </w:p>
          <w:p>
            <w:pPr>
              <w:snapToGrid w:val="0"/>
              <w:spacing w:before="50" w:after="50"/>
              <w:ind w:left="-44"/>
              <w:rPr>
                <w:rFonts w:ascii="宋体" w:hAnsi="宋体"/>
                <w:b/>
                <w:color w:val="000000" w:themeColor="text1"/>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 xml:space="preserve"> 配备1个静电地板吸盘</w:t>
            </w:r>
          </w:p>
          <w:p>
            <w:pPr>
              <w:snapToGrid w:val="0"/>
              <w:spacing w:before="50" w:after="50"/>
              <w:ind w:left="-44"/>
              <w:rPr>
                <w:rFonts w:ascii="宋体" w:hAnsi="宋体" w:cs="宋体"/>
                <w:b/>
                <w:color w:val="000000" w:themeColor="text1"/>
                <w:kern w:val="0"/>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7.</w:t>
            </w:r>
            <w:r>
              <w:rPr>
                <w:rFonts w:hint="eastAsia" w:ascii="宋体" w:hAnsi="宋体" w:cs="宋体"/>
                <w:b/>
                <w:color w:val="000000" w:themeColor="text1"/>
                <w:kern w:val="0"/>
                <w:sz w:val="24"/>
                <w:szCs w:val="24"/>
                <w14:textFill>
                  <w14:solidFill>
                    <w14:schemeClr w14:val="tx1"/>
                  </w14:solidFill>
                </w14:textFill>
              </w:rPr>
              <w:t xml:space="preserve"> 如机房无网线至该楼汇聚点，则需按规范布设一条6类网线至该楼汇聚点</w:t>
            </w:r>
          </w:p>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8.</w:t>
            </w:r>
            <w:r>
              <w:rPr>
                <w:rFonts w:hint="eastAsia"/>
                <w:color w:val="000000" w:themeColor="text1"/>
                <w:sz w:val="24"/>
                <w:szCs w:val="24"/>
                <w14:textFill>
                  <w14:solidFill>
                    <w14:schemeClr w14:val="tx1"/>
                  </w14:solidFill>
                </w14:textFill>
              </w:rPr>
              <w:t xml:space="preserve"> 项目提交验收前须提供所有信息点</w:t>
            </w:r>
            <w:r>
              <w:rPr>
                <w:color w:val="000000" w:themeColor="text1"/>
                <w:sz w:val="24"/>
                <w:szCs w:val="24"/>
                <w14:textFill>
                  <w14:solidFill>
                    <w14:schemeClr w14:val="tx1"/>
                  </w14:solidFill>
                </w14:textFill>
              </w:rPr>
              <w:t>Fluke</w:t>
            </w:r>
            <w:r>
              <w:rPr>
                <w:rFonts w:hint="eastAsia"/>
                <w:color w:val="000000" w:themeColor="text1"/>
                <w:sz w:val="24"/>
                <w:szCs w:val="24"/>
                <w14:textFill>
                  <w14:solidFill>
                    <w14:schemeClr w14:val="tx1"/>
                  </w14:solidFill>
                </w14:textFill>
              </w:rPr>
              <w:t>测线服务。提供线缆测试仪</w:t>
            </w:r>
            <w:r>
              <w:rPr>
                <w:color w:val="000000" w:themeColor="text1"/>
                <w:sz w:val="24"/>
                <w:szCs w:val="24"/>
                <w14:textFill>
                  <w14:solidFill>
                    <w14:schemeClr w14:val="tx1"/>
                  </w14:solidFill>
                </w14:textFill>
              </w:rPr>
              <w:t>100%</w:t>
            </w:r>
            <w:r>
              <w:rPr>
                <w:rFonts w:hint="eastAsia"/>
                <w:color w:val="000000" w:themeColor="text1"/>
                <w:sz w:val="24"/>
                <w:szCs w:val="24"/>
                <w14:textFill>
                  <w14:solidFill>
                    <w14:schemeClr w14:val="tx1"/>
                  </w14:solidFill>
                </w14:textFill>
              </w:rPr>
              <w:t>的</w:t>
            </w:r>
            <w:r>
              <w:rPr>
                <w:color w:val="000000" w:themeColor="text1"/>
                <w:sz w:val="24"/>
                <w:szCs w:val="24"/>
                <w14:textFill>
                  <w14:solidFill>
                    <w14:schemeClr w14:val="tx1"/>
                  </w14:solidFill>
                </w14:textFill>
              </w:rPr>
              <w:t>UTP</w:t>
            </w:r>
            <w:r>
              <w:rPr>
                <w:rFonts w:hint="eastAsia"/>
                <w:color w:val="000000" w:themeColor="text1"/>
                <w:sz w:val="24"/>
                <w:szCs w:val="24"/>
                <w14:textFill>
                  <w14:solidFill>
                    <w14:schemeClr w14:val="tx1"/>
                  </w14:solidFill>
                </w14:textFill>
              </w:rPr>
              <w:t>测试数据的原始数据文档（</w:t>
            </w:r>
            <w:r>
              <w:rPr>
                <w:color w:val="000000" w:themeColor="text1"/>
                <w:sz w:val="24"/>
                <w:szCs w:val="24"/>
                <w14:textFill>
                  <w14:solidFill>
                    <w14:schemeClr w14:val="tx1"/>
                  </w14:solidFill>
                </w14:textFill>
              </w:rPr>
              <w:t>.flw</w:t>
            </w:r>
            <w:r>
              <w:rPr>
                <w:rFonts w:hint="eastAsia"/>
                <w:color w:val="000000" w:themeColor="text1"/>
                <w:sz w:val="24"/>
                <w:szCs w:val="24"/>
                <w14:textFill>
                  <w14:solidFill>
                    <w14:schemeClr w14:val="tx1"/>
                  </w14:solidFill>
                </w14:textFill>
              </w:rPr>
              <w:t>格式），作为招标方抽检和资料存档之用，所用标注与线标一致。测试标准为：</w:t>
            </w:r>
            <w:r>
              <w:rPr>
                <w:color w:val="000000" w:themeColor="text1"/>
                <w:sz w:val="24"/>
                <w:szCs w:val="24"/>
                <w14:textFill>
                  <w14:solidFill>
                    <w14:schemeClr w14:val="tx1"/>
                  </w14:solidFill>
                </w14:textFill>
              </w:rPr>
              <w:t xml:space="preserve"> TIA / EIA UTP CAT6 Basic Link</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100%</w:t>
            </w:r>
            <w:r>
              <w:rPr>
                <w:rFonts w:hint="eastAsia"/>
                <w:color w:val="000000" w:themeColor="text1"/>
                <w:sz w:val="24"/>
                <w:szCs w:val="24"/>
                <w14:textFill>
                  <w14:solidFill>
                    <w14:schemeClr w14:val="tx1"/>
                  </w14:solidFill>
                </w14:textFill>
              </w:rPr>
              <w:t>全部通过。每个信息点要达到</w:t>
            </w:r>
            <w:r>
              <w:rPr>
                <w:color w:val="000000" w:themeColor="text1"/>
                <w:sz w:val="24"/>
                <w:szCs w:val="24"/>
                <w14:textFill>
                  <w14:solidFill>
                    <w14:schemeClr w14:val="tx1"/>
                  </w14:solidFill>
                </w14:textFill>
              </w:rPr>
              <w:t>3db</w:t>
            </w:r>
            <w:r>
              <w:rPr>
                <w:rFonts w:hint="eastAsia"/>
                <w:color w:val="000000" w:themeColor="text1"/>
                <w:sz w:val="24"/>
                <w:szCs w:val="24"/>
                <w14:textFill>
                  <w14:solidFill>
                    <w14:schemeClr w14:val="tx1"/>
                  </w14:solidFill>
                </w14:textFill>
              </w:rPr>
              <w:t>以上，低于</w:t>
            </w:r>
            <w:r>
              <w:rPr>
                <w:color w:val="000000" w:themeColor="text1"/>
                <w:sz w:val="24"/>
                <w:szCs w:val="24"/>
                <w14:textFill>
                  <w14:solidFill>
                    <w14:schemeClr w14:val="tx1"/>
                  </w14:solidFill>
                </w14:textFill>
              </w:rPr>
              <w:t>3db</w:t>
            </w:r>
            <w:r>
              <w:rPr>
                <w:rFonts w:hint="eastAsia"/>
                <w:color w:val="000000" w:themeColor="text1"/>
                <w:sz w:val="24"/>
                <w:szCs w:val="24"/>
                <w14:textFill>
                  <w14:solidFill>
                    <w14:schemeClr w14:val="tx1"/>
                  </w14:solidFill>
                </w14:textFill>
              </w:rPr>
              <w:t>的返工整改。</w:t>
            </w:r>
          </w:p>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要求提供详细附件清单，明确材料的品牌。</w:t>
            </w:r>
          </w:p>
          <w:p>
            <w:pPr>
              <w:snapToGrid w:val="0"/>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要求提供走线说明</w:t>
            </w:r>
            <w:r>
              <w:rPr>
                <w:rFonts w:hint="eastAsia" w:ascii="宋体" w:hAnsi="宋体"/>
                <w:color w:val="000000" w:themeColor="text1"/>
                <w:sz w:val="24"/>
                <w:szCs w:val="24"/>
                <w14:textFill>
                  <w14:solidFill>
                    <w14:schemeClr w14:val="tx1"/>
                  </w14:solidFill>
                </w14:textFill>
              </w:rPr>
              <w:t>（走线参照附图），布线要求见《浙江省中小学教育技术装备标准》引用标准和文件汇编：1）供电电源额定总容量应不小于计算机教室中设备总功率的1</w:t>
            </w:r>
            <w:r>
              <w:rPr>
                <w:rFonts w:ascii="宋体" w:hAnsi="宋体"/>
                <w:color w:val="000000" w:themeColor="text1"/>
                <w:sz w:val="24"/>
                <w:szCs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倍；2）分路布线控制，每路线路负载不超过</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4台计算机，并设有过载保护装置。每路电源线采用单相</w:t>
            </w:r>
            <w:r>
              <w:rPr>
                <w:rFonts w:hint="eastAsia" w:ascii="宋体" w:hAnsi="宋体"/>
                <w:b/>
                <w:color w:val="000000" w:themeColor="text1"/>
                <w:sz w:val="24"/>
                <w:szCs w:val="24"/>
                <w:u w:val="single"/>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平方以上单芯铜线（1火线、1零线、1地线，品质不低于中策单芯铜线）。教师机及网络机柜电源线要求采用单相</w:t>
            </w:r>
            <w:r>
              <w:rPr>
                <w:rFonts w:hint="eastAsia" w:ascii="宋体" w:hAnsi="宋体"/>
                <w:b/>
                <w:color w:val="000000" w:themeColor="text1"/>
                <w:sz w:val="24"/>
                <w:szCs w:val="24"/>
                <w:u w:val="single"/>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平方以上中策单芯铜线（需接地）。</w:t>
            </w:r>
          </w:p>
          <w:p>
            <w:pPr>
              <w:snapToGrid w:val="0"/>
              <w:spacing w:before="50" w:after="50"/>
              <w:ind w:left="-44"/>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网络设备及网络机柜安装在教室后方（学校另行要求的按实际要求执行）。</w:t>
            </w:r>
            <w:r>
              <w:rPr>
                <w:rFonts w:hint="eastAsia"/>
                <w:color w:val="000000" w:themeColor="text1"/>
                <w:sz w:val="24"/>
                <w:szCs w:val="24"/>
                <w14:textFill>
                  <w14:solidFill>
                    <w14:schemeClr w14:val="tx1"/>
                  </w14:solidFill>
                </w14:textFill>
              </w:rPr>
              <w:t>需将学校原有多媒体投影系统（如有）接入教师管理机，实现同步投影。</w:t>
            </w:r>
          </w:p>
          <w:p>
            <w:pPr>
              <w:snapToGrid w:val="0"/>
              <w:spacing w:before="50" w:after="50"/>
              <w:ind w:left="-44"/>
              <w:rPr>
                <w:rFonts w:ascii="宋体" w:hAnsi="宋体"/>
                <w:b/>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因系统集成对学校机房造成破坏的，需按学校要求复原。</w:t>
            </w:r>
            <w:r>
              <w:rPr>
                <w:rFonts w:hint="eastAsia" w:ascii="宋体" w:hAnsi="宋体" w:cs="宋体"/>
                <w:color w:val="000000" w:themeColor="text1"/>
                <w:kern w:val="0"/>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备注：该项目为交钥匙工程，中标人有义务保证采购人项目的完整性，实际施工辅材，以现场踏勘为准，如项目实施过程中因缺少设备、配件或服务导致采购人系统无法正常运行，中标人须承诺免费提供；）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3" w:type="dxa"/>
            <w:vAlign w:val="center"/>
          </w:tcPr>
          <w:p>
            <w:pPr>
              <w:numPr>
                <w:ilvl w:val="0"/>
                <w:numId w:val="3"/>
              </w:numPr>
              <w:jc w:val="center"/>
              <w:rPr>
                <w:rFonts w:ascii="宋体" w:hAnsi="宋体" w:cs="宋体"/>
                <w:color w:val="000000" w:themeColor="text1"/>
                <w:kern w:val="0"/>
                <w:sz w:val="24"/>
                <w:szCs w:val="24"/>
                <w14:textFill>
                  <w14:solidFill>
                    <w14:schemeClr w14:val="tx1"/>
                  </w14:solidFill>
                </w14:textFill>
              </w:rPr>
            </w:pPr>
          </w:p>
        </w:tc>
        <w:tc>
          <w:tcPr>
            <w:tcW w:w="992" w:type="dxa"/>
            <w:vAlign w:val="center"/>
          </w:tcPr>
          <w:p>
            <w:pPr>
              <w:autoSpaceDE w:val="0"/>
              <w:autoSpaceDN w:val="0"/>
              <w:adjustRightInd w:val="0"/>
              <w:rPr>
                <w:rFonts w:ascii="宋体" w:hAnsi="宋体"/>
                <w:color w:val="000000" w:themeColor="text1"/>
                <w:spacing w:val="20"/>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陶瓷防静电地板</w:t>
            </w:r>
          </w:p>
        </w:tc>
        <w:tc>
          <w:tcPr>
            <w:tcW w:w="6826" w:type="dxa"/>
            <w:vAlign w:val="center"/>
          </w:tcPr>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ab/>
            </w:r>
            <w:r>
              <w:rPr>
                <w:rFonts w:hint="eastAsia" w:ascii="宋体" w:hAnsi="宋体"/>
                <w:color w:val="000000" w:themeColor="text1"/>
                <w:sz w:val="24"/>
                <w:szCs w:val="24"/>
                <w14:textFill>
                  <w14:solidFill>
                    <w14:schemeClr w14:val="tx1"/>
                  </w14:solidFill>
                </w14:textFill>
              </w:rPr>
              <w:t>颜色：米黄色</w:t>
            </w:r>
          </w:p>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ab/>
            </w:r>
            <w:r>
              <w:rPr>
                <w:rFonts w:hint="eastAsia" w:ascii="宋体" w:hAnsi="宋体"/>
                <w:color w:val="000000" w:themeColor="text1"/>
                <w:sz w:val="24"/>
                <w:szCs w:val="24"/>
                <w14:textFill>
                  <w14:solidFill>
                    <w14:schemeClr w14:val="tx1"/>
                  </w14:solidFill>
                </w14:textFill>
              </w:rPr>
              <w:t>规格：600*600*40mm</w:t>
            </w:r>
          </w:p>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ab/>
            </w:r>
            <w:r>
              <w:rPr>
                <w:rFonts w:hint="eastAsia" w:ascii="宋体" w:hAnsi="宋体"/>
                <w:color w:val="000000" w:themeColor="text1"/>
                <w:sz w:val="24"/>
                <w:szCs w:val="24"/>
                <w14:textFill>
                  <w14:solidFill>
                    <w14:schemeClr w14:val="tx1"/>
                  </w14:solidFill>
                </w14:textFill>
              </w:rPr>
              <w:t>贴面材料：≥1.0cm陶瓷面</w:t>
            </w:r>
          </w:p>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ab/>
            </w:r>
            <w:r>
              <w:rPr>
                <w:rFonts w:hint="eastAsia" w:ascii="宋体" w:hAnsi="宋体"/>
                <w:color w:val="000000" w:themeColor="text1"/>
                <w:sz w:val="24"/>
                <w:szCs w:val="24"/>
                <w14:textFill>
                  <w14:solidFill>
                    <w14:schemeClr w14:val="tx1"/>
                  </w14:solidFill>
                </w14:textFill>
              </w:rPr>
              <w:t>填充材料：发泡水泥</w:t>
            </w:r>
          </w:p>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ab/>
            </w:r>
            <w:r>
              <w:rPr>
                <w:rFonts w:hint="eastAsia" w:ascii="宋体" w:hAnsi="宋体"/>
                <w:color w:val="000000" w:themeColor="text1"/>
                <w:sz w:val="24"/>
                <w:szCs w:val="24"/>
                <w14:textFill>
                  <w14:solidFill>
                    <w14:schemeClr w14:val="tx1"/>
                  </w14:solidFill>
                </w14:textFill>
              </w:rPr>
              <w:t>上钢板：≥0.5mm</w:t>
            </w:r>
          </w:p>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ab/>
            </w:r>
            <w:r>
              <w:rPr>
                <w:rFonts w:hint="eastAsia" w:ascii="宋体" w:hAnsi="宋体"/>
                <w:color w:val="000000" w:themeColor="text1"/>
                <w:sz w:val="24"/>
                <w:szCs w:val="24"/>
                <w14:textFill>
                  <w14:solidFill>
                    <w14:schemeClr w14:val="tx1"/>
                  </w14:solidFill>
                </w14:textFill>
              </w:rPr>
              <w:t>下钢板：≥0.4mm</w:t>
            </w:r>
          </w:p>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ab/>
            </w:r>
            <w:r>
              <w:rPr>
                <w:rFonts w:hint="eastAsia" w:ascii="宋体" w:hAnsi="宋体"/>
                <w:color w:val="000000" w:themeColor="text1"/>
                <w:sz w:val="24"/>
                <w:szCs w:val="24"/>
                <w14:textFill>
                  <w14:solidFill>
                    <w14:schemeClr w14:val="tx1"/>
                  </w14:solidFill>
                </w14:textFill>
              </w:rPr>
              <w:t>铺装防静电地板所需的支撑角柱、横梁钢管、金属封边以及地板吸盘等，配件主材为镀锌钢质材料，管壁厚度≧1.5mm</w:t>
            </w:r>
          </w:p>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ab/>
            </w:r>
            <w:r>
              <w:rPr>
                <w:rFonts w:hint="eastAsia" w:ascii="宋体" w:hAnsi="宋体"/>
                <w:color w:val="000000" w:themeColor="text1"/>
                <w:sz w:val="24"/>
                <w:szCs w:val="24"/>
                <w14:textFill>
                  <w14:solidFill>
                    <w14:schemeClr w14:val="tx1"/>
                  </w14:solidFill>
                </w14:textFill>
              </w:rPr>
              <w:t>根据电脑桌位置，在地板上开50mm的孔，并加线孔盖。</w:t>
            </w:r>
          </w:p>
          <w:p>
            <w:pPr>
              <w:autoSpaceDE w:val="0"/>
              <w:autoSpaceDN w:val="0"/>
              <w:adjustRightInd w:val="0"/>
              <w:rPr>
                <w:rFonts w:ascii="宋体" w:hAnsi="宋体"/>
                <w:b/>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w:t>
            </w:r>
            <w:r>
              <w:rPr>
                <w:rFonts w:hint="eastAsia" w:ascii="宋体" w:hAnsi="宋体"/>
                <w:color w:val="000000" w:themeColor="text1"/>
                <w:sz w:val="24"/>
                <w:szCs w:val="24"/>
                <w14:textFill>
                  <w14:solidFill>
                    <w14:schemeClr w14:val="tx1"/>
                  </w14:solidFill>
                </w14:textFill>
              </w:rPr>
              <w:tab/>
            </w:r>
            <w:r>
              <w:rPr>
                <w:rFonts w:hint="eastAsia" w:ascii="宋体" w:hAnsi="宋体"/>
                <w:b/>
                <w:color w:val="000000" w:themeColor="text1"/>
                <w:sz w:val="24"/>
                <w:szCs w:val="24"/>
                <w:u w:val="single"/>
                <w14:textFill>
                  <w14:solidFill>
                    <w14:schemeClr w14:val="tx1"/>
                  </w14:solidFill>
                </w14:textFill>
              </w:rPr>
              <w:t>整块地板切割后靠墙处需用角铁支架固定</w:t>
            </w:r>
          </w:p>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安装静电地板前需清理地面，施工后地板下无杂物灰尘。</w:t>
            </w:r>
          </w:p>
          <w:p>
            <w:pPr>
              <w:autoSpaceDE w:val="0"/>
              <w:autoSpaceDN w:val="0"/>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拆除原旧地板(如有)，搬至一楼。</w:t>
            </w:r>
          </w:p>
          <w:p>
            <w:pPr>
              <w:snapToGrid w:val="0"/>
              <w:spacing w:before="50" w:after="50"/>
              <w:ind w:left="-44"/>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供货前需用户确认样式（颜色）</w:t>
            </w:r>
          </w:p>
        </w:tc>
      </w:tr>
    </w:tbl>
    <w:p>
      <w:pPr>
        <w:rPr>
          <w:rFonts w:ascii="宋体" w:hAnsi="宋体"/>
          <w:b/>
          <w:sz w:val="24"/>
          <w:szCs w:val="24"/>
        </w:rPr>
      </w:pPr>
    </w:p>
    <w:p>
      <w:pPr>
        <w:ind w:firstLine="482" w:firstLineChars="200"/>
        <w:rPr>
          <w:b/>
          <w:sz w:val="24"/>
          <w:szCs w:val="24"/>
        </w:rPr>
      </w:pPr>
      <w:r>
        <w:rPr>
          <w:rFonts w:hint="eastAsia"/>
          <w:b/>
          <w:sz w:val="24"/>
          <w:szCs w:val="24"/>
        </w:rPr>
        <w:t>特别说明：</w:t>
      </w:r>
    </w:p>
    <w:p>
      <w:pPr>
        <w:ind w:firstLine="480" w:firstLineChars="200"/>
        <w:rPr>
          <w:b/>
          <w:sz w:val="24"/>
          <w:szCs w:val="24"/>
        </w:rPr>
      </w:pPr>
      <w:r>
        <w:rPr>
          <w:rFonts w:hint="eastAsia" w:ascii="宋体" w:hAnsi="宋体"/>
          <w:color w:val="000000"/>
          <w:sz w:val="24"/>
          <w:szCs w:val="24"/>
          <w:lang w:eastAsia="zh-CN"/>
        </w:rPr>
        <w:t>▲</w:t>
      </w:r>
      <w:r>
        <w:rPr>
          <w:rFonts w:hint="eastAsia"/>
          <w:b/>
          <w:sz w:val="24"/>
          <w:szCs w:val="24"/>
        </w:rPr>
        <w:t>1.教师机1（全套）、教师机2（主机）、学生计算机1（I5全套）、学生微型计算机2（</w:t>
      </w:r>
      <w:r>
        <w:rPr>
          <w:rFonts w:hint="eastAsia" w:ascii="宋体" w:hAnsi="宋体" w:cs="宋体"/>
          <w:color w:val="000000"/>
          <w:kern w:val="0"/>
          <w:sz w:val="24"/>
          <w:szCs w:val="24"/>
        </w:rPr>
        <w:t>i3</w:t>
      </w:r>
      <w:r>
        <w:rPr>
          <w:rFonts w:hint="eastAsia"/>
          <w:b/>
          <w:sz w:val="24"/>
          <w:szCs w:val="24"/>
        </w:rPr>
        <w:t>全套）、学生微型计算机3（</w:t>
      </w:r>
      <w:r>
        <w:rPr>
          <w:rFonts w:hint="eastAsia" w:ascii="宋体" w:hAnsi="宋体" w:cs="宋体"/>
          <w:color w:val="000000"/>
          <w:kern w:val="0"/>
          <w:sz w:val="24"/>
          <w:szCs w:val="24"/>
        </w:rPr>
        <w:t>i3</w:t>
      </w:r>
      <w:r>
        <w:rPr>
          <w:rFonts w:hint="eastAsia"/>
          <w:b/>
          <w:sz w:val="24"/>
          <w:szCs w:val="24"/>
        </w:rPr>
        <w:t>主机）必须按要求提供十二代产品的节能产品认证证书或规定网站证书查询截图，否则将作为无效标处理。</w:t>
      </w:r>
    </w:p>
    <w:p>
      <w:pPr>
        <w:ind w:firstLine="482" w:firstLineChars="200"/>
        <w:rPr>
          <w:b/>
          <w:sz w:val="24"/>
          <w:szCs w:val="24"/>
        </w:rPr>
      </w:pPr>
      <w:r>
        <w:rPr>
          <w:rFonts w:hint="eastAsia"/>
          <w:b/>
          <w:sz w:val="24"/>
          <w:szCs w:val="24"/>
        </w:rPr>
        <w:t>2.投标人所提供的设备必须是全新的并且是2022年1月1日以后生产的商用产品。</w:t>
      </w:r>
    </w:p>
    <w:p>
      <w:pPr>
        <w:ind w:firstLine="482" w:firstLineChars="200"/>
        <w:rPr>
          <w:rFonts w:ascii="宋体" w:hAnsi="宋体"/>
          <w:b/>
          <w:sz w:val="24"/>
          <w:szCs w:val="24"/>
        </w:rPr>
      </w:pPr>
      <w:r>
        <w:rPr>
          <w:rFonts w:hint="eastAsia" w:ascii="宋体" w:hAnsi="宋体"/>
          <w:b/>
          <w:sz w:val="24"/>
          <w:szCs w:val="24"/>
        </w:rPr>
        <w:t>3.</w:t>
      </w:r>
      <w:r>
        <w:rPr>
          <w:rFonts w:hint="eastAsia"/>
          <w:b/>
          <w:sz w:val="24"/>
          <w:szCs w:val="24"/>
        </w:rPr>
        <w:t>计算机要求整机保修三年，笔记本整机保修一年，上门服务，签定合同前必须出具生产厂家免费保修年限承诺证明</w:t>
      </w:r>
      <w:r>
        <w:rPr>
          <w:rFonts w:hint="eastAsia" w:ascii="宋体" w:hAnsi="宋体"/>
          <w:b/>
          <w:sz w:val="24"/>
          <w:szCs w:val="24"/>
        </w:rPr>
        <w:t xml:space="preserve">原件。 </w:t>
      </w:r>
    </w:p>
    <w:p>
      <w:pPr>
        <w:ind w:firstLine="482" w:firstLineChars="200"/>
        <w:rPr>
          <w:b/>
          <w:sz w:val="24"/>
          <w:szCs w:val="24"/>
        </w:rPr>
      </w:pPr>
      <w:r>
        <w:rPr>
          <w:rFonts w:hint="eastAsia" w:ascii="宋体" w:hAnsi="宋体"/>
          <w:b/>
          <w:sz w:val="24"/>
          <w:szCs w:val="24"/>
        </w:rPr>
        <w:t>4.</w:t>
      </w:r>
      <w:r>
        <w:rPr>
          <w:rFonts w:hint="eastAsia"/>
          <w:b/>
          <w:sz w:val="24"/>
          <w:szCs w:val="24"/>
        </w:rPr>
        <w:t>为方便后期管理，建议投标人用同一个品牌参与学生机、教师机、笔记本电脑的投标。</w:t>
      </w:r>
    </w:p>
    <w:p>
      <w:pPr>
        <w:ind w:firstLine="482" w:firstLineChars="200"/>
        <w:rPr>
          <w:rFonts w:ascii="宋体" w:hAnsi="宋体"/>
          <w:b/>
          <w:sz w:val="24"/>
          <w:szCs w:val="24"/>
        </w:rPr>
      </w:pPr>
      <w:r>
        <w:rPr>
          <w:rFonts w:hint="eastAsia" w:ascii="宋体" w:hAnsi="宋体"/>
          <w:b/>
          <w:sz w:val="24"/>
          <w:szCs w:val="24"/>
        </w:rPr>
        <w:t>5. 教师讲台桌面板、两人电脑桌面板、电脑凳面板要求使用相同材料（厚度按照参数表），技术参数中的规格</w:t>
      </w:r>
      <w:r>
        <w:rPr>
          <w:rFonts w:hint="eastAsia" w:ascii="宋体" w:hAnsi="宋体"/>
          <w:b/>
          <w:bCs/>
          <w:sz w:val="24"/>
          <w:szCs w:val="24"/>
        </w:rPr>
        <w:t>尺寸</w:t>
      </w:r>
      <w:r>
        <w:rPr>
          <w:rFonts w:hint="eastAsia" w:ascii="宋体" w:hAnsi="宋体"/>
          <w:b/>
          <w:sz w:val="24"/>
          <w:szCs w:val="24"/>
        </w:rPr>
        <w:t>为参考，允许根据学校实际合理偏差。</w:t>
      </w:r>
    </w:p>
    <w:p>
      <w:pPr>
        <w:rPr>
          <w:b/>
          <w:sz w:val="24"/>
          <w:szCs w:val="24"/>
        </w:rPr>
      </w:pPr>
      <w:r>
        <w:rPr>
          <w:rFonts w:hint="eastAsia" w:ascii="宋体" w:hAnsi="宋体"/>
          <w:b/>
          <w:sz w:val="24"/>
          <w:szCs w:val="24"/>
        </w:rPr>
        <w:t xml:space="preserve">    </w:t>
      </w:r>
      <w:r>
        <w:rPr>
          <w:rFonts w:hint="eastAsia"/>
          <w:b/>
          <w:sz w:val="24"/>
          <w:szCs w:val="24"/>
        </w:rPr>
        <w:t>6</w:t>
      </w:r>
      <w:r>
        <w:rPr>
          <w:b/>
          <w:sz w:val="24"/>
          <w:szCs w:val="24"/>
        </w:rPr>
        <w:t>.</w:t>
      </w:r>
      <w:r>
        <w:rPr>
          <w:rFonts w:hint="eastAsia"/>
          <w:b/>
          <w:sz w:val="24"/>
          <w:szCs w:val="24"/>
        </w:rPr>
        <w:t>标准学生电脑房材质要求及安装，采购结算以实际需求为准。</w:t>
      </w:r>
    </w:p>
    <w:p>
      <w:pPr>
        <w:snapToGrid w:val="0"/>
        <w:ind w:firstLine="482" w:firstLineChars="200"/>
        <w:rPr>
          <w:b/>
          <w:sz w:val="24"/>
          <w:szCs w:val="24"/>
        </w:rPr>
      </w:pPr>
      <w:r>
        <w:rPr>
          <w:rFonts w:hint="eastAsia"/>
          <w:b/>
          <w:sz w:val="24"/>
          <w:szCs w:val="24"/>
        </w:rPr>
        <w:t>7.本项目所有设备采购数量以学校实际需求为准,最终结算价按综合单价（含材料费、安装制作费、税金和运费等一切费用）乘实际采购数量计算。</w:t>
      </w:r>
    </w:p>
    <w:p>
      <w:pPr>
        <w:spacing w:line="360" w:lineRule="auto"/>
        <w:ind w:firstLine="354" w:firstLineChars="147"/>
        <w:outlineLvl w:val="1"/>
        <w:rPr>
          <w:rFonts w:ascii="宋体" w:hAnsi="宋体" w:cs="宋体"/>
          <w:b/>
          <w:kern w:val="0"/>
          <w:sz w:val="24"/>
          <w:szCs w:val="24"/>
        </w:rPr>
      </w:pPr>
    </w:p>
    <w:p>
      <w:pPr>
        <w:spacing w:line="360" w:lineRule="auto"/>
        <w:ind w:firstLine="354" w:firstLineChars="147"/>
        <w:outlineLvl w:val="1"/>
        <w:rPr>
          <w:rFonts w:ascii="宋体" w:hAnsi="宋体" w:cs="宋体"/>
          <w:b/>
          <w:kern w:val="0"/>
          <w:sz w:val="24"/>
          <w:szCs w:val="24"/>
        </w:rPr>
      </w:pPr>
      <w:r>
        <w:rPr>
          <w:rFonts w:hint="eastAsia" w:ascii="宋体" w:hAnsi="宋体" w:cs="宋体"/>
          <w:b/>
          <w:kern w:val="0"/>
          <w:sz w:val="24"/>
          <w:szCs w:val="24"/>
        </w:rPr>
        <w:t>（二）标准学生电脑房材质要求及安装要求</w:t>
      </w:r>
    </w:p>
    <w:p>
      <w:pPr>
        <w:ind w:firstLine="482" w:firstLineChars="200"/>
        <w:rPr>
          <w:rFonts w:ascii="宋体" w:hAnsi="宋体"/>
          <w:b/>
          <w:sz w:val="24"/>
          <w:szCs w:val="24"/>
        </w:rPr>
      </w:pPr>
      <w:r>
        <w:rPr>
          <w:rFonts w:hint="eastAsia" w:ascii="宋体" w:hAnsi="宋体"/>
          <w:b/>
          <w:sz w:val="24"/>
          <w:szCs w:val="24"/>
        </w:rPr>
        <w:t>1.标准学生电脑机房布线采购技术要求</w:t>
      </w:r>
    </w:p>
    <w:p>
      <w:pPr>
        <w:ind w:firstLine="482" w:firstLineChars="200"/>
        <w:rPr>
          <w:rFonts w:ascii="宋体" w:hAnsi="宋体"/>
          <w:b/>
          <w:sz w:val="24"/>
          <w:szCs w:val="24"/>
        </w:rPr>
      </w:pPr>
      <w:r>
        <w:rPr>
          <w:rFonts w:hint="eastAsia" w:ascii="宋体" w:hAnsi="宋体"/>
          <w:b/>
          <w:sz w:val="24"/>
          <w:szCs w:val="24"/>
        </w:rPr>
        <w:t>机房布线整体质保期三年</w:t>
      </w:r>
    </w:p>
    <w:p>
      <w:pPr>
        <w:ind w:firstLine="480" w:firstLineChars="200"/>
        <w:rPr>
          <w:sz w:val="24"/>
          <w:szCs w:val="24"/>
        </w:rPr>
      </w:pPr>
      <w:r>
        <w:rPr>
          <w:rFonts w:hint="eastAsia"/>
          <w:sz w:val="24"/>
          <w:szCs w:val="24"/>
        </w:rPr>
        <w:t>特别说明：</w:t>
      </w:r>
    </w:p>
    <w:p>
      <w:pPr>
        <w:ind w:firstLine="480" w:firstLineChars="200"/>
        <w:rPr>
          <w:sz w:val="24"/>
          <w:szCs w:val="24"/>
        </w:rPr>
      </w:pPr>
      <w:r>
        <w:rPr>
          <w:rFonts w:hint="eastAsia"/>
          <w:sz w:val="24"/>
          <w:szCs w:val="24"/>
        </w:rPr>
        <w:t>(1)线缆端子应用塑胶</w:t>
      </w:r>
      <w:r>
        <w:rPr>
          <w:sz w:val="24"/>
          <w:szCs w:val="24"/>
        </w:rPr>
        <w:t>接头</w:t>
      </w:r>
      <w:r>
        <w:rPr>
          <w:rFonts w:hint="eastAsia"/>
          <w:sz w:val="24"/>
          <w:szCs w:val="24"/>
        </w:rPr>
        <w:t>形式；</w:t>
      </w:r>
    </w:p>
    <w:p>
      <w:pPr>
        <w:ind w:firstLine="480" w:firstLineChars="200"/>
        <w:rPr>
          <w:rFonts w:ascii="新宋体" w:hAnsi="新宋体" w:eastAsia="新宋体"/>
          <w:sz w:val="24"/>
          <w:szCs w:val="24"/>
        </w:rPr>
      </w:pPr>
      <w:r>
        <w:rPr>
          <w:rFonts w:hint="eastAsia" w:ascii="宋体" w:hAnsi="宋体"/>
          <w:sz w:val="24"/>
          <w:szCs w:val="24"/>
        </w:rPr>
        <w:t>(2)标识牌: 根据用户制定永久标识牌1块，固定在讲台指定位置。要求有中标单位名称、保修时间、报修联系电话等信息；</w:t>
      </w:r>
    </w:p>
    <w:p>
      <w:pPr>
        <w:widowControl/>
        <w:spacing w:line="360" w:lineRule="auto"/>
        <w:ind w:firstLine="480" w:firstLineChars="200"/>
        <w:jc w:val="left"/>
        <w:rPr>
          <w:rFonts w:ascii="宋体" w:hAnsi="宋体"/>
          <w:sz w:val="24"/>
          <w:szCs w:val="24"/>
          <w:u w:val="single"/>
          <w:shd w:val="pct10" w:color="auto" w:fill="FFFFFF"/>
        </w:rPr>
      </w:pPr>
      <w:r>
        <w:rPr>
          <w:rFonts w:hint="eastAsia" w:ascii="宋体" w:hAnsi="宋体"/>
          <w:sz w:val="24"/>
          <w:szCs w:val="24"/>
        </w:rPr>
        <w:t>(3)本招标文件提供单个标准机房所用器材和材料，如有遗漏，由投标人自行考虑，在投标报价时综合考虑，成交实施后不得增加任何费用。</w:t>
      </w:r>
    </w:p>
    <w:p>
      <w:pPr>
        <w:pStyle w:val="2"/>
        <w:adjustRightInd w:val="0"/>
        <w:spacing w:line="276" w:lineRule="auto"/>
        <w:ind w:firstLine="482" w:firstLineChars="200"/>
        <w:rPr>
          <w:rFonts w:ascii="宋体" w:hAnsi="宋体" w:eastAsia="宋体" w:cs="宋体"/>
          <w:bCs w:val="0"/>
          <w:kern w:val="0"/>
          <w:sz w:val="24"/>
          <w:szCs w:val="24"/>
        </w:rPr>
      </w:pPr>
      <w:r>
        <w:rPr>
          <w:rFonts w:hint="eastAsia" w:ascii="宋体" w:hAnsi="宋体" w:eastAsia="宋体" w:cs="宋体"/>
          <w:bCs w:val="0"/>
          <w:kern w:val="0"/>
          <w:sz w:val="24"/>
          <w:szCs w:val="24"/>
        </w:rPr>
        <w:t>（三）安装要求</w:t>
      </w:r>
    </w:p>
    <w:p>
      <w:pPr>
        <w:pStyle w:val="5"/>
        <w:tabs>
          <w:tab w:val="left" w:pos="709"/>
          <w:tab w:val="clear" w:pos="900"/>
        </w:tabs>
        <w:spacing w:line="276" w:lineRule="auto"/>
        <w:ind w:left="0" w:firstLine="482" w:firstLineChars="200"/>
        <w:rPr>
          <w:rFonts w:ascii="宋体" w:hAnsi="宋体" w:eastAsia="宋体" w:cs="宋体"/>
          <w:color w:val="auto"/>
          <w:sz w:val="24"/>
          <w:szCs w:val="24"/>
        </w:rPr>
      </w:pPr>
      <w:r>
        <w:rPr>
          <w:rFonts w:hint="eastAsia" w:ascii="宋体" w:hAnsi="宋体" w:eastAsia="宋体"/>
          <w:color w:val="auto"/>
          <w:sz w:val="24"/>
          <w:szCs w:val="24"/>
        </w:rPr>
        <w:t>1.计算机教室（机房）布局要求</w:t>
      </w:r>
    </w:p>
    <w:p>
      <w:pPr>
        <w:ind w:firstLine="480" w:firstLineChars="200"/>
        <w:rPr>
          <w:rFonts w:ascii="宋体" w:hAnsi="宋体"/>
          <w:sz w:val="24"/>
          <w:szCs w:val="24"/>
        </w:rPr>
      </w:pPr>
      <w:r>
        <w:rPr>
          <w:rFonts w:hint="eastAsia" w:ascii="宋体" w:hAnsi="宋体"/>
          <w:sz w:val="24"/>
          <w:szCs w:val="24"/>
        </w:rPr>
        <w:t>机房电脑的布局方式按照学校要求采用直列式或横排式等摆放方式（如下图教室计算机系统电脑的布局方式常用的摆放模式：电脑桌的直列式、横排式摆放方式图1-1和图1-2、图1-3、图1-3。）</w:t>
      </w:r>
    </w:p>
    <w:p>
      <w:pPr>
        <w:ind w:firstLine="360" w:firstLineChars="150"/>
        <w:rPr>
          <w:rFonts w:ascii="宋体" w:hAnsi="宋体"/>
          <w:sz w:val="24"/>
          <w:szCs w:val="24"/>
        </w:rPr>
      </w:pPr>
      <w:r>
        <w:rPr>
          <w:rFonts w:ascii="宋体" w:hAnsi="宋体"/>
          <w:sz w:val="24"/>
          <w:szCs w:val="24"/>
        </w:rPr>
        <w:drawing>
          <wp:inline distT="0" distB="0" distL="114300" distR="114300">
            <wp:extent cx="4953000" cy="1412875"/>
            <wp:effectExtent l="0" t="0" r="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3"/>
                    <a:stretch>
                      <a:fillRect/>
                    </a:stretch>
                  </pic:blipFill>
                  <pic:spPr>
                    <a:xfrm>
                      <a:off x="0" y="0"/>
                      <a:ext cx="4953000" cy="1412875"/>
                    </a:xfrm>
                    <a:prstGeom prst="rect">
                      <a:avLst/>
                    </a:prstGeom>
                    <a:noFill/>
                    <a:ln>
                      <a:noFill/>
                    </a:ln>
                  </pic:spPr>
                </pic:pic>
              </a:graphicData>
            </a:graphic>
          </wp:inline>
        </w:drawing>
      </w:r>
    </w:p>
    <w:p>
      <w:pPr>
        <w:jc w:val="center"/>
        <w:rPr>
          <w:rFonts w:ascii="宋体" w:hAnsi="宋体"/>
          <w:sz w:val="24"/>
          <w:szCs w:val="24"/>
        </w:rPr>
      </w:pPr>
      <w:r>
        <w:rPr>
          <w:rFonts w:hint="eastAsia" w:ascii="宋体" w:hAnsi="宋体"/>
          <w:sz w:val="24"/>
          <w:szCs w:val="24"/>
        </w:rPr>
        <w:t>图1-1横排式摆放方式</w:t>
      </w:r>
    </w:p>
    <w:p>
      <w:pPr>
        <w:rPr>
          <w:rFonts w:ascii="宋体" w:hAnsi="宋体"/>
          <w:sz w:val="24"/>
          <w:szCs w:val="24"/>
        </w:rPr>
      </w:pPr>
      <w:r>
        <w:rPr>
          <w:rFonts w:ascii="宋体" w:hAnsi="宋体"/>
          <w:sz w:val="24"/>
          <w:szCs w:val="24"/>
        </w:rPr>
        <w:drawing>
          <wp:inline distT="0" distB="0" distL="114300" distR="114300">
            <wp:extent cx="4502150" cy="1678940"/>
            <wp:effectExtent l="0" t="0" r="12700"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4"/>
                    <a:stretch>
                      <a:fillRect/>
                    </a:stretch>
                  </pic:blipFill>
                  <pic:spPr>
                    <a:xfrm>
                      <a:off x="0" y="0"/>
                      <a:ext cx="4502150" cy="1678940"/>
                    </a:xfrm>
                    <a:prstGeom prst="rect">
                      <a:avLst/>
                    </a:prstGeom>
                    <a:noFill/>
                    <a:ln>
                      <a:noFill/>
                    </a:ln>
                  </pic:spPr>
                </pic:pic>
              </a:graphicData>
            </a:graphic>
          </wp:inline>
        </w:drawing>
      </w:r>
    </w:p>
    <w:p>
      <w:pPr>
        <w:jc w:val="center"/>
        <w:rPr>
          <w:rFonts w:ascii="宋体" w:hAnsi="宋体"/>
          <w:sz w:val="24"/>
          <w:szCs w:val="24"/>
        </w:rPr>
      </w:pPr>
      <w:r>
        <w:rPr>
          <w:rFonts w:hint="eastAsia" w:ascii="宋体" w:hAnsi="宋体"/>
          <w:sz w:val="24"/>
          <w:szCs w:val="24"/>
        </w:rPr>
        <w:t>图1-2横排式摆放方式</w:t>
      </w:r>
    </w:p>
    <w:p>
      <w:pPr>
        <w:spacing w:line="360" w:lineRule="auto"/>
        <w:ind w:firstLine="472" w:firstLineChars="196"/>
        <w:rPr>
          <w:rFonts w:ascii="宋体" w:hAnsi="宋体"/>
          <w:b/>
          <w:sz w:val="24"/>
          <w:szCs w:val="24"/>
        </w:rPr>
      </w:pPr>
    </w:p>
    <w:p>
      <w:pPr>
        <w:rPr>
          <w:rFonts w:ascii="宋体" w:hAnsi="宋体"/>
          <w:sz w:val="24"/>
          <w:szCs w:val="24"/>
        </w:rPr>
      </w:pPr>
      <w:r>
        <w:rPr>
          <w:rFonts w:ascii="宋体" w:hAnsi="宋体"/>
          <w:sz w:val="24"/>
          <w:szCs w:val="24"/>
        </w:rPr>
        <w:drawing>
          <wp:inline distT="0" distB="0" distL="114300" distR="114300">
            <wp:extent cx="5175250" cy="1666875"/>
            <wp:effectExtent l="0" t="0" r="6350" b="952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5"/>
                    <a:srcRect l="1791" r="1492" b="1173"/>
                    <a:stretch>
                      <a:fillRect/>
                    </a:stretch>
                  </pic:blipFill>
                  <pic:spPr>
                    <a:xfrm>
                      <a:off x="0" y="0"/>
                      <a:ext cx="5175250" cy="1666875"/>
                    </a:xfrm>
                    <a:prstGeom prst="rect">
                      <a:avLst/>
                    </a:prstGeom>
                    <a:noFill/>
                    <a:ln>
                      <a:noFill/>
                    </a:ln>
                  </pic:spPr>
                </pic:pic>
              </a:graphicData>
            </a:graphic>
          </wp:inline>
        </w:drawing>
      </w:r>
    </w:p>
    <w:p>
      <w:pPr>
        <w:jc w:val="center"/>
        <w:rPr>
          <w:rFonts w:ascii="宋体" w:hAnsi="宋体"/>
          <w:sz w:val="24"/>
          <w:szCs w:val="24"/>
        </w:rPr>
      </w:pPr>
      <w:r>
        <w:rPr>
          <w:rFonts w:hint="eastAsia" w:ascii="宋体" w:hAnsi="宋体"/>
          <w:sz w:val="24"/>
          <w:szCs w:val="24"/>
        </w:rPr>
        <w:t>图1-3直列式摆放方式</w:t>
      </w:r>
    </w:p>
    <w:p>
      <w:pPr>
        <w:rPr>
          <w:rFonts w:ascii="宋体" w:hAnsi="宋体"/>
          <w:sz w:val="24"/>
          <w:szCs w:val="24"/>
        </w:rPr>
      </w:pPr>
      <w:r>
        <w:rPr>
          <w:rFonts w:ascii="宋体" w:hAnsi="宋体"/>
          <w:sz w:val="24"/>
          <w:szCs w:val="24"/>
        </w:rPr>
        <w:drawing>
          <wp:inline distT="0" distB="0" distL="114300" distR="114300">
            <wp:extent cx="5295900" cy="1620520"/>
            <wp:effectExtent l="0" t="0" r="0"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rcRect l="3659" t="2541"/>
                    <a:stretch>
                      <a:fillRect/>
                    </a:stretch>
                  </pic:blipFill>
                  <pic:spPr>
                    <a:xfrm>
                      <a:off x="0" y="0"/>
                      <a:ext cx="5295900" cy="1620520"/>
                    </a:xfrm>
                    <a:prstGeom prst="rect">
                      <a:avLst/>
                    </a:prstGeom>
                    <a:noFill/>
                    <a:ln>
                      <a:noFill/>
                    </a:ln>
                  </pic:spPr>
                </pic:pic>
              </a:graphicData>
            </a:graphic>
          </wp:inline>
        </w:drawing>
      </w:r>
    </w:p>
    <w:p>
      <w:pPr>
        <w:spacing w:line="360" w:lineRule="auto"/>
        <w:ind w:firstLine="470" w:firstLineChars="196"/>
        <w:jc w:val="center"/>
        <w:rPr>
          <w:rFonts w:ascii="宋体" w:hAnsi="宋体"/>
          <w:b/>
          <w:sz w:val="24"/>
          <w:szCs w:val="24"/>
        </w:rPr>
      </w:pPr>
      <w:r>
        <w:rPr>
          <w:rFonts w:hint="eastAsia" w:ascii="宋体" w:hAnsi="宋体"/>
          <w:sz w:val="24"/>
          <w:szCs w:val="24"/>
        </w:rPr>
        <w:t>图1-4直列式摆放方式</w:t>
      </w:r>
    </w:p>
    <w:p>
      <w:pPr>
        <w:adjustRightInd w:val="0"/>
        <w:spacing w:line="276" w:lineRule="auto"/>
        <w:ind w:firstLine="482" w:firstLineChars="200"/>
        <w:rPr>
          <w:rFonts w:ascii="宋体" w:hAnsi="宋体"/>
          <w:b/>
          <w:sz w:val="24"/>
          <w:szCs w:val="24"/>
        </w:rPr>
      </w:pPr>
      <w:r>
        <w:rPr>
          <w:rFonts w:hint="eastAsia" w:ascii="宋体" w:hAnsi="宋体"/>
          <w:b/>
          <w:sz w:val="24"/>
          <w:szCs w:val="24"/>
        </w:rPr>
        <w:t>注：根据教室实际面积大小摆放学生桌子</w:t>
      </w:r>
    </w:p>
    <w:p>
      <w:pPr>
        <w:adjustRightInd w:val="0"/>
        <w:spacing w:line="276" w:lineRule="auto"/>
        <w:ind w:firstLine="482" w:firstLineChars="200"/>
        <w:rPr>
          <w:rFonts w:ascii="宋体" w:hAnsi="宋体"/>
          <w:b/>
          <w:sz w:val="24"/>
          <w:szCs w:val="24"/>
        </w:rPr>
      </w:pPr>
    </w:p>
    <w:p>
      <w:pPr>
        <w:pStyle w:val="5"/>
        <w:tabs>
          <w:tab w:val="left" w:pos="709"/>
          <w:tab w:val="clear" w:pos="900"/>
        </w:tabs>
        <w:spacing w:line="276" w:lineRule="auto"/>
        <w:ind w:left="0" w:firstLine="482" w:firstLineChars="200"/>
        <w:rPr>
          <w:rFonts w:ascii="宋体" w:hAnsi="宋体" w:eastAsia="宋体"/>
          <w:color w:val="auto"/>
          <w:sz w:val="24"/>
          <w:szCs w:val="24"/>
        </w:rPr>
      </w:pPr>
      <w:r>
        <w:rPr>
          <w:rFonts w:hint="eastAsia" w:ascii="宋体" w:hAnsi="宋体" w:eastAsia="宋体"/>
          <w:color w:val="auto"/>
          <w:sz w:val="24"/>
          <w:szCs w:val="24"/>
        </w:rPr>
        <w:t>2.计算机命名、编号要求</w:t>
      </w:r>
    </w:p>
    <w:p>
      <w:pPr>
        <w:adjustRightInd w:val="0"/>
        <w:spacing w:line="276" w:lineRule="auto"/>
        <w:ind w:firstLine="480" w:firstLineChars="200"/>
        <w:rPr>
          <w:rFonts w:ascii="宋体" w:hAnsi="宋体"/>
          <w:sz w:val="24"/>
          <w:szCs w:val="24"/>
        </w:rPr>
      </w:pPr>
      <w:r>
        <w:rPr>
          <w:rFonts w:hint="eastAsia" w:ascii="宋体" w:hAnsi="宋体"/>
          <w:sz w:val="24"/>
          <w:szCs w:val="24"/>
        </w:rPr>
        <w:t>电脑桌按下图摆放，学生机的计算机名按下图命名，并在电脑桌上贴上名称的不干胶标签。网线两端永久性机打标签按下图编号。</w:t>
      </w:r>
    </w:p>
    <w:p>
      <w:pPr>
        <w:adjustRightInd w:val="0"/>
        <w:spacing w:line="276" w:lineRule="auto"/>
        <w:ind w:firstLine="482" w:firstLineChars="200"/>
        <w:rPr>
          <w:rFonts w:ascii="宋体" w:hAnsi="宋体"/>
          <w:b/>
          <w:sz w:val="24"/>
          <w:szCs w:val="24"/>
        </w:rPr>
      </w:pPr>
      <w:r>
        <w:rPr>
          <w:rFonts w:hint="eastAsia" w:ascii="宋体" w:hAnsi="宋体"/>
          <w:b/>
          <w:sz w:val="24"/>
          <w:szCs w:val="24"/>
        </w:rPr>
        <w:t>（1）六人桌摆放方式</w:t>
      </w:r>
    </w:p>
    <w:p>
      <w:pPr>
        <w:adjustRightInd w:val="0"/>
        <w:spacing w:line="276" w:lineRule="auto"/>
        <w:ind w:firstLine="480" w:firstLineChars="200"/>
        <w:rPr>
          <w:rFonts w:ascii="宋体" w:hAnsi="宋体"/>
          <w:sz w:val="24"/>
          <w:szCs w:val="24"/>
        </w:rPr>
      </w:pPr>
      <w:r>
        <w:rPr>
          <w:rFonts w:ascii="宋体" w:hAnsi="宋体"/>
          <w:sz w:val="24"/>
          <w:szCs w:val="24"/>
        </w:rPr>
        <w:drawing>
          <wp:inline distT="0" distB="0" distL="114300" distR="114300">
            <wp:extent cx="5562600" cy="1306195"/>
            <wp:effectExtent l="0" t="0" r="0" b="825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7"/>
                    <a:stretch>
                      <a:fillRect/>
                    </a:stretch>
                  </pic:blipFill>
                  <pic:spPr>
                    <a:xfrm>
                      <a:off x="0" y="0"/>
                      <a:ext cx="5562600" cy="1306195"/>
                    </a:xfrm>
                    <a:prstGeom prst="rect">
                      <a:avLst/>
                    </a:prstGeom>
                    <a:noFill/>
                    <a:ln>
                      <a:noFill/>
                    </a:ln>
                  </pic:spPr>
                </pic:pic>
              </a:graphicData>
            </a:graphic>
          </wp:inline>
        </w:drawing>
      </w:r>
    </w:p>
    <w:p>
      <w:pPr>
        <w:adjustRightInd w:val="0"/>
        <w:spacing w:line="276" w:lineRule="auto"/>
        <w:ind w:firstLine="480" w:firstLineChars="200"/>
        <w:rPr>
          <w:rFonts w:ascii="宋体" w:hAnsi="宋体"/>
          <w:sz w:val="24"/>
          <w:szCs w:val="24"/>
        </w:rPr>
      </w:pPr>
    </w:p>
    <w:p>
      <w:pPr>
        <w:adjustRightInd w:val="0"/>
        <w:spacing w:line="276" w:lineRule="auto"/>
        <w:ind w:firstLine="482" w:firstLineChars="200"/>
        <w:rPr>
          <w:rFonts w:ascii="宋体" w:hAnsi="宋体"/>
          <w:b/>
          <w:sz w:val="24"/>
          <w:szCs w:val="24"/>
        </w:rPr>
      </w:pPr>
      <w:r>
        <w:rPr>
          <w:rFonts w:hint="eastAsia" w:ascii="宋体" w:hAnsi="宋体"/>
          <w:b/>
          <w:sz w:val="24"/>
          <w:szCs w:val="24"/>
        </w:rPr>
        <w:t>（2）两人桌摆放方式</w:t>
      </w:r>
    </w:p>
    <w:p>
      <w:pPr>
        <w:adjustRightInd w:val="0"/>
        <w:spacing w:line="276" w:lineRule="auto"/>
        <w:ind w:firstLine="480" w:firstLineChars="200"/>
        <w:rPr>
          <w:rFonts w:ascii="宋体" w:hAnsi="宋体"/>
          <w:sz w:val="24"/>
          <w:szCs w:val="24"/>
        </w:rPr>
      </w:pPr>
      <w:r>
        <w:rPr>
          <w:rFonts w:ascii="宋体" w:hAnsi="宋体"/>
          <w:sz w:val="24"/>
          <w:szCs w:val="24"/>
        </w:rPr>
        <w:drawing>
          <wp:inline distT="0" distB="0" distL="114300" distR="114300">
            <wp:extent cx="5009515" cy="1257300"/>
            <wp:effectExtent l="0" t="0" r="635"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38"/>
                    <a:stretch>
                      <a:fillRect/>
                    </a:stretch>
                  </pic:blipFill>
                  <pic:spPr>
                    <a:xfrm>
                      <a:off x="0" y="0"/>
                      <a:ext cx="5009515" cy="1257300"/>
                    </a:xfrm>
                    <a:prstGeom prst="rect">
                      <a:avLst/>
                    </a:prstGeom>
                    <a:noFill/>
                    <a:ln>
                      <a:noFill/>
                    </a:ln>
                  </pic:spPr>
                </pic:pic>
              </a:graphicData>
            </a:graphic>
          </wp:inline>
        </w:drawing>
      </w:r>
    </w:p>
    <w:p>
      <w:pPr>
        <w:adjustRightInd w:val="0"/>
        <w:spacing w:line="276" w:lineRule="auto"/>
        <w:ind w:firstLine="480" w:firstLineChars="200"/>
        <w:rPr>
          <w:rFonts w:ascii="宋体" w:hAnsi="宋体"/>
          <w:sz w:val="24"/>
          <w:szCs w:val="24"/>
        </w:rPr>
      </w:pPr>
    </w:p>
    <w:p>
      <w:pPr>
        <w:pStyle w:val="5"/>
        <w:tabs>
          <w:tab w:val="left" w:pos="709"/>
          <w:tab w:val="clear" w:pos="900"/>
        </w:tabs>
        <w:spacing w:line="276" w:lineRule="auto"/>
        <w:ind w:left="0" w:firstLine="482" w:firstLineChars="200"/>
        <w:rPr>
          <w:rFonts w:ascii="宋体" w:hAnsi="宋体" w:eastAsia="宋体"/>
          <w:color w:val="auto"/>
          <w:sz w:val="24"/>
          <w:szCs w:val="24"/>
        </w:rPr>
      </w:pPr>
      <w:r>
        <w:rPr>
          <w:rFonts w:ascii="宋体" w:hAnsi="宋体" w:eastAsia="宋体"/>
          <w:color w:val="auto"/>
          <w:sz w:val="24"/>
          <w:szCs w:val="24"/>
        </w:rPr>
        <w:t>3</w:t>
      </w:r>
      <w:r>
        <w:rPr>
          <w:rFonts w:hint="eastAsia" w:ascii="宋体" w:hAnsi="宋体" w:eastAsia="宋体"/>
          <w:color w:val="auto"/>
          <w:sz w:val="24"/>
          <w:szCs w:val="24"/>
        </w:rPr>
        <w:t>.线路敷设要求</w:t>
      </w:r>
    </w:p>
    <w:p>
      <w:pPr>
        <w:ind w:firstLine="240" w:firstLineChars="100"/>
        <w:rPr>
          <w:rFonts w:ascii="宋体" w:hAnsi="宋体"/>
          <w:bCs/>
          <w:sz w:val="24"/>
          <w:szCs w:val="24"/>
        </w:rPr>
      </w:pPr>
      <w:r>
        <w:rPr>
          <w:rFonts w:hint="eastAsia" w:ascii="宋体" w:hAnsi="宋体"/>
          <w:bCs/>
          <w:sz w:val="24"/>
          <w:szCs w:val="24"/>
        </w:rPr>
        <w:t>（</w:t>
      </w:r>
      <w:r>
        <w:rPr>
          <w:rFonts w:ascii="宋体" w:hAnsi="宋体"/>
          <w:bCs/>
          <w:sz w:val="24"/>
          <w:szCs w:val="24"/>
        </w:rPr>
        <w:t>1</w:t>
      </w:r>
      <w:r>
        <w:rPr>
          <w:rFonts w:hint="eastAsia" w:ascii="宋体" w:hAnsi="宋体"/>
          <w:bCs/>
          <w:sz w:val="24"/>
          <w:szCs w:val="24"/>
        </w:rPr>
        <w:t>）教室计算机系统电力线和信号敷设与接线点设置位置模式，见图</w:t>
      </w:r>
      <w:r>
        <w:rPr>
          <w:rFonts w:ascii="宋体" w:hAnsi="宋体"/>
          <w:bCs/>
          <w:sz w:val="24"/>
          <w:szCs w:val="24"/>
        </w:rPr>
        <w:t>2-1</w:t>
      </w:r>
      <w:r>
        <w:rPr>
          <w:rFonts w:hint="eastAsia" w:ascii="宋体" w:hAnsi="宋体"/>
          <w:bCs/>
          <w:sz w:val="24"/>
          <w:szCs w:val="24"/>
        </w:rPr>
        <w:t>、图</w:t>
      </w:r>
      <w:r>
        <w:rPr>
          <w:rFonts w:ascii="宋体" w:hAnsi="宋体"/>
          <w:bCs/>
          <w:sz w:val="24"/>
          <w:szCs w:val="24"/>
        </w:rPr>
        <w:t>2-2</w:t>
      </w:r>
      <w:r>
        <w:rPr>
          <w:rFonts w:hint="eastAsia" w:ascii="宋体" w:hAnsi="宋体"/>
          <w:bCs/>
          <w:sz w:val="24"/>
          <w:szCs w:val="24"/>
        </w:rPr>
        <w:t>、图</w:t>
      </w:r>
      <w:r>
        <w:rPr>
          <w:rFonts w:ascii="宋体" w:hAnsi="宋体"/>
          <w:bCs/>
          <w:sz w:val="24"/>
          <w:szCs w:val="24"/>
        </w:rPr>
        <w:t>2</w:t>
      </w:r>
      <w:r>
        <w:rPr>
          <w:rFonts w:hint="eastAsia" w:ascii="宋体" w:hAnsi="宋体"/>
          <w:bCs/>
          <w:sz w:val="24"/>
          <w:szCs w:val="24"/>
        </w:rPr>
        <w:t>—</w:t>
      </w:r>
      <w:r>
        <w:rPr>
          <w:rFonts w:ascii="宋体" w:hAnsi="宋体"/>
          <w:bCs/>
          <w:sz w:val="24"/>
          <w:szCs w:val="24"/>
        </w:rPr>
        <w:t>3</w:t>
      </w:r>
      <w:r>
        <w:rPr>
          <w:rFonts w:hint="eastAsia" w:ascii="宋体" w:hAnsi="宋体"/>
          <w:bCs/>
          <w:sz w:val="24"/>
          <w:szCs w:val="24"/>
        </w:rPr>
        <w:t>、图</w:t>
      </w:r>
      <w:r>
        <w:rPr>
          <w:rFonts w:ascii="宋体" w:hAnsi="宋体"/>
          <w:bCs/>
          <w:sz w:val="24"/>
          <w:szCs w:val="24"/>
        </w:rPr>
        <w:t>2</w:t>
      </w:r>
      <w:r>
        <w:rPr>
          <w:rFonts w:hint="eastAsia" w:ascii="宋体" w:hAnsi="宋体"/>
          <w:bCs/>
          <w:sz w:val="24"/>
          <w:szCs w:val="24"/>
        </w:rPr>
        <w:t>—</w:t>
      </w:r>
      <w:r>
        <w:rPr>
          <w:rFonts w:ascii="宋体" w:hAnsi="宋体"/>
          <w:bCs/>
          <w:sz w:val="24"/>
          <w:szCs w:val="24"/>
        </w:rPr>
        <w:t>4</w:t>
      </w:r>
      <w:r>
        <w:rPr>
          <w:rFonts w:hint="eastAsia" w:ascii="宋体" w:hAnsi="宋体"/>
          <w:bCs/>
          <w:sz w:val="24"/>
          <w:szCs w:val="24"/>
        </w:rPr>
        <w:t>。</w:t>
      </w:r>
    </w:p>
    <w:p>
      <w:pPr>
        <w:jc w:val="center"/>
        <w:rPr>
          <w:rFonts w:ascii="宋体" w:hAnsi="宋体"/>
          <w:sz w:val="24"/>
          <w:szCs w:val="24"/>
        </w:rPr>
      </w:pPr>
      <w:r>
        <w:rPr>
          <w:rFonts w:ascii="宋体" w:hAnsi="宋体"/>
          <w:sz w:val="24"/>
          <w:szCs w:val="24"/>
        </w:rPr>
        <w:drawing>
          <wp:inline distT="0" distB="0" distL="114300" distR="114300">
            <wp:extent cx="5295900" cy="2007870"/>
            <wp:effectExtent l="0" t="0" r="0" b="1143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9"/>
                    <a:srcRect t="1418" b="3404"/>
                    <a:stretch>
                      <a:fillRect/>
                    </a:stretch>
                  </pic:blipFill>
                  <pic:spPr>
                    <a:xfrm>
                      <a:off x="0" y="0"/>
                      <a:ext cx="5295900" cy="2007870"/>
                    </a:xfrm>
                    <a:prstGeom prst="rect">
                      <a:avLst/>
                    </a:prstGeom>
                    <a:noFill/>
                    <a:ln>
                      <a:noFill/>
                    </a:ln>
                  </pic:spPr>
                </pic:pic>
              </a:graphicData>
            </a:graphic>
          </wp:inline>
        </w:drawing>
      </w:r>
    </w:p>
    <w:p>
      <w:pPr>
        <w:jc w:val="center"/>
        <w:rPr>
          <w:rFonts w:ascii="宋体" w:hAnsi="宋体"/>
          <w:sz w:val="24"/>
          <w:szCs w:val="24"/>
        </w:rPr>
      </w:pPr>
      <w:r>
        <w:rPr>
          <w:rFonts w:hint="eastAsia" w:ascii="宋体" w:hAnsi="宋体"/>
          <w:sz w:val="24"/>
          <w:szCs w:val="24"/>
        </w:rPr>
        <w:t>图2-1横排式摆放方式机房系统电力线和信号线缆敷设示意图</w:t>
      </w:r>
    </w:p>
    <w:p>
      <w:pPr>
        <w:jc w:val="center"/>
        <w:rPr>
          <w:rFonts w:ascii="宋体" w:hAnsi="宋体"/>
          <w:sz w:val="24"/>
          <w:szCs w:val="24"/>
        </w:rPr>
      </w:pPr>
      <w:r>
        <w:rPr>
          <w:rFonts w:ascii="宋体" w:hAnsi="宋体"/>
          <w:sz w:val="24"/>
          <w:szCs w:val="24"/>
        </w:rPr>
        <w:drawing>
          <wp:inline distT="0" distB="0" distL="114300" distR="114300">
            <wp:extent cx="5124450" cy="2085340"/>
            <wp:effectExtent l="0" t="0" r="0" b="1016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0"/>
                    <a:srcRect t="250"/>
                    <a:stretch>
                      <a:fillRect/>
                    </a:stretch>
                  </pic:blipFill>
                  <pic:spPr>
                    <a:xfrm>
                      <a:off x="0" y="0"/>
                      <a:ext cx="5124450" cy="2085340"/>
                    </a:xfrm>
                    <a:prstGeom prst="rect">
                      <a:avLst/>
                    </a:prstGeom>
                    <a:noFill/>
                    <a:ln>
                      <a:noFill/>
                    </a:ln>
                  </pic:spPr>
                </pic:pic>
              </a:graphicData>
            </a:graphic>
          </wp:inline>
        </w:drawing>
      </w:r>
    </w:p>
    <w:p>
      <w:pPr>
        <w:jc w:val="center"/>
        <w:rPr>
          <w:rFonts w:ascii="宋体" w:hAnsi="宋体"/>
          <w:sz w:val="24"/>
          <w:szCs w:val="24"/>
        </w:rPr>
      </w:pPr>
      <w:r>
        <w:rPr>
          <w:rFonts w:hint="eastAsia" w:ascii="宋体" w:hAnsi="宋体"/>
          <w:sz w:val="24"/>
          <w:szCs w:val="24"/>
        </w:rPr>
        <w:t>图2-2  横排式摆放方式机房系统电力线和信号线缆敷设示意图</w:t>
      </w:r>
    </w:p>
    <w:p>
      <w:pPr>
        <w:spacing w:line="360" w:lineRule="auto"/>
        <w:ind w:firstLine="960" w:firstLineChars="400"/>
        <w:rPr>
          <w:rFonts w:ascii="宋体" w:hAnsi="宋体"/>
          <w:sz w:val="24"/>
          <w:szCs w:val="24"/>
        </w:rPr>
      </w:pPr>
      <w:r>
        <w:rPr>
          <w:rFonts w:ascii="宋体" w:hAnsi="宋体"/>
          <w:sz w:val="24"/>
          <w:szCs w:val="24"/>
        </w:rPr>
        <w:drawing>
          <wp:inline distT="0" distB="0" distL="114300" distR="114300">
            <wp:extent cx="4800600" cy="1461135"/>
            <wp:effectExtent l="0" t="0" r="0" b="57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41"/>
                    <a:stretch>
                      <a:fillRect/>
                    </a:stretch>
                  </pic:blipFill>
                  <pic:spPr>
                    <a:xfrm>
                      <a:off x="0" y="0"/>
                      <a:ext cx="4800600" cy="1461135"/>
                    </a:xfrm>
                    <a:prstGeom prst="rect">
                      <a:avLst/>
                    </a:prstGeom>
                    <a:noFill/>
                    <a:ln>
                      <a:noFill/>
                    </a:ln>
                  </pic:spPr>
                </pic:pic>
              </a:graphicData>
            </a:graphic>
          </wp:inline>
        </w:drawing>
      </w:r>
    </w:p>
    <w:p>
      <w:pPr>
        <w:jc w:val="center"/>
        <w:rPr>
          <w:rFonts w:ascii="宋体" w:hAnsi="宋体"/>
          <w:sz w:val="24"/>
          <w:szCs w:val="24"/>
        </w:rPr>
      </w:pPr>
      <w:r>
        <w:rPr>
          <w:rFonts w:hint="eastAsia" w:ascii="宋体" w:hAnsi="宋体"/>
          <w:sz w:val="24"/>
          <w:szCs w:val="24"/>
        </w:rPr>
        <w:t>图2—3  直列式摆放方式机房系统电力线和信号线缆敷设示意图</w:t>
      </w:r>
    </w:p>
    <w:p>
      <w:pPr>
        <w:ind w:firstLine="720" w:firstLineChars="300"/>
        <w:rPr>
          <w:rFonts w:ascii="宋体" w:hAnsi="宋体"/>
          <w:sz w:val="24"/>
          <w:szCs w:val="24"/>
        </w:rPr>
      </w:pPr>
      <w:r>
        <w:rPr>
          <w:rFonts w:ascii="宋体" w:hAnsi="宋体"/>
          <w:sz w:val="24"/>
          <w:szCs w:val="24"/>
        </w:rPr>
        <w:drawing>
          <wp:inline distT="0" distB="0" distL="114300" distR="114300">
            <wp:extent cx="4629150" cy="1490980"/>
            <wp:effectExtent l="0" t="0" r="0" b="1397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42"/>
                    <a:stretch>
                      <a:fillRect/>
                    </a:stretch>
                  </pic:blipFill>
                  <pic:spPr>
                    <a:xfrm>
                      <a:off x="0" y="0"/>
                      <a:ext cx="4629150" cy="1490980"/>
                    </a:xfrm>
                    <a:prstGeom prst="rect">
                      <a:avLst/>
                    </a:prstGeom>
                    <a:noFill/>
                    <a:ln>
                      <a:noFill/>
                    </a:ln>
                  </pic:spPr>
                </pic:pic>
              </a:graphicData>
            </a:graphic>
          </wp:inline>
        </w:drawing>
      </w:r>
    </w:p>
    <w:p>
      <w:pPr>
        <w:adjustRightInd w:val="0"/>
        <w:spacing w:line="276" w:lineRule="auto"/>
        <w:ind w:firstLine="480" w:firstLineChars="200"/>
        <w:jc w:val="center"/>
        <w:rPr>
          <w:rFonts w:ascii="宋体" w:hAnsi="宋体"/>
          <w:sz w:val="24"/>
          <w:szCs w:val="24"/>
        </w:rPr>
      </w:pPr>
      <w:r>
        <w:rPr>
          <w:rFonts w:hint="eastAsia" w:ascii="宋体" w:hAnsi="宋体"/>
          <w:sz w:val="24"/>
          <w:szCs w:val="24"/>
        </w:rPr>
        <w:t>图2-4   直列式摆放方式机房系统电力线和信号线缆敷设示意图</w:t>
      </w:r>
    </w:p>
    <w:p>
      <w:pPr>
        <w:adjustRightInd w:val="0"/>
        <w:spacing w:line="276" w:lineRule="auto"/>
        <w:ind w:firstLine="482" w:firstLineChars="200"/>
        <w:rPr>
          <w:rFonts w:ascii="宋体" w:hAnsi="宋体"/>
          <w:b/>
          <w:sz w:val="24"/>
          <w:szCs w:val="24"/>
        </w:rPr>
      </w:pPr>
      <w:r>
        <w:rPr>
          <w:rFonts w:hint="eastAsia" w:ascii="宋体" w:hAnsi="宋体"/>
          <w:b/>
          <w:sz w:val="24"/>
          <w:szCs w:val="24"/>
        </w:rPr>
        <w:t>（2）地面和墙面排布</w:t>
      </w:r>
    </w:p>
    <w:p>
      <w:pPr>
        <w:adjustRightInd w:val="0"/>
        <w:spacing w:line="276" w:lineRule="auto"/>
        <w:ind w:firstLine="480" w:firstLineChars="200"/>
        <w:rPr>
          <w:rFonts w:ascii="宋体" w:hAnsi="宋体"/>
          <w:sz w:val="24"/>
          <w:szCs w:val="24"/>
        </w:rPr>
      </w:pPr>
      <w:r>
        <w:rPr>
          <w:rFonts w:hint="eastAsia" w:ascii="宋体" w:hAnsi="宋体"/>
          <w:sz w:val="24"/>
          <w:szCs w:val="24"/>
        </w:rPr>
        <w:t>强、弱电缆线结构排布要求：应按数量多少进行直列式列、横排式分布，强电线布线以紧靠墙体或地面布线,减少线路外露，外露部分加装金属槽（</w:t>
      </w:r>
      <w:r>
        <w:rPr>
          <w:rFonts w:hint="eastAsia" w:ascii="宋体" w:hAnsi="宋体" w:cs="宋体"/>
          <w:kern w:val="0"/>
          <w:sz w:val="24"/>
          <w:szCs w:val="24"/>
        </w:rPr>
        <w:t>管）</w:t>
      </w:r>
      <w:r>
        <w:rPr>
          <w:rFonts w:hint="eastAsia" w:ascii="宋体" w:hAnsi="宋体"/>
          <w:sz w:val="24"/>
          <w:szCs w:val="24"/>
        </w:rPr>
        <w:t>。</w:t>
      </w:r>
    </w:p>
    <w:p>
      <w:pPr>
        <w:adjustRightInd w:val="0"/>
        <w:spacing w:line="276" w:lineRule="auto"/>
        <w:ind w:firstLine="480" w:firstLineChars="200"/>
        <w:rPr>
          <w:rFonts w:ascii="宋体" w:hAnsi="宋体" w:cs="宋体"/>
          <w:kern w:val="0"/>
          <w:sz w:val="24"/>
          <w:szCs w:val="24"/>
        </w:rPr>
      </w:pPr>
      <w:r>
        <w:rPr>
          <w:rFonts w:hint="eastAsia" w:ascii="宋体" w:hAnsi="宋体" w:cs="宋体"/>
          <w:kern w:val="0"/>
          <w:sz w:val="24"/>
          <w:szCs w:val="24"/>
        </w:rPr>
        <w:t>强电安装需完成从教室配电箱以后的所有布线和设备安装工作。</w:t>
      </w:r>
    </w:p>
    <w:p>
      <w:pPr>
        <w:adjustRightInd w:val="0"/>
        <w:spacing w:line="276" w:lineRule="auto"/>
        <w:ind w:firstLine="480" w:firstLineChars="200"/>
        <w:rPr>
          <w:rFonts w:ascii="宋体" w:hAnsi="宋体"/>
          <w:sz w:val="24"/>
          <w:szCs w:val="24"/>
        </w:rPr>
      </w:pPr>
      <w:r>
        <w:rPr>
          <w:rFonts w:hint="eastAsia" w:ascii="宋体" w:hAnsi="宋体" w:cs="宋体"/>
          <w:kern w:val="0"/>
          <w:sz w:val="24"/>
          <w:szCs w:val="24"/>
        </w:rPr>
        <w:t>结构化布线系统（综合布放）原则：所有线槽（管）综合布放应符合GB50311-2007中第6.5条、第7.0.2条的规定。</w:t>
      </w:r>
    </w:p>
    <w:p>
      <w:pPr>
        <w:adjustRightInd w:val="0"/>
        <w:spacing w:line="276" w:lineRule="auto"/>
        <w:ind w:firstLine="482" w:firstLineChars="200"/>
        <w:rPr>
          <w:rFonts w:ascii="宋体" w:hAnsi="宋体"/>
          <w:b/>
          <w:sz w:val="24"/>
          <w:szCs w:val="24"/>
        </w:rPr>
      </w:pPr>
      <w:r>
        <w:rPr>
          <w:rFonts w:hint="eastAsia" w:ascii="宋体" w:hAnsi="宋体"/>
          <w:b/>
          <w:sz w:val="24"/>
          <w:szCs w:val="24"/>
        </w:rPr>
        <w:t>（3）学生电脑房工程施工要求</w:t>
      </w:r>
    </w:p>
    <w:p>
      <w:pPr>
        <w:adjustRightInd w:val="0"/>
        <w:spacing w:line="276" w:lineRule="auto"/>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A</w:t>
      </w:r>
      <w:r>
        <w:rPr>
          <w:rFonts w:hint="eastAsia" w:ascii="宋体" w:hAnsi="宋体" w:cs="宋体"/>
          <w:kern w:val="0"/>
          <w:sz w:val="24"/>
          <w:szCs w:val="24"/>
        </w:rPr>
        <w:t>）强、弱电分离布线，距离</w:t>
      </w:r>
      <w:r>
        <w:rPr>
          <w:rFonts w:ascii="宋体" w:hAnsi="宋体" w:cs="宋体"/>
          <w:kern w:val="0"/>
          <w:sz w:val="24"/>
          <w:szCs w:val="24"/>
        </w:rPr>
        <w:t>≥3</w:t>
      </w:r>
      <w:r>
        <w:rPr>
          <w:rFonts w:hint="eastAsia" w:ascii="宋体" w:hAnsi="宋体" w:cs="宋体"/>
          <w:kern w:val="0"/>
          <w:sz w:val="24"/>
          <w:szCs w:val="24"/>
        </w:rPr>
        <w:t>0厘米</w:t>
      </w:r>
      <w:r>
        <w:rPr>
          <w:rFonts w:hint="eastAsia" w:ascii="宋体" w:hAnsi="宋体"/>
          <w:sz w:val="24"/>
          <w:szCs w:val="24"/>
        </w:rPr>
        <w:t>。</w:t>
      </w:r>
    </w:p>
    <w:p>
      <w:pPr>
        <w:adjustRightInd w:val="0"/>
        <w:spacing w:line="276" w:lineRule="auto"/>
        <w:ind w:firstLine="480" w:firstLineChars="200"/>
        <w:rPr>
          <w:rFonts w:ascii="宋体" w:hAnsi="宋体" w:cs="宋体"/>
          <w:kern w:val="0"/>
          <w:sz w:val="24"/>
          <w:szCs w:val="24"/>
        </w:rPr>
      </w:pPr>
      <w:r>
        <w:rPr>
          <w:rFonts w:hint="eastAsia" w:ascii="宋体" w:hAnsi="宋体"/>
          <w:sz w:val="24"/>
          <w:szCs w:val="24"/>
        </w:rPr>
        <w:t>（</w:t>
      </w:r>
      <w:r>
        <w:rPr>
          <w:rFonts w:ascii="宋体" w:hAnsi="宋体"/>
          <w:sz w:val="24"/>
          <w:szCs w:val="24"/>
        </w:rPr>
        <w:t>B</w:t>
      </w:r>
      <w:r>
        <w:rPr>
          <w:rFonts w:hint="eastAsia" w:ascii="宋体" w:hAnsi="宋体"/>
          <w:sz w:val="24"/>
          <w:szCs w:val="24"/>
        </w:rPr>
        <w:t>）</w:t>
      </w:r>
      <w:r>
        <w:rPr>
          <w:rFonts w:ascii="宋体" w:hAnsi="宋体"/>
          <w:sz w:val="24"/>
          <w:szCs w:val="24"/>
        </w:rPr>
        <w:t>槽</w:t>
      </w:r>
      <w:r>
        <w:rPr>
          <w:rFonts w:hint="eastAsia" w:ascii="宋体" w:hAnsi="宋体"/>
          <w:sz w:val="24"/>
          <w:szCs w:val="24"/>
        </w:rPr>
        <w:t>板结构</w:t>
      </w:r>
      <w:r>
        <w:rPr>
          <w:rFonts w:ascii="宋体" w:hAnsi="宋体"/>
          <w:sz w:val="24"/>
          <w:szCs w:val="24"/>
        </w:rPr>
        <w:t>：由槽底、槽盖及附件组成，线槽内外应光滑</w:t>
      </w:r>
      <w:r>
        <w:rPr>
          <w:rFonts w:ascii="宋体" w:hAnsi="宋体" w:cs="宋体"/>
          <w:kern w:val="0"/>
          <w:sz w:val="24"/>
          <w:szCs w:val="24"/>
        </w:rPr>
        <w:t>无棱刺</w:t>
      </w:r>
      <w:r>
        <w:rPr>
          <w:rFonts w:hint="eastAsia" w:ascii="宋体" w:hAnsi="宋体" w:cs="宋体"/>
          <w:kern w:val="0"/>
          <w:sz w:val="24"/>
          <w:szCs w:val="24"/>
        </w:rPr>
        <w:t>、</w:t>
      </w:r>
      <w:r>
        <w:rPr>
          <w:rFonts w:ascii="宋体" w:hAnsi="宋体" w:cs="宋体"/>
          <w:kern w:val="0"/>
          <w:sz w:val="24"/>
          <w:szCs w:val="24"/>
        </w:rPr>
        <w:t>扭曲、翘边等现象。</w:t>
      </w:r>
    </w:p>
    <w:p>
      <w:pPr>
        <w:autoSpaceDE w:val="0"/>
        <w:autoSpaceDN w:val="0"/>
        <w:adjustRightInd w:val="0"/>
        <w:spacing w:line="276" w:lineRule="auto"/>
        <w:ind w:firstLine="480" w:firstLineChars="200"/>
        <w:jc w:val="left"/>
        <w:rPr>
          <w:rFonts w:ascii="宋体" w:hAnsi="宋体"/>
          <w:sz w:val="24"/>
          <w:szCs w:val="24"/>
          <w:u w:val="single"/>
        </w:rPr>
      </w:pPr>
      <w:r>
        <w:rPr>
          <w:rFonts w:hint="eastAsia" w:ascii="宋体" w:hAnsi="宋体" w:cs="宋体"/>
          <w:kern w:val="0"/>
          <w:sz w:val="24"/>
          <w:szCs w:val="24"/>
        </w:rPr>
        <w:t>（</w:t>
      </w:r>
      <w:r>
        <w:rPr>
          <w:rFonts w:ascii="宋体" w:hAnsi="宋体" w:cs="宋体"/>
          <w:kern w:val="0"/>
          <w:sz w:val="24"/>
          <w:szCs w:val="24"/>
        </w:rPr>
        <w:t>C</w:t>
      </w:r>
      <w:r>
        <w:rPr>
          <w:rFonts w:hint="eastAsia" w:ascii="宋体" w:hAnsi="宋体" w:cs="宋体"/>
          <w:kern w:val="0"/>
          <w:sz w:val="24"/>
          <w:szCs w:val="24"/>
        </w:rPr>
        <w:t>）</w:t>
      </w:r>
      <w:r>
        <w:rPr>
          <w:rFonts w:ascii="宋体" w:hAnsi="宋体" w:cs="宋体"/>
          <w:kern w:val="0"/>
          <w:sz w:val="24"/>
          <w:szCs w:val="24"/>
        </w:rPr>
        <w:t>线槽安装</w:t>
      </w:r>
      <w:r>
        <w:rPr>
          <w:rFonts w:hint="eastAsia" w:ascii="宋体" w:hAnsi="宋体" w:cs="宋体"/>
          <w:kern w:val="0"/>
          <w:sz w:val="24"/>
          <w:szCs w:val="24"/>
        </w:rPr>
        <w:t>：敷设走线</w:t>
      </w:r>
      <w:r>
        <w:rPr>
          <w:rFonts w:ascii="宋体" w:hAnsi="宋体" w:cs="宋体"/>
          <w:kern w:val="0"/>
          <w:sz w:val="24"/>
          <w:szCs w:val="24"/>
        </w:rPr>
        <w:t>横平竖直</w:t>
      </w:r>
      <w:r>
        <w:rPr>
          <w:rFonts w:hint="eastAsia" w:ascii="宋体" w:hAnsi="宋体" w:cs="宋体"/>
          <w:kern w:val="0"/>
          <w:sz w:val="24"/>
          <w:szCs w:val="24"/>
        </w:rPr>
        <w:t>,连接位偏差不得超过2mm，两</w:t>
      </w:r>
      <w:r>
        <w:rPr>
          <w:rFonts w:ascii="宋体" w:hAnsi="宋体" w:cs="宋体"/>
          <w:kern w:val="0"/>
          <w:sz w:val="24"/>
          <w:szCs w:val="24"/>
        </w:rPr>
        <w:t>线槽</w:t>
      </w:r>
      <w:r>
        <w:rPr>
          <w:rFonts w:hint="eastAsia" w:ascii="宋体" w:hAnsi="宋体" w:cs="宋体"/>
          <w:kern w:val="0"/>
          <w:sz w:val="24"/>
          <w:szCs w:val="24"/>
        </w:rPr>
        <w:t>连接</w:t>
      </w:r>
      <w:r>
        <w:rPr>
          <w:rFonts w:hint="eastAsia" w:ascii="宋体" w:hAnsi="宋体"/>
          <w:sz w:val="24"/>
          <w:szCs w:val="24"/>
        </w:rPr>
        <w:t>必须使用接口配件。</w:t>
      </w:r>
      <w:r>
        <w:rPr>
          <w:rFonts w:hint="eastAsia" w:ascii="宋体" w:hAnsi="宋体" w:cs="宋体"/>
          <w:kern w:val="0"/>
          <w:sz w:val="24"/>
          <w:szCs w:val="24"/>
        </w:rPr>
        <w:t>槽体</w:t>
      </w:r>
      <w:r>
        <w:rPr>
          <w:rFonts w:ascii="宋体" w:hAnsi="宋体" w:cs="宋体"/>
          <w:kern w:val="0"/>
          <w:sz w:val="24"/>
          <w:szCs w:val="24"/>
        </w:rPr>
        <w:t>沿</w:t>
      </w:r>
      <w:r>
        <w:rPr>
          <w:rFonts w:hint="eastAsia" w:ascii="宋体" w:hAnsi="宋体" w:cs="宋体"/>
          <w:kern w:val="0"/>
          <w:sz w:val="24"/>
          <w:szCs w:val="24"/>
        </w:rPr>
        <w:t>经过</w:t>
      </w:r>
      <w:r>
        <w:rPr>
          <w:rFonts w:ascii="宋体" w:hAnsi="宋体" w:cs="宋体"/>
          <w:kern w:val="0"/>
          <w:sz w:val="24"/>
          <w:szCs w:val="24"/>
        </w:rPr>
        <w:t>建筑物表面进行</w:t>
      </w:r>
      <w:r>
        <w:rPr>
          <w:rFonts w:hint="eastAsia" w:ascii="宋体" w:hAnsi="宋体" w:cs="宋体"/>
          <w:kern w:val="0"/>
          <w:sz w:val="24"/>
          <w:szCs w:val="24"/>
        </w:rPr>
        <w:t>固定，转弯与接缝处须有</w:t>
      </w:r>
      <w:r>
        <w:rPr>
          <w:rFonts w:ascii="宋体" w:hAnsi="宋体" w:cs="宋体"/>
          <w:kern w:val="0"/>
          <w:sz w:val="24"/>
          <w:szCs w:val="24"/>
        </w:rPr>
        <w:t>附件</w:t>
      </w:r>
      <w:r>
        <w:rPr>
          <w:rFonts w:hint="eastAsia" w:ascii="宋体" w:hAnsi="宋体" w:cs="宋体"/>
          <w:kern w:val="0"/>
          <w:sz w:val="24"/>
          <w:szCs w:val="24"/>
        </w:rPr>
        <w:t>固定点，直线</w:t>
      </w:r>
      <w:r>
        <w:rPr>
          <w:rFonts w:hint="eastAsia" w:ascii="宋体" w:hAnsi="宋体" w:cs="宋体"/>
          <w:kern w:val="0"/>
          <w:sz w:val="24"/>
          <w:szCs w:val="24"/>
          <w:u w:val="single"/>
        </w:rPr>
        <w:t>两固定点最大间距小于500</w:t>
      </w:r>
      <w:r>
        <w:rPr>
          <w:rFonts w:hint="eastAsia" w:ascii="宋体" w:hAnsi="宋体"/>
          <w:sz w:val="24"/>
          <w:szCs w:val="24"/>
          <w:u w:val="single"/>
        </w:rPr>
        <w:t>mm，固定采用膨胀螺丝或木楔子方式</w:t>
      </w:r>
      <w:r>
        <w:rPr>
          <w:rFonts w:hint="eastAsia" w:ascii="宋体" w:hAnsi="宋体"/>
          <w:sz w:val="24"/>
          <w:szCs w:val="24"/>
        </w:rPr>
        <w:t>；</w:t>
      </w:r>
      <w:r>
        <w:rPr>
          <w:rFonts w:hint="eastAsia" w:ascii="宋体" w:hAnsi="宋体" w:cs="宋体"/>
          <w:kern w:val="0"/>
          <w:sz w:val="24"/>
          <w:szCs w:val="24"/>
        </w:rPr>
        <w:t>槽体连接处应严密平整、无缝隙，槽内</w:t>
      </w:r>
      <w:r>
        <w:rPr>
          <w:rFonts w:ascii="宋体" w:hAnsi="宋体" w:cs="宋体"/>
          <w:kern w:val="0"/>
          <w:sz w:val="24"/>
          <w:szCs w:val="24"/>
        </w:rPr>
        <w:t>导线无裸露现象</w:t>
      </w:r>
      <w:r>
        <w:rPr>
          <w:rFonts w:hint="eastAsia" w:ascii="宋体" w:hAnsi="宋体" w:cs="宋体"/>
          <w:kern w:val="0"/>
          <w:sz w:val="24"/>
          <w:szCs w:val="24"/>
        </w:rPr>
        <w:t>；线槽</w:t>
      </w:r>
      <w:r>
        <w:rPr>
          <w:rFonts w:hint="eastAsia" w:ascii="宋体" w:hAnsi="宋体"/>
          <w:sz w:val="24"/>
          <w:szCs w:val="24"/>
        </w:rPr>
        <w:t>能承受200N</w:t>
      </w:r>
      <w:r>
        <w:rPr>
          <w:rStyle w:val="962"/>
          <w:rFonts w:hint="eastAsia" w:ascii="宋体" w:hAnsi="宋体"/>
          <w:sz w:val="24"/>
          <w:szCs w:val="24"/>
        </w:rPr>
        <w:t>的力</w:t>
      </w:r>
      <w:r>
        <w:rPr>
          <w:rFonts w:hint="eastAsia" w:ascii="宋体" w:hAnsi="宋体"/>
          <w:sz w:val="24"/>
          <w:szCs w:val="24"/>
        </w:rPr>
        <w:t>，</w:t>
      </w:r>
      <w:r>
        <w:rPr>
          <w:rFonts w:hint="eastAsia" w:ascii="宋体" w:hAnsi="宋体" w:cs="宋体"/>
          <w:kern w:val="0"/>
          <w:sz w:val="24"/>
          <w:szCs w:val="24"/>
        </w:rPr>
        <w:t>不应移动、松动、摇晃现象；</w:t>
      </w:r>
      <w:r>
        <w:rPr>
          <w:rFonts w:hint="eastAsia" w:ascii="宋体" w:hAnsi="宋体"/>
          <w:sz w:val="24"/>
          <w:szCs w:val="24"/>
          <w:u w:val="single"/>
        </w:rPr>
        <w:t>地面线槽还需做好防水密封处理</w:t>
      </w:r>
      <w:r>
        <w:rPr>
          <w:rFonts w:hint="eastAsia" w:ascii="宋体" w:hAnsi="宋体" w:cs="宋体"/>
          <w:kern w:val="0"/>
          <w:sz w:val="24"/>
          <w:szCs w:val="24"/>
        </w:rPr>
        <w:t>。明敷线槽节与节间用接头连接板拼凑固定，</w:t>
      </w:r>
      <w:r>
        <w:rPr>
          <w:rFonts w:hint="eastAsia" w:ascii="宋体" w:hAnsi="宋体" w:cs="宋体"/>
          <w:kern w:val="0"/>
          <w:sz w:val="24"/>
          <w:szCs w:val="24"/>
          <w:u w:val="single"/>
        </w:rPr>
        <w:t>两线槽拼接</w:t>
      </w:r>
      <w:r>
        <w:rPr>
          <w:rFonts w:hint="eastAsia" w:ascii="宋体" w:hAnsi="宋体" w:cs="宋体"/>
          <w:bCs/>
          <w:kern w:val="0"/>
          <w:sz w:val="24"/>
          <w:szCs w:val="24"/>
          <w:u w:val="single"/>
        </w:rPr>
        <w:t>缝隙不</w:t>
      </w:r>
      <w:r>
        <w:rPr>
          <w:rFonts w:hint="eastAsia" w:ascii="宋体" w:hAnsi="宋体" w:cs="宋体"/>
          <w:kern w:val="0"/>
          <w:sz w:val="24"/>
          <w:szCs w:val="24"/>
          <w:u w:val="single"/>
        </w:rPr>
        <w:t>得</w:t>
      </w:r>
      <w:r>
        <w:rPr>
          <w:rFonts w:hint="eastAsia" w:ascii="宋体" w:hAnsi="宋体" w:cs="宋体"/>
          <w:bCs/>
          <w:kern w:val="0"/>
          <w:sz w:val="24"/>
          <w:szCs w:val="24"/>
          <w:u w:val="single"/>
        </w:rPr>
        <w:t>大于0.3mm或所有</w:t>
      </w:r>
      <w:r>
        <w:rPr>
          <w:rFonts w:hint="eastAsia" w:ascii="宋体" w:hAnsi="宋体" w:cs="宋体"/>
          <w:kern w:val="0"/>
          <w:sz w:val="24"/>
          <w:szCs w:val="24"/>
          <w:u w:val="single"/>
        </w:rPr>
        <w:t>接头之间</w:t>
      </w:r>
      <w:r>
        <w:rPr>
          <w:rFonts w:hint="eastAsia" w:ascii="宋体" w:hAnsi="宋体"/>
          <w:sz w:val="24"/>
          <w:szCs w:val="24"/>
          <w:u w:val="single"/>
        </w:rPr>
        <w:t>可以允许</w:t>
      </w:r>
      <w:r>
        <w:rPr>
          <w:rFonts w:hint="eastAsia" w:ascii="宋体" w:hAnsi="宋体" w:cs="宋体"/>
          <w:kern w:val="0"/>
          <w:sz w:val="24"/>
          <w:szCs w:val="24"/>
          <w:u w:val="single"/>
        </w:rPr>
        <w:t>使用接头连接护套、</w:t>
      </w:r>
      <w:r>
        <w:rPr>
          <w:rFonts w:hint="eastAsia" w:ascii="宋体" w:hAnsi="宋体"/>
          <w:sz w:val="24"/>
          <w:szCs w:val="24"/>
          <w:u w:val="single"/>
        </w:rPr>
        <w:t>分支接头、转角及终端处应采用相应的附件。电线引出部分不得遭受损伤。</w:t>
      </w:r>
    </w:p>
    <w:p>
      <w:pPr>
        <w:autoSpaceDE w:val="0"/>
        <w:autoSpaceDN w:val="0"/>
        <w:adjustRightInd w:val="0"/>
        <w:spacing w:line="276" w:lineRule="auto"/>
        <w:ind w:firstLine="480" w:firstLineChars="200"/>
        <w:jc w:val="left"/>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D</w:t>
      </w:r>
      <w:r>
        <w:rPr>
          <w:rFonts w:hint="eastAsia" w:ascii="宋体" w:hAnsi="宋体" w:cs="宋体"/>
          <w:kern w:val="0"/>
          <w:sz w:val="24"/>
          <w:szCs w:val="24"/>
        </w:rPr>
        <w:t>）导线固定和连接：除接线板及设备连接处，连线中间要求无接头，导线绝缘保护良好。</w:t>
      </w:r>
    </w:p>
    <w:p>
      <w:pPr>
        <w:widowControl/>
        <w:adjustRightInd w:val="0"/>
        <w:spacing w:line="276" w:lineRule="auto"/>
        <w:ind w:firstLine="480" w:firstLineChars="200"/>
        <w:jc w:val="left"/>
        <w:rPr>
          <w:rFonts w:ascii="宋体" w:hAnsi="宋体"/>
          <w:sz w:val="24"/>
          <w:szCs w:val="24"/>
          <w:u w:val="single"/>
          <w:shd w:val="pct10" w:color="auto" w:fill="FFFFFF"/>
        </w:rPr>
      </w:pPr>
      <w:r>
        <w:rPr>
          <w:rFonts w:hint="eastAsia" w:ascii="宋体" w:hAnsi="宋体"/>
          <w:sz w:val="24"/>
          <w:szCs w:val="24"/>
        </w:rPr>
        <w:t>（</w:t>
      </w:r>
      <w:r>
        <w:rPr>
          <w:rFonts w:ascii="宋体" w:hAnsi="宋体"/>
          <w:sz w:val="24"/>
          <w:szCs w:val="24"/>
        </w:rPr>
        <w:t>E</w:t>
      </w:r>
      <w:r>
        <w:rPr>
          <w:rFonts w:hint="eastAsia" w:ascii="宋体" w:hAnsi="宋体"/>
          <w:sz w:val="24"/>
          <w:szCs w:val="24"/>
        </w:rPr>
        <w:t>）所</w:t>
      </w:r>
      <w:r>
        <w:rPr>
          <w:rFonts w:hint="eastAsia" w:ascii="宋体" w:hAnsi="宋体"/>
          <w:sz w:val="24"/>
          <w:szCs w:val="24"/>
          <w:u w:val="single"/>
        </w:rPr>
        <w:t>布线路上存在局部干扰源，且不能满足最小净距离要求时，宜用</w:t>
      </w:r>
      <w:r>
        <w:rPr>
          <w:rFonts w:hint="eastAsia" w:ascii="宋体" w:hAnsi="宋体" w:cs="宋体"/>
          <w:kern w:val="0"/>
          <w:sz w:val="24"/>
          <w:szCs w:val="24"/>
          <w:u w:val="single"/>
        </w:rPr>
        <w:t>金属线槽或</w:t>
      </w:r>
      <w:r>
        <w:rPr>
          <w:rFonts w:hint="eastAsia" w:ascii="宋体" w:hAnsi="宋体"/>
          <w:sz w:val="24"/>
          <w:szCs w:val="24"/>
          <w:u w:val="single"/>
        </w:rPr>
        <w:t>钢管。</w:t>
      </w:r>
    </w:p>
    <w:p>
      <w:pPr>
        <w:widowControl/>
        <w:adjustRightInd w:val="0"/>
        <w:spacing w:line="276"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F</w:t>
      </w:r>
      <w:r>
        <w:rPr>
          <w:rFonts w:hint="eastAsia" w:ascii="宋体" w:hAnsi="宋体"/>
          <w:sz w:val="24"/>
          <w:szCs w:val="24"/>
        </w:rPr>
        <w:t>）同一回路AC电缆线应穿入同一根管内。</w:t>
      </w:r>
    </w:p>
    <w:p>
      <w:pPr>
        <w:widowControl/>
        <w:adjustRightInd w:val="0"/>
        <w:spacing w:line="276"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G</w:t>
      </w:r>
      <w:r>
        <w:rPr>
          <w:rFonts w:hint="eastAsia" w:ascii="宋体" w:hAnsi="宋体"/>
          <w:sz w:val="24"/>
          <w:szCs w:val="24"/>
        </w:rPr>
        <w:t>）电源线与网线不得穿入同一根管内。</w:t>
      </w:r>
    </w:p>
    <w:p>
      <w:pPr>
        <w:adjustRightInd w:val="0"/>
        <w:spacing w:line="276"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H</w:t>
      </w:r>
      <w:r>
        <w:rPr>
          <w:rFonts w:hint="eastAsia" w:ascii="宋体" w:hAnsi="宋体"/>
          <w:sz w:val="24"/>
          <w:szCs w:val="24"/>
        </w:rPr>
        <w:t>）穿入配</w:t>
      </w:r>
      <w:r>
        <w:rPr>
          <w:rFonts w:hint="eastAsia" w:ascii="宋体" w:hAnsi="宋体" w:cs="宋体"/>
          <w:kern w:val="0"/>
          <w:sz w:val="24"/>
          <w:szCs w:val="24"/>
        </w:rPr>
        <w:t>线槽（</w:t>
      </w:r>
      <w:r>
        <w:rPr>
          <w:rFonts w:hint="eastAsia" w:ascii="宋体" w:hAnsi="宋体"/>
          <w:sz w:val="24"/>
          <w:szCs w:val="24"/>
        </w:rPr>
        <w:t>管）导线的接头应设在接线盒内，接头搭接牢固，涮锡并用绝缘带包缠应均匀紧密。</w:t>
      </w:r>
    </w:p>
    <w:p>
      <w:pPr>
        <w:autoSpaceDE w:val="0"/>
        <w:autoSpaceDN w:val="0"/>
        <w:adjustRightInd w:val="0"/>
        <w:spacing w:line="276" w:lineRule="auto"/>
        <w:ind w:firstLine="480" w:firstLineChars="200"/>
        <w:jc w:val="left"/>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I</w:t>
      </w:r>
      <w:r>
        <w:rPr>
          <w:rFonts w:hint="eastAsia" w:ascii="宋体" w:hAnsi="宋体" w:cs="宋体"/>
          <w:kern w:val="0"/>
          <w:sz w:val="24"/>
          <w:szCs w:val="24"/>
        </w:rPr>
        <w:t>）保留主要所有设备附件中的原装电源线不得进行损坏。</w:t>
      </w:r>
    </w:p>
    <w:p>
      <w:pPr>
        <w:autoSpaceDE w:val="0"/>
        <w:autoSpaceDN w:val="0"/>
        <w:adjustRightInd w:val="0"/>
        <w:spacing w:line="276" w:lineRule="auto"/>
        <w:ind w:firstLine="480" w:firstLineChars="200"/>
        <w:jc w:val="left"/>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J</w:t>
      </w:r>
      <w:r>
        <w:rPr>
          <w:rFonts w:hint="eastAsia" w:ascii="宋体" w:hAnsi="宋体" w:cs="宋体"/>
          <w:kern w:val="0"/>
          <w:sz w:val="24"/>
          <w:szCs w:val="24"/>
        </w:rPr>
        <w:t>）所有插头和</w:t>
      </w:r>
      <w:r>
        <w:rPr>
          <w:rFonts w:hint="eastAsia" w:ascii="宋体" w:hAnsi="宋体"/>
          <w:sz w:val="24"/>
          <w:szCs w:val="24"/>
        </w:rPr>
        <w:t>三极</w:t>
      </w:r>
      <w:r>
        <w:rPr>
          <w:rFonts w:hint="eastAsia" w:ascii="宋体" w:hAnsi="宋体"/>
          <w:bCs/>
          <w:sz w:val="24"/>
          <w:szCs w:val="24"/>
        </w:rPr>
        <w:t>插座</w:t>
      </w:r>
      <w:r>
        <w:rPr>
          <w:rFonts w:hint="eastAsia" w:ascii="宋体" w:hAnsi="宋体"/>
          <w:sz w:val="24"/>
          <w:szCs w:val="24"/>
        </w:rPr>
        <w:t>软</w:t>
      </w:r>
      <w:r>
        <w:rPr>
          <w:rStyle w:val="71"/>
          <w:rFonts w:ascii="宋体" w:hAnsi="宋体" w:cs="Arial"/>
          <w:b w:val="0"/>
          <w:sz w:val="24"/>
          <w:szCs w:val="24"/>
        </w:rPr>
        <w:t>缆</w:t>
      </w:r>
      <w:r>
        <w:rPr>
          <w:rStyle w:val="71"/>
          <w:rFonts w:hint="eastAsia" w:ascii="宋体" w:hAnsi="宋体" w:cs="Arial"/>
          <w:b w:val="0"/>
          <w:sz w:val="24"/>
          <w:szCs w:val="24"/>
        </w:rPr>
        <w:t>及其</w:t>
      </w:r>
      <w:r>
        <w:rPr>
          <w:rFonts w:hint="eastAsia" w:ascii="宋体" w:hAnsi="宋体"/>
          <w:sz w:val="24"/>
          <w:szCs w:val="24"/>
        </w:rPr>
        <w:t>连接应符合GB2009.1中23的规定。</w:t>
      </w:r>
    </w:p>
    <w:p>
      <w:pPr>
        <w:widowControl/>
        <w:adjustRightInd w:val="0"/>
        <w:spacing w:line="276" w:lineRule="auto"/>
        <w:ind w:firstLine="480" w:firstLineChars="200"/>
        <w:jc w:val="left"/>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K</w:t>
      </w:r>
      <w:r>
        <w:rPr>
          <w:rFonts w:hint="eastAsia" w:ascii="宋体" w:hAnsi="宋体" w:cs="宋体"/>
          <w:kern w:val="0"/>
          <w:sz w:val="24"/>
          <w:szCs w:val="24"/>
        </w:rPr>
        <w:t>）所有AC插座必须采用</w:t>
      </w:r>
      <w:r>
        <w:rPr>
          <w:rFonts w:hint="eastAsia" w:ascii="宋体" w:hAnsi="宋体"/>
          <w:sz w:val="24"/>
          <w:szCs w:val="24"/>
        </w:rPr>
        <w:t>三极</w:t>
      </w:r>
      <w:r>
        <w:rPr>
          <w:rFonts w:hint="eastAsia" w:ascii="宋体" w:hAnsi="宋体"/>
          <w:bCs/>
          <w:sz w:val="24"/>
          <w:szCs w:val="24"/>
        </w:rPr>
        <w:t>插座，</w:t>
      </w:r>
      <w:r>
        <w:rPr>
          <w:rFonts w:hint="eastAsia" w:ascii="宋体" w:hAnsi="宋体" w:cs="宋体"/>
          <w:kern w:val="0"/>
          <w:sz w:val="24"/>
          <w:szCs w:val="24"/>
        </w:rPr>
        <w:t>接地线与教室系统接地线进行有效、可靠连接，其接地电阻不应大于0.05Ω。</w:t>
      </w:r>
    </w:p>
    <w:p>
      <w:pPr>
        <w:adjustRightInd w:val="0"/>
        <w:spacing w:line="276" w:lineRule="auto"/>
        <w:ind w:firstLine="482" w:firstLineChars="200"/>
        <w:rPr>
          <w:rFonts w:ascii="宋体" w:hAnsi="宋体"/>
          <w:b/>
          <w:sz w:val="24"/>
          <w:szCs w:val="24"/>
        </w:rPr>
      </w:pPr>
      <w:r>
        <w:rPr>
          <w:rFonts w:hint="eastAsia" w:ascii="宋体" w:hAnsi="宋体"/>
          <w:b/>
          <w:sz w:val="24"/>
          <w:szCs w:val="24"/>
        </w:rPr>
        <w:t>（4）网线布线的要求：</w:t>
      </w:r>
    </w:p>
    <w:p>
      <w:pPr>
        <w:adjustRightInd w:val="0"/>
        <w:spacing w:line="276"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A</w:t>
      </w:r>
      <w:r>
        <w:rPr>
          <w:rFonts w:hint="eastAsia" w:ascii="宋体" w:hAnsi="宋体"/>
          <w:sz w:val="24"/>
          <w:szCs w:val="24"/>
        </w:rPr>
        <w:t>）网线位置应尽量远离配电柜等强电设备。</w:t>
      </w:r>
    </w:p>
    <w:p>
      <w:pPr>
        <w:adjustRightInd w:val="0"/>
        <w:spacing w:line="276"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B</w:t>
      </w:r>
      <w:r>
        <w:rPr>
          <w:rFonts w:hint="eastAsia" w:ascii="宋体" w:hAnsi="宋体"/>
          <w:sz w:val="24"/>
          <w:szCs w:val="24"/>
        </w:rPr>
        <w:t>）网线走向应尽量避免于强电线路交叉布设。</w:t>
      </w:r>
    </w:p>
    <w:p>
      <w:pPr>
        <w:adjustRightInd w:val="0"/>
        <w:spacing w:line="276"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C</w:t>
      </w:r>
      <w:r>
        <w:rPr>
          <w:rFonts w:hint="eastAsia" w:ascii="宋体" w:hAnsi="宋体"/>
          <w:sz w:val="24"/>
          <w:szCs w:val="24"/>
        </w:rPr>
        <w:t>）网线不宜有打结、绕圈、硬弯及损伤。</w:t>
      </w:r>
    </w:p>
    <w:p>
      <w:pPr>
        <w:tabs>
          <w:tab w:val="left" w:pos="1980"/>
        </w:tabs>
        <w:adjustRightInd w:val="0"/>
        <w:spacing w:line="276"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D</w:t>
      </w:r>
      <w:r>
        <w:rPr>
          <w:rFonts w:hint="eastAsia" w:ascii="宋体" w:hAnsi="宋体"/>
          <w:sz w:val="24"/>
          <w:szCs w:val="24"/>
        </w:rPr>
        <w:t>）现场放线时不得用力拉拽，尽量防止人员踩踏和碾压网线。</w:t>
      </w:r>
    </w:p>
    <w:p>
      <w:pPr>
        <w:adjustRightInd w:val="0"/>
        <w:spacing w:line="276"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E</w:t>
      </w:r>
      <w:r>
        <w:rPr>
          <w:rFonts w:hint="eastAsia" w:ascii="宋体" w:hAnsi="宋体"/>
          <w:sz w:val="24"/>
          <w:szCs w:val="24"/>
        </w:rPr>
        <w:t>）RJ45水晶头应按照568B规格，水晶头8芯线的排列依次应该是白橙、橙、白绿、蓝、白蓝、绿、白棕、棕，网线两端应做好相应线标识（标识编号按机房布局设置）。</w:t>
      </w:r>
    </w:p>
    <w:p>
      <w:pPr>
        <w:adjustRightInd w:val="0"/>
        <w:spacing w:line="276" w:lineRule="auto"/>
        <w:ind w:firstLine="480" w:firstLineChars="200"/>
        <w:jc w:val="left"/>
        <w:rPr>
          <w:rFonts w:ascii="宋体" w:hAnsi="宋体"/>
          <w:sz w:val="24"/>
          <w:szCs w:val="24"/>
        </w:rPr>
      </w:pPr>
      <w:r>
        <w:rPr>
          <w:rFonts w:hint="eastAsia" w:ascii="宋体" w:hAnsi="宋体"/>
          <w:sz w:val="24"/>
          <w:szCs w:val="24"/>
        </w:rPr>
        <w:t>（F）</w:t>
      </w:r>
      <w:r>
        <w:rPr>
          <w:rFonts w:ascii="宋体" w:hAnsi="宋体"/>
          <w:sz w:val="24"/>
          <w:szCs w:val="24"/>
        </w:rPr>
        <w:t>线槽</w:t>
      </w:r>
      <w:r>
        <w:rPr>
          <w:rFonts w:hint="eastAsia" w:ascii="宋体" w:hAnsi="宋体"/>
          <w:sz w:val="24"/>
          <w:szCs w:val="24"/>
        </w:rPr>
        <w:t>（管）布线时，线缆在线槽内的占用空间不得超过线槽总空间的</w:t>
      </w:r>
      <w:r>
        <w:rPr>
          <w:rFonts w:ascii="宋体" w:hAnsi="宋体"/>
          <w:sz w:val="24"/>
          <w:szCs w:val="24"/>
        </w:rPr>
        <w:t>70%</w:t>
      </w:r>
      <w:r>
        <w:rPr>
          <w:rFonts w:hint="eastAsia" w:ascii="宋体" w:hAnsi="宋体"/>
          <w:sz w:val="24"/>
          <w:szCs w:val="24"/>
        </w:rPr>
        <w:t>（线槽≥20*60mm</w:t>
      </w:r>
      <w:r>
        <w:rPr>
          <w:rFonts w:ascii="宋体" w:hAnsi="宋体"/>
          <w:sz w:val="24"/>
          <w:szCs w:val="24"/>
        </w:rPr>
        <w:t>）</w:t>
      </w:r>
      <w:r>
        <w:rPr>
          <w:rFonts w:hint="eastAsia" w:ascii="宋体" w:hAnsi="宋体"/>
          <w:sz w:val="24"/>
          <w:szCs w:val="24"/>
        </w:rPr>
        <w:t>，线缆在线槽内不应有接头。</w:t>
      </w:r>
    </w:p>
    <w:p>
      <w:pPr>
        <w:adjustRightInd w:val="0"/>
        <w:spacing w:line="276" w:lineRule="auto"/>
        <w:ind w:firstLine="480" w:firstLineChars="200"/>
        <w:rPr>
          <w:rFonts w:ascii="宋体" w:hAnsi="宋体"/>
          <w:sz w:val="24"/>
          <w:szCs w:val="24"/>
        </w:rPr>
      </w:pPr>
      <w:r>
        <w:rPr>
          <w:rFonts w:hint="eastAsia" w:ascii="宋体" w:hAnsi="宋体"/>
          <w:sz w:val="24"/>
          <w:szCs w:val="24"/>
        </w:rPr>
        <w:t>附图1</w:t>
      </w:r>
    </w:p>
    <w:p>
      <w:pPr>
        <w:adjustRightInd w:val="0"/>
        <w:spacing w:line="276" w:lineRule="auto"/>
        <w:ind w:firstLine="480" w:firstLineChars="200"/>
        <w:rPr>
          <w:rFonts w:ascii="宋体" w:hAnsi="宋体"/>
          <w:sz w:val="24"/>
          <w:szCs w:val="24"/>
        </w:rPr>
      </w:pPr>
      <w:r>
        <w:rPr>
          <w:rFonts w:ascii="宋体" w:hAnsi="宋体"/>
          <w:sz w:val="24"/>
          <w:szCs w:val="24"/>
        </w:rPr>
        <w:drawing>
          <wp:inline distT="0" distB="0" distL="114300" distR="114300">
            <wp:extent cx="3962400" cy="1765935"/>
            <wp:effectExtent l="0" t="0" r="0" b="5715"/>
            <wp:docPr id="20" name="图片 15" descr="布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布线"/>
                    <pic:cNvPicPr>
                      <a:picLocks noChangeAspect="1"/>
                    </pic:cNvPicPr>
                  </pic:nvPicPr>
                  <pic:blipFill>
                    <a:blip r:embed="rId43"/>
                    <a:stretch>
                      <a:fillRect/>
                    </a:stretch>
                  </pic:blipFill>
                  <pic:spPr>
                    <a:xfrm>
                      <a:off x="0" y="0"/>
                      <a:ext cx="3962400" cy="1765935"/>
                    </a:xfrm>
                    <a:prstGeom prst="rect">
                      <a:avLst/>
                    </a:prstGeom>
                    <a:noFill/>
                    <a:ln>
                      <a:noFill/>
                    </a:ln>
                  </pic:spPr>
                </pic:pic>
              </a:graphicData>
            </a:graphic>
          </wp:inline>
        </w:drawing>
      </w:r>
    </w:p>
    <w:p>
      <w:pPr>
        <w:adjustRightInd w:val="0"/>
        <w:spacing w:line="276" w:lineRule="auto"/>
        <w:ind w:firstLine="480" w:firstLineChars="200"/>
        <w:rPr>
          <w:rFonts w:ascii="宋体" w:hAnsi="宋体"/>
          <w:sz w:val="24"/>
          <w:szCs w:val="24"/>
        </w:rPr>
      </w:pPr>
      <w:r>
        <w:rPr>
          <w:rFonts w:hint="eastAsia" w:ascii="宋体" w:hAnsi="宋体"/>
          <w:sz w:val="24"/>
          <w:szCs w:val="24"/>
        </w:rPr>
        <w:t>注：上图中电源线槽与网线槽相距30cm以上。电脑及显示器的电源线插头部分要求固定。</w:t>
      </w:r>
    </w:p>
    <w:p>
      <w:pPr>
        <w:pStyle w:val="5"/>
        <w:tabs>
          <w:tab w:val="left" w:pos="709"/>
          <w:tab w:val="clear" w:pos="900"/>
        </w:tabs>
        <w:spacing w:line="276" w:lineRule="auto"/>
        <w:ind w:left="0" w:firstLine="482" w:firstLineChars="200"/>
        <w:rPr>
          <w:rFonts w:ascii="宋体" w:hAnsi="宋体" w:eastAsia="宋体"/>
          <w:color w:val="auto"/>
          <w:sz w:val="24"/>
          <w:szCs w:val="24"/>
        </w:rPr>
      </w:pPr>
      <w:r>
        <w:rPr>
          <w:rFonts w:ascii="宋体" w:hAnsi="宋体" w:eastAsia="宋体"/>
          <w:color w:val="auto"/>
          <w:sz w:val="24"/>
          <w:szCs w:val="24"/>
        </w:rPr>
        <w:t>4</w:t>
      </w:r>
      <w:r>
        <w:rPr>
          <w:rFonts w:hint="eastAsia" w:ascii="宋体" w:hAnsi="宋体" w:eastAsia="宋体"/>
          <w:color w:val="auto"/>
          <w:sz w:val="24"/>
          <w:szCs w:val="24"/>
        </w:rPr>
        <w:t>.系统设备安装要求</w:t>
      </w:r>
    </w:p>
    <w:p>
      <w:pPr>
        <w:adjustRightInd w:val="0"/>
        <w:spacing w:line="360" w:lineRule="auto"/>
        <w:ind w:firstLine="482" w:firstLineChars="200"/>
        <w:rPr>
          <w:rFonts w:ascii="宋体" w:hAnsi="宋体"/>
          <w:b/>
          <w:sz w:val="24"/>
          <w:szCs w:val="24"/>
        </w:rPr>
      </w:pPr>
      <w:r>
        <w:rPr>
          <w:rFonts w:hint="eastAsia" w:ascii="宋体" w:hAnsi="宋体"/>
          <w:b/>
          <w:sz w:val="24"/>
          <w:szCs w:val="24"/>
        </w:rPr>
        <w:t>(1)教师专用讲台和液晶显示器</w:t>
      </w:r>
    </w:p>
    <w:p>
      <w:pPr>
        <w:adjustRightInd w:val="0"/>
        <w:spacing w:line="276" w:lineRule="auto"/>
        <w:ind w:firstLine="480" w:firstLineChars="200"/>
        <w:rPr>
          <w:rFonts w:ascii="宋体" w:hAnsi="宋体" w:cs="宋体"/>
          <w:kern w:val="0"/>
          <w:sz w:val="24"/>
          <w:szCs w:val="24"/>
        </w:rPr>
      </w:pPr>
      <w:r>
        <w:rPr>
          <w:rFonts w:hint="eastAsia" w:ascii="宋体" w:hAnsi="宋体" w:cs="宋体"/>
          <w:kern w:val="0"/>
          <w:sz w:val="24"/>
          <w:szCs w:val="24"/>
        </w:rPr>
        <w:t>讲台整体固定在教室地面上，能承受任何一面1000N</w:t>
      </w:r>
      <w:r>
        <w:rPr>
          <w:rStyle w:val="962"/>
          <w:rFonts w:hint="eastAsia" w:ascii="宋体" w:hAnsi="宋体"/>
          <w:sz w:val="24"/>
          <w:szCs w:val="24"/>
        </w:rPr>
        <w:t>的力</w:t>
      </w:r>
      <w:r>
        <w:rPr>
          <w:rFonts w:hint="eastAsia" w:ascii="宋体" w:hAnsi="宋体" w:cs="宋体"/>
          <w:kern w:val="0"/>
          <w:sz w:val="24"/>
          <w:szCs w:val="24"/>
        </w:rPr>
        <w:t>，不应有移动、松动、摇晃和整体形变等现象。</w:t>
      </w:r>
    </w:p>
    <w:p>
      <w:pPr>
        <w:adjustRightInd w:val="0"/>
        <w:spacing w:line="360" w:lineRule="auto"/>
        <w:ind w:firstLine="482" w:firstLineChars="200"/>
        <w:rPr>
          <w:rFonts w:ascii="宋体" w:hAnsi="宋体"/>
          <w:b/>
          <w:sz w:val="24"/>
          <w:szCs w:val="24"/>
        </w:rPr>
      </w:pPr>
      <w:r>
        <w:rPr>
          <w:rFonts w:hint="eastAsia" w:ascii="宋体" w:hAnsi="宋体"/>
          <w:b/>
          <w:sz w:val="24"/>
          <w:szCs w:val="24"/>
        </w:rPr>
        <w:t>(2)学生计算机/液晶显示器、桌子</w:t>
      </w:r>
    </w:p>
    <w:p>
      <w:pPr>
        <w:adjustRightInd w:val="0"/>
        <w:spacing w:line="276" w:lineRule="auto"/>
        <w:ind w:firstLine="480" w:firstLineChars="200"/>
        <w:rPr>
          <w:rFonts w:ascii="宋体" w:hAnsi="宋体"/>
          <w:sz w:val="24"/>
          <w:szCs w:val="24"/>
        </w:rPr>
      </w:pPr>
      <w:r>
        <w:rPr>
          <w:rFonts w:hint="eastAsia" w:ascii="宋体" w:hAnsi="宋体"/>
          <w:sz w:val="24"/>
          <w:szCs w:val="24"/>
        </w:rPr>
        <w:t>（A）</w:t>
      </w:r>
      <w:r>
        <w:rPr>
          <w:rFonts w:hint="eastAsia" w:ascii="宋体" w:hAnsi="宋体" w:cs="宋体"/>
          <w:kern w:val="0"/>
          <w:sz w:val="24"/>
          <w:szCs w:val="24"/>
        </w:rPr>
        <w:t>液晶</w:t>
      </w:r>
      <w:r>
        <w:rPr>
          <w:rFonts w:hint="eastAsia" w:ascii="宋体" w:hAnsi="宋体"/>
          <w:sz w:val="24"/>
          <w:szCs w:val="24"/>
        </w:rPr>
        <w:t>显示器放置在桌面上，</w:t>
      </w:r>
      <w:r>
        <w:rPr>
          <w:rFonts w:hint="eastAsia" w:ascii="宋体" w:hAnsi="宋体"/>
          <w:b/>
          <w:sz w:val="24"/>
          <w:szCs w:val="24"/>
        </w:rPr>
        <w:t>必须加以固定</w:t>
      </w:r>
      <w:r>
        <w:rPr>
          <w:rFonts w:hint="eastAsia" w:ascii="宋体" w:hAnsi="宋体"/>
          <w:sz w:val="24"/>
          <w:szCs w:val="24"/>
        </w:rPr>
        <w:t>，并应符合防松动或移动现象的设计要求；</w:t>
      </w:r>
    </w:p>
    <w:p>
      <w:pPr>
        <w:adjustRightInd w:val="0"/>
        <w:spacing w:line="276" w:lineRule="auto"/>
        <w:ind w:firstLine="480" w:firstLineChars="200"/>
        <w:rPr>
          <w:rFonts w:ascii="宋体" w:hAnsi="宋体"/>
          <w:sz w:val="24"/>
          <w:szCs w:val="24"/>
        </w:rPr>
      </w:pPr>
      <w:r>
        <w:rPr>
          <w:rFonts w:hint="eastAsia" w:ascii="宋体" w:hAnsi="宋体"/>
          <w:sz w:val="24"/>
          <w:szCs w:val="24"/>
        </w:rPr>
        <w:t>（B）学生计算机主机应放置在桌子里的规定位置；</w:t>
      </w:r>
    </w:p>
    <w:p>
      <w:pPr>
        <w:adjustRightInd w:val="0"/>
        <w:spacing w:line="276" w:lineRule="auto"/>
        <w:ind w:firstLine="480" w:firstLineChars="200"/>
        <w:rPr>
          <w:rFonts w:ascii="宋体" w:hAnsi="宋体"/>
          <w:sz w:val="24"/>
          <w:szCs w:val="24"/>
        </w:rPr>
      </w:pPr>
      <w:r>
        <w:rPr>
          <w:rFonts w:hint="eastAsia" w:ascii="宋体" w:hAnsi="宋体"/>
          <w:sz w:val="24"/>
          <w:szCs w:val="24"/>
        </w:rPr>
        <w:t>（C）计算机主机接线应顺直、固定，但是一定要适当预留维修余量；</w:t>
      </w:r>
    </w:p>
    <w:p>
      <w:pPr>
        <w:adjustRightInd w:val="0"/>
        <w:spacing w:line="276" w:lineRule="auto"/>
        <w:ind w:firstLine="480" w:firstLineChars="200"/>
        <w:rPr>
          <w:rFonts w:ascii="宋体" w:hAnsi="宋体" w:cs="宋体"/>
          <w:kern w:val="0"/>
          <w:sz w:val="24"/>
          <w:szCs w:val="24"/>
        </w:rPr>
      </w:pPr>
      <w:r>
        <w:rPr>
          <w:rFonts w:hint="eastAsia" w:ascii="宋体" w:hAnsi="宋体"/>
          <w:sz w:val="24"/>
          <w:szCs w:val="24"/>
        </w:rPr>
        <w:t>（D）缆线应</w:t>
      </w:r>
      <w:r>
        <w:rPr>
          <w:rFonts w:hint="eastAsia" w:ascii="宋体" w:hAnsi="宋体" w:cs="宋体"/>
          <w:kern w:val="0"/>
          <w:sz w:val="24"/>
          <w:szCs w:val="24"/>
        </w:rPr>
        <w:t>布放应自然平直，不得产生扭绞、打圈、接头等现象，不应受外力的挤压和损伤，</w:t>
      </w:r>
      <w:r>
        <w:rPr>
          <w:rFonts w:hint="eastAsia" w:ascii="宋体" w:hAnsi="宋体"/>
          <w:sz w:val="24"/>
          <w:szCs w:val="24"/>
        </w:rPr>
        <w:t>缆线</w:t>
      </w:r>
      <w:r>
        <w:rPr>
          <w:rFonts w:hint="eastAsia" w:ascii="宋体" w:hAnsi="宋体" w:cs="宋体"/>
          <w:kern w:val="0"/>
          <w:sz w:val="24"/>
          <w:szCs w:val="24"/>
        </w:rPr>
        <w:t>应固定、</w:t>
      </w:r>
      <w:r>
        <w:rPr>
          <w:rFonts w:hint="eastAsia" w:ascii="宋体" w:hAnsi="宋体"/>
          <w:sz w:val="24"/>
          <w:szCs w:val="24"/>
        </w:rPr>
        <w:t>捆扎牢固（键盘和鼠标线均不捆扎）。</w:t>
      </w:r>
    </w:p>
    <w:p>
      <w:pPr>
        <w:adjustRightInd w:val="0"/>
        <w:spacing w:line="360" w:lineRule="auto"/>
        <w:ind w:firstLine="482" w:firstLineChars="200"/>
        <w:rPr>
          <w:rFonts w:ascii="宋体" w:hAnsi="宋体"/>
          <w:b/>
          <w:sz w:val="24"/>
          <w:szCs w:val="24"/>
        </w:rPr>
      </w:pPr>
      <w:r>
        <w:rPr>
          <w:rFonts w:hint="eastAsia" w:ascii="宋体" w:hAnsi="宋体"/>
          <w:b/>
          <w:sz w:val="24"/>
          <w:szCs w:val="24"/>
        </w:rPr>
        <w:t>(3)网络机柜、交换机</w:t>
      </w:r>
    </w:p>
    <w:p>
      <w:pPr>
        <w:adjustRightInd w:val="0"/>
        <w:spacing w:line="276" w:lineRule="auto"/>
        <w:ind w:firstLine="480" w:firstLineChars="200"/>
        <w:rPr>
          <w:rFonts w:ascii="宋体" w:hAnsi="宋体"/>
          <w:sz w:val="24"/>
          <w:szCs w:val="24"/>
        </w:rPr>
      </w:pPr>
      <w:r>
        <w:rPr>
          <w:rFonts w:hint="eastAsia" w:ascii="宋体" w:hAnsi="宋体"/>
          <w:sz w:val="24"/>
          <w:szCs w:val="24"/>
        </w:rPr>
        <w:t>（A）网络</w:t>
      </w:r>
      <w:r>
        <w:rPr>
          <w:rFonts w:hint="eastAsia" w:ascii="宋体" w:hAnsi="宋体" w:cs="Tahoma"/>
          <w:kern w:val="0"/>
          <w:sz w:val="24"/>
          <w:szCs w:val="24"/>
        </w:rPr>
        <w:t>机柜按学校要求结合实际情况放置，</w:t>
      </w:r>
      <w:r>
        <w:rPr>
          <w:rFonts w:hint="eastAsia" w:ascii="宋体" w:hAnsi="宋体"/>
          <w:sz w:val="24"/>
          <w:szCs w:val="24"/>
        </w:rPr>
        <w:t>网络</w:t>
      </w:r>
      <w:r>
        <w:rPr>
          <w:rFonts w:hint="eastAsia" w:ascii="宋体" w:hAnsi="宋体" w:cs="Tahoma"/>
          <w:kern w:val="0"/>
          <w:sz w:val="24"/>
          <w:szCs w:val="24"/>
        </w:rPr>
        <w:t>机柜墙距（或不用面）应符合GB50174中第2.3.4条的规定</w:t>
      </w:r>
      <w:r>
        <w:rPr>
          <w:rFonts w:hint="eastAsia" w:ascii="宋体" w:hAnsi="宋体"/>
          <w:sz w:val="24"/>
          <w:szCs w:val="24"/>
        </w:rPr>
        <w:t>，</w:t>
      </w:r>
      <w:r>
        <w:rPr>
          <w:rFonts w:hint="eastAsia" w:ascii="宋体" w:hAnsi="宋体" w:cs="Tahoma"/>
          <w:kern w:val="0"/>
          <w:sz w:val="24"/>
          <w:szCs w:val="24"/>
        </w:rPr>
        <w:t>不应小于500mm，当需要维修测试时，则距墙不应小于1200mm。</w:t>
      </w:r>
    </w:p>
    <w:p>
      <w:pPr>
        <w:adjustRightInd w:val="0"/>
        <w:spacing w:line="276" w:lineRule="auto"/>
        <w:ind w:firstLine="480" w:firstLineChars="200"/>
        <w:rPr>
          <w:rFonts w:ascii="宋体" w:hAnsi="宋体" w:cs="Tahoma"/>
          <w:kern w:val="0"/>
          <w:sz w:val="24"/>
          <w:szCs w:val="24"/>
          <w:shd w:val="pct10" w:color="auto" w:fill="FFFFFF"/>
        </w:rPr>
      </w:pPr>
      <w:r>
        <w:rPr>
          <w:rFonts w:hint="eastAsia" w:ascii="宋体" w:hAnsi="宋体"/>
          <w:sz w:val="24"/>
          <w:szCs w:val="24"/>
        </w:rPr>
        <w:t>（B）交换机固定位置在网络机柜底部，离机柜底框400mm的高度，网络交换机侧面与机柜之间距离不应小于50mm，两网络交换机之间距离不应小于50mm(示意图如下)。</w:t>
      </w:r>
    </w:p>
    <w:p>
      <w:pPr>
        <w:adjustRightInd w:val="0"/>
        <w:spacing w:line="276" w:lineRule="auto"/>
        <w:ind w:firstLine="480" w:firstLineChars="200"/>
        <w:rPr>
          <w:rFonts w:ascii="宋体" w:hAnsi="宋体"/>
          <w:sz w:val="24"/>
          <w:szCs w:val="24"/>
        </w:rPr>
      </w:pPr>
      <w:r>
        <w:rPr>
          <w:rFonts w:hint="eastAsia" w:ascii="宋体" w:hAnsi="宋体" w:cs="TimesNewRomanPSMT"/>
          <w:kern w:val="0"/>
          <w:sz w:val="24"/>
          <w:szCs w:val="24"/>
        </w:rPr>
        <w:t>（C）</w:t>
      </w:r>
      <w:r>
        <w:rPr>
          <w:rFonts w:hint="eastAsia" w:ascii="宋体" w:hAnsi="宋体"/>
          <w:sz w:val="24"/>
          <w:szCs w:val="24"/>
        </w:rPr>
        <w:t>将这些设备安放好，连接网线、电源线，冗长线（多余线</w:t>
      </w:r>
      <w:r>
        <w:rPr>
          <w:rFonts w:hint="eastAsia" w:ascii="宋体" w:hAnsi="宋体" w:cs="宋体"/>
          <w:bCs/>
          <w:kern w:val="0"/>
          <w:sz w:val="24"/>
          <w:szCs w:val="24"/>
        </w:rPr>
        <w:t>缆</w:t>
      </w:r>
      <w:r>
        <w:rPr>
          <w:rFonts w:hint="eastAsia" w:ascii="宋体" w:hAnsi="宋体"/>
          <w:sz w:val="24"/>
          <w:szCs w:val="24"/>
        </w:rPr>
        <w:t>）的线缆应盘收和捆扎、固定。捆扎带均采用</w:t>
      </w:r>
      <w:r>
        <w:rPr>
          <w:rFonts w:hint="eastAsia" w:ascii="宋体" w:hAnsi="宋体"/>
          <w:bCs/>
          <w:sz w:val="24"/>
          <w:szCs w:val="24"/>
        </w:rPr>
        <w:t>用尼龙绑扎带</w:t>
      </w:r>
      <w:r>
        <w:rPr>
          <w:rFonts w:hint="eastAsia" w:ascii="宋体" w:hAnsi="宋体"/>
          <w:sz w:val="24"/>
          <w:szCs w:val="24"/>
        </w:rPr>
        <w:t>，不得使用含有导电</w:t>
      </w:r>
      <w:r>
        <w:rPr>
          <w:rFonts w:hint="eastAsia" w:ascii="宋体" w:hAnsi="宋体"/>
          <w:bCs/>
          <w:sz w:val="24"/>
          <w:szCs w:val="24"/>
        </w:rPr>
        <w:t>扎带或</w:t>
      </w:r>
      <w:r>
        <w:rPr>
          <w:rFonts w:hint="eastAsia" w:ascii="宋体" w:hAnsi="宋体"/>
          <w:sz w:val="24"/>
          <w:szCs w:val="24"/>
        </w:rPr>
        <w:t>金属</w:t>
      </w:r>
      <w:r>
        <w:rPr>
          <w:rFonts w:hint="eastAsia" w:ascii="宋体" w:hAnsi="宋体"/>
          <w:bCs/>
          <w:sz w:val="24"/>
          <w:szCs w:val="24"/>
        </w:rPr>
        <w:t>绑扎带</w:t>
      </w:r>
      <w:r>
        <w:rPr>
          <w:rFonts w:hint="eastAsia" w:ascii="宋体" w:hAnsi="宋体"/>
          <w:sz w:val="24"/>
          <w:szCs w:val="24"/>
        </w:rPr>
        <w:t>。电缆线</w:t>
      </w:r>
      <w:r>
        <w:rPr>
          <w:rFonts w:hint="eastAsia" w:ascii="宋体" w:hAnsi="宋体" w:cs="宋体"/>
          <w:bCs/>
          <w:kern w:val="0"/>
          <w:sz w:val="24"/>
          <w:szCs w:val="24"/>
        </w:rPr>
        <w:t>应整齐、顺直、整齐，不得有挤压、扭结和线缆导体裸露等现象，</w:t>
      </w:r>
      <w:r>
        <w:rPr>
          <w:rFonts w:hint="eastAsia" w:ascii="宋体" w:hAnsi="宋体"/>
          <w:sz w:val="24"/>
          <w:szCs w:val="24"/>
        </w:rPr>
        <w:t>应根据实际情况，适当增大捆扎密度。</w:t>
      </w:r>
    </w:p>
    <w:p>
      <w:pPr>
        <w:adjustRightInd w:val="0"/>
        <w:spacing w:line="276" w:lineRule="auto"/>
        <w:ind w:firstLine="480" w:firstLineChars="200"/>
        <w:rPr>
          <w:rFonts w:ascii="宋体" w:hAnsi="宋体"/>
          <w:sz w:val="24"/>
          <w:szCs w:val="24"/>
        </w:rPr>
      </w:pPr>
      <w:r>
        <w:rPr>
          <w:rFonts w:hint="eastAsia" w:ascii="宋体" w:hAnsi="宋体"/>
          <w:sz w:val="24"/>
          <w:szCs w:val="24"/>
        </w:rPr>
        <w:t>（D）机柜里的线路严格按照机柜布线标准统一布置，并做好设备防雷防静电接地装置，保持机柜内线缆整洁美观，机柜内双绞线捆扎示意图如下。</w:t>
      </w:r>
    </w:p>
    <w:p>
      <w:pPr>
        <w:adjustRightInd w:val="0"/>
        <w:spacing w:line="276" w:lineRule="auto"/>
        <w:ind w:firstLine="480" w:firstLineChars="200"/>
        <w:rPr>
          <w:rFonts w:ascii="宋体" w:hAnsi="宋体"/>
          <w:sz w:val="24"/>
          <w:szCs w:val="24"/>
        </w:rPr>
      </w:pPr>
      <w:r>
        <w:rPr>
          <w:rFonts w:hint="eastAsia" w:ascii="宋体" w:hAnsi="宋体"/>
          <w:sz w:val="24"/>
          <w:szCs w:val="24"/>
        </w:rPr>
        <w:t>上述要求如有未含之处，请参照《浙江省农村中小学现代远程工程建设项目工程验收指南》执行。</w:t>
      </w:r>
    </w:p>
    <w:p>
      <w:pPr>
        <w:ind w:left="5340" w:leftChars="200" w:hanging="4920" w:hangingChars="2050"/>
        <w:rPr>
          <w:sz w:val="24"/>
          <w:szCs w:val="24"/>
        </w:rPr>
      </w:pPr>
      <w:r>
        <w:rPr>
          <w:sz w:val="24"/>
          <w:szCs w:val="24"/>
        </w:rPr>
        <w:drawing>
          <wp:inline distT="0" distB="0" distL="114300" distR="114300">
            <wp:extent cx="2205990" cy="1541780"/>
            <wp:effectExtent l="0" t="0" r="3810" b="1270"/>
            <wp:docPr id="11" name="图片 16" descr="C:\Users\helios\Desktop\微信图片_2018011816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C:\Users\helios\Desktop\微信图片_20180118164354.png"/>
                    <pic:cNvPicPr>
                      <a:picLocks noChangeAspect="1"/>
                    </pic:cNvPicPr>
                  </pic:nvPicPr>
                  <pic:blipFill>
                    <a:blip r:embed="rId44"/>
                    <a:stretch>
                      <a:fillRect/>
                    </a:stretch>
                  </pic:blipFill>
                  <pic:spPr>
                    <a:xfrm>
                      <a:off x="0" y="0"/>
                      <a:ext cx="2205990" cy="1541780"/>
                    </a:xfrm>
                    <a:prstGeom prst="rect">
                      <a:avLst/>
                    </a:prstGeom>
                    <a:noFill/>
                    <a:ln>
                      <a:noFill/>
                    </a:ln>
                  </pic:spPr>
                </pic:pic>
              </a:graphicData>
            </a:graphic>
          </wp:inline>
        </w:drawing>
      </w:r>
      <w:r>
        <w:rPr>
          <w:sz w:val="24"/>
          <w:szCs w:val="24"/>
        </w:rPr>
        <w:drawing>
          <wp:inline distT="0" distB="0" distL="114300" distR="114300">
            <wp:extent cx="2260600" cy="1574165"/>
            <wp:effectExtent l="0" t="0" r="6350" b="6985"/>
            <wp:docPr id="14" name="图片 17" descr="C:\Users\helios\Desktop\微信图片_20180118164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C:\Users\helios\Desktop\微信图片_20180118164349.png"/>
                    <pic:cNvPicPr>
                      <a:picLocks noChangeAspect="1"/>
                    </pic:cNvPicPr>
                  </pic:nvPicPr>
                  <pic:blipFill>
                    <a:blip r:embed="rId45"/>
                    <a:stretch>
                      <a:fillRect/>
                    </a:stretch>
                  </pic:blipFill>
                  <pic:spPr>
                    <a:xfrm>
                      <a:off x="0" y="0"/>
                      <a:ext cx="2260600" cy="1574165"/>
                    </a:xfrm>
                    <a:prstGeom prst="rect">
                      <a:avLst/>
                    </a:prstGeom>
                    <a:noFill/>
                    <a:ln>
                      <a:noFill/>
                    </a:ln>
                  </pic:spPr>
                </pic:pic>
              </a:graphicData>
            </a:graphic>
          </wp:inline>
        </w:drawing>
      </w:r>
    </w:p>
    <w:p>
      <w:pPr>
        <w:adjustRightInd w:val="0"/>
        <w:spacing w:line="276" w:lineRule="auto"/>
        <w:ind w:firstLine="480" w:firstLineChars="200"/>
        <w:jc w:val="center"/>
        <w:rPr>
          <w:sz w:val="24"/>
          <w:szCs w:val="24"/>
        </w:rPr>
      </w:pPr>
      <w:r>
        <w:rPr>
          <w:rFonts w:hint="eastAsia"/>
          <w:sz w:val="24"/>
          <w:szCs w:val="24"/>
        </w:rPr>
        <w:t>（捆扎参考图）</w:t>
      </w:r>
    </w:p>
    <w:p>
      <w:pPr>
        <w:pStyle w:val="2"/>
        <w:rPr>
          <w:sz w:val="24"/>
          <w:szCs w:val="24"/>
        </w:rPr>
      </w:pPr>
    </w:p>
    <w:p>
      <w:pPr>
        <w:adjustRightInd w:val="0"/>
        <w:spacing w:line="276" w:lineRule="auto"/>
        <w:ind w:firstLine="480" w:firstLineChars="200"/>
        <w:jc w:val="center"/>
        <w:rPr>
          <w:sz w:val="24"/>
          <w:szCs w:val="24"/>
        </w:rPr>
      </w:pPr>
    </w:p>
    <w:p>
      <w:pPr>
        <w:ind w:firstLine="480"/>
        <w:rPr>
          <w:sz w:val="24"/>
          <w:szCs w:val="24"/>
        </w:rPr>
      </w:pPr>
      <w:r>
        <w:rPr>
          <w:sz w:val="24"/>
          <w:szCs w:val="24"/>
        </w:rPr>
        <w:drawing>
          <wp:inline distT="0" distB="0" distL="114300" distR="114300">
            <wp:extent cx="4610100" cy="1350645"/>
            <wp:effectExtent l="0" t="0" r="0" b="1905"/>
            <wp:docPr id="2" name="图片 18" descr="https://img.alicdn.com/imgextra/i2/1068571276/TB2BXWFqXXXXXa8XpXXXXXXXXXX_!!106857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https://img.alicdn.com/imgextra/i2/1068571276/TB2BXWFqXXXXXa8XpXXXXXXXXXX_!!1068571276.jpg"/>
                    <pic:cNvPicPr>
                      <a:picLocks noChangeAspect="1"/>
                    </pic:cNvPicPr>
                  </pic:nvPicPr>
                  <pic:blipFill>
                    <a:blip r:embed="rId46"/>
                    <a:srcRect t="10730"/>
                    <a:stretch>
                      <a:fillRect/>
                    </a:stretch>
                  </pic:blipFill>
                  <pic:spPr>
                    <a:xfrm>
                      <a:off x="0" y="0"/>
                      <a:ext cx="4610100" cy="1350645"/>
                    </a:xfrm>
                    <a:prstGeom prst="rect">
                      <a:avLst/>
                    </a:prstGeom>
                    <a:noFill/>
                    <a:ln>
                      <a:noFill/>
                    </a:ln>
                  </pic:spPr>
                </pic:pic>
              </a:graphicData>
            </a:graphic>
          </wp:inline>
        </w:drawing>
      </w:r>
    </w:p>
    <w:p>
      <w:pPr>
        <w:ind w:firstLine="480"/>
        <w:jc w:val="center"/>
        <w:rPr>
          <w:sz w:val="24"/>
          <w:szCs w:val="24"/>
        </w:rPr>
      </w:pPr>
      <w:r>
        <w:rPr>
          <w:rFonts w:hint="eastAsia"/>
          <w:sz w:val="24"/>
          <w:szCs w:val="24"/>
        </w:rPr>
        <w:t>（标签参考图）</w:t>
      </w:r>
    </w:p>
    <w:p>
      <w:pPr>
        <w:adjustRightInd w:val="0"/>
        <w:spacing w:line="276" w:lineRule="auto"/>
        <w:ind w:firstLine="480" w:firstLineChars="200"/>
        <w:rPr>
          <w:rFonts w:ascii="宋体" w:hAnsi="宋体"/>
          <w:sz w:val="24"/>
          <w:szCs w:val="24"/>
        </w:rPr>
      </w:pPr>
      <w:r>
        <w:rPr>
          <w:rFonts w:hint="eastAsia" w:ascii="宋体" w:hAnsi="宋体"/>
          <w:sz w:val="24"/>
          <w:szCs w:val="24"/>
        </w:rPr>
        <w:t xml:space="preserve">   </w:t>
      </w:r>
    </w:p>
    <w:p>
      <w:pPr>
        <w:adjustRightInd w:val="0"/>
        <w:spacing w:line="276" w:lineRule="auto"/>
        <w:ind w:firstLine="480" w:firstLineChars="200"/>
        <w:rPr>
          <w:rFonts w:ascii="宋体" w:hAnsi="宋体"/>
          <w:sz w:val="24"/>
          <w:szCs w:val="24"/>
        </w:rPr>
      </w:pPr>
      <w:r>
        <w:rPr>
          <w:rFonts w:hint="eastAsia" w:ascii="宋体"/>
          <w:sz w:val="24"/>
          <w:szCs w:val="24"/>
        </w:rPr>
        <w:drawing>
          <wp:inline distT="0" distB="0" distL="114300" distR="114300">
            <wp:extent cx="1758950" cy="1014730"/>
            <wp:effectExtent l="0" t="0" r="12700" b="1397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47"/>
                    <a:stretch>
                      <a:fillRect/>
                    </a:stretch>
                  </pic:blipFill>
                  <pic:spPr>
                    <a:xfrm>
                      <a:off x="0" y="0"/>
                      <a:ext cx="1758950" cy="1014730"/>
                    </a:xfrm>
                    <a:prstGeom prst="rect">
                      <a:avLst/>
                    </a:prstGeom>
                    <a:noFill/>
                    <a:ln>
                      <a:noFill/>
                    </a:ln>
                  </pic:spPr>
                </pic:pic>
              </a:graphicData>
            </a:graphic>
          </wp:inline>
        </w:drawing>
      </w:r>
      <w:r>
        <w:rPr>
          <w:rFonts w:hint="eastAsia" w:ascii="宋体"/>
          <w:sz w:val="24"/>
          <w:szCs w:val="24"/>
        </w:rPr>
        <w:t xml:space="preserve">           </w:t>
      </w:r>
      <w:r>
        <w:rPr>
          <w:rFonts w:hint="eastAsia" w:ascii="宋体"/>
          <w:sz w:val="24"/>
          <w:szCs w:val="24"/>
        </w:rPr>
        <w:drawing>
          <wp:inline distT="0" distB="0" distL="114300" distR="114300">
            <wp:extent cx="1657350" cy="904875"/>
            <wp:effectExtent l="0" t="0" r="0" b="952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48"/>
                    <a:stretch>
                      <a:fillRect/>
                    </a:stretch>
                  </pic:blipFill>
                  <pic:spPr>
                    <a:xfrm>
                      <a:off x="0" y="0"/>
                      <a:ext cx="1657350" cy="904875"/>
                    </a:xfrm>
                    <a:prstGeom prst="rect">
                      <a:avLst/>
                    </a:prstGeom>
                    <a:noFill/>
                    <a:ln>
                      <a:noFill/>
                    </a:ln>
                  </pic:spPr>
                </pic:pic>
              </a:graphicData>
            </a:graphic>
          </wp:inline>
        </w:drawing>
      </w:r>
    </w:p>
    <w:p>
      <w:pPr>
        <w:adjustRightInd w:val="0"/>
        <w:spacing w:line="276" w:lineRule="auto"/>
        <w:ind w:firstLine="3720" w:firstLineChars="1550"/>
        <w:rPr>
          <w:rFonts w:ascii="宋体" w:hAnsi="宋体"/>
          <w:sz w:val="24"/>
          <w:szCs w:val="24"/>
        </w:rPr>
      </w:pPr>
      <w:r>
        <w:rPr>
          <w:rFonts w:hint="eastAsia" w:ascii="宋体" w:hAnsi="宋体"/>
          <w:sz w:val="24"/>
          <w:szCs w:val="24"/>
        </w:rPr>
        <w:t>底部机柜安装示意图</w:t>
      </w:r>
    </w:p>
    <w:p>
      <w:pPr>
        <w:adjustRightInd w:val="0"/>
        <w:spacing w:line="276" w:lineRule="auto"/>
        <w:rPr>
          <w:rFonts w:hint="eastAsia" w:ascii="宋体" w:hAnsi="宋体"/>
          <w:b/>
          <w:bCs/>
          <w:sz w:val="24"/>
          <w:szCs w:val="24"/>
          <w:lang w:val="en-US" w:eastAsia="zh-CN"/>
        </w:rPr>
      </w:pPr>
      <w:r>
        <w:rPr>
          <w:rFonts w:hint="eastAsia" w:ascii="宋体" w:hAnsi="宋体"/>
          <w:b/>
          <w:bCs/>
          <w:sz w:val="24"/>
          <w:szCs w:val="24"/>
          <w:lang w:val="en-US" w:eastAsia="zh-CN"/>
        </w:rPr>
        <w:t>二、项目售后服务要求</w:t>
      </w:r>
    </w:p>
    <w:p>
      <w:pPr>
        <w:adjustRightInd w:val="0"/>
        <w:spacing w:line="276"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1.质保期内因不能排除的故障而影响工作的情况每发生一次，其质保期相应延长60天，保质期内因设备本身缺陷造成各种故障应由中标方（</w:t>
      </w:r>
      <w:r>
        <w:rPr>
          <w:rFonts w:hint="eastAsia" w:ascii="宋体" w:hAnsi="宋体"/>
          <w:sz w:val="24"/>
          <w:szCs w:val="24"/>
          <w:lang w:val="zh-CN" w:eastAsia="zh-CN"/>
        </w:rPr>
        <w:t>供应商</w:t>
      </w:r>
      <w:r>
        <w:rPr>
          <w:rFonts w:hint="eastAsia" w:ascii="宋体" w:hAnsi="宋体"/>
          <w:sz w:val="24"/>
          <w:szCs w:val="24"/>
          <w:lang w:val="en-US" w:eastAsia="zh-CN"/>
        </w:rPr>
        <w:t>）免费技术服务和维修。</w:t>
      </w:r>
    </w:p>
    <w:p>
      <w:pPr>
        <w:adjustRightInd w:val="0"/>
        <w:spacing w:line="276" w:lineRule="auto"/>
        <w:ind w:firstLine="480" w:firstLineChars="200"/>
        <w:rPr>
          <w:rFonts w:hint="eastAsia" w:ascii="宋体" w:hAnsi="宋体"/>
          <w:sz w:val="24"/>
          <w:szCs w:val="24"/>
          <w:lang w:val="en-US" w:eastAsia="zh-CN"/>
        </w:rPr>
      </w:pPr>
      <w:r>
        <w:rPr>
          <w:rFonts w:hint="eastAsia" w:ascii="宋体" w:hAnsi="宋体"/>
          <w:color w:val="000000"/>
          <w:sz w:val="24"/>
          <w:szCs w:val="24"/>
          <w:lang w:eastAsia="zh-CN"/>
        </w:rPr>
        <w:t>▲</w:t>
      </w:r>
      <w:r>
        <w:rPr>
          <w:rFonts w:hint="eastAsia" w:ascii="宋体" w:hAnsi="宋体"/>
          <w:sz w:val="24"/>
          <w:szCs w:val="24"/>
          <w:lang w:val="en-US" w:eastAsia="zh-CN"/>
        </w:rPr>
        <w:t>2.所投设备应提供不少于</w:t>
      </w:r>
      <w:r>
        <w:rPr>
          <w:rFonts w:hint="eastAsia" w:ascii="宋体" w:hAnsi="宋体"/>
          <w:b/>
          <w:bCs/>
          <w:sz w:val="24"/>
          <w:szCs w:val="24"/>
          <w:lang w:val="en-US" w:eastAsia="zh-CN"/>
        </w:rPr>
        <w:t>三年（笔记本不少于一年）</w:t>
      </w:r>
      <w:r>
        <w:rPr>
          <w:rFonts w:hint="eastAsia" w:ascii="宋体" w:hAnsi="宋体"/>
          <w:sz w:val="24"/>
          <w:szCs w:val="24"/>
          <w:lang w:val="en-US" w:eastAsia="zh-CN"/>
        </w:rPr>
        <w:t>的免费上门和免费保修服务（特殊说明的产品除外）。</w:t>
      </w:r>
    </w:p>
    <w:p>
      <w:pPr>
        <w:adjustRightInd w:val="0"/>
        <w:spacing w:line="276"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3.技术保障措施：在保修期内提供免费上门维护、升级服务，如设备出现故障，中标商接到</w:t>
      </w:r>
      <w:r>
        <w:rPr>
          <w:rFonts w:hint="eastAsia" w:ascii="宋体" w:hAnsi="宋体"/>
          <w:sz w:val="24"/>
          <w:szCs w:val="24"/>
          <w:lang w:val="zh-CN" w:eastAsia="zh-CN"/>
        </w:rPr>
        <w:t>用户</w:t>
      </w:r>
      <w:r>
        <w:rPr>
          <w:rFonts w:hint="eastAsia" w:ascii="宋体" w:hAnsi="宋体"/>
          <w:sz w:val="24"/>
          <w:szCs w:val="24"/>
          <w:lang w:val="en-US" w:eastAsia="zh-CN"/>
        </w:rPr>
        <w:t>报修电话后，</w:t>
      </w:r>
      <w:r>
        <w:rPr>
          <w:rFonts w:hint="eastAsia" w:ascii="宋体" w:hAnsi="宋体"/>
          <w:sz w:val="24"/>
          <w:szCs w:val="24"/>
          <w:lang w:val="zh-CN" w:eastAsia="zh-CN"/>
        </w:rPr>
        <w:t>1小时内响应并提出解决方案，在4小时以内完成用户提出的维修要求，如需更换设备或送修，必须在3个工作日内负责解决</w:t>
      </w:r>
      <w:r>
        <w:rPr>
          <w:rFonts w:hint="eastAsia" w:ascii="宋体" w:hAnsi="宋体"/>
          <w:sz w:val="24"/>
          <w:szCs w:val="24"/>
          <w:lang w:val="en-US" w:eastAsia="zh-CN"/>
        </w:rPr>
        <w:t>；3天内无法修复的需提供同档次设备替换故障设备。</w:t>
      </w:r>
      <w:r>
        <w:rPr>
          <w:rFonts w:hint="eastAsia" w:ascii="宋体" w:hAnsi="宋体"/>
          <w:sz w:val="24"/>
          <w:szCs w:val="24"/>
          <w:lang w:val="zh-CN" w:eastAsia="zh-CN"/>
        </w:rPr>
        <w:t>为此，投标人应提供相应承诺书。</w:t>
      </w:r>
    </w:p>
    <w:p>
      <w:pPr>
        <w:adjustRightInd w:val="0"/>
        <w:spacing w:line="276" w:lineRule="auto"/>
        <w:ind w:firstLine="480" w:firstLineChars="200"/>
        <w:rPr>
          <w:rFonts w:ascii="宋体" w:hAnsi="宋体"/>
          <w:sz w:val="24"/>
          <w:szCs w:val="24"/>
        </w:rPr>
      </w:pPr>
      <w:r>
        <w:rPr>
          <w:rFonts w:hint="eastAsia" w:ascii="宋体" w:hAnsi="宋体"/>
          <w:sz w:val="24"/>
          <w:szCs w:val="24"/>
          <w:lang w:val="en-US" w:eastAsia="zh-CN"/>
        </w:rPr>
        <w:t>4.</w:t>
      </w:r>
      <w:r>
        <w:rPr>
          <w:rFonts w:hint="eastAsia" w:ascii="宋体" w:hAnsi="宋体"/>
          <w:sz w:val="24"/>
          <w:szCs w:val="24"/>
        </w:rPr>
        <w:t>要求每间机房在显眼处，张贴二维码保修标签，既可以通过微信又可以通过钉钉客户端扫描后显示该套设备名称、所属项目名称、项目编号、中标人、设备组成、报修电话、过保日期等信息，以上信息科按要求定制。</w:t>
      </w:r>
    </w:p>
    <w:p>
      <w:pPr>
        <w:adjustRightInd w:val="0"/>
        <w:spacing w:line="276" w:lineRule="auto"/>
        <w:ind w:firstLine="480" w:firstLineChars="200"/>
        <w:rPr>
          <w:rFonts w:ascii="宋体" w:hAnsi="宋体"/>
          <w:sz w:val="24"/>
          <w:szCs w:val="24"/>
        </w:rPr>
      </w:pPr>
      <w:r>
        <w:rPr>
          <w:rFonts w:hint="eastAsia" w:ascii="宋体" w:hAnsi="宋体"/>
          <w:sz w:val="24"/>
          <w:szCs w:val="24"/>
          <w:lang w:val="en-US" w:eastAsia="zh-CN"/>
        </w:rPr>
        <w:t>5.</w:t>
      </w:r>
      <w:r>
        <w:rPr>
          <w:rFonts w:hint="eastAsia" w:ascii="宋体" w:hAnsi="宋体"/>
          <w:sz w:val="24"/>
          <w:szCs w:val="24"/>
        </w:rPr>
        <w:t>可以通过扫码直接进行故障报修，扫码客户端至少包括微信、钉钉。报修页面要求有故障描述、故障照片、故障视频等信息可供用户填写，要求报修页面提供学校信息、联系人及联系电话、地址，以上信息默认为学校预先提供的内容，但报修人可以进行修改。</w:t>
      </w:r>
    </w:p>
    <w:p>
      <w:pPr>
        <w:adjustRightInd w:val="0"/>
        <w:spacing w:line="276" w:lineRule="auto"/>
        <w:ind w:firstLine="480" w:firstLineChars="200"/>
        <w:rPr>
          <w:rFonts w:ascii="宋体" w:hAnsi="宋体"/>
          <w:sz w:val="24"/>
          <w:szCs w:val="24"/>
        </w:rPr>
      </w:pPr>
      <w:r>
        <w:rPr>
          <w:rFonts w:hint="eastAsia" w:ascii="宋体" w:hAnsi="宋体"/>
          <w:sz w:val="24"/>
          <w:szCs w:val="24"/>
          <w:lang w:val="en-US" w:eastAsia="zh-CN"/>
        </w:rPr>
        <w:t>6.</w:t>
      </w:r>
      <w:r>
        <w:rPr>
          <w:rFonts w:hint="eastAsia" w:ascii="宋体" w:hAnsi="宋体"/>
          <w:sz w:val="24"/>
          <w:szCs w:val="24"/>
        </w:rPr>
        <w:t>要求中标商有固定的服务人员，接受服务信息，可以追踪服务进度。服务人员接收报修、约定时间上门、上门完成等均通过免费短信通知报修老师，报修老师可以方便查看到故障报修进度。</w:t>
      </w:r>
    </w:p>
    <w:p>
      <w:pPr>
        <w:adjustRightInd w:val="0"/>
        <w:spacing w:line="276" w:lineRule="auto"/>
        <w:ind w:firstLine="480" w:firstLineChars="200"/>
        <w:rPr>
          <w:rFonts w:ascii="宋体" w:hAnsi="宋体"/>
          <w:sz w:val="24"/>
          <w:szCs w:val="24"/>
        </w:rPr>
      </w:pPr>
      <w:r>
        <w:rPr>
          <w:rFonts w:hint="eastAsia" w:ascii="宋体" w:hAnsi="宋体"/>
          <w:sz w:val="24"/>
          <w:szCs w:val="24"/>
          <w:lang w:val="en-US" w:eastAsia="zh-CN"/>
        </w:rPr>
        <w:t>7.</w:t>
      </w:r>
      <w:r>
        <w:rPr>
          <w:rFonts w:hint="eastAsia" w:ascii="宋体" w:hAnsi="宋体"/>
          <w:sz w:val="24"/>
          <w:szCs w:val="24"/>
        </w:rPr>
        <w:t>服务人员上门维修，完成维修后要求通过报修老师的签字确认，报修老师可以在手机端对服务进行评价。</w:t>
      </w:r>
    </w:p>
    <w:p>
      <w:pPr>
        <w:adjustRightInd w:val="0"/>
        <w:spacing w:line="276" w:lineRule="auto"/>
        <w:ind w:firstLine="480" w:firstLineChars="200"/>
        <w:rPr>
          <w:rFonts w:ascii="宋体" w:hAnsi="宋体"/>
          <w:sz w:val="24"/>
          <w:szCs w:val="24"/>
        </w:rPr>
      </w:pPr>
      <w:r>
        <w:rPr>
          <w:rFonts w:hint="eastAsia" w:ascii="宋体" w:hAnsi="宋体"/>
          <w:sz w:val="24"/>
          <w:szCs w:val="24"/>
          <w:lang w:val="en-US" w:eastAsia="zh-CN"/>
        </w:rPr>
        <w:t>8.</w:t>
      </w:r>
      <w:r>
        <w:rPr>
          <w:rFonts w:hint="eastAsia" w:ascii="宋体" w:hAnsi="宋体"/>
          <w:sz w:val="24"/>
          <w:szCs w:val="24"/>
        </w:rPr>
        <w:t>要求中标公司提供微信公众号和钉钉主页，并将售后服务程序嵌入微信公众号及钉钉主页，方便用户快速报修及查询进度，要求每个季度都可导出报表。</w:t>
      </w:r>
    </w:p>
    <w:p>
      <w:pPr>
        <w:pStyle w:val="2"/>
        <w:adjustRightInd w:val="0"/>
        <w:spacing w:line="276" w:lineRule="auto"/>
        <w:rPr>
          <w:rFonts w:ascii="宋体" w:hAnsi="宋体" w:eastAsia="宋体" w:cs="宋体"/>
          <w:bCs w:val="0"/>
          <w:kern w:val="0"/>
          <w:sz w:val="24"/>
          <w:szCs w:val="24"/>
        </w:rPr>
      </w:pPr>
      <w:r>
        <w:rPr>
          <w:rFonts w:hint="eastAsia" w:ascii="宋体" w:hAnsi="宋体" w:eastAsia="宋体" w:cs="宋体"/>
          <w:bCs w:val="0"/>
          <w:kern w:val="0"/>
          <w:sz w:val="24"/>
          <w:szCs w:val="24"/>
        </w:rPr>
        <w:t>三、项目</w:t>
      </w:r>
      <w:r>
        <w:rPr>
          <w:rFonts w:ascii="宋体" w:hAnsi="宋体" w:eastAsia="宋体" w:cs="宋体"/>
          <w:bCs w:val="0"/>
          <w:kern w:val="0"/>
          <w:sz w:val="24"/>
          <w:szCs w:val="24"/>
        </w:rPr>
        <w:t>工期</w:t>
      </w:r>
      <w:r>
        <w:rPr>
          <w:rFonts w:hint="eastAsia" w:ascii="宋体" w:hAnsi="宋体" w:eastAsia="宋体" w:cs="宋体"/>
          <w:bCs w:val="0"/>
          <w:kern w:val="0"/>
          <w:sz w:val="24"/>
          <w:szCs w:val="24"/>
        </w:rPr>
        <w:t>、质保金</w:t>
      </w:r>
      <w:r>
        <w:rPr>
          <w:rFonts w:ascii="宋体" w:hAnsi="宋体" w:eastAsia="宋体" w:cs="宋体"/>
          <w:bCs w:val="0"/>
          <w:kern w:val="0"/>
          <w:sz w:val="24"/>
          <w:szCs w:val="24"/>
        </w:rPr>
        <w:t>及付款</w:t>
      </w:r>
      <w:r>
        <w:rPr>
          <w:rFonts w:hint="eastAsia" w:ascii="宋体" w:hAnsi="宋体" w:eastAsia="宋体" w:cs="宋体"/>
          <w:bCs w:val="0"/>
          <w:kern w:val="0"/>
          <w:sz w:val="24"/>
          <w:szCs w:val="24"/>
        </w:rPr>
        <w:t>方式</w:t>
      </w:r>
    </w:p>
    <w:p>
      <w:pPr>
        <w:widowControl/>
        <w:autoSpaceDE w:val="0"/>
        <w:autoSpaceDN w:val="0"/>
        <w:spacing w:line="440" w:lineRule="exact"/>
        <w:ind w:firstLine="350" w:firstLineChars="146"/>
        <w:textAlignment w:val="bottom"/>
        <w:rPr>
          <w:rFonts w:ascii="宋体" w:hAnsi="宋体"/>
          <w:sz w:val="24"/>
          <w:szCs w:val="24"/>
        </w:rPr>
      </w:pPr>
      <w:r>
        <w:rPr>
          <w:rFonts w:hint="eastAsia" w:ascii="宋体" w:hAnsi="宋体"/>
          <w:sz w:val="24"/>
          <w:szCs w:val="24"/>
        </w:rPr>
        <w:t>（一）工期要求：</w:t>
      </w:r>
    </w:p>
    <w:p>
      <w:pPr>
        <w:widowControl/>
        <w:autoSpaceDE w:val="0"/>
        <w:autoSpaceDN w:val="0"/>
        <w:spacing w:line="440" w:lineRule="exact"/>
        <w:ind w:left="283" w:leftChars="135" w:firstLine="350" w:firstLineChars="146"/>
        <w:textAlignment w:val="bottom"/>
        <w:rPr>
          <w:rFonts w:ascii="宋体" w:hAnsi="宋体"/>
          <w:snapToGrid w:val="0"/>
          <w:kern w:val="0"/>
          <w:sz w:val="24"/>
          <w:szCs w:val="24"/>
        </w:rPr>
      </w:pPr>
      <w:r>
        <w:rPr>
          <w:rFonts w:hint="eastAsia" w:ascii="宋体" w:hAnsi="宋体"/>
          <w:sz w:val="24"/>
          <w:szCs w:val="24"/>
        </w:rPr>
        <w:t>1.</w:t>
      </w:r>
      <w:r>
        <w:rPr>
          <w:rFonts w:hint="eastAsia" w:ascii="宋体" w:hAnsi="宋体"/>
          <w:b/>
          <w:sz w:val="24"/>
          <w:szCs w:val="24"/>
        </w:rPr>
        <w:t xml:space="preserve"> </w:t>
      </w:r>
      <w:r>
        <w:rPr>
          <w:rFonts w:hint="eastAsia" w:ascii="宋体" w:hAnsi="宋体"/>
          <w:sz w:val="24"/>
          <w:szCs w:val="24"/>
        </w:rPr>
        <w:t>安装调试:</w:t>
      </w:r>
      <w:r>
        <w:rPr>
          <w:rFonts w:ascii="宋体" w:hAnsi="宋体"/>
          <w:sz w:val="24"/>
          <w:szCs w:val="24"/>
        </w:rPr>
        <w:t>签订合同后</w:t>
      </w:r>
      <w:r>
        <w:rPr>
          <w:rFonts w:hint="eastAsia" w:ascii="宋体" w:hAnsi="宋体"/>
          <w:sz w:val="24"/>
          <w:szCs w:val="24"/>
          <w:lang w:val="en-US" w:eastAsia="zh-CN"/>
        </w:rPr>
        <w:t>30</w:t>
      </w:r>
      <w:r>
        <w:rPr>
          <w:rFonts w:hint="eastAsia" w:ascii="宋体" w:hAnsi="宋体"/>
          <w:sz w:val="24"/>
          <w:szCs w:val="24"/>
        </w:rPr>
        <w:t>天内</w:t>
      </w:r>
      <w:r>
        <w:rPr>
          <w:rFonts w:ascii="宋体" w:hAnsi="宋体"/>
          <w:sz w:val="24"/>
          <w:szCs w:val="24"/>
        </w:rPr>
        <w:t>完成</w:t>
      </w:r>
      <w:r>
        <w:rPr>
          <w:rFonts w:hint="eastAsia" w:ascii="宋体" w:hAnsi="宋体"/>
          <w:sz w:val="24"/>
          <w:szCs w:val="24"/>
        </w:rPr>
        <w:t>本项目的</w:t>
      </w:r>
      <w:r>
        <w:rPr>
          <w:rFonts w:ascii="宋体" w:hAnsi="宋体"/>
          <w:sz w:val="24"/>
          <w:szCs w:val="24"/>
        </w:rPr>
        <w:t>交货</w:t>
      </w:r>
      <w:r>
        <w:rPr>
          <w:rFonts w:hint="eastAsia" w:ascii="宋体" w:hAnsi="宋体"/>
          <w:sz w:val="24"/>
          <w:szCs w:val="24"/>
        </w:rPr>
        <w:t>和安装。</w:t>
      </w:r>
      <w:r>
        <w:rPr>
          <w:rFonts w:hint="eastAsia" w:ascii="宋体" w:hAnsi="宋体"/>
          <w:snapToGrid w:val="0"/>
          <w:kern w:val="0"/>
          <w:sz w:val="24"/>
          <w:szCs w:val="24"/>
        </w:rPr>
        <w:t>如在规定的时间内由于</w:t>
      </w:r>
      <w:r>
        <w:rPr>
          <w:rFonts w:hint="eastAsia" w:ascii="宋体" w:hAnsi="宋体"/>
          <w:sz w:val="24"/>
          <w:szCs w:val="24"/>
        </w:rPr>
        <w:t>中标方</w:t>
      </w:r>
      <w:r>
        <w:rPr>
          <w:rFonts w:hint="eastAsia" w:ascii="宋体" w:hAnsi="宋体"/>
          <w:snapToGrid w:val="0"/>
          <w:kern w:val="0"/>
          <w:sz w:val="24"/>
          <w:szCs w:val="24"/>
        </w:rPr>
        <w:t>的原因不能完成安装的，中标方应承担由此给用户造成的损失。</w:t>
      </w:r>
    </w:p>
    <w:p>
      <w:pPr>
        <w:widowControl/>
        <w:autoSpaceDE w:val="0"/>
        <w:autoSpaceDN w:val="0"/>
        <w:spacing w:line="440" w:lineRule="exact"/>
        <w:ind w:left="283" w:leftChars="135" w:firstLine="350" w:firstLineChars="146"/>
        <w:textAlignment w:val="bottom"/>
        <w:rPr>
          <w:rFonts w:ascii="宋体" w:hAnsi="宋体"/>
          <w:sz w:val="24"/>
          <w:szCs w:val="24"/>
        </w:rPr>
      </w:pPr>
      <w:r>
        <w:rPr>
          <w:rFonts w:hint="eastAsia" w:ascii="宋体" w:hAnsi="宋体"/>
          <w:snapToGrid w:val="0"/>
          <w:kern w:val="0"/>
          <w:sz w:val="24"/>
          <w:szCs w:val="24"/>
        </w:rPr>
        <w:t>2.</w:t>
      </w:r>
      <w:r>
        <w:rPr>
          <w:rFonts w:hint="eastAsia" w:ascii="宋体" w:hAnsi="宋体"/>
          <w:sz w:val="24"/>
          <w:szCs w:val="24"/>
        </w:rPr>
        <w:t xml:space="preserve"> 安装地点：由采购单位指定。</w:t>
      </w:r>
    </w:p>
    <w:p>
      <w:pPr>
        <w:widowControl/>
        <w:autoSpaceDE w:val="0"/>
        <w:autoSpaceDN w:val="0"/>
        <w:spacing w:line="440" w:lineRule="exact"/>
        <w:ind w:left="283" w:leftChars="135" w:firstLine="350" w:firstLineChars="146"/>
        <w:textAlignment w:val="bottom"/>
        <w:rPr>
          <w:rFonts w:hint="eastAsia" w:ascii="宋体" w:hAnsi="宋体" w:eastAsia="宋体"/>
          <w:sz w:val="24"/>
          <w:szCs w:val="24"/>
          <w:lang w:eastAsia="zh-CN"/>
        </w:rPr>
      </w:pPr>
      <w:r>
        <w:rPr>
          <w:rFonts w:hint="eastAsia" w:ascii="宋体" w:hAnsi="宋体"/>
          <w:sz w:val="24"/>
          <w:szCs w:val="24"/>
        </w:rPr>
        <w:t>3. 安装标准：符合我国国家有关技术规范要求和技术标准，所有的软件和硬件必须保证同时安装到位</w:t>
      </w:r>
      <w:r>
        <w:rPr>
          <w:rFonts w:hint="eastAsia" w:ascii="宋体" w:hAnsi="宋体"/>
          <w:sz w:val="24"/>
          <w:szCs w:val="24"/>
          <w:lang w:eastAsia="zh-CN"/>
        </w:rPr>
        <w:t>。</w:t>
      </w:r>
    </w:p>
    <w:p>
      <w:pPr>
        <w:widowControl/>
        <w:autoSpaceDE w:val="0"/>
        <w:autoSpaceDN w:val="0"/>
        <w:spacing w:line="440" w:lineRule="exact"/>
        <w:ind w:firstLine="720" w:firstLineChars="300"/>
        <w:textAlignment w:val="bottom"/>
        <w:rPr>
          <w:rFonts w:ascii="宋体" w:hAnsi="宋体"/>
          <w:sz w:val="24"/>
          <w:szCs w:val="24"/>
        </w:rPr>
      </w:pPr>
      <w:r>
        <w:rPr>
          <w:rFonts w:hint="eastAsia" w:ascii="宋体" w:hAnsi="宋体"/>
          <w:sz w:val="24"/>
          <w:szCs w:val="24"/>
        </w:rPr>
        <w:t>4. 中标方免费提供中标设备的安装服务。</w:t>
      </w:r>
    </w:p>
    <w:p>
      <w:pPr>
        <w:widowControl/>
        <w:autoSpaceDE w:val="0"/>
        <w:autoSpaceDN w:val="0"/>
        <w:spacing w:line="440" w:lineRule="exact"/>
        <w:ind w:firstLine="720" w:firstLineChars="300"/>
        <w:textAlignment w:val="bottom"/>
        <w:rPr>
          <w:rFonts w:ascii="宋体" w:hAnsi="宋体"/>
          <w:sz w:val="24"/>
          <w:szCs w:val="24"/>
        </w:rPr>
      </w:pPr>
      <w:r>
        <w:rPr>
          <w:rFonts w:hint="eastAsia" w:ascii="宋体" w:hAnsi="宋体"/>
          <w:sz w:val="24"/>
          <w:szCs w:val="24"/>
        </w:rPr>
        <w:t>5. 投标商应在投标文件中应提供安装计划、对安装场地和环境的要求。</w:t>
      </w:r>
    </w:p>
    <w:p>
      <w:pPr>
        <w:pStyle w:val="129"/>
        <w:adjustRightInd w:val="0"/>
        <w:spacing w:before="0" w:line="276" w:lineRule="auto"/>
        <w:ind w:firstLine="420"/>
        <w:rPr>
          <w:rFonts w:ascii="宋体" w:hAnsi="宋体"/>
          <w:sz w:val="24"/>
          <w:szCs w:val="24"/>
        </w:rPr>
      </w:pPr>
      <w:r>
        <w:rPr>
          <w:rFonts w:hint="eastAsia" w:ascii="宋体" w:hAnsi="宋体"/>
          <w:sz w:val="24"/>
          <w:szCs w:val="24"/>
        </w:rPr>
        <w:t>（二）质保金：签订合同时，中标人缴纳合同价的</w:t>
      </w:r>
      <w:r>
        <w:rPr>
          <w:rFonts w:hint="eastAsia" w:ascii="宋体" w:hAnsi="宋体"/>
          <w:sz w:val="24"/>
          <w:szCs w:val="24"/>
          <w:lang w:val="en-US" w:eastAsia="zh-CN"/>
        </w:rPr>
        <w:t>1</w:t>
      </w:r>
      <w:r>
        <w:rPr>
          <w:rFonts w:hint="eastAsia" w:ascii="宋体" w:hAnsi="宋体"/>
          <w:sz w:val="24"/>
          <w:szCs w:val="24"/>
        </w:rPr>
        <w:t>%作为履约保证金，验收合格后无息退还。</w:t>
      </w:r>
    </w:p>
    <w:p>
      <w:pPr>
        <w:tabs>
          <w:tab w:val="left" w:pos="540"/>
          <w:tab w:val="left" w:pos="720"/>
        </w:tabs>
        <w:adjustRightInd w:val="0"/>
        <w:spacing w:line="276" w:lineRule="auto"/>
        <w:ind w:firstLine="480" w:firstLineChars="200"/>
        <w:rPr>
          <w:rFonts w:ascii="宋体" w:hAnsi="宋体"/>
          <w:sz w:val="24"/>
          <w:szCs w:val="24"/>
          <w:highlight w:val="yellow"/>
          <w:u w:val="single"/>
        </w:rPr>
      </w:pPr>
      <w:r>
        <w:rPr>
          <w:rFonts w:hint="eastAsia" w:ascii="宋体" w:hAnsi="宋体"/>
          <w:sz w:val="24"/>
          <w:szCs w:val="24"/>
        </w:rPr>
        <w:t>（三）付款方式：</w:t>
      </w:r>
      <w:r>
        <w:rPr>
          <w:rFonts w:hint="eastAsia" w:ascii="宋体" w:hAnsi="宋体"/>
          <w:sz w:val="24"/>
          <w:szCs w:val="24"/>
          <w:highlight w:val="none"/>
        </w:rPr>
        <w:t>项目合同签订后</w:t>
      </w:r>
      <w:r>
        <w:rPr>
          <w:rFonts w:hint="eastAsia" w:ascii="宋体" w:hAnsi="宋体"/>
          <w:sz w:val="24"/>
          <w:szCs w:val="24"/>
          <w:highlight w:val="none"/>
          <w:lang w:val="en-US" w:eastAsia="zh-CN"/>
        </w:rPr>
        <w:t>并具备实施条件7个工件日内</w:t>
      </w:r>
      <w:r>
        <w:rPr>
          <w:rFonts w:hint="eastAsia" w:ascii="宋体" w:hAnsi="宋体"/>
          <w:sz w:val="24"/>
          <w:szCs w:val="24"/>
          <w:highlight w:val="none"/>
        </w:rPr>
        <w:t>支付项目合同价</w:t>
      </w:r>
      <w:r>
        <w:rPr>
          <w:rFonts w:hint="eastAsia" w:ascii="宋体" w:hAnsi="宋体"/>
          <w:sz w:val="24"/>
          <w:szCs w:val="24"/>
          <w:highlight w:val="none"/>
          <w:lang w:val="en-US" w:eastAsia="zh-CN"/>
        </w:rPr>
        <w:t>4</w:t>
      </w:r>
      <w:r>
        <w:rPr>
          <w:rFonts w:hint="eastAsia" w:ascii="宋体" w:hAnsi="宋体"/>
          <w:sz w:val="24"/>
          <w:szCs w:val="24"/>
          <w:highlight w:val="none"/>
        </w:rPr>
        <w:t>0%的预付款，项目全部交付并验收合格后支付项目余下款项。</w:t>
      </w:r>
    </w:p>
    <w:p>
      <w:pPr>
        <w:pStyle w:val="2"/>
        <w:adjustRightInd w:val="0"/>
        <w:spacing w:line="276" w:lineRule="auto"/>
        <w:rPr>
          <w:rFonts w:ascii="宋体" w:hAnsi="宋体" w:eastAsia="宋体" w:cs="宋体"/>
          <w:bCs w:val="0"/>
          <w:kern w:val="0"/>
          <w:sz w:val="24"/>
          <w:szCs w:val="24"/>
        </w:rPr>
      </w:pPr>
      <w:r>
        <w:rPr>
          <w:rFonts w:hint="eastAsia" w:ascii="宋体" w:hAnsi="宋体" w:eastAsia="宋体" w:cs="宋体"/>
          <w:bCs w:val="0"/>
          <w:kern w:val="0"/>
          <w:sz w:val="24"/>
          <w:szCs w:val="24"/>
        </w:rPr>
        <w:t>四、项目验收</w:t>
      </w:r>
    </w:p>
    <w:p>
      <w:pPr>
        <w:adjustRightInd w:val="0"/>
        <w:spacing w:line="276" w:lineRule="auto"/>
        <w:ind w:firstLine="480" w:firstLineChars="200"/>
        <w:rPr>
          <w:rFonts w:ascii="宋体" w:hAnsi="宋体"/>
          <w:sz w:val="24"/>
          <w:szCs w:val="24"/>
        </w:rPr>
      </w:pPr>
      <w:r>
        <w:rPr>
          <w:rFonts w:hint="eastAsia" w:ascii="宋体" w:hAnsi="宋体"/>
          <w:sz w:val="24"/>
          <w:szCs w:val="24"/>
        </w:rPr>
        <w:t>验收分学校验收、县级验收。由桐庐县</w:t>
      </w:r>
      <w:r>
        <w:rPr>
          <w:rFonts w:hint="eastAsia" w:ascii="宋体" w:hAnsi="宋体"/>
          <w:sz w:val="24"/>
          <w:szCs w:val="24"/>
          <w:lang w:val="en-US" w:eastAsia="zh-CN"/>
        </w:rPr>
        <w:t>教育后勤服务中心</w:t>
      </w:r>
      <w:r>
        <w:rPr>
          <w:rFonts w:hint="eastAsia" w:ascii="宋体" w:hAnsi="宋体"/>
          <w:sz w:val="24"/>
          <w:szCs w:val="24"/>
        </w:rPr>
        <w:t>依据相关要求（标准）、采购合同（招标文件）要求制定“计算机验收指南”（简称《指南》）,并分发到设备安装学校。《指南》主要内容：基本配置、主要设备功能和性能、安装要求(含学校安装环境要求)、培训要求、验收程序、验收表等。</w:t>
      </w:r>
    </w:p>
    <w:p>
      <w:pPr>
        <w:adjustRightInd w:val="0"/>
        <w:spacing w:line="276" w:lineRule="auto"/>
        <w:ind w:firstLine="480" w:firstLineChars="200"/>
        <w:rPr>
          <w:rFonts w:ascii="宋体" w:hAnsi="宋体"/>
          <w:sz w:val="24"/>
          <w:szCs w:val="24"/>
        </w:rPr>
      </w:pPr>
      <w:r>
        <w:rPr>
          <w:rFonts w:hint="eastAsia" w:ascii="宋体" w:hAnsi="宋体"/>
          <w:sz w:val="24"/>
          <w:szCs w:val="24"/>
        </w:rPr>
        <w:t>学校验收组所有成员和被验收方代表需签名并加盖公章，</w:t>
      </w:r>
      <w:r>
        <w:rPr>
          <w:rFonts w:hint="eastAsia" w:ascii="宋体" w:hAnsi="宋体"/>
          <w:sz w:val="24"/>
          <w:szCs w:val="24"/>
          <w:lang w:val="en-US" w:eastAsia="zh-CN"/>
        </w:rPr>
        <w:t>后勤中心</w:t>
      </w:r>
      <w:r>
        <w:rPr>
          <w:rFonts w:hint="eastAsia" w:ascii="宋体" w:hAnsi="宋体"/>
          <w:sz w:val="24"/>
          <w:szCs w:val="24"/>
        </w:rPr>
        <w:t>将根据学校验收表组织县级验收。</w:t>
      </w:r>
    </w:p>
    <w:p>
      <w:pPr>
        <w:adjustRightInd w:val="0"/>
        <w:spacing w:line="276" w:lineRule="auto"/>
        <w:ind w:firstLine="480" w:firstLineChars="200"/>
        <w:rPr>
          <w:rFonts w:ascii="宋体" w:hAnsi="宋体"/>
          <w:sz w:val="24"/>
          <w:szCs w:val="24"/>
        </w:rPr>
      </w:pPr>
      <w:r>
        <w:rPr>
          <w:rFonts w:hint="eastAsia" w:ascii="宋体" w:hAnsi="宋体"/>
          <w:color w:val="000000"/>
          <w:sz w:val="24"/>
          <w:szCs w:val="24"/>
          <w:lang w:val="zh-CN"/>
        </w:rPr>
        <w:t>验收中发现设备达不到验收标准或合同规定的性能指标，中标方必须更换设备，并负担由此给用户造成的损失，直到验收合格为止。</w:t>
      </w:r>
    </w:p>
    <w:p>
      <w:pPr>
        <w:pStyle w:val="2"/>
        <w:adjustRightInd w:val="0"/>
        <w:spacing w:line="276" w:lineRule="auto"/>
        <w:rPr>
          <w:rFonts w:ascii="宋体" w:hAnsi="宋体" w:eastAsia="宋体" w:cs="宋体"/>
          <w:bCs w:val="0"/>
          <w:kern w:val="0"/>
          <w:sz w:val="24"/>
          <w:szCs w:val="24"/>
        </w:rPr>
      </w:pPr>
      <w:r>
        <w:rPr>
          <w:rFonts w:hint="eastAsia" w:ascii="宋体" w:hAnsi="宋体" w:eastAsia="宋体" w:cs="宋体"/>
          <w:bCs w:val="0"/>
          <w:kern w:val="0"/>
          <w:sz w:val="24"/>
          <w:szCs w:val="24"/>
        </w:rPr>
        <w:t>五、项目培训</w:t>
      </w:r>
    </w:p>
    <w:p>
      <w:pPr>
        <w:pStyle w:val="5"/>
        <w:tabs>
          <w:tab w:val="left" w:pos="709"/>
          <w:tab w:val="clear" w:pos="900"/>
        </w:tabs>
        <w:spacing w:line="276" w:lineRule="auto"/>
        <w:ind w:left="0" w:firstLine="482" w:firstLineChars="200"/>
        <w:rPr>
          <w:rFonts w:ascii="宋体" w:hAnsi="宋体" w:eastAsia="宋体"/>
          <w:color w:val="auto"/>
          <w:sz w:val="24"/>
          <w:szCs w:val="24"/>
        </w:rPr>
      </w:pPr>
      <w:r>
        <w:rPr>
          <w:rFonts w:hint="eastAsia" w:ascii="宋体" w:hAnsi="宋体" w:eastAsia="宋体"/>
          <w:color w:val="auto"/>
          <w:sz w:val="24"/>
          <w:szCs w:val="24"/>
        </w:rPr>
        <w:t>1.培训要求</w:t>
      </w:r>
    </w:p>
    <w:p>
      <w:pPr>
        <w:autoSpaceDE w:val="0"/>
        <w:autoSpaceDN w:val="0"/>
        <w:adjustRightInd w:val="0"/>
        <w:snapToGrid w:val="0"/>
        <w:spacing w:line="440" w:lineRule="exact"/>
        <w:ind w:firstLine="480" w:firstLineChars="200"/>
        <w:textAlignment w:val="bottom"/>
        <w:rPr>
          <w:rFonts w:ascii="宋体" w:hAnsi="宋体" w:cs="宋体"/>
          <w:sz w:val="24"/>
          <w:szCs w:val="24"/>
        </w:rPr>
      </w:pPr>
      <w:r>
        <w:rPr>
          <w:rFonts w:hint="eastAsia" w:ascii="宋体" w:hAnsi="宋体"/>
          <w:sz w:val="24"/>
          <w:szCs w:val="24"/>
        </w:rPr>
        <w:t>培训是指本项目中标方（工程施工方）免费对安装学校有关技术人员（教师）进行的设备使用操作的培训。具体要求是：以集中培训和个别指导结合的方式，对学校现代教育技术管理老师进行设备操作和设备维护方面的业务知识培训，使之能独立正确操作和维护机房所有设备，能初步判定和解决系统简单故障。</w:t>
      </w:r>
      <w:r>
        <w:rPr>
          <w:rFonts w:hint="eastAsia" w:ascii="宋体" w:hAnsi="宋体"/>
          <w:snapToGrid w:val="0"/>
          <w:kern w:val="0"/>
          <w:sz w:val="24"/>
          <w:szCs w:val="24"/>
        </w:rPr>
        <w:t>投标方应提供相应的培训计划，详细说明培训的方式、地点、人数、</w:t>
      </w:r>
      <w:r>
        <w:rPr>
          <w:rFonts w:hint="eastAsia" w:ascii="宋体" w:hAnsi="宋体"/>
          <w:sz w:val="24"/>
          <w:szCs w:val="24"/>
        </w:rPr>
        <w:t>时间等实质性内容。</w:t>
      </w:r>
    </w:p>
    <w:p>
      <w:pPr>
        <w:pStyle w:val="5"/>
        <w:tabs>
          <w:tab w:val="left" w:pos="709"/>
          <w:tab w:val="clear" w:pos="900"/>
        </w:tabs>
        <w:spacing w:line="276" w:lineRule="auto"/>
        <w:ind w:left="0" w:firstLine="482" w:firstLineChars="200"/>
        <w:rPr>
          <w:rFonts w:ascii="宋体" w:hAnsi="宋体" w:eastAsia="宋体"/>
          <w:color w:val="auto"/>
          <w:sz w:val="24"/>
          <w:szCs w:val="24"/>
        </w:rPr>
      </w:pPr>
      <w:r>
        <w:rPr>
          <w:rFonts w:hint="eastAsia" w:ascii="宋体" w:hAnsi="宋体" w:eastAsia="宋体"/>
          <w:color w:val="auto"/>
          <w:sz w:val="24"/>
          <w:szCs w:val="24"/>
        </w:rPr>
        <w:t>2.培训内容</w:t>
      </w:r>
    </w:p>
    <w:p>
      <w:pPr>
        <w:adjustRightInd w:val="0"/>
        <w:spacing w:line="276" w:lineRule="auto"/>
        <w:ind w:firstLine="480" w:firstLineChars="200"/>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包括系统功能（性能）介绍，设备安装和连线介绍，系统和单个设备操作使用；故障判定和维修联系方式；工程验收和文档交接。</w:t>
      </w:r>
    </w:p>
    <w:p>
      <w:pPr>
        <w:adjustRightInd w:val="0"/>
        <w:spacing w:line="276" w:lineRule="auto"/>
        <w:ind w:firstLine="480" w:firstLineChars="200"/>
        <w:rPr>
          <w:rFonts w:ascii="宋体" w:hAnsi="宋体"/>
          <w:sz w:val="24"/>
          <w:szCs w:val="24"/>
        </w:rPr>
      </w:pPr>
      <w:r>
        <w:rPr>
          <w:rFonts w:hint="eastAsia" w:ascii="宋体" w:hAnsi="宋体"/>
          <w:sz w:val="24"/>
          <w:szCs w:val="24"/>
        </w:rPr>
        <w:t>（2）</w:t>
      </w:r>
      <w:r>
        <w:rPr>
          <w:rFonts w:ascii="宋体" w:hAnsi="宋体"/>
          <w:sz w:val="24"/>
          <w:szCs w:val="24"/>
        </w:rPr>
        <w:t>提供</w:t>
      </w:r>
      <w:r>
        <w:rPr>
          <w:rFonts w:hint="eastAsia" w:ascii="宋体" w:hAnsi="宋体"/>
          <w:sz w:val="24"/>
          <w:szCs w:val="24"/>
        </w:rPr>
        <w:t>设备操作手册。</w:t>
      </w:r>
    </w:p>
    <w:p>
      <w:pPr>
        <w:adjustRightInd w:val="0"/>
        <w:spacing w:line="276" w:lineRule="auto"/>
        <w:ind w:firstLine="482" w:firstLineChars="200"/>
        <w:rPr>
          <w:rFonts w:ascii="宋体" w:hAnsi="宋体" w:cs="宋体"/>
          <w:b/>
          <w:bCs/>
          <w:kern w:val="0"/>
          <w:sz w:val="24"/>
          <w:szCs w:val="24"/>
        </w:rPr>
      </w:pPr>
      <w:r>
        <w:rPr>
          <w:rFonts w:hint="eastAsia" w:ascii="宋体" w:hAnsi="宋体" w:cs="宋体"/>
          <w:b/>
          <w:bCs/>
          <w:kern w:val="0"/>
          <w:sz w:val="24"/>
          <w:szCs w:val="24"/>
        </w:rPr>
        <w:t>六、其它说明</w:t>
      </w:r>
    </w:p>
    <w:p>
      <w:pPr>
        <w:adjustRightInd w:val="0"/>
        <w:spacing w:line="276" w:lineRule="auto"/>
        <w:ind w:firstLine="480" w:firstLineChars="200"/>
        <w:rPr>
          <w:rFonts w:ascii="宋体" w:hAnsi="宋体"/>
          <w:sz w:val="24"/>
          <w:szCs w:val="24"/>
        </w:rPr>
      </w:pPr>
      <w:r>
        <w:rPr>
          <w:rFonts w:hint="eastAsia" w:ascii="宋体" w:hAnsi="宋体"/>
          <w:sz w:val="24"/>
          <w:szCs w:val="24"/>
        </w:rPr>
        <w:t>1.非使用方或非人为原因三个月内某一类硬件损坏10%及以上，则要求供货方更换全部此类硬件。</w:t>
      </w:r>
    </w:p>
    <w:p>
      <w:pPr>
        <w:adjustRightInd w:val="0"/>
        <w:spacing w:line="276" w:lineRule="auto"/>
        <w:ind w:firstLine="480" w:firstLineChars="200"/>
        <w:rPr>
          <w:rFonts w:ascii="宋体" w:hAnsi="宋体"/>
          <w:sz w:val="24"/>
          <w:szCs w:val="24"/>
        </w:rPr>
      </w:pPr>
      <w:r>
        <w:rPr>
          <w:rFonts w:hint="eastAsia" w:ascii="宋体" w:hAnsi="宋体"/>
          <w:sz w:val="24"/>
          <w:szCs w:val="24"/>
        </w:rPr>
        <w:t>2.验收前，防盗保卫等全权由中标方负责；验收后，由学校自己负责；</w:t>
      </w:r>
    </w:p>
    <w:p>
      <w:pPr>
        <w:adjustRightInd w:val="0"/>
        <w:spacing w:line="276" w:lineRule="auto"/>
        <w:ind w:firstLine="480" w:firstLineChars="200"/>
        <w:rPr>
          <w:rFonts w:ascii="宋体" w:hAnsi="宋体"/>
          <w:sz w:val="24"/>
          <w:szCs w:val="24"/>
        </w:rPr>
      </w:pPr>
      <w:r>
        <w:rPr>
          <w:rFonts w:hint="eastAsia" w:ascii="宋体" w:hAnsi="宋体"/>
          <w:sz w:val="24"/>
          <w:szCs w:val="24"/>
        </w:rPr>
        <w:t>3.所供产品需符合中国政府规定的相应技术标准和环保标准。</w:t>
      </w:r>
    </w:p>
    <w:p>
      <w:pPr>
        <w:adjustRightInd w:val="0"/>
        <w:spacing w:line="276" w:lineRule="auto"/>
        <w:ind w:firstLine="480" w:firstLineChars="200"/>
        <w:rPr>
          <w:rFonts w:ascii="宋体" w:hAnsi="宋体" w:cs="宋体"/>
          <w:b/>
          <w:color w:val="000000"/>
          <w:sz w:val="24"/>
          <w:szCs w:val="24"/>
        </w:rPr>
      </w:pPr>
      <w:r>
        <w:rPr>
          <w:rFonts w:hint="eastAsia" w:ascii="宋体" w:hAnsi="宋体"/>
          <w:sz w:val="24"/>
          <w:szCs w:val="24"/>
        </w:rPr>
        <w:t>4.签定合同时必须出具生产厂家免费包修年限承诺证明原件。由于中标方无法提供生产厂家免费包修年限承诺证明原件将导致合同无法签订，</w:t>
      </w:r>
      <w:r>
        <w:rPr>
          <w:rFonts w:hint="eastAsia" w:ascii="宋体" w:hAnsi="宋体"/>
          <w:sz w:val="24"/>
          <w:szCs w:val="24"/>
          <w:highlight w:val="none"/>
        </w:rPr>
        <w:t>由中标人承担相应法律责任。</w:t>
      </w:r>
    </w:p>
    <w:p>
      <w:pPr>
        <w:spacing w:line="360" w:lineRule="auto"/>
        <w:ind w:firstLine="181" w:firstLineChars="50"/>
        <w:rPr>
          <w:rFonts w:ascii="宋体" w:hAnsi="宋体" w:cs="宋体"/>
          <w:b/>
          <w:sz w:val="36"/>
          <w:szCs w:val="36"/>
        </w:rPr>
      </w:pPr>
    </w:p>
    <w:p>
      <w:pPr>
        <w:spacing w:line="360" w:lineRule="auto"/>
        <w:rPr>
          <w:rFonts w:ascii="宋体" w:hAnsi="宋体" w:cs="宋体"/>
          <w:sz w:val="24"/>
        </w:rPr>
      </w:pPr>
    </w:p>
    <w:p>
      <w:pPr>
        <w:widowControl/>
        <w:ind w:firstLine="720" w:firstLineChars="300"/>
        <w:jc w:val="left"/>
        <w:rPr>
          <w:rFonts w:ascii="宋体" w:hAnsi="宋体" w:cs="宋体"/>
          <w:bCs/>
          <w:sz w:val="24"/>
        </w:rPr>
      </w:pPr>
    </w:p>
    <w:p>
      <w:pPr>
        <w:rPr>
          <w:rFonts w:ascii="宋体" w:hAnsi="宋体" w:cs="宋体"/>
          <w:snapToGrid w:val="0"/>
          <w:kern w:val="0"/>
          <w:sz w:val="24"/>
        </w:rPr>
      </w:pPr>
    </w:p>
    <w:p>
      <w:pPr>
        <w:numPr>
          <w:ilvl w:val="0"/>
          <w:numId w:val="5"/>
        </w:numPr>
        <w:snapToGrid w:val="0"/>
        <w:spacing w:line="360" w:lineRule="auto"/>
        <w:jc w:val="center"/>
        <w:rPr>
          <w:rFonts w:hint="eastAsia" w:ascii="宋体" w:hAnsi="宋体" w:cs="宋体"/>
          <w:b/>
          <w:sz w:val="36"/>
          <w:szCs w:val="36"/>
        </w:rPr>
      </w:pPr>
      <w:r>
        <w:rPr>
          <w:rFonts w:hint="eastAsia" w:ascii="宋体" w:hAnsi="宋体" w:cs="宋体"/>
          <w:b/>
          <w:sz w:val="24"/>
        </w:rPr>
        <w:br w:type="page"/>
      </w:r>
      <w:r>
        <w:rPr>
          <w:rFonts w:hint="eastAsia" w:ascii="宋体" w:hAnsi="宋体" w:cs="宋体"/>
          <w:b/>
          <w:sz w:val="36"/>
          <w:szCs w:val="36"/>
        </w:rPr>
        <w:t xml:space="preserve">  </w:t>
      </w:r>
      <w:bookmarkStart w:id="31" w:name="_Toc184310292"/>
      <w:bookmarkEnd w:id="31"/>
      <w:bookmarkStart w:id="32" w:name="_Toc184312110"/>
      <w:bookmarkEnd w:id="32"/>
      <w:bookmarkStart w:id="33" w:name="_Toc184313244"/>
      <w:bookmarkEnd w:id="33"/>
      <w:bookmarkStart w:id="34" w:name="_Toc184314449"/>
      <w:bookmarkEnd w:id="34"/>
      <w:bookmarkStart w:id="35" w:name="_Toc184314414"/>
      <w:bookmarkEnd w:id="35"/>
      <w:bookmarkStart w:id="36" w:name="_Toc184314421"/>
      <w:bookmarkEnd w:id="36"/>
      <w:bookmarkStart w:id="37" w:name="_Toc184312115"/>
      <w:bookmarkEnd w:id="37"/>
      <w:bookmarkStart w:id="38" w:name="_Toc184310299"/>
      <w:bookmarkEnd w:id="38"/>
      <w:bookmarkStart w:id="39" w:name="_Toc184310343"/>
      <w:bookmarkEnd w:id="39"/>
      <w:bookmarkStart w:id="40" w:name="_Toc184314428"/>
      <w:bookmarkEnd w:id="40"/>
      <w:bookmarkStart w:id="41" w:name="_Toc184314472"/>
      <w:bookmarkEnd w:id="41"/>
      <w:bookmarkStart w:id="42" w:name="_Toc184314444"/>
      <w:bookmarkEnd w:id="42"/>
      <w:bookmarkStart w:id="43" w:name="_Toc184312101"/>
      <w:bookmarkEnd w:id="43"/>
      <w:bookmarkStart w:id="44" w:name="_Toc184314455"/>
      <w:bookmarkEnd w:id="44"/>
      <w:bookmarkStart w:id="45" w:name="_Toc184310295"/>
      <w:bookmarkEnd w:id="45"/>
      <w:bookmarkStart w:id="46" w:name="_Toc184308082"/>
      <w:bookmarkEnd w:id="46"/>
      <w:bookmarkStart w:id="47" w:name="_Toc184312080"/>
      <w:bookmarkEnd w:id="47"/>
      <w:bookmarkStart w:id="48" w:name="_Toc184310293"/>
      <w:bookmarkEnd w:id="48"/>
      <w:bookmarkStart w:id="49" w:name="_Toc184310281"/>
      <w:bookmarkEnd w:id="49"/>
      <w:bookmarkStart w:id="50" w:name="_Toc184313269"/>
      <w:bookmarkEnd w:id="50"/>
      <w:bookmarkStart w:id="51" w:name="_Toc184312070"/>
      <w:bookmarkEnd w:id="51"/>
      <w:bookmarkStart w:id="52" w:name="_Toc184310300"/>
      <w:bookmarkEnd w:id="52"/>
      <w:bookmarkStart w:id="53" w:name="_Toc184313302"/>
      <w:bookmarkEnd w:id="53"/>
      <w:bookmarkStart w:id="54" w:name="_Toc184314426"/>
      <w:bookmarkEnd w:id="54"/>
      <w:bookmarkStart w:id="55" w:name="_Toc184308093"/>
      <w:bookmarkEnd w:id="55"/>
      <w:bookmarkStart w:id="56" w:name="_Toc184314430"/>
      <w:bookmarkEnd w:id="56"/>
      <w:bookmarkStart w:id="57" w:name="_Toc184313268"/>
      <w:bookmarkEnd w:id="57"/>
      <w:bookmarkStart w:id="58" w:name="_Toc184312107"/>
      <w:bookmarkEnd w:id="58"/>
      <w:bookmarkStart w:id="59" w:name="_Toc184308050"/>
      <w:bookmarkEnd w:id="59"/>
      <w:bookmarkStart w:id="60" w:name="_Toc184313252"/>
      <w:bookmarkEnd w:id="60"/>
      <w:bookmarkStart w:id="61" w:name="_Toc184313255"/>
      <w:bookmarkEnd w:id="61"/>
      <w:bookmarkStart w:id="62" w:name="_Toc184314471"/>
      <w:bookmarkEnd w:id="62"/>
      <w:bookmarkStart w:id="63" w:name="_Toc184313283"/>
      <w:bookmarkEnd w:id="63"/>
      <w:bookmarkStart w:id="64" w:name="_Toc184312103"/>
      <w:bookmarkEnd w:id="64"/>
      <w:bookmarkStart w:id="65" w:name="_Toc184310313"/>
      <w:bookmarkEnd w:id="65"/>
      <w:bookmarkStart w:id="66" w:name="_Toc184312105"/>
      <w:bookmarkEnd w:id="66"/>
      <w:bookmarkStart w:id="67" w:name="_Toc184313309"/>
      <w:bookmarkEnd w:id="67"/>
      <w:bookmarkStart w:id="68" w:name="_Toc184310320"/>
      <w:bookmarkEnd w:id="68"/>
      <w:bookmarkStart w:id="69" w:name="_Toc184314429"/>
      <w:bookmarkEnd w:id="69"/>
      <w:bookmarkStart w:id="70" w:name="_Toc184308053"/>
      <w:bookmarkEnd w:id="70"/>
      <w:bookmarkStart w:id="71" w:name="_Toc184313240"/>
      <w:bookmarkEnd w:id="71"/>
      <w:bookmarkStart w:id="72" w:name="_Toc184313276"/>
      <w:bookmarkEnd w:id="72"/>
      <w:bookmarkStart w:id="73" w:name="_Toc184308052"/>
      <w:bookmarkEnd w:id="73"/>
      <w:bookmarkStart w:id="74" w:name="_Toc184310332"/>
      <w:bookmarkEnd w:id="74"/>
      <w:bookmarkStart w:id="75" w:name="_Toc184308047"/>
      <w:bookmarkEnd w:id="75"/>
      <w:bookmarkStart w:id="76" w:name="_Toc184310309"/>
      <w:bookmarkEnd w:id="76"/>
      <w:bookmarkStart w:id="77" w:name="_Toc184312126"/>
      <w:bookmarkEnd w:id="77"/>
      <w:bookmarkStart w:id="78" w:name="_Toc184308095"/>
      <w:bookmarkEnd w:id="78"/>
      <w:bookmarkStart w:id="79" w:name="_Toc184313307"/>
      <w:bookmarkEnd w:id="79"/>
      <w:bookmarkStart w:id="80" w:name="_Toc184310315"/>
      <w:bookmarkEnd w:id="80"/>
      <w:bookmarkStart w:id="81" w:name="_Toc184313253"/>
      <w:bookmarkEnd w:id="81"/>
      <w:bookmarkStart w:id="82" w:name="_Toc184312122"/>
      <w:bookmarkEnd w:id="82"/>
      <w:bookmarkStart w:id="83" w:name="_Toc184313279"/>
      <w:bookmarkEnd w:id="83"/>
      <w:bookmarkStart w:id="84" w:name="_Toc184313280"/>
      <w:bookmarkEnd w:id="84"/>
      <w:bookmarkStart w:id="85" w:name="_Toc184308098"/>
      <w:bookmarkEnd w:id="85"/>
      <w:bookmarkStart w:id="86" w:name="_Toc184310330"/>
      <w:bookmarkEnd w:id="86"/>
      <w:bookmarkStart w:id="87" w:name="_Toc184310307"/>
      <w:bookmarkEnd w:id="87"/>
      <w:bookmarkStart w:id="88" w:name="_Toc184312133"/>
      <w:bookmarkEnd w:id="88"/>
      <w:bookmarkStart w:id="89" w:name="_Toc184314454"/>
      <w:bookmarkEnd w:id="89"/>
      <w:bookmarkStart w:id="90" w:name="_Toc184308076"/>
      <w:bookmarkEnd w:id="90"/>
      <w:bookmarkStart w:id="91" w:name="_Toc184313290"/>
      <w:bookmarkEnd w:id="91"/>
      <w:bookmarkStart w:id="92" w:name="_Toc184312131"/>
      <w:bookmarkEnd w:id="92"/>
      <w:bookmarkStart w:id="93" w:name="_Toc184308056"/>
      <w:bookmarkEnd w:id="93"/>
      <w:bookmarkStart w:id="94" w:name="_Toc184313247"/>
      <w:bookmarkEnd w:id="94"/>
      <w:bookmarkStart w:id="95" w:name="_Toc184310329"/>
      <w:bookmarkEnd w:id="95"/>
      <w:bookmarkStart w:id="96" w:name="_Toc184312090"/>
      <w:bookmarkEnd w:id="96"/>
      <w:bookmarkStart w:id="97" w:name="_Toc184308073"/>
      <w:bookmarkEnd w:id="97"/>
      <w:bookmarkStart w:id="98" w:name="_Toc184310338"/>
      <w:bookmarkEnd w:id="98"/>
      <w:bookmarkStart w:id="99" w:name="_Toc184314481"/>
      <w:bookmarkEnd w:id="99"/>
      <w:bookmarkStart w:id="100" w:name="_Toc184314427"/>
      <w:bookmarkEnd w:id="100"/>
      <w:bookmarkStart w:id="101" w:name="_Toc184312128"/>
      <w:bookmarkEnd w:id="101"/>
      <w:bookmarkStart w:id="102" w:name="_Toc184313278"/>
      <w:bookmarkEnd w:id="102"/>
      <w:bookmarkStart w:id="103" w:name="_Toc184308092"/>
      <w:bookmarkEnd w:id="103"/>
      <w:bookmarkStart w:id="104" w:name="_Toc184310327"/>
      <w:bookmarkEnd w:id="104"/>
      <w:bookmarkStart w:id="105" w:name="_Toc184308074"/>
      <w:bookmarkEnd w:id="105"/>
      <w:bookmarkStart w:id="106" w:name="_Toc184310336"/>
      <w:bookmarkEnd w:id="106"/>
      <w:bookmarkStart w:id="107" w:name="_Toc184314469"/>
      <w:bookmarkEnd w:id="107"/>
      <w:bookmarkStart w:id="108" w:name="_Toc184314437"/>
      <w:bookmarkEnd w:id="108"/>
      <w:bookmarkStart w:id="109" w:name="_Toc184308097"/>
      <w:bookmarkEnd w:id="109"/>
      <w:bookmarkStart w:id="110" w:name="_Toc184312118"/>
      <w:bookmarkEnd w:id="110"/>
      <w:bookmarkStart w:id="111" w:name="_Toc184314422"/>
      <w:bookmarkEnd w:id="111"/>
      <w:bookmarkStart w:id="112" w:name="_Toc184308080"/>
      <w:bookmarkEnd w:id="112"/>
      <w:bookmarkStart w:id="113" w:name="_Toc184310302"/>
      <w:bookmarkEnd w:id="113"/>
      <w:bookmarkStart w:id="114" w:name="_Toc184308101"/>
      <w:bookmarkEnd w:id="114"/>
      <w:bookmarkStart w:id="115" w:name="_Toc184314448"/>
      <w:bookmarkEnd w:id="115"/>
      <w:bookmarkStart w:id="116" w:name="_Toc184312124"/>
      <w:bookmarkEnd w:id="116"/>
      <w:bookmarkStart w:id="117" w:name="_Toc184313249"/>
      <w:bookmarkEnd w:id="117"/>
      <w:bookmarkStart w:id="118" w:name="_Toc184313291"/>
      <w:bookmarkEnd w:id="118"/>
      <w:bookmarkStart w:id="119" w:name="_Toc184313296"/>
      <w:bookmarkEnd w:id="119"/>
      <w:bookmarkStart w:id="120" w:name="_Toc184308058"/>
      <w:bookmarkEnd w:id="120"/>
      <w:bookmarkStart w:id="121" w:name="_Toc184313305"/>
      <w:bookmarkEnd w:id="121"/>
      <w:bookmarkStart w:id="122" w:name="_Toc184313289"/>
      <w:bookmarkEnd w:id="122"/>
      <w:bookmarkStart w:id="123" w:name="_Toc184310306"/>
      <w:bookmarkEnd w:id="123"/>
      <w:bookmarkStart w:id="124" w:name="_Toc184308036"/>
      <w:bookmarkEnd w:id="124"/>
      <w:bookmarkStart w:id="125" w:name="_Toc184314410"/>
      <w:bookmarkEnd w:id="125"/>
      <w:bookmarkStart w:id="126" w:name="_Toc184310298"/>
      <w:bookmarkEnd w:id="126"/>
      <w:bookmarkStart w:id="127" w:name="_Toc184308070"/>
      <w:bookmarkEnd w:id="127"/>
      <w:bookmarkStart w:id="128" w:name="_Toc184314464"/>
      <w:bookmarkEnd w:id="128"/>
      <w:bookmarkStart w:id="129" w:name="_Toc184308069"/>
      <w:bookmarkEnd w:id="129"/>
      <w:bookmarkStart w:id="130" w:name="_Toc184314456"/>
      <w:bookmarkEnd w:id="130"/>
      <w:bookmarkStart w:id="131" w:name="_Toc184313297"/>
      <w:bookmarkEnd w:id="131"/>
      <w:bookmarkStart w:id="132" w:name="_Toc184313293"/>
      <w:bookmarkEnd w:id="132"/>
      <w:bookmarkStart w:id="133" w:name="_Toc184308060"/>
      <w:bookmarkEnd w:id="133"/>
      <w:bookmarkStart w:id="134" w:name="_Toc184313250"/>
      <w:bookmarkEnd w:id="134"/>
      <w:bookmarkStart w:id="135" w:name="_Toc184310310"/>
      <w:bookmarkEnd w:id="135"/>
      <w:bookmarkStart w:id="136" w:name="_Toc184308107"/>
      <w:bookmarkEnd w:id="136"/>
      <w:bookmarkStart w:id="137" w:name="_Toc184313286"/>
      <w:bookmarkEnd w:id="137"/>
      <w:bookmarkStart w:id="138" w:name="_Toc184312139"/>
      <w:bookmarkEnd w:id="138"/>
      <w:bookmarkStart w:id="139" w:name="_Toc184312099"/>
      <w:bookmarkEnd w:id="139"/>
      <w:bookmarkStart w:id="140" w:name="_Toc184313262"/>
      <w:bookmarkEnd w:id="140"/>
      <w:bookmarkStart w:id="141" w:name="_Toc184313275"/>
      <w:bookmarkEnd w:id="141"/>
      <w:bookmarkStart w:id="142" w:name="_Toc184310283"/>
      <w:bookmarkEnd w:id="142"/>
      <w:bookmarkStart w:id="143" w:name="_Toc184310318"/>
      <w:bookmarkEnd w:id="143"/>
      <w:bookmarkStart w:id="144" w:name="_Toc184308100"/>
      <w:bookmarkEnd w:id="144"/>
      <w:bookmarkStart w:id="145" w:name="_Toc184313277"/>
      <w:bookmarkEnd w:id="145"/>
      <w:bookmarkStart w:id="146" w:name="_Toc184310289"/>
      <w:bookmarkEnd w:id="146"/>
      <w:bookmarkStart w:id="147" w:name="_Toc184312067"/>
      <w:bookmarkEnd w:id="147"/>
      <w:bookmarkStart w:id="148" w:name="_Toc184313295"/>
      <w:bookmarkEnd w:id="148"/>
      <w:bookmarkStart w:id="149" w:name="_Toc184312138"/>
      <w:bookmarkEnd w:id="149"/>
      <w:bookmarkStart w:id="150" w:name="_Toc184313271"/>
      <w:bookmarkEnd w:id="150"/>
      <w:bookmarkStart w:id="151" w:name="_Toc184314450"/>
      <w:bookmarkEnd w:id="151"/>
      <w:bookmarkStart w:id="152" w:name="_Toc184312085"/>
      <w:bookmarkEnd w:id="152"/>
      <w:bookmarkStart w:id="153" w:name="_Toc184310282"/>
      <w:bookmarkEnd w:id="153"/>
      <w:bookmarkStart w:id="154" w:name="_Toc184310296"/>
      <w:bookmarkEnd w:id="154"/>
      <w:bookmarkStart w:id="155" w:name="_Toc184308045"/>
      <w:bookmarkEnd w:id="155"/>
      <w:bookmarkStart w:id="156" w:name="_Toc184308063"/>
      <w:bookmarkEnd w:id="156"/>
      <w:bookmarkStart w:id="157" w:name="_Toc184314451"/>
      <w:bookmarkEnd w:id="157"/>
      <w:bookmarkStart w:id="158" w:name="_Toc184310312"/>
      <w:bookmarkEnd w:id="158"/>
      <w:bookmarkStart w:id="159" w:name="_Toc184313284"/>
      <w:bookmarkEnd w:id="159"/>
      <w:bookmarkStart w:id="160" w:name="_Toc184313306"/>
      <w:bookmarkEnd w:id="160"/>
      <w:bookmarkStart w:id="161" w:name="_Toc184308041"/>
      <w:bookmarkEnd w:id="161"/>
      <w:bookmarkStart w:id="162" w:name="_Toc184313282"/>
      <w:bookmarkEnd w:id="162"/>
      <w:bookmarkStart w:id="163" w:name="_Toc184310284"/>
      <w:bookmarkEnd w:id="163"/>
      <w:bookmarkStart w:id="164" w:name="_Toc184312079"/>
      <w:bookmarkEnd w:id="164"/>
      <w:bookmarkStart w:id="165" w:name="_Toc184313238"/>
      <w:bookmarkEnd w:id="165"/>
      <w:bookmarkStart w:id="166" w:name="_Toc184310323"/>
      <w:bookmarkEnd w:id="166"/>
      <w:bookmarkStart w:id="167" w:name="_Toc184314460"/>
      <w:bookmarkEnd w:id="167"/>
      <w:bookmarkStart w:id="168" w:name="_Toc184313292"/>
      <w:bookmarkEnd w:id="168"/>
      <w:bookmarkStart w:id="169" w:name="_Toc184312074"/>
      <w:bookmarkEnd w:id="169"/>
      <w:bookmarkStart w:id="170" w:name="_Toc184312102"/>
      <w:bookmarkEnd w:id="170"/>
      <w:bookmarkStart w:id="171" w:name="_Toc184310272"/>
      <w:bookmarkEnd w:id="171"/>
      <w:bookmarkStart w:id="172" w:name="_Toc184310319"/>
      <w:bookmarkEnd w:id="172"/>
      <w:bookmarkStart w:id="173" w:name="_Toc184312081"/>
      <w:bookmarkEnd w:id="173"/>
      <w:bookmarkStart w:id="174" w:name="_Toc184312093"/>
      <w:bookmarkEnd w:id="174"/>
      <w:bookmarkStart w:id="175" w:name="_Toc184313301"/>
      <w:bookmarkEnd w:id="175"/>
      <w:bookmarkStart w:id="176" w:name="_Toc184314442"/>
      <w:bookmarkEnd w:id="176"/>
      <w:bookmarkStart w:id="177" w:name="_Toc184310324"/>
      <w:bookmarkEnd w:id="177"/>
      <w:bookmarkStart w:id="178" w:name="_Toc184314445"/>
      <w:bookmarkEnd w:id="178"/>
      <w:bookmarkStart w:id="179" w:name="_Toc184308066"/>
      <w:bookmarkEnd w:id="179"/>
      <w:bookmarkStart w:id="180" w:name="_Toc184312075"/>
      <w:bookmarkEnd w:id="180"/>
      <w:bookmarkStart w:id="181" w:name="_Toc184312073"/>
      <w:bookmarkEnd w:id="181"/>
      <w:bookmarkStart w:id="182" w:name="_Toc184308096"/>
      <w:bookmarkEnd w:id="182"/>
      <w:bookmarkStart w:id="183" w:name="_Toc184313256"/>
      <w:bookmarkEnd w:id="183"/>
      <w:bookmarkStart w:id="184" w:name="_Toc184310328"/>
      <w:bookmarkEnd w:id="184"/>
      <w:bookmarkStart w:id="185" w:name="_Toc184314482"/>
      <w:bookmarkEnd w:id="185"/>
      <w:bookmarkStart w:id="186" w:name="_Toc184314415"/>
      <w:bookmarkEnd w:id="186"/>
      <w:bookmarkStart w:id="187" w:name="_Toc184310297"/>
      <w:bookmarkEnd w:id="187"/>
      <w:bookmarkStart w:id="188" w:name="_Toc184308039"/>
      <w:bookmarkEnd w:id="188"/>
      <w:bookmarkStart w:id="189" w:name="_Toc184308079"/>
      <w:bookmarkEnd w:id="189"/>
      <w:bookmarkStart w:id="190" w:name="_Toc184314478"/>
      <w:bookmarkEnd w:id="190"/>
      <w:bookmarkStart w:id="191" w:name="_Toc184308044"/>
      <w:bookmarkEnd w:id="191"/>
      <w:bookmarkStart w:id="192" w:name="_Toc184313274"/>
      <w:bookmarkEnd w:id="192"/>
      <w:bookmarkStart w:id="193" w:name="_Toc184314411"/>
      <w:bookmarkEnd w:id="193"/>
      <w:bookmarkStart w:id="194" w:name="_Toc184314420"/>
      <w:bookmarkEnd w:id="194"/>
      <w:bookmarkStart w:id="195" w:name="_Toc184310314"/>
      <w:bookmarkEnd w:id="195"/>
      <w:bookmarkStart w:id="196" w:name="_Toc184310311"/>
      <w:bookmarkEnd w:id="196"/>
      <w:bookmarkStart w:id="197" w:name="_Toc184314418"/>
      <w:bookmarkEnd w:id="197"/>
      <w:bookmarkStart w:id="198" w:name="_Toc184312104"/>
      <w:bookmarkEnd w:id="198"/>
      <w:bookmarkStart w:id="199" w:name="_Toc184308086"/>
      <w:bookmarkEnd w:id="199"/>
      <w:bookmarkStart w:id="200" w:name="_Toc184310316"/>
      <w:bookmarkEnd w:id="200"/>
      <w:bookmarkStart w:id="201" w:name="_Toc184308108"/>
      <w:bookmarkEnd w:id="201"/>
      <w:bookmarkStart w:id="202" w:name="_Toc184314462"/>
      <w:bookmarkEnd w:id="202"/>
      <w:bookmarkStart w:id="203" w:name="_Toc184314432"/>
      <w:bookmarkEnd w:id="203"/>
      <w:bookmarkStart w:id="204" w:name="_Toc184310287"/>
      <w:bookmarkEnd w:id="204"/>
      <w:bookmarkStart w:id="205" w:name="_Toc184312089"/>
      <w:bookmarkEnd w:id="205"/>
      <w:bookmarkStart w:id="206" w:name="_Toc184314473"/>
      <w:bookmarkEnd w:id="206"/>
      <w:bookmarkStart w:id="207" w:name="_Toc184308059"/>
      <w:bookmarkEnd w:id="207"/>
      <w:bookmarkStart w:id="208" w:name="_Toc184313246"/>
      <w:bookmarkEnd w:id="208"/>
      <w:bookmarkStart w:id="209" w:name="_Toc184313265"/>
      <w:bookmarkEnd w:id="209"/>
      <w:bookmarkStart w:id="210" w:name="_Toc184310285"/>
      <w:bookmarkEnd w:id="210"/>
      <w:bookmarkStart w:id="211" w:name="_Toc184312129"/>
      <w:bookmarkEnd w:id="211"/>
      <w:bookmarkStart w:id="212" w:name="_Toc184312078"/>
      <w:bookmarkEnd w:id="212"/>
      <w:bookmarkStart w:id="213" w:name="_Toc184313264"/>
      <w:bookmarkEnd w:id="213"/>
      <w:bookmarkStart w:id="214" w:name="_Toc184313263"/>
      <w:bookmarkEnd w:id="214"/>
      <w:bookmarkStart w:id="215" w:name="_Toc184310294"/>
      <w:bookmarkEnd w:id="215"/>
      <w:bookmarkStart w:id="216" w:name="_Toc184310305"/>
      <w:bookmarkEnd w:id="216"/>
      <w:bookmarkStart w:id="217" w:name="_Toc184314424"/>
      <w:bookmarkEnd w:id="217"/>
      <w:bookmarkStart w:id="218" w:name="_Toc184310280"/>
      <w:bookmarkEnd w:id="218"/>
      <w:bookmarkStart w:id="219" w:name="_Toc184314441"/>
      <w:bookmarkEnd w:id="219"/>
      <w:bookmarkStart w:id="220" w:name="_Toc184308051"/>
      <w:bookmarkEnd w:id="220"/>
      <w:bookmarkStart w:id="221" w:name="_Toc184308072"/>
      <w:bookmarkEnd w:id="221"/>
      <w:bookmarkStart w:id="222" w:name="_Toc184310288"/>
      <w:bookmarkEnd w:id="222"/>
      <w:bookmarkStart w:id="223" w:name="_Toc184310322"/>
      <w:bookmarkEnd w:id="223"/>
      <w:bookmarkStart w:id="224" w:name="_Toc184313288"/>
      <w:bookmarkEnd w:id="224"/>
      <w:bookmarkStart w:id="225" w:name="_Toc184314436"/>
      <w:bookmarkEnd w:id="225"/>
      <w:bookmarkStart w:id="226" w:name="_Toc184313281"/>
      <w:bookmarkEnd w:id="226"/>
      <w:bookmarkStart w:id="227" w:name="_Toc184314476"/>
      <w:bookmarkEnd w:id="227"/>
      <w:bookmarkStart w:id="228" w:name="_Toc184312135"/>
      <w:bookmarkEnd w:id="228"/>
      <w:bookmarkStart w:id="229" w:name="_Toc184314446"/>
      <w:bookmarkEnd w:id="229"/>
      <w:bookmarkStart w:id="230" w:name="_Toc184312091"/>
      <w:bookmarkEnd w:id="230"/>
      <w:bookmarkStart w:id="231" w:name="_Toc184314423"/>
      <w:bookmarkEnd w:id="231"/>
      <w:bookmarkStart w:id="232" w:name="_Toc184314466"/>
      <w:bookmarkEnd w:id="232"/>
      <w:bookmarkStart w:id="233" w:name="_Toc184310340"/>
      <w:bookmarkEnd w:id="233"/>
      <w:bookmarkStart w:id="234" w:name="_Toc184308104"/>
      <w:bookmarkEnd w:id="234"/>
      <w:bookmarkStart w:id="235" w:name="_Toc184313242"/>
      <w:bookmarkEnd w:id="235"/>
      <w:bookmarkStart w:id="236" w:name="_Toc184310334"/>
      <w:bookmarkEnd w:id="236"/>
      <w:bookmarkStart w:id="237" w:name="_Toc184312119"/>
      <w:bookmarkEnd w:id="237"/>
      <w:bookmarkStart w:id="238" w:name="_Toc184313303"/>
      <w:bookmarkEnd w:id="238"/>
      <w:bookmarkStart w:id="239" w:name="_Toc184314435"/>
      <w:bookmarkEnd w:id="239"/>
      <w:bookmarkStart w:id="240" w:name="_Toc184312083"/>
      <w:bookmarkEnd w:id="240"/>
      <w:bookmarkStart w:id="241" w:name="_Toc184308078"/>
      <w:bookmarkEnd w:id="241"/>
      <w:bookmarkStart w:id="242" w:name="_Toc184312125"/>
      <w:bookmarkEnd w:id="242"/>
      <w:bookmarkStart w:id="243" w:name="_Toc184308099"/>
      <w:bookmarkEnd w:id="243"/>
      <w:bookmarkStart w:id="244" w:name="_Toc184313251"/>
      <w:bookmarkEnd w:id="244"/>
      <w:bookmarkStart w:id="245" w:name="_Toc184314413"/>
      <w:bookmarkEnd w:id="245"/>
      <w:bookmarkStart w:id="246" w:name="_Toc184308077"/>
      <w:bookmarkEnd w:id="246"/>
      <w:bookmarkStart w:id="247" w:name="_Toc184310321"/>
      <w:bookmarkEnd w:id="247"/>
      <w:bookmarkStart w:id="248" w:name="_Toc184312071"/>
      <w:bookmarkEnd w:id="248"/>
      <w:bookmarkStart w:id="249" w:name="_Toc184308071"/>
      <w:bookmarkEnd w:id="249"/>
      <w:bookmarkStart w:id="250" w:name="_Toc184314447"/>
      <w:bookmarkEnd w:id="250"/>
      <w:bookmarkStart w:id="251" w:name="_Toc184308067"/>
      <w:bookmarkEnd w:id="251"/>
      <w:bookmarkStart w:id="252" w:name="_Toc184313239"/>
      <w:bookmarkEnd w:id="252"/>
      <w:bookmarkStart w:id="253" w:name="_Toc184313272"/>
      <w:bookmarkEnd w:id="253"/>
      <w:bookmarkStart w:id="254" w:name="_Toc184310333"/>
      <w:bookmarkEnd w:id="254"/>
      <w:bookmarkStart w:id="255" w:name="_Toc184312111"/>
      <w:bookmarkEnd w:id="255"/>
      <w:bookmarkStart w:id="256" w:name="_Toc184314431"/>
      <w:bookmarkEnd w:id="256"/>
      <w:bookmarkStart w:id="257" w:name="_Toc184314479"/>
      <w:bookmarkEnd w:id="257"/>
      <w:bookmarkStart w:id="258" w:name="_Toc184314433"/>
      <w:bookmarkEnd w:id="258"/>
      <w:bookmarkStart w:id="259" w:name="_Toc184313254"/>
      <w:bookmarkEnd w:id="259"/>
      <w:bookmarkStart w:id="260" w:name="_Toc184313243"/>
      <w:bookmarkEnd w:id="260"/>
      <w:bookmarkStart w:id="261" w:name="_Toc184313266"/>
      <w:bookmarkEnd w:id="261"/>
      <w:bookmarkStart w:id="262" w:name="_Toc184310342"/>
      <w:bookmarkEnd w:id="262"/>
      <w:bookmarkStart w:id="263" w:name="_Toc184310339"/>
      <w:bookmarkEnd w:id="263"/>
      <w:bookmarkStart w:id="264" w:name="_Toc184312092"/>
      <w:bookmarkEnd w:id="264"/>
      <w:bookmarkStart w:id="265" w:name="_Toc184310277"/>
      <w:bookmarkEnd w:id="265"/>
      <w:bookmarkStart w:id="266" w:name="_Toc184310344"/>
      <w:bookmarkEnd w:id="266"/>
      <w:bookmarkStart w:id="267" w:name="_Toc184314457"/>
      <w:bookmarkEnd w:id="267"/>
      <w:bookmarkStart w:id="268" w:name="_Toc184314467"/>
      <w:bookmarkEnd w:id="268"/>
      <w:bookmarkStart w:id="269" w:name="_Toc184312127"/>
      <w:bookmarkEnd w:id="269"/>
      <w:bookmarkStart w:id="270" w:name="_Toc184314461"/>
      <w:bookmarkEnd w:id="270"/>
      <w:bookmarkStart w:id="271" w:name="_Toc184313261"/>
      <w:bookmarkEnd w:id="271"/>
      <w:bookmarkStart w:id="272" w:name="_Toc184313245"/>
      <w:bookmarkEnd w:id="272"/>
      <w:bookmarkStart w:id="273" w:name="_Toc184313260"/>
      <w:bookmarkEnd w:id="273"/>
      <w:bookmarkStart w:id="274" w:name="_Toc184312086"/>
      <w:bookmarkEnd w:id="274"/>
      <w:bookmarkStart w:id="275" w:name="_Toc184313259"/>
      <w:bookmarkEnd w:id="275"/>
      <w:bookmarkStart w:id="276" w:name="_Toc184314480"/>
      <w:bookmarkEnd w:id="276"/>
      <w:bookmarkStart w:id="277" w:name="_Toc184310279"/>
      <w:bookmarkEnd w:id="277"/>
      <w:bookmarkStart w:id="278" w:name="_Toc184314434"/>
      <w:bookmarkEnd w:id="278"/>
      <w:bookmarkStart w:id="279" w:name="_Toc184313308"/>
      <w:bookmarkEnd w:id="279"/>
      <w:bookmarkStart w:id="280" w:name="_Toc184308106"/>
      <w:bookmarkEnd w:id="280"/>
      <w:bookmarkStart w:id="281" w:name="_Toc184314417"/>
      <w:bookmarkEnd w:id="281"/>
      <w:bookmarkStart w:id="282" w:name="_Toc184308043"/>
      <w:bookmarkEnd w:id="282"/>
      <w:bookmarkStart w:id="283" w:name="_Toc184308091"/>
      <w:bookmarkEnd w:id="283"/>
      <w:bookmarkStart w:id="284" w:name="_Toc184314463"/>
      <w:bookmarkEnd w:id="284"/>
      <w:bookmarkStart w:id="285" w:name="_Toc184308075"/>
      <w:bookmarkEnd w:id="285"/>
      <w:bookmarkStart w:id="286" w:name="_Toc184313299"/>
      <w:bookmarkEnd w:id="286"/>
      <w:bookmarkStart w:id="287" w:name="_Toc184312095"/>
      <w:bookmarkEnd w:id="287"/>
      <w:bookmarkStart w:id="288" w:name="_Toc184313270"/>
      <w:bookmarkEnd w:id="288"/>
      <w:bookmarkStart w:id="289" w:name="_Toc184312097"/>
      <w:bookmarkEnd w:id="289"/>
      <w:bookmarkStart w:id="290" w:name="_Toc184308089"/>
      <w:bookmarkEnd w:id="290"/>
      <w:bookmarkStart w:id="291" w:name="_Toc184308062"/>
      <w:bookmarkEnd w:id="291"/>
      <w:bookmarkStart w:id="292" w:name="_Toc184310326"/>
      <w:bookmarkEnd w:id="292"/>
      <w:bookmarkStart w:id="293" w:name="_Toc184310303"/>
      <w:bookmarkEnd w:id="293"/>
      <w:bookmarkStart w:id="294" w:name="_Toc184314474"/>
      <w:bookmarkEnd w:id="294"/>
      <w:bookmarkStart w:id="295" w:name="_Toc184308094"/>
      <w:bookmarkEnd w:id="295"/>
      <w:bookmarkStart w:id="296" w:name="_Toc184314477"/>
      <w:bookmarkEnd w:id="296"/>
      <w:bookmarkStart w:id="297" w:name="_Toc184312106"/>
      <w:bookmarkEnd w:id="297"/>
      <w:bookmarkStart w:id="298" w:name="_Toc184308083"/>
      <w:bookmarkEnd w:id="298"/>
      <w:bookmarkStart w:id="299" w:name="_Toc184312082"/>
      <w:bookmarkEnd w:id="299"/>
      <w:bookmarkStart w:id="300" w:name="_Toc184308105"/>
      <w:bookmarkEnd w:id="300"/>
      <w:bookmarkStart w:id="301" w:name="_Toc184308038"/>
      <w:bookmarkEnd w:id="301"/>
      <w:bookmarkStart w:id="302" w:name="_Toc184313294"/>
      <w:bookmarkEnd w:id="302"/>
      <w:bookmarkStart w:id="303" w:name="_Toc184314453"/>
      <w:bookmarkEnd w:id="303"/>
      <w:bookmarkStart w:id="304" w:name="_Toc184310341"/>
      <w:bookmarkEnd w:id="304"/>
      <w:bookmarkStart w:id="305" w:name="_Toc184310276"/>
      <w:bookmarkEnd w:id="305"/>
      <w:bookmarkStart w:id="306" w:name="_Toc184314416"/>
      <w:bookmarkEnd w:id="306"/>
      <w:bookmarkStart w:id="307" w:name="_Toc184313267"/>
      <w:bookmarkEnd w:id="307"/>
      <w:bookmarkStart w:id="308" w:name="_Toc184310274"/>
      <w:bookmarkEnd w:id="308"/>
      <w:bookmarkStart w:id="309" w:name="_Toc184312100"/>
      <w:bookmarkEnd w:id="309"/>
      <w:bookmarkStart w:id="310" w:name="_Toc184308081"/>
      <w:bookmarkEnd w:id="310"/>
      <w:bookmarkStart w:id="311" w:name="_Toc184310335"/>
      <w:bookmarkEnd w:id="311"/>
      <w:bookmarkStart w:id="312" w:name="_Toc184308087"/>
      <w:bookmarkEnd w:id="312"/>
      <w:bookmarkStart w:id="313" w:name="_Toc184312121"/>
      <w:bookmarkEnd w:id="313"/>
      <w:bookmarkStart w:id="314" w:name="_Toc184310290"/>
      <w:bookmarkEnd w:id="314"/>
      <w:bookmarkStart w:id="315" w:name="_Toc184308042"/>
      <w:bookmarkEnd w:id="315"/>
      <w:bookmarkStart w:id="316" w:name="_Toc184308057"/>
      <w:bookmarkEnd w:id="316"/>
      <w:bookmarkStart w:id="317" w:name="_Toc184312137"/>
      <w:bookmarkEnd w:id="317"/>
      <w:bookmarkStart w:id="318" w:name="_Toc184314425"/>
      <w:bookmarkEnd w:id="318"/>
      <w:bookmarkStart w:id="319" w:name="_Toc184312076"/>
      <w:bookmarkEnd w:id="319"/>
      <w:bookmarkStart w:id="320" w:name="_Toc184308040"/>
      <w:bookmarkEnd w:id="320"/>
      <w:bookmarkStart w:id="321" w:name="_Toc184308065"/>
      <w:bookmarkEnd w:id="321"/>
      <w:bookmarkStart w:id="322" w:name="_Toc184314438"/>
      <w:bookmarkEnd w:id="322"/>
      <w:bookmarkStart w:id="323" w:name="_Toc184314439"/>
      <w:bookmarkEnd w:id="323"/>
      <w:bookmarkStart w:id="324" w:name="_Toc184314440"/>
      <w:bookmarkEnd w:id="324"/>
      <w:bookmarkStart w:id="325" w:name="_Toc184310337"/>
      <w:bookmarkEnd w:id="325"/>
      <w:bookmarkStart w:id="326" w:name="_Toc184308061"/>
      <w:bookmarkEnd w:id="326"/>
      <w:bookmarkStart w:id="327" w:name="_Toc184314459"/>
      <w:bookmarkEnd w:id="327"/>
      <w:bookmarkStart w:id="328" w:name="_Toc184312120"/>
      <w:bookmarkEnd w:id="328"/>
      <w:bookmarkStart w:id="329" w:name="_Toc184313257"/>
      <w:bookmarkEnd w:id="329"/>
      <w:bookmarkStart w:id="330" w:name="_Toc184308064"/>
      <w:bookmarkEnd w:id="330"/>
      <w:bookmarkStart w:id="331" w:name="_Toc184312084"/>
      <w:bookmarkEnd w:id="331"/>
      <w:bookmarkStart w:id="332" w:name="_Toc184310291"/>
      <w:bookmarkEnd w:id="332"/>
      <w:bookmarkStart w:id="333" w:name="_Toc184314470"/>
      <w:bookmarkEnd w:id="333"/>
      <w:bookmarkStart w:id="334" w:name="_Toc184310301"/>
      <w:bookmarkEnd w:id="334"/>
      <w:bookmarkStart w:id="335" w:name="_Toc184312123"/>
      <w:bookmarkEnd w:id="335"/>
      <w:bookmarkStart w:id="336" w:name="_Toc184310273"/>
      <w:bookmarkEnd w:id="336"/>
      <w:bookmarkStart w:id="337" w:name="_Toc184308055"/>
      <w:bookmarkEnd w:id="337"/>
      <w:bookmarkStart w:id="338" w:name="_Toc184308103"/>
      <w:bookmarkEnd w:id="338"/>
      <w:bookmarkStart w:id="339" w:name="_Toc184312130"/>
      <w:bookmarkEnd w:id="339"/>
      <w:bookmarkStart w:id="340" w:name="_Toc184313304"/>
      <w:bookmarkEnd w:id="340"/>
      <w:bookmarkStart w:id="341" w:name="_Toc184310278"/>
      <w:bookmarkEnd w:id="341"/>
      <w:bookmarkStart w:id="342" w:name="_Toc184314458"/>
      <w:bookmarkEnd w:id="342"/>
      <w:bookmarkStart w:id="343" w:name="_Toc184312077"/>
      <w:bookmarkEnd w:id="343"/>
      <w:bookmarkStart w:id="344" w:name="_Toc184312108"/>
      <w:bookmarkEnd w:id="344"/>
      <w:bookmarkStart w:id="345" w:name="_Toc184308090"/>
      <w:bookmarkEnd w:id="345"/>
      <w:bookmarkStart w:id="346" w:name="_Toc184313285"/>
      <w:bookmarkEnd w:id="346"/>
      <w:bookmarkStart w:id="347" w:name="_Toc184312112"/>
      <w:bookmarkEnd w:id="347"/>
      <w:bookmarkStart w:id="348" w:name="_Toc184314468"/>
      <w:bookmarkEnd w:id="348"/>
      <w:bookmarkStart w:id="349" w:name="_Toc184313248"/>
      <w:bookmarkEnd w:id="349"/>
      <w:bookmarkStart w:id="350" w:name="_Toc184313287"/>
      <w:bookmarkEnd w:id="350"/>
      <w:bookmarkStart w:id="351" w:name="_Toc184308088"/>
      <w:bookmarkEnd w:id="351"/>
      <w:bookmarkStart w:id="352" w:name="_Toc184310317"/>
      <w:bookmarkEnd w:id="352"/>
      <w:bookmarkStart w:id="353" w:name="_Toc184312068"/>
      <w:bookmarkEnd w:id="353"/>
      <w:bookmarkStart w:id="354" w:name="_Toc184310331"/>
      <w:bookmarkEnd w:id="354"/>
      <w:bookmarkStart w:id="355" w:name="_Toc184314443"/>
      <w:bookmarkEnd w:id="355"/>
      <w:bookmarkStart w:id="356" w:name="_Toc184312109"/>
      <w:bookmarkEnd w:id="356"/>
      <w:bookmarkStart w:id="357" w:name="_Toc184313241"/>
      <w:bookmarkEnd w:id="357"/>
      <w:bookmarkStart w:id="358" w:name="_Toc184308048"/>
      <w:bookmarkEnd w:id="358"/>
      <w:bookmarkStart w:id="359" w:name="_Toc184312087"/>
      <w:bookmarkEnd w:id="359"/>
      <w:bookmarkStart w:id="360" w:name="_Toc184312117"/>
      <w:bookmarkEnd w:id="360"/>
      <w:bookmarkStart w:id="361" w:name="_Toc184313300"/>
      <w:bookmarkEnd w:id="361"/>
      <w:bookmarkStart w:id="362" w:name="_Toc184308084"/>
      <w:bookmarkEnd w:id="362"/>
      <w:bookmarkStart w:id="363" w:name="_Toc184308049"/>
      <w:bookmarkEnd w:id="363"/>
      <w:bookmarkStart w:id="364" w:name="_Toc184312088"/>
      <w:bookmarkEnd w:id="364"/>
      <w:bookmarkStart w:id="365" w:name="_Toc184310325"/>
      <w:bookmarkEnd w:id="365"/>
      <w:bookmarkStart w:id="366" w:name="_Toc184313310"/>
      <w:bookmarkEnd w:id="366"/>
      <w:bookmarkStart w:id="367" w:name="_Toc184308068"/>
      <w:bookmarkEnd w:id="367"/>
      <w:bookmarkStart w:id="368" w:name="_Toc184308037"/>
      <w:bookmarkEnd w:id="368"/>
      <w:bookmarkStart w:id="369" w:name="_Toc184312069"/>
      <w:bookmarkEnd w:id="369"/>
      <w:bookmarkStart w:id="370" w:name="_Toc184312116"/>
      <w:bookmarkEnd w:id="370"/>
      <w:bookmarkStart w:id="371" w:name="_Toc184314419"/>
      <w:bookmarkEnd w:id="371"/>
      <w:bookmarkStart w:id="372" w:name="_Toc184314412"/>
      <w:bookmarkEnd w:id="372"/>
      <w:bookmarkStart w:id="373" w:name="_Toc184310275"/>
      <w:bookmarkEnd w:id="373"/>
      <w:bookmarkStart w:id="374" w:name="_Toc184313273"/>
      <w:bookmarkEnd w:id="374"/>
      <w:bookmarkStart w:id="375" w:name="_Toc184308054"/>
      <w:bookmarkEnd w:id="375"/>
      <w:bookmarkStart w:id="376" w:name="_Toc184312114"/>
      <w:bookmarkEnd w:id="376"/>
      <w:bookmarkStart w:id="377" w:name="_Toc184313258"/>
      <w:bookmarkEnd w:id="377"/>
      <w:bookmarkStart w:id="378" w:name="_Toc184310308"/>
      <w:bookmarkEnd w:id="378"/>
      <w:bookmarkStart w:id="379" w:name="_Toc184310304"/>
      <w:bookmarkEnd w:id="379"/>
      <w:bookmarkStart w:id="380" w:name="_Toc184314475"/>
      <w:bookmarkEnd w:id="380"/>
      <w:bookmarkStart w:id="381" w:name="_Toc184314452"/>
      <w:bookmarkEnd w:id="381"/>
      <w:bookmarkStart w:id="382" w:name="_Toc184314465"/>
      <w:bookmarkEnd w:id="382"/>
      <w:bookmarkStart w:id="383" w:name="_Toc184312072"/>
      <w:bookmarkEnd w:id="383"/>
      <w:bookmarkStart w:id="384" w:name="_Toc184312098"/>
      <w:bookmarkEnd w:id="384"/>
      <w:bookmarkStart w:id="385" w:name="_Toc184308102"/>
      <w:bookmarkEnd w:id="385"/>
      <w:bookmarkStart w:id="386" w:name="_Toc184312132"/>
      <w:bookmarkEnd w:id="386"/>
      <w:bookmarkStart w:id="387" w:name="_Toc184312094"/>
      <w:bookmarkEnd w:id="387"/>
      <w:bookmarkStart w:id="388" w:name="_Toc184313298"/>
      <w:bookmarkEnd w:id="388"/>
      <w:bookmarkStart w:id="389" w:name="_Toc184310286"/>
      <w:bookmarkEnd w:id="389"/>
      <w:bookmarkStart w:id="390" w:name="_Toc184312134"/>
      <w:bookmarkEnd w:id="390"/>
      <w:bookmarkStart w:id="391" w:name="_Toc184308046"/>
      <w:bookmarkEnd w:id="391"/>
      <w:bookmarkStart w:id="392" w:name="_Toc184308085"/>
      <w:bookmarkEnd w:id="392"/>
      <w:bookmarkStart w:id="393" w:name="_Toc184312136"/>
      <w:bookmarkEnd w:id="393"/>
      <w:bookmarkStart w:id="394" w:name="_Toc184312096"/>
      <w:bookmarkEnd w:id="394"/>
      <w:bookmarkStart w:id="395" w:name="_Toc184312113"/>
      <w:bookmarkEnd w:id="395"/>
      <w:r>
        <w:rPr>
          <w:rFonts w:hint="eastAsia" w:ascii="宋体" w:hAnsi="宋体" w:cs="宋体"/>
          <w:b/>
          <w:sz w:val="36"/>
          <w:szCs w:val="36"/>
        </w:rPr>
        <w:t>评标办法</w:t>
      </w:r>
    </w:p>
    <w:p>
      <w:pPr>
        <w:snapToGrid w:val="0"/>
        <w:spacing w:line="360" w:lineRule="auto"/>
        <w:jc w:val="center"/>
        <w:rPr>
          <w:rFonts w:hint="eastAsia"/>
        </w:rPr>
      </w:pPr>
      <w:r>
        <w:rPr>
          <w:rFonts w:hint="eastAsia" w:ascii="宋体" w:hAnsi="宋体" w:cs="宋体"/>
          <w:b/>
          <w:sz w:val="32"/>
          <w:szCs w:val="20"/>
        </w:rPr>
        <w:t>评标办法前附表</w:t>
      </w:r>
    </w:p>
    <w:tbl>
      <w:tblPr>
        <w:tblStyle w:val="63"/>
        <w:tblpPr w:leftFromText="180" w:rightFromText="180" w:vertAnchor="text" w:horzAnchor="page" w:tblpX="1031" w:tblpY="126"/>
        <w:tblW w:w="52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5689"/>
        <w:gridCol w:w="720"/>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468" w:type="pct"/>
            <w:vAlign w:val="center"/>
          </w:tcPr>
          <w:p>
            <w:pPr>
              <w:spacing w:line="360" w:lineRule="auto"/>
              <w:jc w:val="center"/>
              <w:outlineLvl w:val="0"/>
              <w:rPr>
                <w:rFonts w:ascii="宋体" w:hAnsi="宋体" w:cs="宋体"/>
                <w:bCs/>
                <w:sz w:val="24"/>
              </w:rPr>
            </w:pPr>
            <w:r>
              <w:rPr>
                <w:rFonts w:hint="eastAsia" w:ascii="宋体" w:hAnsi="宋体" w:cs="宋体"/>
                <w:bCs/>
                <w:sz w:val="24"/>
              </w:rPr>
              <w:t>序号</w:t>
            </w:r>
          </w:p>
        </w:tc>
        <w:tc>
          <w:tcPr>
            <w:tcW w:w="3190" w:type="pct"/>
            <w:vAlign w:val="center"/>
          </w:tcPr>
          <w:p>
            <w:pPr>
              <w:spacing w:line="360" w:lineRule="auto"/>
              <w:ind w:firstLine="1560" w:firstLineChars="650"/>
              <w:outlineLvl w:val="0"/>
              <w:rPr>
                <w:rFonts w:ascii="宋体" w:hAnsi="宋体" w:cs="宋体"/>
                <w:bCs/>
                <w:sz w:val="24"/>
              </w:rPr>
            </w:pPr>
            <w:r>
              <w:rPr>
                <w:rFonts w:hint="eastAsia" w:ascii="宋体" w:hAnsi="宋体" w:cs="宋体"/>
                <w:bCs/>
                <w:sz w:val="24"/>
              </w:rPr>
              <w:t>评标标准</w:t>
            </w:r>
          </w:p>
        </w:tc>
        <w:tc>
          <w:tcPr>
            <w:tcW w:w="403" w:type="pct"/>
            <w:vAlign w:val="center"/>
          </w:tcPr>
          <w:p>
            <w:pPr>
              <w:spacing w:line="360" w:lineRule="auto"/>
              <w:outlineLvl w:val="0"/>
              <w:rPr>
                <w:rFonts w:ascii="宋体" w:hAnsi="宋体" w:cs="宋体"/>
                <w:bCs/>
                <w:sz w:val="24"/>
              </w:rPr>
            </w:pPr>
            <w:r>
              <w:rPr>
                <w:rFonts w:hint="eastAsia" w:ascii="宋体" w:hAnsi="宋体" w:cs="宋体"/>
                <w:bCs/>
                <w:sz w:val="24"/>
              </w:rPr>
              <w:t>权重</w:t>
            </w:r>
          </w:p>
        </w:tc>
        <w:tc>
          <w:tcPr>
            <w:tcW w:w="937" w:type="pct"/>
          </w:tcPr>
          <w:p>
            <w:pPr>
              <w:spacing w:line="360" w:lineRule="auto"/>
              <w:outlineLvl w:val="0"/>
              <w:rPr>
                <w:rFonts w:ascii="宋体" w:hAnsi="宋体" w:cs="宋体"/>
                <w:bCs/>
                <w:sz w:val="24"/>
              </w:rPr>
            </w:pPr>
            <w:r>
              <w:rPr>
                <w:rFonts w:hint="eastAsia" w:ascii="宋体" w:hAnsi="宋体" w:cs="宋体"/>
                <w:bCs/>
                <w:sz w:val="24"/>
              </w:rPr>
              <w:t>投标文件中评标标准相应的商务技术资料目录</w:t>
            </w:r>
            <w:r>
              <w:rPr>
                <w:rFonts w:hint="eastAsia" w:ascii="宋体" w:hAnsi="宋体" w:cs="宋体"/>
                <w:sz w:val="24"/>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468" w:type="pct"/>
            <w:vAlign w:val="center"/>
          </w:tcPr>
          <w:p>
            <w:pPr>
              <w:spacing w:line="360" w:lineRule="auto"/>
              <w:ind w:firstLine="360" w:firstLineChars="150"/>
              <w:jc w:val="left"/>
              <w:outlineLvl w:val="0"/>
              <w:rPr>
                <w:rFonts w:ascii="宋体" w:hAnsi="宋体" w:cs="宋体"/>
                <w:sz w:val="24"/>
              </w:rPr>
            </w:pPr>
            <w:r>
              <w:rPr>
                <w:rFonts w:hint="eastAsia" w:ascii="宋体" w:hAnsi="宋体" w:cs="宋体"/>
                <w:sz w:val="24"/>
              </w:rPr>
              <w:t>1</w:t>
            </w:r>
          </w:p>
        </w:tc>
        <w:tc>
          <w:tcPr>
            <w:tcW w:w="3190" w:type="pct"/>
            <w:vAlign w:val="center"/>
          </w:tcPr>
          <w:p>
            <w:pPr>
              <w:tabs>
                <w:tab w:val="left" w:pos="3870"/>
                <w:tab w:val="left" w:pos="4085"/>
              </w:tabs>
              <w:autoSpaceDE w:val="0"/>
              <w:autoSpaceDN w:val="0"/>
              <w:adjustRightInd w:val="0"/>
              <w:spacing w:line="360" w:lineRule="auto"/>
              <w:jc w:val="left"/>
              <w:rPr>
                <w:sz w:val="24"/>
                <w:szCs w:val="24"/>
              </w:rPr>
            </w:pPr>
            <w:r>
              <w:rPr>
                <w:rFonts w:hint="eastAsia"/>
                <w:sz w:val="24"/>
                <w:szCs w:val="24"/>
              </w:rPr>
              <w:t>投标产品关键技术指标</w:t>
            </w:r>
            <w:r>
              <w:rPr>
                <w:rFonts w:hint="eastAsia"/>
                <w:sz w:val="24"/>
                <w:szCs w:val="24"/>
                <w:lang w:val="en-US" w:eastAsia="zh-CN"/>
              </w:rPr>
              <w:t>实质性条款</w:t>
            </w:r>
            <w:r>
              <w:rPr>
                <w:rFonts w:hint="eastAsia"/>
                <w:sz w:val="24"/>
                <w:szCs w:val="24"/>
              </w:rPr>
              <w:t>（标有“</w:t>
            </w:r>
            <w:r>
              <w:rPr>
                <w:rFonts w:hint="eastAsia"/>
                <w:sz w:val="24"/>
                <w:szCs w:val="24"/>
                <w:lang w:eastAsia="zh-CN"/>
              </w:rPr>
              <w:t>▲</w:t>
            </w:r>
            <w:r>
              <w:rPr>
                <w:rFonts w:hint="eastAsia"/>
                <w:sz w:val="24"/>
                <w:szCs w:val="24"/>
              </w:rPr>
              <w:t>”的指标）必须满足，负偏离的作废标处理。</w:t>
            </w:r>
          </w:p>
          <w:p>
            <w:pPr>
              <w:tabs>
                <w:tab w:val="left" w:pos="3870"/>
                <w:tab w:val="left" w:pos="4085"/>
              </w:tabs>
              <w:autoSpaceDE w:val="0"/>
              <w:autoSpaceDN w:val="0"/>
              <w:spacing w:line="360" w:lineRule="auto"/>
              <w:jc w:val="left"/>
              <w:outlineLvl w:val="9"/>
              <w:rPr>
                <w:rFonts w:hint="eastAsia" w:ascii="宋体" w:hAnsi="宋体" w:eastAsia="宋体" w:cs="宋体"/>
                <w:sz w:val="24"/>
                <w:lang w:eastAsia="zh-CN"/>
              </w:rPr>
            </w:pPr>
            <w:r>
              <w:rPr>
                <w:rFonts w:hint="eastAsia"/>
                <w:sz w:val="24"/>
                <w:szCs w:val="24"/>
              </w:rPr>
              <w:t>1.符合明确指标参数（包括所投标产品详细配置、主要技术参数等）得1</w:t>
            </w:r>
            <w:r>
              <w:rPr>
                <w:rFonts w:hint="eastAsia"/>
                <w:sz w:val="24"/>
                <w:szCs w:val="24"/>
                <w:lang w:val="en-US" w:eastAsia="zh-CN"/>
              </w:rPr>
              <w:t>6</w:t>
            </w:r>
            <w:r>
              <w:rPr>
                <w:rFonts w:hint="eastAsia"/>
                <w:sz w:val="24"/>
                <w:szCs w:val="24"/>
              </w:rPr>
              <w:t>分。 对非实质性指标有不符合招标需求的或缺漏项的每项扣2分，扣完为止。</w:t>
            </w:r>
            <w:r>
              <w:rPr>
                <w:rFonts w:hint="eastAsia"/>
                <w:sz w:val="24"/>
                <w:szCs w:val="24"/>
                <w:lang w:val="en-US" w:eastAsia="zh-CN"/>
              </w:rPr>
              <w:t>需</w:t>
            </w:r>
            <w:r>
              <w:rPr>
                <w:rFonts w:hint="eastAsia"/>
                <w:color w:val="auto"/>
                <w:sz w:val="24"/>
                <w:szCs w:val="24"/>
                <w:highlight w:val="none"/>
              </w:rPr>
              <w:t>提供所投设备（计算机、笔记本）的详细性能指标、参数、品牌、型号及证明货物质量合格及符合招标需求的证明资料</w:t>
            </w:r>
            <w:r>
              <w:rPr>
                <w:rFonts w:hint="eastAsia"/>
                <w:color w:val="auto"/>
                <w:sz w:val="24"/>
                <w:szCs w:val="24"/>
                <w:highlight w:val="none"/>
                <w:lang w:val="en-US" w:eastAsia="zh-CN"/>
              </w:rPr>
              <w:t>予以佐证</w:t>
            </w:r>
            <w:r>
              <w:rPr>
                <w:rFonts w:hint="eastAsia"/>
                <w:color w:val="auto"/>
                <w:sz w:val="24"/>
                <w:szCs w:val="24"/>
                <w:highlight w:val="none"/>
              </w:rPr>
              <w:t>（原厂产品说明书或产品官方网站截图及链接）</w:t>
            </w:r>
            <w:r>
              <w:rPr>
                <w:rFonts w:hint="eastAsia"/>
                <w:color w:val="auto"/>
                <w:sz w:val="24"/>
                <w:szCs w:val="24"/>
                <w:highlight w:val="none"/>
                <w:lang w:eastAsia="zh-CN"/>
              </w:rPr>
              <w:t>。</w:t>
            </w:r>
          </w:p>
        </w:tc>
        <w:tc>
          <w:tcPr>
            <w:tcW w:w="403" w:type="pct"/>
          </w:tcPr>
          <w:p>
            <w:pPr>
              <w:rPr>
                <w:rFonts w:ascii="宋体" w:hAnsi="宋体" w:cs="宋体"/>
              </w:rPr>
            </w:pPr>
          </w:p>
          <w:p>
            <w:pPr>
              <w:spacing w:line="360" w:lineRule="auto"/>
              <w:ind w:firstLine="240" w:firstLineChars="100"/>
              <w:outlineLvl w:val="0"/>
              <w:rPr>
                <w:rFonts w:hint="default" w:ascii="宋体" w:hAnsi="宋体" w:eastAsia="宋体" w:cs="宋体"/>
                <w:sz w:val="24"/>
                <w:lang w:val="en-US" w:eastAsia="zh-CN"/>
              </w:rPr>
            </w:pPr>
            <w:r>
              <w:rPr>
                <w:rFonts w:hint="eastAsia" w:ascii="宋体" w:hAnsi="宋体" w:cs="宋体"/>
                <w:sz w:val="24"/>
                <w:lang w:val="en-US" w:eastAsia="zh-CN"/>
              </w:rPr>
              <w:t>16</w:t>
            </w:r>
          </w:p>
        </w:tc>
        <w:tc>
          <w:tcPr>
            <w:tcW w:w="937" w:type="pct"/>
            <w:vAlign w:val="center"/>
          </w:tcPr>
          <w:p>
            <w:pPr>
              <w:spacing w:line="360" w:lineRule="auto"/>
              <w:jc w:val="center"/>
              <w:outlineLvl w:val="0"/>
              <w:rPr>
                <w:rFonts w:ascii="宋体" w:hAnsi="宋体" w:cs="宋体"/>
                <w:sz w:val="24"/>
              </w:rPr>
            </w:pPr>
            <w:r>
              <w:rPr>
                <w:rFonts w:hint="eastAsia" w:ascii="宋体" w:hAnsi="宋体"/>
                <w:color w:val="000000"/>
                <w:sz w:val="24"/>
                <w:szCs w:val="24"/>
                <w:lang w:val="en-US" w:eastAsia="zh-CN"/>
              </w:rPr>
              <w:t>（一）投标产品</w:t>
            </w:r>
            <w:r>
              <w:rPr>
                <w:rFonts w:hint="eastAsia" w:ascii="宋体" w:hAnsi="宋体"/>
                <w:color w:val="000000"/>
                <w:sz w:val="24"/>
                <w:szCs w:val="24"/>
              </w:rPr>
              <w:t>技术指标、品牌、性能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468" w:type="pct"/>
            <w:vAlign w:val="center"/>
          </w:tcPr>
          <w:p>
            <w:pPr>
              <w:spacing w:line="360" w:lineRule="auto"/>
              <w:ind w:firstLine="360" w:firstLineChars="150"/>
              <w:jc w:val="left"/>
              <w:outlineLvl w:val="0"/>
              <w:rPr>
                <w:rFonts w:ascii="宋体" w:hAnsi="宋体" w:cs="宋体"/>
                <w:sz w:val="24"/>
              </w:rPr>
            </w:pPr>
            <w:r>
              <w:rPr>
                <w:rFonts w:hint="eastAsia" w:ascii="宋体" w:hAnsi="宋体" w:cs="宋体"/>
                <w:sz w:val="24"/>
              </w:rPr>
              <w:t>2</w:t>
            </w:r>
          </w:p>
        </w:tc>
        <w:tc>
          <w:tcPr>
            <w:tcW w:w="3190" w:type="pct"/>
            <w:vAlign w:val="center"/>
          </w:tcPr>
          <w:p>
            <w:pPr>
              <w:spacing w:line="360" w:lineRule="auto"/>
              <w:outlineLvl w:val="0"/>
              <w:rPr>
                <w:rFonts w:ascii="宋体" w:hAnsi="宋体" w:cs="宋体"/>
                <w:sz w:val="24"/>
              </w:rPr>
            </w:pPr>
            <w:r>
              <w:rPr>
                <w:rFonts w:hint="eastAsia"/>
                <w:color w:val="auto"/>
                <w:sz w:val="24"/>
                <w:szCs w:val="24"/>
              </w:rPr>
              <w:t>笔记本电脑（仅限笔记本电脑，其他项均无正偏离）按CPU第十</w:t>
            </w:r>
            <w:r>
              <w:rPr>
                <w:rFonts w:hint="eastAsia"/>
                <w:color w:val="auto"/>
                <w:sz w:val="24"/>
                <w:szCs w:val="24"/>
                <w:lang w:val="en-US" w:eastAsia="zh-CN"/>
              </w:rPr>
              <w:t>二</w:t>
            </w:r>
            <w:r>
              <w:rPr>
                <w:rFonts w:hint="eastAsia"/>
                <w:color w:val="auto"/>
                <w:sz w:val="24"/>
                <w:szCs w:val="24"/>
              </w:rPr>
              <w:t>代英特尔®酷睿</w:t>
            </w:r>
            <w:r>
              <w:rPr>
                <w:color w:val="auto"/>
                <w:sz w:val="24"/>
                <w:szCs w:val="24"/>
              </w:rPr>
              <w:t>i5</w:t>
            </w:r>
            <w:r>
              <w:rPr>
                <w:rFonts w:hint="eastAsia"/>
                <w:color w:val="auto"/>
                <w:sz w:val="24"/>
                <w:szCs w:val="24"/>
              </w:rPr>
              <w:t>处理器或以上</w:t>
            </w:r>
            <w:r>
              <w:rPr>
                <w:rFonts w:hint="eastAsia"/>
                <w:color w:val="auto"/>
                <w:sz w:val="24"/>
                <w:szCs w:val="24"/>
                <w:lang w:val="en-US" w:eastAsia="zh-CN"/>
              </w:rPr>
              <w:t>加1分；</w:t>
            </w:r>
            <w:r>
              <w:rPr>
                <w:rFonts w:hint="eastAsia"/>
                <w:color w:val="auto"/>
                <w:sz w:val="24"/>
                <w:szCs w:val="24"/>
              </w:rPr>
              <w:t>内存≥</w:t>
            </w:r>
            <w:r>
              <w:rPr>
                <w:rFonts w:hint="eastAsia"/>
                <w:color w:val="auto"/>
                <w:sz w:val="24"/>
                <w:szCs w:val="24"/>
                <w:lang w:val="en-US" w:eastAsia="zh-CN"/>
              </w:rPr>
              <w:t>16</w:t>
            </w:r>
            <w:r>
              <w:rPr>
                <w:rFonts w:hint="eastAsia"/>
                <w:color w:val="auto"/>
                <w:sz w:val="24"/>
                <w:szCs w:val="24"/>
              </w:rPr>
              <w:t>GB</w:t>
            </w:r>
            <w:r>
              <w:rPr>
                <w:rFonts w:hint="eastAsia"/>
                <w:color w:val="auto"/>
                <w:sz w:val="24"/>
                <w:szCs w:val="24"/>
                <w:lang w:val="en-US" w:eastAsia="zh-CN"/>
              </w:rPr>
              <w:t>加1分；</w:t>
            </w:r>
            <w:r>
              <w:rPr>
                <w:rFonts w:hint="eastAsia"/>
                <w:color w:val="auto"/>
                <w:sz w:val="24"/>
                <w:szCs w:val="24"/>
              </w:rPr>
              <w:t>硬盘</w:t>
            </w:r>
            <w:r>
              <w:rPr>
                <w:rFonts w:hint="eastAsia"/>
                <w:color w:val="auto"/>
                <w:sz w:val="24"/>
                <w:szCs w:val="24"/>
                <w:lang w:val="en-US" w:eastAsia="zh-CN"/>
              </w:rPr>
              <w:t>加配</w:t>
            </w:r>
            <w:r>
              <w:rPr>
                <w:rFonts w:hint="eastAsia"/>
                <w:color w:val="auto"/>
                <w:sz w:val="24"/>
                <w:szCs w:val="24"/>
              </w:rPr>
              <w:t>≥</w:t>
            </w:r>
            <w:r>
              <w:rPr>
                <w:color w:val="auto"/>
                <w:sz w:val="24"/>
                <w:szCs w:val="24"/>
              </w:rPr>
              <w:t>512G</w:t>
            </w:r>
            <w:r>
              <w:rPr>
                <w:rFonts w:hint="eastAsia"/>
                <w:color w:val="auto"/>
                <w:sz w:val="24"/>
                <w:szCs w:val="24"/>
                <w:lang w:val="en-US" w:eastAsia="zh-CN"/>
              </w:rPr>
              <w:t>机械</w:t>
            </w:r>
            <w:r>
              <w:rPr>
                <w:rFonts w:hint="eastAsia"/>
                <w:color w:val="auto"/>
                <w:sz w:val="24"/>
                <w:szCs w:val="24"/>
              </w:rPr>
              <w:t>硬盘</w:t>
            </w:r>
            <w:r>
              <w:rPr>
                <w:rFonts w:hint="eastAsia"/>
                <w:color w:val="auto"/>
                <w:sz w:val="24"/>
                <w:szCs w:val="24"/>
                <w:lang w:val="en-US" w:eastAsia="zh-CN"/>
              </w:rPr>
              <w:t>加1分。</w:t>
            </w:r>
            <w:r>
              <w:rPr>
                <w:rFonts w:hint="eastAsia"/>
                <w:color w:val="auto"/>
                <w:sz w:val="24"/>
                <w:szCs w:val="24"/>
              </w:rPr>
              <w:t>最高得3分。</w:t>
            </w:r>
            <w:r>
              <w:rPr>
                <w:rFonts w:hint="eastAsia"/>
                <w:color w:val="auto"/>
                <w:sz w:val="24"/>
                <w:szCs w:val="24"/>
                <w:lang w:val="en-US" w:eastAsia="zh-CN"/>
              </w:rPr>
              <w:t>（以上必须为原厂出品）</w:t>
            </w:r>
          </w:p>
        </w:tc>
        <w:tc>
          <w:tcPr>
            <w:tcW w:w="403" w:type="pct"/>
          </w:tcPr>
          <w:p>
            <w:pPr>
              <w:rPr>
                <w:rFonts w:ascii="宋体" w:hAnsi="宋体" w:cs="宋体"/>
              </w:rPr>
            </w:pPr>
          </w:p>
          <w:p>
            <w:pPr>
              <w:spacing w:line="360" w:lineRule="auto"/>
              <w:ind w:firstLine="240" w:firstLineChars="100"/>
              <w:outlineLvl w:val="0"/>
              <w:rPr>
                <w:rFonts w:hint="eastAsia" w:ascii="宋体" w:hAnsi="宋体" w:eastAsia="宋体" w:cs="宋体"/>
                <w:sz w:val="24"/>
                <w:lang w:val="en-US" w:eastAsia="zh-CN"/>
              </w:rPr>
            </w:pPr>
            <w:r>
              <w:rPr>
                <w:rFonts w:hint="eastAsia" w:ascii="宋体" w:hAnsi="宋体" w:cs="宋体"/>
                <w:sz w:val="24"/>
                <w:lang w:val="en-US" w:eastAsia="zh-CN"/>
              </w:rPr>
              <w:t>3</w:t>
            </w:r>
          </w:p>
        </w:tc>
        <w:tc>
          <w:tcPr>
            <w:tcW w:w="937" w:type="pct"/>
          </w:tcPr>
          <w:p>
            <w:pPr>
              <w:spacing w:line="360" w:lineRule="auto"/>
              <w:outlineLvl w:val="0"/>
              <w:rPr>
                <w:rFonts w:ascii="宋体" w:hAnsi="宋体" w:cs="宋体"/>
                <w:sz w:val="24"/>
              </w:rPr>
            </w:pPr>
            <w:r>
              <w:rPr>
                <w:rFonts w:hint="eastAsia" w:ascii="宋体" w:hAnsi="宋体"/>
                <w:color w:val="000000"/>
                <w:sz w:val="24"/>
                <w:szCs w:val="24"/>
                <w:lang w:val="en-US" w:eastAsia="zh-CN"/>
              </w:rPr>
              <w:t>（一）投标产品</w:t>
            </w:r>
            <w:r>
              <w:rPr>
                <w:rFonts w:hint="eastAsia" w:ascii="宋体" w:hAnsi="宋体"/>
                <w:color w:val="000000"/>
                <w:sz w:val="24"/>
                <w:szCs w:val="24"/>
              </w:rPr>
              <w:t>技术指标、品牌、性能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68" w:type="pct"/>
            <w:vAlign w:val="center"/>
          </w:tcPr>
          <w:p>
            <w:pPr>
              <w:spacing w:line="360" w:lineRule="auto"/>
              <w:ind w:firstLine="360" w:firstLineChars="150"/>
              <w:jc w:val="left"/>
              <w:outlineLvl w:val="0"/>
              <w:rPr>
                <w:rFonts w:ascii="宋体" w:hAnsi="宋体" w:cs="宋体"/>
                <w:sz w:val="24"/>
              </w:rPr>
            </w:pPr>
            <w:r>
              <w:rPr>
                <w:rFonts w:hint="eastAsia" w:ascii="宋体" w:hAnsi="宋体" w:cs="宋体"/>
                <w:sz w:val="24"/>
              </w:rPr>
              <w:t>3</w:t>
            </w:r>
          </w:p>
        </w:tc>
        <w:tc>
          <w:tcPr>
            <w:tcW w:w="3190" w:type="pct"/>
            <w:vAlign w:val="center"/>
          </w:tcPr>
          <w:p>
            <w:pPr>
              <w:autoSpaceDE w:val="0"/>
              <w:autoSpaceDN w:val="0"/>
              <w:adjustRightInd w:val="0"/>
              <w:spacing w:line="360" w:lineRule="auto"/>
              <w:rPr>
                <w:rFonts w:hint="eastAsia" w:ascii="Times New Roman" w:hAnsi="Times New Roman" w:eastAsia="宋体" w:cs="Times New Roman"/>
                <w:kern w:val="2"/>
                <w:sz w:val="24"/>
                <w:szCs w:val="24"/>
                <w:lang w:val="en-US" w:eastAsia="zh-CN" w:bidi="ar-SA"/>
              </w:rPr>
            </w:pPr>
            <w:r>
              <w:rPr>
                <w:rFonts w:hint="eastAsia"/>
                <w:sz w:val="24"/>
                <w:szCs w:val="24"/>
              </w:rPr>
              <w:t>产品配置合理性情况</w:t>
            </w:r>
            <w:r>
              <w:rPr>
                <w:rFonts w:hint="eastAsia"/>
                <w:sz w:val="24"/>
                <w:szCs w:val="24"/>
                <w:lang w:eastAsia="zh-CN"/>
              </w:rPr>
              <w:t>：</w:t>
            </w:r>
            <w:r>
              <w:rPr>
                <w:rFonts w:hint="eastAsia"/>
                <w:sz w:val="24"/>
                <w:szCs w:val="24"/>
              </w:rPr>
              <w:t>1.所投计算机的选型和配置、外观设计、外部接口布置、材质轻薄的合理性。须提供所投产品实物图片或者产品彩页（标明材质）作为评分依据。</w:t>
            </w:r>
          </w:p>
        </w:tc>
        <w:tc>
          <w:tcPr>
            <w:tcW w:w="403" w:type="pct"/>
          </w:tcPr>
          <w:p>
            <w:pPr>
              <w:rPr>
                <w:rFonts w:ascii="宋体" w:hAnsi="宋体" w:cs="宋体"/>
              </w:rPr>
            </w:pPr>
          </w:p>
          <w:p>
            <w:pPr>
              <w:spacing w:line="360" w:lineRule="auto"/>
              <w:ind w:firstLine="240" w:firstLineChars="100"/>
              <w:outlineLvl w:val="0"/>
              <w:rPr>
                <w:rFonts w:hint="eastAsia" w:ascii="宋体" w:hAnsi="宋体" w:eastAsia="宋体" w:cs="宋体"/>
                <w:sz w:val="24"/>
                <w:lang w:val="en-US" w:eastAsia="zh-CN"/>
              </w:rPr>
            </w:pPr>
            <w:r>
              <w:rPr>
                <w:rFonts w:hint="eastAsia" w:ascii="宋体" w:hAnsi="宋体" w:cs="宋体"/>
                <w:sz w:val="24"/>
                <w:lang w:val="en-US" w:eastAsia="zh-CN"/>
              </w:rPr>
              <w:t>2</w:t>
            </w:r>
          </w:p>
        </w:tc>
        <w:tc>
          <w:tcPr>
            <w:tcW w:w="937" w:type="pct"/>
          </w:tcPr>
          <w:p>
            <w:pPr>
              <w:spacing w:line="360" w:lineRule="auto"/>
              <w:outlineLvl w:val="0"/>
              <w:rPr>
                <w:rFonts w:ascii="宋体" w:hAnsi="宋体" w:cs="宋体"/>
                <w:sz w:val="24"/>
              </w:rPr>
            </w:pPr>
            <w:r>
              <w:rPr>
                <w:rFonts w:hint="eastAsia" w:ascii="宋体" w:hAnsi="宋体"/>
                <w:color w:val="000000"/>
                <w:sz w:val="24"/>
                <w:szCs w:val="24"/>
                <w:lang w:val="en-US" w:eastAsia="zh-CN"/>
              </w:rPr>
              <w:t>（一）投标产品</w:t>
            </w:r>
            <w:r>
              <w:rPr>
                <w:rFonts w:hint="eastAsia" w:ascii="宋体" w:hAnsi="宋体"/>
                <w:color w:val="000000"/>
                <w:sz w:val="24"/>
                <w:szCs w:val="24"/>
              </w:rPr>
              <w:t>技术指标、品牌、性能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68" w:type="pct"/>
            <w:vAlign w:val="center"/>
          </w:tcPr>
          <w:p>
            <w:pPr>
              <w:spacing w:line="360" w:lineRule="auto"/>
              <w:ind w:firstLine="360" w:firstLineChars="150"/>
              <w:jc w:val="left"/>
              <w:outlineLvl w:val="0"/>
              <w:rPr>
                <w:rFonts w:hint="eastAsia" w:ascii="宋体" w:hAnsi="宋体" w:eastAsia="宋体" w:cs="宋体"/>
                <w:sz w:val="24"/>
                <w:lang w:val="en-US" w:eastAsia="zh-CN"/>
              </w:rPr>
            </w:pPr>
            <w:r>
              <w:rPr>
                <w:rFonts w:hint="eastAsia" w:ascii="宋体" w:hAnsi="宋体" w:cs="宋体"/>
                <w:sz w:val="24"/>
                <w:lang w:val="en-US" w:eastAsia="zh-CN"/>
              </w:rPr>
              <w:t>4</w:t>
            </w:r>
          </w:p>
        </w:tc>
        <w:tc>
          <w:tcPr>
            <w:tcW w:w="3190" w:type="pct"/>
            <w:vAlign w:val="center"/>
          </w:tcPr>
          <w:p>
            <w:pPr>
              <w:autoSpaceDE w:val="0"/>
              <w:autoSpaceDN w:val="0"/>
              <w:spacing w:line="360" w:lineRule="auto"/>
              <w:outlineLvl w:val="9"/>
              <w:rPr>
                <w:rFonts w:ascii="宋体" w:hAnsi="宋体" w:cs="宋体"/>
                <w:sz w:val="24"/>
              </w:rPr>
            </w:pPr>
            <w:r>
              <w:rPr>
                <w:rFonts w:hint="eastAsia"/>
                <w:sz w:val="24"/>
                <w:szCs w:val="24"/>
                <w:highlight w:val="none"/>
              </w:rPr>
              <w:t>产品配置合理性情况：2.标准机房使用线材、电脑桌凳（使用板材）、静电地板的质量、性能、环保等情况。须提供国家认可的检测机构出具的有效期内的合格检测报告，每提供一个得1分，最高得3分。</w:t>
            </w:r>
          </w:p>
        </w:tc>
        <w:tc>
          <w:tcPr>
            <w:tcW w:w="403" w:type="pct"/>
          </w:tcPr>
          <w:p>
            <w:pPr>
              <w:spacing w:line="360" w:lineRule="auto"/>
              <w:ind w:firstLine="240" w:firstLineChars="100"/>
              <w:outlineLvl w:val="0"/>
              <w:rPr>
                <w:rFonts w:hint="eastAsia" w:ascii="宋体" w:hAnsi="宋体" w:eastAsia="宋体" w:cs="宋体"/>
                <w:sz w:val="24"/>
                <w:lang w:val="en-US" w:eastAsia="zh-CN"/>
              </w:rPr>
            </w:pPr>
            <w:r>
              <w:rPr>
                <w:rFonts w:hint="eastAsia" w:ascii="宋体" w:hAnsi="宋体" w:cs="宋体"/>
                <w:sz w:val="24"/>
                <w:lang w:val="en-US" w:eastAsia="zh-CN"/>
              </w:rPr>
              <w:t>3</w:t>
            </w:r>
          </w:p>
        </w:tc>
        <w:tc>
          <w:tcPr>
            <w:tcW w:w="937" w:type="pct"/>
          </w:tcPr>
          <w:p>
            <w:pPr>
              <w:spacing w:line="360" w:lineRule="auto"/>
              <w:outlineLvl w:val="0"/>
              <w:rPr>
                <w:rFonts w:ascii="宋体" w:hAnsi="宋体" w:cs="宋体"/>
                <w:sz w:val="24"/>
              </w:rPr>
            </w:pPr>
            <w:r>
              <w:rPr>
                <w:rFonts w:hint="eastAsia" w:ascii="宋体" w:hAnsi="宋体"/>
                <w:color w:val="000000"/>
                <w:sz w:val="24"/>
                <w:szCs w:val="24"/>
                <w:lang w:val="en-US" w:eastAsia="zh-CN"/>
              </w:rPr>
              <w:t>（一）投标产品</w:t>
            </w:r>
            <w:r>
              <w:rPr>
                <w:rFonts w:hint="eastAsia" w:ascii="宋体" w:hAnsi="宋体"/>
                <w:color w:val="000000"/>
                <w:sz w:val="24"/>
                <w:szCs w:val="24"/>
              </w:rPr>
              <w:t>技术指标、品牌、性能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eastAsia" w:ascii="宋体" w:hAnsi="宋体" w:eastAsia="宋体" w:cs="宋体"/>
                <w:lang w:eastAsia="zh-CN"/>
              </w:rPr>
            </w:pPr>
            <w:r>
              <w:rPr>
                <w:rFonts w:hint="eastAsia" w:ascii="宋体" w:hAnsi="宋体" w:cs="宋体"/>
                <w:lang w:val="en-US" w:eastAsia="zh-CN"/>
              </w:rPr>
              <w:t>5</w:t>
            </w:r>
          </w:p>
        </w:tc>
        <w:tc>
          <w:tcPr>
            <w:tcW w:w="3190" w:type="pct"/>
            <w:vAlign w:val="center"/>
          </w:tcPr>
          <w:p>
            <w:pPr>
              <w:rPr>
                <w:rFonts w:ascii="宋体" w:hAnsi="宋体" w:cs="宋体"/>
              </w:rPr>
            </w:pPr>
            <w:r>
              <w:rPr>
                <w:rFonts w:hint="eastAsia"/>
                <w:sz w:val="24"/>
                <w:szCs w:val="24"/>
              </w:rPr>
              <w:t>产品配置合理性情况</w:t>
            </w:r>
            <w:r>
              <w:rPr>
                <w:rFonts w:hint="eastAsia"/>
                <w:sz w:val="24"/>
                <w:szCs w:val="24"/>
                <w:lang w:eastAsia="zh-CN"/>
              </w:rPr>
              <w:t>：</w:t>
            </w:r>
            <w:r>
              <w:rPr>
                <w:rFonts w:hint="eastAsia"/>
                <w:sz w:val="24"/>
                <w:szCs w:val="24"/>
              </w:rPr>
              <w:t>3. 为方便后期管理，所投的教师机（含主机）、学生机（含主机）、笔记本电脑为同一个品牌的产品的，得2分。</w:t>
            </w:r>
          </w:p>
        </w:tc>
        <w:tc>
          <w:tcPr>
            <w:tcW w:w="403" w:type="pct"/>
          </w:tcPr>
          <w:p>
            <w:pPr>
              <w:rPr>
                <w:rFonts w:ascii="宋体" w:hAnsi="宋体" w:cs="宋体"/>
              </w:rPr>
            </w:pPr>
          </w:p>
          <w:p>
            <w:pPr>
              <w:rPr>
                <w:rFonts w:hint="eastAsia" w:ascii="宋体" w:hAnsi="宋体" w:eastAsia="宋体" w:cs="宋体"/>
                <w:lang w:val="en-US" w:eastAsia="zh-CN"/>
              </w:rPr>
            </w:pPr>
            <w:r>
              <w:rPr>
                <w:rFonts w:hint="eastAsia" w:ascii="宋体" w:hAnsi="宋体" w:cs="宋体"/>
                <w:lang w:val="en-US" w:eastAsia="zh-CN"/>
              </w:rPr>
              <w:t>2</w:t>
            </w:r>
          </w:p>
        </w:tc>
        <w:tc>
          <w:tcPr>
            <w:tcW w:w="937" w:type="pct"/>
          </w:tcPr>
          <w:p>
            <w:pPr>
              <w:rPr>
                <w:rFonts w:ascii="宋体" w:hAnsi="宋体" w:cs="宋体"/>
              </w:rPr>
            </w:pPr>
            <w:r>
              <w:rPr>
                <w:rFonts w:hint="eastAsia" w:ascii="宋体" w:hAnsi="宋体"/>
                <w:color w:val="000000"/>
                <w:sz w:val="24"/>
                <w:szCs w:val="24"/>
                <w:lang w:val="en-US" w:eastAsia="zh-CN"/>
              </w:rPr>
              <w:t>（一）投标产品</w:t>
            </w:r>
            <w:r>
              <w:rPr>
                <w:rFonts w:hint="eastAsia" w:ascii="宋体" w:hAnsi="宋体"/>
                <w:color w:val="000000"/>
                <w:sz w:val="24"/>
                <w:szCs w:val="24"/>
              </w:rPr>
              <w:t>技术指标、品牌、性能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eastAsia" w:ascii="宋体" w:hAnsi="宋体" w:eastAsia="宋体" w:cs="宋体"/>
                <w:lang w:val="en-US" w:eastAsia="zh-CN"/>
              </w:rPr>
            </w:pPr>
            <w:r>
              <w:rPr>
                <w:rFonts w:hint="eastAsia" w:ascii="宋体" w:hAnsi="宋体" w:cs="宋体"/>
                <w:lang w:val="en-US" w:eastAsia="zh-CN"/>
              </w:rPr>
              <w:t>6</w:t>
            </w:r>
          </w:p>
        </w:tc>
        <w:tc>
          <w:tcPr>
            <w:tcW w:w="3190" w:type="pct"/>
            <w:vAlign w:val="center"/>
          </w:tcPr>
          <w:p>
            <w:pPr>
              <w:autoSpaceDE w:val="0"/>
              <w:autoSpaceDN w:val="0"/>
              <w:spacing w:line="360" w:lineRule="auto"/>
              <w:rPr>
                <w:rFonts w:hint="eastAsia"/>
                <w:sz w:val="24"/>
                <w:szCs w:val="24"/>
              </w:rPr>
            </w:pPr>
            <w:r>
              <w:rPr>
                <w:rFonts w:hint="eastAsia" w:ascii="宋体" w:hAnsi="宋体"/>
                <w:sz w:val="24"/>
                <w:szCs w:val="24"/>
              </w:rPr>
              <w:t>项目技术方案及实施能力</w:t>
            </w:r>
            <w:r>
              <w:rPr>
                <w:rFonts w:hint="eastAsia" w:ascii="宋体" w:hAnsi="宋体"/>
                <w:sz w:val="24"/>
                <w:szCs w:val="24"/>
                <w:lang w:eastAsia="zh-CN"/>
              </w:rPr>
              <w:t>：</w:t>
            </w:r>
            <w:r>
              <w:rPr>
                <w:rFonts w:hint="eastAsia"/>
                <w:sz w:val="24"/>
                <w:szCs w:val="24"/>
                <w:lang w:val="zh-CN"/>
              </w:rPr>
              <w:t>1.投标人组织实施方案，包括系统集成、产品供货、验货、安装调试、试运行、测试、调优、系统管理培训、系统运行维护培训等内容，以及组织机构、工作时间进度表、工作程序和步骤、管理和协调方法，</w:t>
            </w:r>
            <w:r>
              <w:rPr>
                <w:sz w:val="24"/>
                <w:szCs w:val="24"/>
                <w:lang w:val="zh-CN"/>
              </w:rPr>
              <w:t>确保按时交付、正常运作</w:t>
            </w:r>
            <w:r>
              <w:rPr>
                <w:rFonts w:hint="eastAsia"/>
                <w:sz w:val="24"/>
                <w:szCs w:val="24"/>
                <w:lang w:val="zh-CN"/>
              </w:rPr>
              <w:t>等情况的合理性、可行性</w:t>
            </w:r>
            <w:r>
              <w:rPr>
                <w:sz w:val="24"/>
                <w:szCs w:val="24"/>
                <w:lang w:val="zh-CN"/>
              </w:rPr>
              <w:t>打分。</w:t>
            </w:r>
          </w:p>
        </w:tc>
        <w:tc>
          <w:tcPr>
            <w:tcW w:w="403" w:type="pct"/>
          </w:tcPr>
          <w:p>
            <w:pPr>
              <w:rPr>
                <w:rFonts w:hint="eastAsia" w:ascii="宋体" w:hAnsi="宋体" w:eastAsia="宋体" w:cs="宋体"/>
                <w:lang w:val="en-US" w:eastAsia="zh-CN"/>
              </w:rPr>
            </w:pPr>
            <w:r>
              <w:rPr>
                <w:rFonts w:hint="eastAsia" w:ascii="宋体" w:hAnsi="宋体" w:cs="宋体"/>
                <w:lang w:val="en-US" w:eastAsia="zh-CN"/>
              </w:rPr>
              <w:t>3</w:t>
            </w:r>
          </w:p>
        </w:tc>
        <w:tc>
          <w:tcPr>
            <w:tcW w:w="937" w:type="pct"/>
          </w:tcPr>
          <w:p>
            <w:pPr>
              <w:rPr>
                <w:rFonts w:ascii="宋体" w:hAnsi="宋体" w:cs="宋体"/>
              </w:rPr>
            </w:pPr>
            <w:r>
              <w:rPr>
                <w:rFonts w:hint="eastAsia" w:ascii="宋体" w:hAnsi="宋体"/>
                <w:color w:val="000000"/>
                <w:sz w:val="24"/>
                <w:szCs w:val="24"/>
                <w:lang w:eastAsia="zh-CN"/>
              </w:rPr>
              <w:t>（</w:t>
            </w:r>
            <w:r>
              <w:rPr>
                <w:rFonts w:hint="eastAsia" w:ascii="宋体" w:hAnsi="宋体"/>
                <w:color w:val="000000"/>
                <w:sz w:val="24"/>
                <w:szCs w:val="24"/>
                <w:lang w:val="en-US" w:eastAsia="zh-CN"/>
              </w:rPr>
              <w:t>二</w:t>
            </w:r>
            <w:r>
              <w:rPr>
                <w:rFonts w:hint="eastAsia" w:ascii="宋体" w:hAnsi="宋体"/>
                <w:color w:val="000000"/>
                <w:sz w:val="24"/>
                <w:szCs w:val="24"/>
                <w:lang w:eastAsia="zh-CN"/>
              </w:rPr>
              <w:t>）</w:t>
            </w:r>
            <w:r>
              <w:rPr>
                <w:rFonts w:hint="eastAsia" w:ascii="宋体" w:hAnsi="宋体"/>
                <w:color w:val="000000"/>
                <w:sz w:val="24"/>
                <w:szCs w:val="24"/>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eastAsia" w:ascii="宋体" w:hAnsi="宋体" w:eastAsia="宋体" w:cs="宋体"/>
                <w:lang w:val="en-US" w:eastAsia="zh-CN"/>
              </w:rPr>
            </w:pPr>
            <w:r>
              <w:rPr>
                <w:rFonts w:hint="eastAsia" w:ascii="宋体" w:hAnsi="宋体" w:cs="宋体"/>
                <w:lang w:val="en-US" w:eastAsia="zh-CN"/>
              </w:rPr>
              <w:t>7</w:t>
            </w:r>
          </w:p>
        </w:tc>
        <w:tc>
          <w:tcPr>
            <w:tcW w:w="3190" w:type="pct"/>
            <w:vAlign w:val="center"/>
          </w:tcPr>
          <w:p>
            <w:pPr>
              <w:autoSpaceDE w:val="0"/>
              <w:autoSpaceDN w:val="0"/>
              <w:spacing w:line="360" w:lineRule="auto"/>
              <w:rPr>
                <w:rFonts w:hint="eastAsia"/>
                <w:sz w:val="24"/>
                <w:szCs w:val="24"/>
              </w:rPr>
            </w:pPr>
            <w:r>
              <w:rPr>
                <w:rFonts w:hint="eastAsia" w:ascii="宋体" w:hAnsi="宋体"/>
                <w:sz w:val="24"/>
                <w:szCs w:val="24"/>
              </w:rPr>
              <w:t>项目技术方案及实施能力</w:t>
            </w:r>
            <w:r>
              <w:rPr>
                <w:rFonts w:hint="eastAsia" w:ascii="宋体" w:hAnsi="宋体"/>
                <w:sz w:val="24"/>
                <w:szCs w:val="24"/>
                <w:lang w:eastAsia="zh-CN"/>
              </w:rPr>
              <w:t>：</w:t>
            </w:r>
            <w:r>
              <w:rPr>
                <w:rFonts w:hint="eastAsia"/>
                <w:sz w:val="24"/>
                <w:szCs w:val="24"/>
              </w:rPr>
              <w:t>2.</w:t>
            </w:r>
            <w:r>
              <w:rPr>
                <w:rFonts w:hint="eastAsia" w:ascii="宋体" w:hAnsi="宋体" w:cs="宋体"/>
                <w:sz w:val="24"/>
                <w:szCs w:val="24"/>
              </w:rPr>
              <w:t>拟</w:t>
            </w:r>
            <w:r>
              <w:rPr>
                <w:rFonts w:hint="eastAsia" w:ascii="宋体" w:hAnsi="宋体" w:cs="宋体"/>
                <w:sz w:val="24"/>
                <w:szCs w:val="24"/>
                <w:lang w:val="zh-CN"/>
              </w:rPr>
              <w:t>担任</w:t>
            </w:r>
            <w:r>
              <w:rPr>
                <w:rFonts w:hint="eastAsia" w:ascii="宋体" w:hAnsi="宋体" w:cs="宋体"/>
                <w:sz w:val="24"/>
                <w:szCs w:val="24"/>
              </w:rPr>
              <w:t>项目主要</w:t>
            </w:r>
            <w:r>
              <w:rPr>
                <w:rFonts w:hint="eastAsia" w:ascii="宋体" w:hAnsi="宋体" w:cs="宋体"/>
                <w:sz w:val="24"/>
                <w:szCs w:val="24"/>
                <w:lang w:val="zh-CN"/>
              </w:rPr>
              <w:t>负责人</w:t>
            </w:r>
            <w:r>
              <w:rPr>
                <w:rFonts w:hint="eastAsia" w:ascii="宋体" w:hAnsi="宋体" w:cs="宋体"/>
                <w:sz w:val="24"/>
                <w:szCs w:val="24"/>
              </w:rPr>
              <w:t>与本项目实施相关的专业职称</w:t>
            </w:r>
            <w:r>
              <w:rPr>
                <w:rFonts w:hint="eastAsia" w:ascii="宋体" w:hAnsi="宋体" w:cs="宋体"/>
                <w:sz w:val="24"/>
                <w:szCs w:val="24"/>
                <w:lang w:val="zh-CN"/>
              </w:rPr>
              <w:t>以及</w:t>
            </w:r>
            <w:r>
              <w:rPr>
                <w:rFonts w:hint="eastAsia" w:ascii="宋体" w:hAnsi="宋体" w:cs="宋体"/>
                <w:sz w:val="24"/>
                <w:szCs w:val="24"/>
              </w:rPr>
              <w:t>结合成功实施项目</w:t>
            </w:r>
            <w:r>
              <w:rPr>
                <w:rFonts w:hint="eastAsia" w:ascii="宋体" w:hAnsi="宋体" w:cs="宋体"/>
                <w:sz w:val="24"/>
                <w:szCs w:val="24"/>
                <w:lang w:val="zh-CN"/>
              </w:rPr>
              <w:t>经验</w:t>
            </w:r>
            <w:r>
              <w:rPr>
                <w:rFonts w:hint="eastAsia" w:ascii="宋体" w:hAnsi="宋体" w:cs="宋体"/>
                <w:sz w:val="24"/>
                <w:szCs w:val="24"/>
              </w:rPr>
              <w:t>案例情况打分</w:t>
            </w:r>
            <w:r>
              <w:rPr>
                <w:rFonts w:hint="eastAsia" w:ascii="宋体" w:hAnsi="宋体" w:cs="宋体"/>
                <w:sz w:val="24"/>
                <w:szCs w:val="24"/>
                <w:lang w:val="zh-CN"/>
              </w:rPr>
              <w:t>。（</w:t>
            </w:r>
            <w:r>
              <w:rPr>
                <w:rFonts w:hint="eastAsia" w:ascii="宋体" w:hAnsi="宋体" w:cs="宋体"/>
                <w:sz w:val="24"/>
                <w:szCs w:val="24"/>
              </w:rPr>
              <w:t>提供</w:t>
            </w:r>
            <w:r>
              <w:rPr>
                <w:rFonts w:hint="eastAsia" w:ascii="宋体" w:hAnsi="宋体" w:cs="宋体"/>
                <w:sz w:val="24"/>
                <w:szCs w:val="24"/>
                <w:lang w:val="zh-CN"/>
              </w:rPr>
              <w:t>社保</w:t>
            </w:r>
            <w:r>
              <w:rPr>
                <w:rFonts w:hint="eastAsia" w:ascii="宋体" w:hAnsi="宋体" w:cs="宋体"/>
                <w:sz w:val="24"/>
                <w:szCs w:val="24"/>
              </w:rPr>
              <w:t>证明</w:t>
            </w:r>
            <w:r>
              <w:rPr>
                <w:rFonts w:hint="eastAsia" w:ascii="宋体" w:hAnsi="宋体" w:cs="宋体"/>
                <w:sz w:val="24"/>
                <w:szCs w:val="24"/>
                <w:lang w:val="zh-CN"/>
              </w:rPr>
              <w:t>、</w:t>
            </w:r>
            <w:r>
              <w:rPr>
                <w:rFonts w:hint="eastAsia" w:ascii="宋体" w:hAnsi="宋体" w:cs="宋体"/>
                <w:sz w:val="24"/>
                <w:szCs w:val="24"/>
              </w:rPr>
              <w:t>证书复印件、案例介绍</w:t>
            </w:r>
            <w:r>
              <w:rPr>
                <w:rFonts w:hint="eastAsia" w:ascii="宋体" w:hAnsi="宋体" w:cs="宋体"/>
                <w:sz w:val="24"/>
                <w:szCs w:val="24"/>
                <w:lang w:val="zh-CN"/>
              </w:rPr>
              <w:t>等</w:t>
            </w:r>
            <w:r>
              <w:rPr>
                <w:rFonts w:hint="eastAsia" w:ascii="宋体" w:hAnsi="宋体" w:cs="宋体"/>
                <w:sz w:val="24"/>
                <w:szCs w:val="24"/>
              </w:rPr>
              <w:t>盖投标人公章</w:t>
            </w:r>
            <w:r>
              <w:rPr>
                <w:rFonts w:hint="eastAsia" w:ascii="宋体" w:hAnsi="宋体" w:cs="宋体"/>
                <w:sz w:val="24"/>
                <w:szCs w:val="24"/>
                <w:lang w:val="zh-CN"/>
              </w:rPr>
              <w:t>）</w:t>
            </w:r>
          </w:p>
        </w:tc>
        <w:tc>
          <w:tcPr>
            <w:tcW w:w="403" w:type="pct"/>
          </w:tcPr>
          <w:p>
            <w:pPr>
              <w:rPr>
                <w:rFonts w:hint="eastAsia" w:ascii="宋体" w:hAnsi="宋体" w:eastAsia="宋体" w:cs="宋体"/>
                <w:lang w:val="en-US" w:eastAsia="zh-CN"/>
              </w:rPr>
            </w:pPr>
            <w:r>
              <w:rPr>
                <w:rFonts w:hint="eastAsia" w:ascii="宋体" w:hAnsi="宋体" w:cs="宋体"/>
                <w:lang w:val="en-US" w:eastAsia="zh-CN"/>
              </w:rPr>
              <w:t>2</w:t>
            </w:r>
          </w:p>
        </w:tc>
        <w:tc>
          <w:tcPr>
            <w:tcW w:w="937" w:type="pct"/>
          </w:tcPr>
          <w:p>
            <w:pPr>
              <w:rPr>
                <w:rFonts w:ascii="宋体" w:hAnsi="宋体" w:cs="宋体"/>
              </w:rPr>
            </w:pPr>
            <w:r>
              <w:rPr>
                <w:rFonts w:hint="eastAsia" w:ascii="宋体" w:hAnsi="宋体"/>
                <w:color w:val="000000"/>
                <w:sz w:val="24"/>
                <w:szCs w:val="24"/>
                <w:lang w:eastAsia="zh-CN"/>
              </w:rPr>
              <w:t>（</w:t>
            </w:r>
            <w:r>
              <w:rPr>
                <w:rFonts w:hint="eastAsia" w:ascii="宋体" w:hAnsi="宋体"/>
                <w:color w:val="000000"/>
                <w:sz w:val="24"/>
                <w:szCs w:val="24"/>
                <w:lang w:val="en-US" w:eastAsia="zh-CN"/>
              </w:rPr>
              <w:t>二</w:t>
            </w:r>
            <w:r>
              <w:rPr>
                <w:rFonts w:hint="eastAsia" w:ascii="宋体" w:hAnsi="宋体"/>
                <w:color w:val="000000"/>
                <w:sz w:val="24"/>
                <w:szCs w:val="24"/>
                <w:lang w:eastAsia="zh-CN"/>
              </w:rPr>
              <w:t>）</w:t>
            </w:r>
            <w:r>
              <w:rPr>
                <w:rFonts w:hint="eastAsia" w:ascii="宋体" w:hAnsi="宋体"/>
                <w:color w:val="000000"/>
                <w:sz w:val="24"/>
                <w:szCs w:val="24"/>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eastAsia" w:ascii="宋体" w:hAnsi="宋体" w:eastAsia="宋体" w:cs="宋体"/>
                <w:lang w:val="en-US" w:eastAsia="zh-CN"/>
              </w:rPr>
            </w:pPr>
            <w:r>
              <w:rPr>
                <w:rFonts w:hint="eastAsia" w:ascii="宋体" w:hAnsi="宋体" w:cs="宋体"/>
                <w:lang w:val="en-US" w:eastAsia="zh-CN"/>
              </w:rPr>
              <w:t>8</w:t>
            </w:r>
          </w:p>
        </w:tc>
        <w:tc>
          <w:tcPr>
            <w:tcW w:w="3190" w:type="pct"/>
            <w:vAlign w:val="center"/>
          </w:tcPr>
          <w:p>
            <w:pPr>
              <w:autoSpaceDE w:val="0"/>
              <w:autoSpaceDN w:val="0"/>
              <w:adjustRightInd w:val="0"/>
              <w:spacing w:line="360" w:lineRule="auto"/>
              <w:rPr>
                <w:rFonts w:ascii="宋体" w:hAnsi="宋体" w:cs="宋体"/>
                <w:sz w:val="24"/>
                <w:szCs w:val="24"/>
              </w:rPr>
            </w:pPr>
            <w:r>
              <w:rPr>
                <w:rFonts w:hint="eastAsia" w:ascii="宋体" w:hAnsi="宋体"/>
                <w:sz w:val="24"/>
                <w:szCs w:val="24"/>
              </w:rPr>
              <w:t>项目技术方案及实施能力</w:t>
            </w:r>
            <w:r>
              <w:rPr>
                <w:rFonts w:hint="eastAsia" w:ascii="宋体" w:hAnsi="宋体"/>
                <w:sz w:val="24"/>
                <w:szCs w:val="24"/>
                <w:lang w:eastAsia="zh-CN"/>
              </w:rPr>
              <w:t>：</w:t>
            </w:r>
            <w:r>
              <w:rPr>
                <w:rFonts w:hint="eastAsia"/>
                <w:sz w:val="24"/>
                <w:szCs w:val="24"/>
              </w:rPr>
              <w:t>3.本</w:t>
            </w:r>
            <w:r>
              <w:rPr>
                <w:rFonts w:hint="eastAsia"/>
                <w:sz w:val="24"/>
                <w:szCs w:val="24"/>
                <w:lang w:val="zh-CN"/>
              </w:rPr>
              <w:t>项目组实施人员专业素质、技术能力、系统集成、</w:t>
            </w:r>
            <w:r>
              <w:rPr>
                <w:rFonts w:hint="eastAsia"/>
                <w:sz w:val="24"/>
                <w:szCs w:val="24"/>
              </w:rPr>
              <w:t>售后服务</w:t>
            </w:r>
            <w:r>
              <w:rPr>
                <w:rFonts w:hint="eastAsia"/>
                <w:sz w:val="24"/>
                <w:szCs w:val="24"/>
                <w:lang w:val="zh-CN"/>
              </w:rPr>
              <w:t>等</w:t>
            </w:r>
            <w:r>
              <w:rPr>
                <w:rFonts w:hint="eastAsia"/>
                <w:sz w:val="24"/>
                <w:szCs w:val="24"/>
              </w:rPr>
              <w:t>人员</w:t>
            </w:r>
            <w:r>
              <w:rPr>
                <w:rFonts w:hint="eastAsia"/>
                <w:sz w:val="24"/>
                <w:szCs w:val="24"/>
                <w:lang w:val="zh-CN"/>
              </w:rPr>
              <w:t>情况，数量充足，配置合理。</w:t>
            </w:r>
            <w:r>
              <w:rPr>
                <w:rFonts w:hint="eastAsia" w:ascii="宋体" w:hAnsi="宋体" w:cs="宋体"/>
                <w:sz w:val="24"/>
                <w:szCs w:val="24"/>
                <w:lang w:val="zh-CN"/>
              </w:rPr>
              <w:t>项目团队</w:t>
            </w:r>
            <w:r>
              <w:rPr>
                <w:rFonts w:hint="eastAsia" w:ascii="宋体" w:hAnsi="宋体" w:cs="宋体"/>
                <w:sz w:val="24"/>
                <w:szCs w:val="24"/>
              </w:rPr>
              <w:t>人员</w:t>
            </w:r>
            <w:r>
              <w:rPr>
                <w:rFonts w:hint="eastAsia" w:ascii="宋体" w:hAnsi="宋体" w:cs="宋体"/>
                <w:sz w:val="24"/>
                <w:szCs w:val="24"/>
                <w:lang w:val="zh-CN"/>
              </w:rPr>
              <w:t>具</w:t>
            </w:r>
            <w:r>
              <w:rPr>
                <w:rFonts w:hint="eastAsia" w:ascii="宋体" w:hAnsi="宋体" w:cs="宋体"/>
                <w:sz w:val="24"/>
                <w:szCs w:val="24"/>
              </w:rPr>
              <w:t>有</w:t>
            </w:r>
            <w:r>
              <w:rPr>
                <w:rFonts w:hint="eastAsia" w:ascii="宋体" w:hAnsi="宋体" w:cs="宋体"/>
                <w:sz w:val="24"/>
                <w:szCs w:val="24"/>
                <w:highlight w:val="none"/>
              </w:rPr>
              <w:t>系统集成管理工程师、计算机软件程序员、信息处理技术员、售后服务管理师等，每提供一类国家相关部门或权威机构颁发的证书得1 分</w:t>
            </w:r>
            <w:r>
              <w:rPr>
                <w:rFonts w:hint="eastAsia" w:ascii="宋体" w:hAnsi="宋体" w:cs="宋体"/>
                <w:sz w:val="24"/>
                <w:szCs w:val="24"/>
              </w:rPr>
              <w:t>，最高得4分；根据团队人员结构、</w:t>
            </w:r>
            <w:r>
              <w:rPr>
                <w:rFonts w:hint="eastAsia"/>
                <w:sz w:val="24"/>
                <w:szCs w:val="24"/>
                <w:lang w:val="zh-CN"/>
              </w:rPr>
              <w:t>相关经验履历</w:t>
            </w:r>
            <w:r>
              <w:rPr>
                <w:rFonts w:hint="eastAsia"/>
                <w:sz w:val="24"/>
                <w:szCs w:val="24"/>
              </w:rPr>
              <w:t>丰富程度判</w:t>
            </w:r>
            <w:r>
              <w:rPr>
                <w:rFonts w:hint="eastAsia"/>
                <w:sz w:val="24"/>
                <w:szCs w:val="24"/>
                <w:lang w:val="en-US" w:eastAsia="zh-CN"/>
              </w:rPr>
              <w:t>段（2分）</w:t>
            </w:r>
            <w:r>
              <w:rPr>
                <w:rFonts w:hint="eastAsia"/>
                <w:sz w:val="24"/>
                <w:szCs w:val="24"/>
              </w:rPr>
              <w:t>。</w:t>
            </w:r>
          </w:p>
          <w:p>
            <w:pPr>
              <w:autoSpaceDE w:val="0"/>
              <w:autoSpaceDN w:val="0"/>
              <w:spacing w:line="360" w:lineRule="auto"/>
              <w:rPr>
                <w:rFonts w:hint="eastAsia"/>
                <w:sz w:val="24"/>
                <w:szCs w:val="24"/>
              </w:rPr>
            </w:pPr>
            <w:r>
              <w:rPr>
                <w:rFonts w:hint="eastAsia"/>
                <w:b/>
                <w:bCs/>
                <w:sz w:val="24"/>
                <w:szCs w:val="24"/>
                <w:lang w:val="zh-CN"/>
              </w:rPr>
              <w:t>（</w:t>
            </w:r>
            <w:r>
              <w:rPr>
                <w:rFonts w:hint="eastAsia"/>
                <w:b/>
                <w:bCs/>
                <w:sz w:val="24"/>
                <w:szCs w:val="24"/>
              </w:rPr>
              <w:t>需提供</w:t>
            </w:r>
            <w:r>
              <w:rPr>
                <w:rFonts w:hint="eastAsia"/>
                <w:b/>
                <w:bCs/>
                <w:sz w:val="24"/>
                <w:szCs w:val="24"/>
                <w:lang w:val="zh-CN"/>
              </w:rPr>
              <w:t>主要技术人员社保名单、相关经验履历情况、国家认可的</w:t>
            </w:r>
            <w:r>
              <w:rPr>
                <w:rFonts w:hint="eastAsia"/>
                <w:b/>
                <w:bCs/>
                <w:sz w:val="24"/>
                <w:szCs w:val="24"/>
              </w:rPr>
              <w:t>相关</w:t>
            </w:r>
            <w:r>
              <w:rPr>
                <w:rFonts w:hint="eastAsia"/>
                <w:b/>
                <w:bCs/>
                <w:sz w:val="24"/>
                <w:szCs w:val="24"/>
                <w:lang w:val="zh-CN"/>
              </w:rPr>
              <w:t>专业</w:t>
            </w:r>
            <w:r>
              <w:rPr>
                <w:rFonts w:hint="eastAsia"/>
                <w:b/>
                <w:bCs/>
                <w:sz w:val="24"/>
                <w:szCs w:val="24"/>
              </w:rPr>
              <w:t>技术</w:t>
            </w:r>
            <w:r>
              <w:rPr>
                <w:rFonts w:hint="eastAsia"/>
                <w:b/>
                <w:bCs/>
                <w:sz w:val="24"/>
                <w:szCs w:val="24"/>
                <w:lang w:val="zh-CN"/>
              </w:rPr>
              <w:t>证书等。）</w:t>
            </w:r>
          </w:p>
        </w:tc>
        <w:tc>
          <w:tcPr>
            <w:tcW w:w="403" w:type="pct"/>
          </w:tcPr>
          <w:p>
            <w:pPr>
              <w:rPr>
                <w:rFonts w:hint="eastAsia" w:ascii="宋体" w:hAnsi="宋体" w:eastAsia="宋体" w:cs="宋体"/>
                <w:lang w:val="en-US" w:eastAsia="zh-CN"/>
              </w:rPr>
            </w:pPr>
            <w:r>
              <w:rPr>
                <w:rFonts w:hint="eastAsia" w:ascii="宋体" w:hAnsi="宋体" w:cs="宋体"/>
                <w:lang w:val="en-US" w:eastAsia="zh-CN"/>
              </w:rPr>
              <w:t>6</w:t>
            </w:r>
          </w:p>
        </w:tc>
        <w:tc>
          <w:tcPr>
            <w:tcW w:w="937" w:type="pct"/>
          </w:tcPr>
          <w:p>
            <w:pPr>
              <w:rPr>
                <w:rFonts w:ascii="宋体" w:hAnsi="宋体" w:cs="宋体"/>
              </w:rPr>
            </w:pPr>
            <w:r>
              <w:rPr>
                <w:rFonts w:hint="eastAsia" w:ascii="宋体" w:hAnsi="宋体"/>
                <w:color w:val="000000"/>
                <w:sz w:val="24"/>
                <w:szCs w:val="24"/>
                <w:lang w:eastAsia="zh-CN"/>
              </w:rPr>
              <w:t>（</w:t>
            </w:r>
            <w:r>
              <w:rPr>
                <w:rFonts w:hint="eastAsia" w:ascii="宋体" w:hAnsi="宋体"/>
                <w:color w:val="000000"/>
                <w:sz w:val="24"/>
                <w:szCs w:val="24"/>
                <w:lang w:val="en-US" w:eastAsia="zh-CN"/>
              </w:rPr>
              <w:t>二</w:t>
            </w:r>
            <w:r>
              <w:rPr>
                <w:rFonts w:hint="eastAsia" w:ascii="宋体" w:hAnsi="宋体"/>
                <w:color w:val="000000"/>
                <w:sz w:val="24"/>
                <w:szCs w:val="24"/>
                <w:lang w:eastAsia="zh-CN"/>
              </w:rPr>
              <w:t>）</w:t>
            </w:r>
            <w:r>
              <w:rPr>
                <w:rFonts w:hint="eastAsia" w:ascii="宋体" w:hAnsi="宋体"/>
                <w:color w:val="000000"/>
                <w:sz w:val="24"/>
                <w:szCs w:val="24"/>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eastAsia" w:ascii="宋体" w:hAnsi="宋体" w:eastAsia="宋体" w:cs="宋体"/>
                <w:lang w:val="en-US" w:eastAsia="zh-CN"/>
              </w:rPr>
            </w:pPr>
            <w:r>
              <w:rPr>
                <w:rFonts w:hint="eastAsia" w:ascii="宋体" w:hAnsi="宋体" w:cs="宋体"/>
                <w:lang w:val="en-US" w:eastAsia="zh-CN"/>
              </w:rPr>
              <w:t>9</w:t>
            </w:r>
          </w:p>
        </w:tc>
        <w:tc>
          <w:tcPr>
            <w:tcW w:w="3190" w:type="pct"/>
            <w:vAlign w:val="center"/>
          </w:tcPr>
          <w:p>
            <w:pPr>
              <w:autoSpaceDE w:val="0"/>
              <w:autoSpaceDN w:val="0"/>
              <w:spacing w:line="360" w:lineRule="auto"/>
              <w:rPr>
                <w:rFonts w:hint="eastAsia"/>
                <w:sz w:val="24"/>
                <w:szCs w:val="24"/>
              </w:rPr>
            </w:pPr>
            <w:r>
              <w:rPr>
                <w:rFonts w:hint="eastAsia" w:ascii="宋体" w:hAnsi="宋体"/>
                <w:sz w:val="24"/>
                <w:szCs w:val="24"/>
              </w:rPr>
              <w:t>项目技术方案及实施能力</w:t>
            </w:r>
            <w:r>
              <w:rPr>
                <w:rFonts w:hint="eastAsia" w:ascii="宋体" w:hAnsi="宋体"/>
                <w:sz w:val="24"/>
                <w:szCs w:val="24"/>
                <w:lang w:eastAsia="zh-CN"/>
              </w:rPr>
              <w:t>：</w:t>
            </w:r>
            <w:r>
              <w:rPr>
                <w:rFonts w:hint="eastAsia"/>
                <w:sz w:val="24"/>
                <w:szCs w:val="24"/>
              </w:rPr>
              <w:t>4.生产厂家的生产能力、供货能力等情况，按照招标文件和采购单位需求， 承诺合同供货期内准时完成供货安装调试的</w:t>
            </w:r>
            <w:r>
              <w:rPr>
                <w:rFonts w:hint="eastAsia"/>
                <w:sz w:val="24"/>
                <w:szCs w:val="24"/>
                <w:highlight w:val="none"/>
              </w:rPr>
              <w:t>（需提供原厂承诺函）。</w:t>
            </w:r>
          </w:p>
        </w:tc>
        <w:tc>
          <w:tcPr>
            <w:tcW w:w="403" w:type="pct"/>
          </w:tcPr>
          <w:p>
            <w:pPr>
              <w:rPr>
                <w:rFonts w:hint="eastAsia" w:ascii="宋体" w:hAnsi="宋体" w:eastAsia="宋体" w:cs="宋体"/>
                <w:lang w:val="en-US" w:eastAsia="zh-CN"/>
              </w:rPr>
            </w:pPr>
            <w:r>
              <w:rPr>
                <w:rFonts w:hint="eastAsia" w:ascii="宋体" w:hAnsi="宋体" w:cs="宋体"/>
                <w:lang w:val="en-US" w:eastAsia="zh-CN"/>
              </w:rPr>
              <w:t>2</w:t>
            </w:r>
          </w:p>
        </w:tc>
        <w:tc>
          <w:tcPr>
            <w:tcW w:w="937" w:type="pct"/>
          </w:tcPr>
          <w:p>
            <w:pPr>
              <w:rPr>
                <w:rFonts w:ascii="宋体" w:hAnsi="宋体" w:cs="宋体"/>
              </w:rPr>
            </w:pPr>
            <w:r>
              <w:rPr>
                <w:rFonts w:hint="eastAsia" w:ascii="宋体" w:hAnsi="宋体"/>
                <w:color w:val="000000"/>
                <w:sz w:val="24"/>
                <w:szCs w:val="24"/>
                <w:lang w:eastAsia="zh-CN"/>
              </w:rPr>
              <w:t>（</w:t>
            </w:r>
            <w:r>
              <w:rPr>
                <w:rFonts w:hint="eastAsia" w:ascii="宋体" w:hAnsi="宋体"/>
                <w:color w:val="000000"/>
                <w:sz w:val="24"/>
                <w:szCs w:val="24"/>
                <w:lang w:val="en-US" w:eastAsia="zh-CN"/>
              </w:rPr>
              <w:t>二</w:t>
            </w:r>
            <w:r>
              <w:rPr>
                <w:rFonts w:hint="eastAsia" w:ascii="宋体" w:hAnsi="宋体"/>
                <w:color w:val="000000"/>
                <w:sz w:val="24"/>
                <w:szCs w:val="24"/>
                <w:lang w:eastAsia="zh-CN"/>
              </w:rPr>
              <w:t>）</w:t>
            </w:r>
            <w:r>
              <w:rPr>
                <w:rFonts w:hint="eastAsia" w:ascii="宋体" w:hAnsi="宋体"/>
                <w:color w:val="000000"/>
                <w:sz w:val="24"/>
                <w:szCs w:val="24"/>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68" w:type="pct"/>
            <w:vAlign w:val="center"/>
          </w:tcPr>
          <w:p>
            <w:pPr>
              <w:rPr>
                <w:rFonts w:hint="default" w:ascii="宋体" w:hAnsi="宋体" w:eastAsia="宋体" w:cs="宋体"/>
                <w:lang w:val="en-US" w:eastAsia="zh-CN"/>
              </w:rPr>
            </w:pPr>
            <w:r>
              <w:rPr>
                <w:rFonts w:hint="eastAsia" w:ascii="宋体" w:hAnsi="宋体" w:cs="宋体"/>
                <w:lang w:val="en-US" w:eastAsia="zh-CN"/>
              </w:rPr>
              <w:t>10</w:t>
            </w:r>
          </w:p>
        </w:tc>
        <w:tc>
          <w:tcPr>
            <w:tcW w:w="3190" w:type="pct"/>
            <w:vAlign w:val="center"/>
          </w:tcPr>
          <w:p>
            <w:pPr>
              <w:rPr>
                <w:rFonts w:hint="eastAsia" w:eastAsia="宋体"/>
                <w:sz w:val="24"/>
                <w:szCs w:val="24"/>
                <w:lang w:eastAsia="zh-CN"/>
              </w:rPr>
            </w:pPr>
            <w:r>
              <w:rPr>
                <w:rFonts w:hint="eastAsia" w:ascii="宋体" w:hAnsi="宋体"/>
                <w:sz w:val="24"/>
                <w:szCs w:val="24"/>
              </w:rPr>
              <w:t>项目技术方案及实施能力</w:t>
            </w:r>
            <w:r>
              <w:rPr>
                <w:rFonts w:hint="eastAsia" w:ascii="宋体" w:hAnsi="宋体"/>
                <w:sz w:val="24"/>
                <w:szCs w:val="24"/>
                <w:lang w:eastAsia="zh-CN"/>
              </w:rPr>
              <w:t>：</w:t>
            </w:r>
            <w:r>
              <w:rPr>
                <w:rFonts w:hint="eastAsia"/>
                <w:sz w:val="24"/>
                <w:szCs w:val="24"/>
              </w:rPr>
              <w:t>5.</w:t>
            </w:r>
            <w:r>
              <w:rPr>
                <w:rFonts w:hint="eastAsia"/>
                <w:sz w:val="24"/>
                <w:szCs w:val="24"/>
                <w:highlight w:val="none"/>
              </w:rPr>
              <w:t xml:space="preserve"> 投标人项目实施质量: 根据投标人的类似成功案例情况综合评判打分，没有下列情况的得2分。根据本地及周边县市区类似项目实施情况，项目实施过程中存有</w:t>
            </w:r>
            <w:r>
              <w:rPr>
                <w:rFonts w:hint="eastAsia"/>
                <w:sz w:val="24"/>
                <w:szCs w:val="24"/>
                <w:highlight w:val="none"/>
                <w:lang w:val="en-US" w:eastAsia="zh-CN"/>
              </w:rPr>
              <w:t>未完成履约的</w:t>
            </w:r>
            <w:r>
              <w:rPr>
                <w:rFonts w:hint="eastAsia"/>
                <w:sz w:val="24"/>
                <w:szCs w:val="24"/>
                <w:highlight w:val="none"/>
              </w:rPr>
              <w:t>（非不可抗因素</w:t>
            </w:r>
            <w:r>
              <w:rPr>
                <w:rFonts w:hint="eastAsia"/>
                <w:sz w:val="24"/>
                <w:szCs w:val="24"/>
                <w:highlight w:val="none"/>
                <w:lang w:val="en-US" w:eastAsia="zh-CN"/>
              </w:rPr>
              <w:t>除外，但需提供采购人证明材料</w:t>
            </w:r>
            <w:r>
              <w:rPr>
                <w:rFonts w:hint="eastAsia"/>
                <w:sz w:val="24"/>
                <w:szCs w:val="24"/>
                <w:highlight w:val="none"/>
              </w:rPr>
              <w:t>）每有一个扣1分。</w:t>
            </w:r>
            <w:r>
              <w:rPr>
                <w:rFonts w:hint="eastAsia"/>
                <w:sz w:val="24"/>
                <w:szCs w:val="24"/>
                <w:highlight w:val="none"/>
                <w:lang w:eastAsia="zh-CN"/>
              </w:rPr>
              <w:t>（</w:t>
            </w:r>
            <w:r>
              <w:rPr>
                <w:rFonts w:hint="eastAsia"/>
                <w:sz w:val="24"/>
                <w:szCs w:val="24"/>
                <w:highlight w:val="none"/>
                <w:lang w:val="en-US" w:eastAsia="zh-CN"/>
              </w:rPr>
              <w:t>根据投标人业绩验收报告或采购人提供的历年项目履约未到位的依据进行打分，验收报告中若有整改条款的，需提供已整改到位证明材料，未提供不得分。</w:t>
            </w:r>
            <w:r>
              <w:rPr>
                <w:rFonts w:hint="eastAsia"/>
                <w:sz w:val="24"/>
                <w:szCs w:val="24"/>
                <w:highlight w:val="none"/>
                <w:lang w:eastAsia="zh-CN"/>
              </w:rPr>
              <w:t>）</w:t>
            </w:r>
          </w:p>
        </w:tc>
        <w:tc>
          <w:tcPr>
            <w:tcW w:w="403" w:type="pct"/>
          </w:tcPr>
          <w:p>
            <w:pPr>
              <w:rPr>
                <w:rFonts w:hint="eastAsia" w:ascii="宋体" w:hAnsi="宋体" w:eastAsia="宋体" w:cs="宋体"/>
                <w:lang w:val="en-US" w:eastAsia="zh-CN"/>
              </w:rPr>
            </w:pPr>
            <w:r>
              <w:rPr>
                <w:rFonts w:hint="eastAsia" w:ascii="宋体" w:hAnsi="宋体" w:cs="宋体"/>
                <w:lang w:val="en-US" w:eastAsia="zh-CN"/>
              </w:rPr>
              <w:t>2</w:t>
            </w:r>
          </w:p>
        </w:tc>
        <w:tc>
          <w:tcPr>
            <w:tcW w:w="937" w:type="pct"/>
          </w:tcPr>
          <w:p>
            <w:pPr>
              <w:rPr>
                <w:rFonts w:ascii="宋体" w:hAnsi="宋体" w:cs="宋体"/>
              </w:rPr>
            </w:pPr>
            <w:r>
              <w:rPr>
                <w:rFonts w:hint="eastAsia" w:ascii="宋体" w:hAnsi="宋体"/>
                <w:color w:val="000000"/>
                <w:sz w:val="24"/>
                <w:szCs w:val="24"/>
                <w:lang w:eastAsia="zh-CN"/>
              </w:rPr>
              <w:t>（</w:t>
            </w:r>
            <w:r>
              <w:rPr>
                <w:rFonts w:hint="eastAsia" w:ascii="宋体" w:hAnsi="宋体"/>
                <w:color w:val="000000"/>
                <w:sz w:val="24"/>
                <w:szCs w:val="24"/>
                <w:lang w:val="en-US" w:eastAsia="zh-CN"/>
              </w:rPr>
              <w:t>二</w:t>
            </w:r>
            <w:r>
              <w:rPr>
                <w:rFonts w:hint="eastAsia" w:ascii="宋体" w:hAnsi="宋体"/>
                <w:color w:val="000000"/>
                <w:sz w:val="24"/>
                <w:szCs w:val="24"/>
                <w:lang w:eastAsia="zh-CN"/>
              </w:rPr>
              <w:t>）</w:t>
            </w:r>
            <w:r>
              <w:rPr>
                <w:rFonts w:hint="eastAsia" w:ascii="宋体" w:hAnsi="宋体"/>
                <w:color w:val="000000"/>
                <w:sz w:val="24"/>
                <w:szCs w:val="24"/>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default" w:ascii="宋体" w:hAnsi="宋体" w:eastAsia="宋体" w:cs="宋体"/>
                <w:lang w:val="en-US" w:eastAsia="zh-CN"/>
              </w:rPr>
            </w:pPr>
            <w:r>
              <w:rPr>
                <w:rFonts w:hint="eastAsia" w:ascii="宋体" w:hAnsi="宋体" w:cs="宋体"/>
                <w:lang w:val="en-US" w:eastAsia="zh-CN"/>
              </w:rPr>
              <w:t>11</w:t>
            </w:r>
          </w:p>
        </w:tc>
        <w:tc>
          <w:tcPr>
            <w:tcW w:w="3190" w:type="pct"/>
            <w:vAlign w:val="center"/>
          </w:tcPr>
          <w:p>
            <w:pPr>
              <w:rPr>
                <w:rFonts w:hint="eastAsia"/>
                <w:sz w:val="24"/>
                <w:szCs w:val="24"/>
              </w:rPr>
            </w:pPr>
            <w:r>
              <w:rPr>
                <w:rFonts w:hint="eastAsia"/>
                <w:sz w:val="24"/>
                <w:szCs w:val="24"/>
                <w:lang w:val="zh-CN"/>
              </w:rPr>
              <w:t>投标人从2019年（以合同签订期为准）以来类似政府采购项目</w:t>
            </w:r>
            <w:r>
              <w:rPr>
                <w:rFonts w:hint="eastAsia"/>
                <w:sz w:val="24"/>
                <w:szCs w:val="24"/>
                <w:highlight w:val="none"/>
                <w:lang w:val="zh-CN"/>
              </w:rPr>
              <w:t>成功案例</w:t>
            </w:r>
            <w:r>
              <w:rPr>
                <w:rFonts w:hint="eastAsia"/>
                <w:sz w:val="24"/>
                <w:szCs w:val="24"/>
                <w:lang w:val="zh-CN"/>
              </w:rPr>
              <w:t>,每有一个得</w:t>
            </w:r>
            <w:r>
              <w:rPr>
                <w:rFonts w:hint="eastAsia"/>
                <w:sz w:val="24"/>
                <w:szCs w:val="24"/>
              </w:rPr>
              <w:t>1</w:t>
            </w:r>
            <w:r>
              <w:rPr>
                <w:rFonts w:hint="eastAsia"/>
                <w:sz w:val="24"/>
                <w:szCs w:val="24"/>
                <w:lang w:val="zh-CN"/>
              </w:rPr>
              <w:t>分，最高得</w:t>
            </w:r>
            <w:r>
              <w:rPr>
                <w:rFonts w:hint="eastAsia"/>
                <w:sz w:val="24"/>
                <w:szCs w:val="24"/>
              </w:rPr>
              <w:t>4</w:t>
            </w:r>
            <w:r>
              <w:rPr>
                <w:rFonts w:hint="eastAsia"/>
                <w:sz w:val="24"/>
                <w:szCs w:val="24"/>
                <w:lang w:val="zh-CN"/>
              </w:rPr>
              <w:t>分。同时提供项目中标通知书、合同及验收报告（分段验收需齐全）复印件，</w:t>
            </w:r>
            <w:r>
              <w:rPr>
                <w:b/>
                <w:sz w:val="24"/>
                <w:szCs w:val="24"/>
                <w:lang w:val="zh-CN"/>
              </w:rPr>
              <w:t>如未提供</w:t>
            </w:r>
            <w:r>
              <w:rPr>
                <w:rFonts w:hint="eastAsia"/>
                <w:b/>
                <w:sz w:val="24"/>
                <w:szCs w:val="24"/>
                <w:lang w:val="zh-CN"/>
              </w:rPr>
              <w:t>和提供不全</w:t>
            </w:r>
            <w:r>
              <w:rPr>
                <w:b/>
                <w:sz w:val="24"/>
                <w:szCs w:val="24"/>
                <w:lang w:val="zh-CN"/>
              </w:rPr>
              <w:t>的，该项不得</w:t>
            </w:r>
            <w:r>
              <w:rPr>
                <w:sz w:val="24"/>
                <w:szCs w:val="24"/>
                <w:lang w:val="zh-CN"/>
              </w:rPr>
              <w:t>分</w:t>
            </w:r>
            <w:r>
              <w:rPr>
                <w:rFonts w:hint="eastAsia"/>
                <w:sz w:val="24"/>
                <w:szCs w:val="24"/>
                <w:lang w:val="zh-CN"/>
              </w:rPr>
              <w:t>。</w:t>
            </w:r>
          </w:p>
        </w:tc>
        <w:tc>
          <w:tcPr>
            <w:tcW w:w="403" w:type="pct"/>
          </w:tcPr>
          <w:p>
            <w:pPr>
              <w:rPr>
                <w:rFonts w:hint="eastAsia" w:ascii="宋体" w:hAnsi="宋体" w:eastAsia="宋体" w:cs="宋体"/>
                <w:lang w:val="en-US" w:eastAsia="zh-CN"/>
              </w:rPr>
            </w:pPr>
            <w:r>
              <w:rPr>
                <w:rFonts w:hint="eastAsia" w:ascii="宋体" w:hAnsi="宋体" w:cs="宋体"/>
                <w:lang w:val="en-US" w:eastAsia="zh-CN"/>
              </w:rPr>
              <w:t>4</w:t>
            </w:r>
          </w:p>
        </w:tc>
        <w:tc>
          <w:tcPr>
            <w:tcW w:w="937" w:type="pct"/>
          </w:tcPr>
          <w:p>
            <w:pPr>
              <w:rPr>
                <w:rFonts w:hint="default" w:ascii="宋体" w:hAnsi="宋体" w:eastAsia="宋体" w:cs="宋体"/>
                <w:lang w:val="en-US" w:eastAsia="zh-CN"/>
              </w:rPr>
            </w:pPr>
            <w:r>
              <w:rPr>
                <w:rFonts w:hint="eastAsia" w:ascii="宋体" w:hAnsi="宋体" w:cs="宋体"/>
                <w:lang w:val="en-US" w:eastAsia="zh-CN"/>
              </w:rPr>
              <w:t>（三）投标人业绩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default" w:ascii="宋体" w:hAnsi="宋体" w:eastAsia="宋体" w:cs="宋体"/>
                <w:lang w:val="en-US" w:eastAsia="zh-CN"/>
              </w:rPr>
            </w:pPr>
            <w:r>
              <w:rPr>
                <w:rFonts w:hint="eastAsia" w:ascii="宋体" w:hAnsi="宋体" w:cs="宋体"/>
                <w:lang w:val="en-US" w:eastAsia="zh-CN"/>
              </w:rPr>
              <w:t>12</w:t>
            </w:r>
          </w:p>
        </w:tc>
        <w:tc>
          <w:tcPr>
            <w:tcW w:w="3190" w:type="pct"/>
            <w:vAlign w:val="center"/>
          </w:tcPr>
          <w:p>
            <w:pPr>
              <w:rPr>
                <w:rFonts w:hint="eastAsia"/>
                <w:sz w:val="24"/>
                <w:szCs w:val="24"/>
              </w:rPr>
            </w:pPr>
            <w:r>
              <w:rPr>
                <w:rFonts w:hint="eastAsia"/>
                <w:sz w:val="24"/>
                <w:szCs w:val="24"/>
                <w:lang w:val="zh-CN"/>
              </w:rPr>
              <w:t>投标</w:t>
            </w:r>
            <w:r>
              <w:rPr>
                <w:rFonts w:hint="eastAsia"/>
                <w:sz w:val="24"/>
                <w:szCs w:val="24"/>
              </w:rPr>
              <w:t>产品</w:t>
            </w:r>
            <w:r>
              <w:rPr>
                <w:rFonts w:hint="eastAsia"/>
                <w:sz w:val="24"/>
                <w:szCs w:val="24"/>
                <w:lang w:val="zh-CN"/>
              </w:rPr>
              <w:t>品牌生产商是否通过</w:t>
            </w:r>
            <w:r>
              <w:rPr>
                <w:sz w:val="24"/>
                <w:szCs w:val="24"/>
                <w:lang w:val="zh-CN"/>
              </w:rPr>
              <w:t>ISO9001</w:t>
            </w:r>
            <w:r>
              <w:rPr>
                <w:rFonts w:hint="eastAsia"/>
                <w:sz w:val="24"/>
                <w:szCs w:val="24"/>
                <w:lang w:val="zh-CN"/>
              </w:rPr>
              <w:t>质量管理体系认证、</w:t>
            </w:r>
            <w:r>
              <w:rPr>
                <w:sz w:val="24"/>
                <w:szCs w:val="24"/>
                <w:lang w:val="zh-CN"/>
              </w:rPr>
              <w:t>ISO1400</w:t>
            </w:r>
            <w:r>
              <w:rPr>
                <w:rFonts w:hint="eastAsia"/>
                <w:sz w:val="24"/>
                <w:szCs w:val="24"/>
                <w:lang w:val="zh-CN"/>
              </w:rPr>
              <w:t>1环境体系认证、 ISO45001</w:t>
            </w:r>
            <w:r>
              <w:rPr>
                <w:sz w:val="24"/>
                <w:szCs w:val="24"/>
              </w:rPr>
              <w:fldChar w:fldCharType="begin"/>
            </w:r>
            <w:r>
              <w:rPr>
                <w:sz w:val="24"/>
                <w:szCs w:val="24"/>
              </w:rPr>
              <w:instrText xml:space="preserve"> HYPERLINK "https://baike.baidu.com/item/%E8%81%8C%E4%B8%9A%E5%81%A5%E5%BA%B7/7608684" \t "_blank" </w:instrText>
            </w:r>
            <w:r>
              <w:rPr>
                <w:sz w:val="24"/>
                <w:szCs w:val="24"/>
              </w:rPr>
              <w:fldChar w:fldCharType="separate"/>
            </w:r>
            <w:r>
              <w:rPr>
                <w:sz w:val="24"/>
                <w:szCs w:val="24"/>
              </w:rPr>
              <w:t>职业健康</w:t>
            </w:r>
            <w:r>
              <w:rPr>
                <w:sz w:val="24"/>
                <w:szCs w:val="24"/>
              </w:rPr>
              <w:fldChar w:fldCharType="end"/>
            </w:r>
            <w:r>
              <w:rPr>
                <w:sz w:val="24"/>
                <w:szCs w:val="24"/>
              </w:rPr>
              <w:t>安全管理体系</w:t>
            </w:r>
            <w:r>
              <w:rPr>
                <w:rFonts w:hint="eastAsia"/>
                <w:sz w:val="24"/>
                <w:szCs w:val="24"/>
                <w:lang w:val="zh-CN"/>
              </w:rPr>
              <w:t>认证，</w:t>
            </w:r>
            <w:r>
              <w:rPr>
                <w:rFonts w:hint="eastAsia" w:ascii="宋体" w:hAnsi="宋体" w:cs="宋体"/>
                <w:sz w:val="24"/>
                <w:szCs w:val="24"/>
              </w:rPr>
              <w:t>信息技术服务管理体系证书的</w:t>
            </w:r>
            <w:r>
              <w:rPr>
                <w:rFonts w:hint="eastAsia" w:ascii="宋体" w:hAnsi="宋体" w:cs="宋体"/>
                <w:sz w:val="24"/>
                <w:szCs w:val="24"/>
                <w:lang w:val="zh-CN"/>
              </w:rPr>
              <w:t>，</w:t>
            </w:r>
            <w:r>
              <w:rPr>
                <w:rFonts w:hint="eastAsia"/>
                <w:sz w:val="24"/>
                <w:szCs w:val="24"/>
                <w:lang w:val="zh-CN"/>
              </w:rPr>
              <w:t>凭相关有效证书复印件，每</w:t>
            </w:r>
            <w:r>
              <w:rPr>
                <w:rFonts w:hint="eastAsia"/>
                <w:sz w:val="24"/>
                <w:szCs w:val="24"/>
              </w:rPr>
              <w:t>有一</w:t>
            </w:r>
            <w:r>
              <w:rPr>
                <w:rFonts w:hint="eastAsia"/>
                <w:sz w:val="24"/>
                <w:szCs w:val="24"/>
                <w:lang w:val="zh-CN"/>
              </w:rPr>
              <w:t>个得</w:t>
            </w:r>
            <w:r>
              <w:rPr>
                <w:sz w:val="24"/>
                <w:szCs w:val="24"/>
                <w:lang w:val="zh-CN"/>
              </w:rPr>
              <w:t>1</w:t>
            </w:r>
            <w:r>
              <w:rPr>
                <w:rFonts w:hint="eastAsia"/>
                <w:sz w:val="24"/>
                <w:szCs w:val="24"/>
                <w:lang w:val="zh-CN"/>
              </w:rPr>
              <w:t>分，共</w:t>
            </w:r>
            <w:r>
              <w:rPr>
                <w:rFonts w:hint="eastAsia"/>
                <w:sz w:val="24"/>
                <w:szCs w:val="24"/>
              </w:rPr>
              <w:t>4</w:t>
            </w:r>
            <w:r>
              <w:rPr>
                <w:rFonts w:hint="eastAsia"/>
                <w:sz w:val="24"/>
                <w:szCs w:val="24"/>
                <w:lang w:val="zh-CN"/>
              </w:rPr>
              <w:t>分。</w:t>
            </w:r>
          </w:p>
        </w:tc>
        <w:tc>
          <w:tcPr>
            <w:tcW w:w="403" w:type="pct"/>
          </w:tcPr>
          <w:p>
            <w:pPr>
              <w:rPr>
                <w:rFonts w:hint="eastAsia" w:ascii="宋体" w:hAnsi="宋体" w:eastAsia="宋体" w:cs="宋体"/>
                <w:lang w:val="en-US" w:eastAsia="zh-CN"/>
              </w:rPr>
            </w:pPr>
            <w:r>
              <w:rPr>
                <w:rFonts w:hint="eastAsia" w:ascii="宋体" w:hAnsi="宋体" w:cs="宋体"/>
                <w:lang w:val="en-US" w:eastAsia="zh-CN"/>
              </w:rPr>
              <w:t>4</w:t>
            </w:r>
          </w:p>
        </w:tc>
        <w:tc>
          <w:tcPr>
            <w:tcW w:w="937" w:type="pct"/>
          </w:tcPr>
          <w:p>
            <w:pPr>
              <w:rPr>
                <w:rFonts w:hint="default" w:ascii="宋体" w:hAnsi="宋体" w:eastAsia="宋体" w:cs="宋体"/>
                <w:lang w:val="en-US" w:eastAsia="zh-CN"/>
              </w:rPr>
            </w:pPr>
            <w:r>
              <w:rPr>
                <w:rFonts w:hint="eastAsia" w:ascii="宋体" w:hAnsi="宋体" w:cs="宋体"/>
                <w:lang w:eastAsia="zh-CN"/>
              </w:rPr>
              <w:t>（</w:t>
            </w:r>
            <w:r>
              <w:rPr>
                <w:rFonts w:hint="eastAsia" w:ascii="宋体" w:hAnsi="宋体" w:cs="宋体"/>
                <w:lang w:val="en-US" w:eastAsia="zh-CN"/>
              </w:rPr>
              <w:t>四</w:t>
            </w:r>
            <w:r>
              <w:rPr>
                <w:rFonts w:hint="eastAsia" w:ascii="宋体" w:hAnsi="宋体" w:cs="宋体"/>
                <w:lang w:eastAsia="zh-CN"/>
              </w:rPr>
              <w:t>）</w:t>
            </w:r>
            <w:r>
              <w:rPr>
                <w:rFonts w:hint="eastAsia" w:ascii="宋体" w:hAnsi="宋体" w:cs="宋体"/>
                <w:lang w:val="en-US" w:eastAsia="zh-CN"/>
              </w:rPr>
              <w:t>证书与荣誉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default" w:ascii="宋体" w:hAnsi="宋体" w:eastAsia="宋体" w:cs="宋体"/>
                <w:lang w:val="en-US" w:eastAsia="zh-CN"/>
              </w:rPr>
            </w:pPr>
            <w:r>
              <w:rPr>
                <w:rFonts w:hint="eastAsia" w:ascii="宋体" w:hAnsi="宋体" w:cs="宋体"/>
                <w:lang w:val="en-US" w:eastAsia="zh-CN"/>
              </w:rPr>
              <w:t>13</w:t>
            </w:r>
          </w:p>
        </w:tc>
        <w:tc>
          <w:tcPr>
            <w:tcW w:w="3190" w:type="pct"/>
            <w:vAlign w:val="center"/>
          </w:tcPr>
          <w:p>
            <w:pPr>
              <w:rPr>
                <w:rFonts w:hint="eastAsia"/>
                <w:sz w:val="24"/>
                <w:szCs w:val="24"/>
              </w:rPr>
            </w:pPr>
            <w:r>
              <w:rPr>
                <w:rFonts w:hint="eastAsia"/>
                <w:sz w:val="24"/>
                <w:szCs w:val="24"/>
                <w:lang w:val="zh-CN"/>
              </w:rPr>
              <w:t>提供</w:t>
            </w:r>
            <w:r>
              <w:rPr>
                <w:rFonts w:hint="eastAsia"/>
                <w:sz w:val="24"/>
                <w:szCs w:val="24"/>
              </w:rPr>
              <w:t>投标型号</w:t>
            </w:r>
            <w:r>
              <w:rPr>
                <w:rFonts w:hint="eastAsia"/>
                <w:sz w:val="24"/>
                <w:szCs w:val="24"/>
                <w:lang w:val="zh-CN"/>
              </w:rPr>
              <w:t>液晶显示器TUV低蓝光护眼证书，凭有效证书复印件，得1分。</w:t>
            </w:r>
          </w:p>
        </w:tc>
        <w:tc>
          <w:tcPr>
            <w:tcW w:w="403" w:type="pct"/>
          </w:tcPr>
          <w:p>
            <w:pPr>
              <w:rPr>
                <w:rFonts w:hint="eastAsia" w:ascii="宋体" w:hAnsi="宋体" w:eastAsia="宋体" w:cs="宋体"/>
                <w:lang w:val="en-US" w:eastAsia="zh-CN"/>
              </w:rPr>
            </w:pPr>
            <w:r>
              <w:rPr>
                <w:rFonts w:hint="eastAsia" w:ascii="宋体" w:hAnsi="宋体" w:cs="宋体"/>
                <w:lang w:val="en-US" w:eastAsia="zh-CN"/>
              </w:rPr>
              <w:t>1</w:t>
            </w:r>
          </w:p>
        </w:tc>
        <w:tc>
          <w:tcPr>
            <w:tcW w:w="937" w:type="pct"/>
          </w:tcPr>
          <w:p>
            <w:pPr>
              <w:rPr>
                <w:rFonts w:ascii="宋体" w:hAnsi="宋体" w:cs="宋体"/>
              </w:rPr>
            </w:pPr>
            <w:r>
              <w:rPr>
                <w:rFonts w:hint="eastAsia" w:ascii="宋体" w:hAnsi="宋体" w:cs="宋体"/>
                <w:lang w:eastAsia="zh-CN"/>
              </w:rPr>
              <w:t>（</w:t>
            </w:r>
            <w:r>
              <w:rPr>
                <w:rFonts w:hint="eastAsia" w:ascii="宋体" w:hAnsi="宋体" w:cs="宋体"/>
                <w:lang w:val="en-US" w:eastAsia="zh-CN"/>
              </w:rPr>
              <w:t>四</w:t>
            </w:r>
            <w:r>
              <w:rPr>
                <w:rFonts w:hint="eastAsia" w:ascii="宋体" w:hAnsi="宋体" w:cs="宋体"/>
                <w:lang w:eastAsia="zh-CN"/>
              </w:rPr>
              <w:t>）</w:t>
            </w:r>
            <w:r>
              <w:rPr>
                <w:rFonts w:hint="eastAsia" w:ascii="宋体" w:hAnsi="宋体" w:cs="宋体"/>
                <w:lang w:val="en-US" w:eastAsia="zh-CN"/>
              </w:rPr>
              <w:t>证书与荣誉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default" w:ascii="宋体" w:hAnsi="宋体" w:eastAsia="宋体" w:cs="宋体"/>
                <w:lang w:val="en-US" w:eastAsia="zh-CN"/>
              </w:rPr>
            </w:pPr>
            <w:r>
              <w:rPr>
                <w:rFonts w:hint="eastAsia" w:ascii="宋体" w:hAnsi="宋体" w:cs="宋体"/>
                <w:lang w:val="en-US" w:eastAsia="zh-CN"/>
              </w:rPr>
              <w:t>14</w:t>
            </w:r>
          </w:p>
        </w:tc>
        <w:tc>
          <w:tcPr>
            <w:tcW w:w="3190" w:type="pct"/>
            <w:vAlign w:val="center"/>
          </w:tcPr>
          <w:p>
            <w:pPr>
              <w:rPr>
                <w:rFonts w:hint="eastAsia"/>
                <w:sz w:val="24"/>
                <w:szCs w:val="24"/>
                <w:lang w:val="zh-CN"/>
              </w:rPr>
            </w:pPr>
            <w:r>
              <w:rPr>
                <w:rFonts w:hint="eastAsia"/>
                <w:sz w:val="24"/>
                <w:szCs w:val="24"/>
                <w:lang w:val="en-US" w:eastAsia="zh-CN"/>
              </w:rPr>
              <w:t>计算机</w:t>
            </w:r>
            <w:r>
              <w:rPr>
                <w:rFonts w:hint="eastAsia"/>
                <w:sz w:val="24"/>
                <w:szCs w:val="24"/>
                <w:lang w:val="zh-CN"/>
              </w:rPr>
              <w:t>具有国家确定的认证机构出具的计算机防火或阻燃的证书，凭有效证书复印件，得 1 分。</w:t>
            </w:r>
          </w:p>
        </w:tc>
        <w:tc>
          <w:tcPr>
            <w:tcW w:w="403" w:type="pct"/>
          </w:tcPr>
          <w:p>
            <w:pPr>
              <w:rPr>
                <w:rFonts w:hint="eastAsia" w:ascii="宋体" w:hAnsi="宋体" w:eastAsia="宋体" w:cs="宋体"/>
                <w:lang w:val="en-US" w:eastAsia="zh-CN"/>
              </w:rPr>
            </w:pPr>
            <w:r>
              <w:rPr>
                <w:rFonts w:hint="eastAsia" w:ascii="宋体" w:hAnsi="宋体" w:cs="宋体"/>
                <w:lang w:val="en-US" w:eastAsia="zh-CN"/>
              </w:rPr>
              <w:t>1</w:t>
            </w:r>
          </w:p>
        </w:tc>
        <w:tc>
          <w:tcPr>
            <w:tcW w:w="937" w:type="pct"/>
          </w:tcPr>
          <w:p>
            <w:pPr>
              <w:rPr>
                <w:rFonts w:ascii="宋体" w:hAnsi="宋体" w:cs="宋体"/>
              </w:rPr>
            </w:pPr>
            <w:r>
              <w:rPr>
                <w:rFonts w:hint="eastAsia" w:ascii="宋体" w:hAnsi="宋体" w:cs="宋体"/>
                <w:lang w:eastAsia="zh-CN"/>
              </w:rPr>
              <w:t>（</w:t>
            </w:r>
            <w:r>
              <w:rPr>
                <w:rFonts w:hint="eastAsia" w:ascii="宋体" w:hAnsi="宋体" w:cs="宋体"/>
                <w:lang w:val="en-US" w:eastAsia="zh-CN"/>
              </w:rPr>
              <w:t>四</w:t>
            </w:r>
            <w:r>
              <w:rPr>
                <w:rFonts w:hint="eastAsia" w:ascii="宋体" w:hAnsi="宋体" w:cs="宋体"/>
                <w:lang w:eastAsia="zh-CN"/>
              </w:rPr>
              <w:t>）</w:t>
            </w:r>
            <w:r>
              <w:rPr>
                <w:rFonts w:hint="eastAsia" w:ascii="宋体" w:hAnsi="宋体" w:cs="宋体"/>
                <w:lang w:val="en-US" w:eastAsia="zh-CN"/>
              </w:rPr>
              <w:t>证书与荣誉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default" w:ascii="宋体" w:hAnsi="宋体" w:eastAsia="宋体" w:cs="宋体"/>
                <w:lang w:val="en-US" w:eastAsia="zh-CN"/>
              </w:rPr>
            </w:pPr>
            <w:r>
              <w:rPr>
                <w:rFonts w:hint="eastAsia" w:ascii="宋体" w:hAnsi="宋体" w:cs="宋体"/>
                <w:lang w:val="en-US" w:eastAsia="zh-CN"/>
              </w:rPr>
              <w:t>15</w:t>
            </w:r>
          </w:p>
        </w:tc>
        <w:tc>
          <w:tcPr>
            <w:tcW w:w="3190" w:type="pct"/>
            <w:vAlign w:val="center"/>
          </w:tcPr>
          <w:p>
            <w:pPr>
              <w:rPr>
                <w:rFonts w:hint="eastAsia" w:ascii="宋体" w:hAnsi="宋体" w:cs="宋体"/>
                <w:color w:val="000000"/>
                <w:kern w:val="0"/>
                <w:sz w:val="24"/>
                <w:szCs w:val="24"/>
              </w:rPr>
            </w:pPr>
            <w:r>
              <w:rPr>
                <w:rFonts w:hint="eastAsia"/>
                <w:sz w:val="24"/>
                <w:szCs w:val="24"/>
              </w:rPr>
              <w:t>根据投标人的服务能力、售后服务体系（服务标准、响应时间、报修方式）、售后服务承诺、售后服务人员技术能力等。</w:t>
            </w:r>
          </w:p>
        </w:tc>
        <w:tc>
          <w:tcPr>
            <w:tcW w:w="403" w:type="pct"/>
          </w:tcPr>
          <w:p>
            <w:pPr>
              <w:rPr>
                <w:rFonts w:hint="default" w:ascii="宋体" w:hAnsi="宋体" w:eastAsia="宋体" w:cs="宋体"/>
                <w:lang w:val="en-US" w:eastAsia="zh-CN"/>
              </w:rPr>
            </w:pPr>
            <w:r>
              <w:rPr>
                <w:rFonts w:hint="eastAsia" w:ascii="宋体" w:hAnsi="宋体" w:cs="宋体"/>
                <w:lang w:val="en-US" w:eastAsia="zh-CN"/>
              </w:rPr>
              <w:t>4</w:t>
            </w:r>
          </w:p>
        </w:tc>
        <w:tc>
          <w:tcPr>
            <w:tcW w:w="937" w:type="pct"/>
          </w:tcPr>
          <w:p>
            <w:pPr>
              <w:rPr>
                <w:rFonts w:hint="default" w:ascii="宋体" w:hAnsi="宋体" w:eastAsia="宋体" w:cs="宋体"/>
                <w:lang w:val="en-US" w:eastAsia="zh-CN"/>
              </w:rPr>
            </w:pPr>
            <w:r>
              <w:rPr>
                <w:rFonts w:hint="eastAsia" w:ascii="宋体" w:hAnsi="宋体" w:cs="宋体"/>
                <w:lang w:eastAsia="zh-CN"/>
              </w:rPr>
              <w:t>（</w:t>
            </w:r>
            <w:r>
              <w:rPr>
                <w:rFonts w:hint="eastAsia" w:ascii="宋体" w:hAnsi="宋体" w:cs="宋体"/>
                <w:lang w:val="en-US" w:eastAsia="zh-CN"/>
              </w:rPr>
              <w:t>五</w:t>
            </w:r>
            <w:r>
              <w:rPr>
                <w:rFonts w:hint="eastAsia" w:ascii="宋体" w:hAnsi="宋体" w:cs="宋体"/>
                <w:lang w:eastAsia="zh-CN"/>
              </w:rPr>
              <w:t>）</w:t>
            </w:r>
            <w:r>
              <w:rPr>
                <w:rFonts w:hint="eastAsia" w:ascii="宋体" w:hAnsi="宋体" w:cs="宋体"/>
                <w:lang w:val="en-US" w:eastAsia="zh-CN"/>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default" w:ascii="宋体" w:hAnsi="宋体" w:eastAsia="宋体" w:cs="宋体"/>
                <w:lang w:val="en-US" w:eastAsia="zh-CN"/>
              </w:rPr>
            </w:pPr>
            <w:r>
              <w:rPr>
                <w:rFonts w:hint="eastAsia" w:ascii="宋体" w:hAnsi="宋体" w:cs="宋体"/>
                <w:lang w:val="en-US" w:eastAsia="zh-CN"/>
              </w:rPr>
              <w:t>16</w:t>
            </w:r>
          </w:p>
        </w:tc>
        <w:tc>
          <w:tcPr>
            <w:tcW w:w="3190" w:type="pct"/>
            <w:vAlign w:val="center"/>
          </w:tcPr>
          <w:p>
            <w:pPr>
              <w:rPr>
                <w:rFonts w:hint="eastAsia" w:ascii="宋体" w:hAnsi="宋体" w:cs="宋体"/>
                <w:color w:val="000000"/>
                <w:kern w:val="0"/>
                <w:sz w:val="24"/>
                <w:szCs w:val="24"/>
              </w:rPr>
            </w:pPr>
            <w:r>
              <w:rPr>
                <w:rFonts w:hint="eastAsia" w:ascii="宋体" w:cs="宋体"/>
                <w:sz w:val="24"/>
                <w:szCs w:val="24"/>
                <w:lang w:val="zh-CN"/>
              </w:rPr>
              <w:t>根据投标人承诺的提供具体的技术支持与服务，及其他</w:t>
            </w:r>
            <w:r>
              <w:rPr>
                <w:rFonts w:hint="eastAsia" w:ascii="宋体" w:cs="宋体"/>
                <w:sz w:val="24"/>
                <w:szCs w:val="24"/>
              </w:rPr>
              <w:t>实质性的项目</w:t>
            </w:r>
            <w:r>
              <w:rPr>
                <w:rFonts w:hint="eastAsia" w:ascii="宋体" w:cs="宋体"/>
                <w:sz w:val="24"/>
                <w:szCs w:val="24"/>
                <w:lang w:val="zh-CN"/>
              </w:rPr>
              <w:t>支持。</w:t>
            </w:r>
          </w:p>
        </w:tc>
        <w:tc>
          <w:tcPr>
            <w:tcW w:w="403" w:type="pct"/>
          </w:tcPr>
          <w:p>
            <w:pPr>
              <w:rPr>
                <w:rFonts w:hint="default" w:ascii="宋体" w:hAnsi="宋体" w:eastAsia="宋体" w:cs="宋体"/>
                <w:lang w:val="en-US" w:eastAsia="zh-CN"/>
              </w:rPr>
            </w:pPr>
            <w:r>
              <w:rPr>
                <w:rFonts w:hint="eastAsia" w:ascii="宋体" w:hAnsi="宋体" w:cs="宋体"/>
                <w:lang w:val="en-US" w:eastAsia="zh-CN"/>
              </w:rPr>
              <w:t>2</w:t>
            </w:r>
          </w:p>
        </w:tc>
        <w:tc>
          <w:tcPr>
            <w:tcW w:w="937" w:type="pct"/>
          </w:tcPr>
          <w:p>
            <w:pPr>
              <w:rPr>
                <w:rFonts w:ascii="宋体" w:hAnsi="宋体" w:cs="宋体"/>
              </w:rPr>
            </w:pPr>
            <w:r>
              <w:rPr>
                <w:rFonts w:hint="eastAsia" w:ascii="宋体" w:hAnsi="宋体" w:cs="宋体"/>
                <w:lang w:eastAsia="zh-CN"/>
              </w:rPr>
              <w:t>（</w:t>
            </w:r>
            <w:r>
              <w:rPr>
                <w:rFonts w:hint="eastAsia" w:ascii="宋体" w:hAnsi="宋体" w:cs="宋体"/>
                <w:lang w:val="en-US" w:eastAsia="zh-CN"/>
              </w:rPr>
              <w:t>五</w:t>
            </w:r>
            <w:r>
              <w:rPr>
                <w:rFonts w:hint="eastAsia" w:ascii="宋体" w:hAnsi="宋体" w:cs="宋体"/>
                <w:lang w:eastAsia="zh-CN"/>
              </w:rPr>
              <w:t>）</w:t>
            </w:r>
            <w:r>
              <w:rPr>
                <w:rFonts w:hint="eastAsia" w:ascii="宋体" w:hAnsi="宋体" w:cs="宋体"/>
                <w:lang w:val="en-US" w:eastAsia="zh-CN"/>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68" w:type="pct"/>
            <w:vAlign w:val="center"/>
          </w:tcPr>
          <w:p>
            <w:pPr>
              <w:rPr>
                <w:rFonts w:hint="default" w:ascii="宋体" w:hAnsi="宋体" w:eastAsia="宋体" w:cs="宋体"/>
                <w:lang w:val="en-US" w:eastAsia="zh-CN"/>
              </w:rPr>
            </w:pPr>
            <w:r>
              <w:rPr>
                <w:rFonts w:hint="eastAsia" w:ascii="宋体" w:hAnsi="宋体" w:cs="宋体"/>
                <w:lang w:val="en-US" w:eastAsia="zh-CN"/>
              </w:rPr>
              <w:t>17</w:t>
            </w:r>
          </w:p>
        </w:tc>
        <w:tc>
          <w:tcPr>
            <w:tcW w:w="3190" w:type="pct"/>
            <w:vAlign w:val="center"/>
          </w:tcPr>
          <w:p>
            <w:pPr>
              <w:rPr>
                <w:rFonts w:hint="eastAsia" w:ascii="宋体" w:hAnsi="宋体" w:cs="宋体"/>
                <w:color w:val="000000"/>
                <w:kern w:val="0"/>
                <w:sz w:val="24"/>
                <w:szCs w:val="24"/>
              </w:rPr>
            </w:pPr>
            <w:r>
              <w:rPr>
                <w:rFonts w:hint="eastAsia" w:ascii="宋体" w:cs="宋体"/>
                <w:sz w:val="24"/>
                <w:szCs w:val="24"/>
                <w:lang w:val="zh-CN"/>
              </w:rPr>
              <w:t>质保期：符合招标文件要求不得分；超过招标文件规定的，质保年限每延长1年得1分（</w:t>
            </w:r>
            <w:r>
              <w:rPr>
                <w:rFonts w:hint="eastAsia" w:ascii="宋体" w:cs="宋体"/>
                <w:sz w:val="24"/>
                <w:szCs w:val="24"/>
              </w:rPr>
              <w:t>采购项目内容需同时满足)</w:t>
            </w:r>
            <w:r>
              <w:rPr>
                <w:rFonts w:hint="eastAsia" w:ascii="宋体" w:cs="宋体"/>
                <w:sz w:val="24"/>
                <w:szCs w:val="24"/>
                <w:lang w:val="zh-CN"/>
              </w:rPr>
              <w:t>,最多得3分。</w:t>
            </w:r>
          </w:p>
        </w:tc>
        <w:tc>
          <w:tcPr>
            <w:tcW w:w="403" w:type="pct"/>
          </w:tcPr>
          <w:p>
            <w:pPr>
              <w:rPr>
                <w:rFonts w:hint="eastAsia" w:ascii="宋体" w:hAnsi="宋体" w:eastAsia="宋体" w:cs="宋体"/>
                <w:lang w:val="en-US" w:eastAsia="zh-CN"/>
              </w:rPr>
            </w:pPr>
            <w:r>
              <w:rPr>
                <w:rFonts w:hint="eastAsia" w:ascii="宋体" w:hAnsi="宋体" w:cs="宋体"/>
                <w:lang w:val="en-US" w:eastAsia="zh-CN"/>
              </w:rPr>
              <w:t>3</w:t>
            </w:r>
          </w:p>
        </w:tc>
        <w:tc>
          <w:tcPr>
            <w:tcW w:w="937" w:type="pct"/>
          </w:tcPr>
          <w:p>
            <w:pPr>
              <w:rPr>
                <w:rFonts w:ascii="宋体" w:hAnsi="宋体" w:cs="宋体"/>
              </w:rPr>
            </w:pPr>
            <w:r>
              <w:rPr>
                <w:rFonts w:hint="eastAsia" w:ascii="宋体" w:hAnsi="宋体" w:cs="宋体"/>
                <w:lang w:eastAsia="zh-CN"/>
              </w:rPr>
              <w:t>（</w:t>
            </w:r>
            <w:r>
              <w:rPr>
                <w:rFonts w:hint="eastAsia" w:ascii="宋体" w:hAnsi="宋体" w:cs="宋体"/>
                <w:lang w:val="en-US" w:eastAsia="zh-CN"/>
              </w:rPr>
              <w:t>五</w:t>
            </w:r>
            <w:r>
              <w:rPr>
                <w:rFonts w:hint="eastAsia" w:ascii="宋体" w:hAnsi="宋体" w:cs="宋体"/>
                <w:lang w:eastAsia="zh-CN"/>
              </w:rPr>
              <w:t>）</w:t>
            </w:r>
            <w:r>
              <w:rPr>
                <w:rFonts w:hint="eastAsia" w:ascii="宋体" w:hAnsi="宋体" w:cs="宋体"/>
                <w:lang w:val="en-US" w:eastAsia="zh-CN"/>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trPr>
        <w:tc>
          <w:tcPr>
            <w:tcW w:w="468" w:type="pct"/>
            <w:vAlign w:val="center"/>
          </w:tcPr>
          <w:p>
            <w:pPr>
              <w:spacing w:line="360" w:lineRule="auto"/>
              <w:ind w:firstLine="0" w:firstLineChars="0"/>
              <w:outlineLvl w:val="0"/>
              <w:rPr>
                <w:rFonts w:ascii="宋体" w:hAnsi="宋体" w:cs="宋体"/>
                <w:sz w:val="24"/>
              </w:rPr>
            </w:pPr>
            <w:r>
              <w:rPr>
                <w:rFonts w:hint="eastAsia" w:ascii="宋体" w:hAnsi="宋体" w:cs="宋体"/>
                <w:sz w:val="24"/>
                <w:lang w:val="en-US" w:eastAsia="zh-CN"/>
              </w:rPr>
              <w:t>18</w:t>
            </w:r>
            <w:r>
              <w:rPr>
                <w:rFonts w:hint="eastAsia" w:ascii="宋体" w:hAnsi="宋体" w:cs="宋体"/>
                <w:sz w:val="24"/>
              </w:rPr>
              <w:t xml:space="preserve"> </w:t>
            </w:r>
          </w:p>
        </w:tc>
        <w:tc>
          <w:tcPr>
            <w:tcW w:w="3190" w:type="pct"/>
          </w:tcPr>
          <w:p>
            <w:pPr>
              <w:spacing w:line="360" w:lineRule="auto"/>
              <w:outlineLvl w:val="0"/>
              <w:rPr>
                <w:rFonts w:ascii="宋体" w:hAnsi="宋体" w:cs="宋体"/>
                <w:sz w:val="24"/>
              </w:rPr>
            </w:pPr>
            <w:r>
              <w:rPr>
                <w:rFonts w:hint="eastAsia" w:ascii="宋体" w:hAnsi="宋体" w:cs="宋体"/>
                <w:sz w:val="24"/>
              </w:rPr>
              <w:t>有效投标报价的最低价作为评标基准价，其最低报价为满分；按［投标报价得分=（评标基准价/投标报价）*</w:t>
            </w:r>
            <w:r>
              <w:rPr>
                <w:rFonts w:hint="eastAsia" w:ascii="宋体" w:hAnsi="宋体" w:cs="宋体"/>
                <w:sz w:val="24"/>
                <w:lang w:val="en-US" w:eastAsia="zh-CN"/>
              </w:rPr>
              <w:t>4</w:t>
            </w:r>
            <w:r>
              <w:rPr>
                <w:rFonts w:hint="eastAsia" w:ascii="宋体" w:hAnsi="宋体" w:cs="宋体"/>
                <w:sz w:val="24"/>
              </w:rPr>
              <w:t>0］的计算公式计算。</w:t>
            </w:r>
          </w:p>
          <w:p>
            <w:pPr>
              <w:widowControl/>
              <w:shd w:val="clear" w:color="auto" w:fill="FFFFFF"/>
              <w:adjustRightInd/>
              <w:spacing w:after="225" w:line="315" w:lineRule="atLeast"/>
              <w:ind w:firstLine="420"/>
              <w:jc w:val="left"/>
              <w:rPr>
                <w:rFonts w:ascii="宋体" w:hAnsi="宋体" w:cs="宋体"/>
                <w:sz w:val="24"/>
              </w:rPr>
            </w:pPr>
            <w:r>
              <w:rPr>
                <w:rFonts w:hint="eastAsia" w:ascii="宋体" w:hAnsi="宋体" w:cs="宋体"/>
                <w:sz w:val="24"/>
              </w:rPr>
              <w:t>评标过程中，不得去掉报价中的最高报价和最低报价。</w:t>
            </w:r>
          </w:p>
          <w:p>
            <w:pPr>
              <w:widowControl/>
              <w:shd w:val="clear" w:color="auto" w:fill="FFFFFF"/>
              <w:adjustRightInd/>
              <w:spacing w:after="225" w:line="315" w:lineRule="atLeast"/>
              <w:ind w:firstLine="420"/>
              <w:jc w:val="left"/>
              <w:rPr>
                <w:rFonts w:ascii="宋体" w:hAnsi="宋体" w:cs="宋体"/>
                <w:sz w:val="24"/>
              </w:rPr>
            </w:pPr>
            <w:r>
              <w:rPr>
                <w:rFonts w:hint="eastAsia" w:ascii="宋体" w:hAnsi="宋体" w:cs="宋体"/>
                <w:sz w:val="24"/>
              </w:rPr>
              <w:t>因落实政府采购政策需要进行价格调整的，以调整后的价格计算评标基准价和投标报价。</w:t>
            </w:r>
          </w:p>
        </w:tc>
        <w:tc>
          <w:tcPr>
            <w:tcW w:w="403" w:type="pct"/>
            <w:vAlign w:val="center"/>
          </w:tcPr>
          <w:p>
            <w:pPr>
              <w:spacing w:line="360" w:lineRule="auto"/>
              <w:ind w:firstLine="120" w:firstLineChars="50"/>
              <w:outlineLvl w:val="0"/>
              <w:rPr>
                <w:rFonts w:ascii="宋体" w:hAnsi="宋体" w:cs="宋体"/>
                <w:sz w:val="24"/>
              </w:rPr>
            </w:pPr>
            <w:r>
              <w:rPr>
                <w:rFonts w:hint="eastAsia" w:ascii="宋体" w:hAnsi="宋体" w:cs="宋体"/>
                <w:sz w:val="24"/>
                <w:lang w:val="en-US" w:eastAsia="zh-CN"/>
              </w:rPr>
              <w:t>4</w:t>
            </w:r>
            <w:r>
              <w:rPr>
                <w:rFonts w:hint="eastAsia" w:ascii="宋体" w:hAnsi="宋体" w:cs="宋体"/>
                <w:sz w:val="24"/>
              </w:rPr>
              <w:t>0</w:t>
            </w:r>
          </w:p>
        </w:tc>
        <w:tc>
          <w:tcPr>
            <w:tcW w:w="937" w:type="pct"/>
            <w:vAlign w:val="center"/>
          </w:tcPr>
          <w:p>
            <w:pPr>
              <w:spacing w:line="360" w:lineRule="auto"/>
              <w:jc w:val="center"/>
              <w:outlineLvl w:val="0"/>
              <w:rPr>
                <w:rFonts w:ascii="宋体" w:hAnsi="宋体" w:cs="宋体"/>
                <w:sz w:val="24"/>
              </w:rPr>
            </w:pPr>
            <w:r>
              <w:rPr>
                <w:rFonts w:hint="eastAsia" w:ascii="宋体" w:hAnsi="宋体" w:cs="宋体"/>
                <w:sz w:val="24"/>
              </w:rPr>
              <w:t>/</w:t>
            </w:r>
          </w:p>
        </w:tc>
      </w:tr>
    </w:tbl>
    <w:p>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360" w:lineRule="auto"/>
        <w:rPr>
          <w:rFonts w:ascii="宋体" w:hAnsi="宋体" w:cs="宋体"/>
          <w:b/>
          <w:sz w:val="28"/>
          <w:szCs w:val="28"/>
        </w:rPr>
      </w:pPr>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360" w:lineRule="auto"/>
        <w:outlineLvl w:val="0"/>
        <w:rPr>
          <w:rFonts w:ascii="宋体" w:hAnsi="宋体" w:cs="宋体"/>
          <w:b/>
          <w:sz w:val="36"/>
          <w:szCs w:val="36"/>
        </w:rPr>
      </w:pPr>
      <w:r>
        <w:rPr>
          <w:rFonts w:hint="eastAsia" w:ascii="宋体" w:hAnsi="宋体" w:cs="宋体"/>
          <w:b/>
          <w:sz w:val="36"/>
          <w:szCs w:val="36"/>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29"/>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29"/>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29"/>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29"/>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29"/>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29"/>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29"/>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pPr>
        <w:pStyle w:val="129"/>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7"/>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pPr>
        <w:pStyle w:val="2"/>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7"/>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7"/>
        <w:snapToGrid w:val="0"/>
        <w:spacing w:line="360" w:lineRule="auto"/>
        <w:rPr>
          <w:rFonts w:cs="宋体"/>
        </w:rPr>
      </w:pPr>
      <w:r>
        <w:rPr>
          <w:rFonts w:hint="eastAsia" w:cs="宋体"/>
        </w:rPr>
        <w:t>5.1符合专业条件的供应商或者对招标文件作实质响应的供应商不足3家的；</w:t>
      </w:r>
    </w:p>
    <w:p>
      <w:pPr>
        <w:pStyle w:val="27"/>
        <w:snapToGrid w:val="0"/>
        <w:spacing w:line="360" w:lineRule="auto"/>
        <w:rPr>
          <w:rFonts w:cs="宋体"/>
        </w:rPr>
      </w:pPr>
      <w:r>
        <w:rPr>
          <w:rFonts w:hint="eastAsia" w:cs="宋体"/>
        </w:rPr>
        <w:t>5.2出现影响采购公正的违法、违规行为的；</w:t>
      </w:r>
    </w:p>
    <w:p>
      <w:pPr>
        <w:pStyle w:val="27"/>
        <w:snapToGrid w:val="0"/>
        <w:spacing w:line="360" w:lineRule="auto"/>
        <w:rPr>
          <w:rFonts w:cs="宋体"/>
        </w:rPr>
      </w:pPr>
      <w:r>
        <w:rPr>
          <w:rFonts w:hint="eastAsia" w:cs="宋体"/>
        </w:rPr>
        <w:t>5.3投标人的报价均超过了采购预算，采购人不能支付的；</w:t>
      </w:r>
    </w:p>
    <w:p>
      <w:pPr>
        <w:pStyle w:val="27"/>
        <w:snapToGrid w:val="0"/>
        <w:spacing w:line="360" w:lineRule="auto"/>
        <w:rPr>
          <w:rFonts w:cs="宋体"/>
        </w:rPr>
      </w:pPr>
      <w:r>
        <w:rPr>
          <w:rFonts w:hint="eastAsia" w:cs="宋体"/>
        </w:rPr>
        <w:t>5.4因重大变故，采购任务取消的。</w:t>
      </w:r>
    </w:p>
    <w:p>
      <w:pPr>
        <w:pStyle w:val="27"/>
        <w:snapToGrid w:val="0"/>
        <w:spacing w:line="360" w:lineRule="auto"/>
        <w:rPr>
          <w:rFonts w:cs="宋体"/>
        </w:rPr>
      </w:pPr>
      <w:r>
        <w:rPr>
          <w:rFonts w:hint="eastAsia" w:cs="宋体"/>
        </w:rPr>
        <w:t>废标后，采购机构应当将废标理由通知所有投标人。</w:t>
      </w:r>
    </w:p>
    <w:p>
      <w:pPr>
        <w:pStyle w:val="27"/>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7"/>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27"/>
        <w:snapToGrid w:val="0"/>
        <w:spacing w:line="360" w:lineRule="auto"/>
        <w:rPr>
          <w:rFonts w:cs="宋体"/>
        </w:rPr>
      </w:pPr>
      <w:r>
        <w:rPr>
          <w:rFonts w:hint="eastAsia" w:cs="宋体"/>
        </w:rPr>
        <w:t>7.1未确定中标供应商的，终止本次政府采购活动，重新开展政府采购活动。</w:t>
      </w:r>
    </w:p>
    <w:p>
      <w:pPr>
        <w:pStyle w:val="27"/>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27"/>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27"/>
        <w:snapToGrid w:val="0"/>
        <w:spacing w:line="360" w:lineRule="auto"/>
        <w:rPr>
          <w:rFonts w:cs="宋体"/>
        </w:rPr>
      </w:pPr>
      <w:r>
        <w:rPr>
          <w:rFonts w:hint="eastAsia" w:cs="宋体"/>
        </w:rPr>
        <w:t>7.4政府采购合同已经履行，给采购人、供应商造成损失的，由责任人承担赔偿责任。</w:t>
      </w:r>
    </w:p>
    <w:p>
      <w:pPr>
        <w:pStyle w:val="27"/>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pPr>
        <w:pStyle w:val="27"/>
        <w:snapToGrid w:val="0"/>
        <w:spacing w:line="360" w:lineRule="auto"/>
        <w:ind w:firstLine="0" w:firstLineChars="0"/>
        <w:rPr>
          <w:rFonts w:cs="宋体"/>
        </w:rPr>
      </w:pPr>
    </w:p>
    <w:bookmarkEnd w:id="30"/>
    <w:p>
      <w:pPr>
        <w:spacing w:line="360" w:lineRule="auto"/>
        <w:ind w:left="720" w:leftChars="343" w:firstLine="1084" w:firstLineChars="300"/>
        <w:outlineLvl w:val="0"/>
        <w:rPr>
          <w:rFonts w:ascii="宋体" w:hAnsi="宋体" w:cs="宋体"/>
          <w:b/>
          <w:sz w:val="36"/>
          <w:szCs w:val="36"/>
        </w:rPr>
      </w:pPr>
      <w:bookmarkStart w:id="396" w:name="第五部分"/>
      <w:bookmarkStart w:id="397" w:name="_Toc86217003"/>
    </w:p>
    <w:p>
      <w:pPr>
        <w:spacing w:line="360" w:lineRule="auto"/>
        <w:ind w:left="720" w:leftChars="343" w:firstLine="1084" w:firstLineChars="300"/>
        <w:outlineLvl w:val="0"/>
        <w:rPr>
          <w:rFonts w:hint="eastAsia" w:ascii="宋体" w:hAnsi="宋体" w:cs="宋体"/>
          <w:b/>
          <w:sz w:val="36"/>
          <w:szCs w:val="36"/>
        </w:rPr>
      </w:pPr>
    </w:p>
    <w:p>
      <w:pPr>
        <w:spacing w:line="360" w:lineRule="auto"/>
        <w:ind w:left="720" w:leftChars="343" w:firstLine="1084" w:firstLineChars="300"/>
        <w:outlineLvl w:val="0"/>
        <w:rPr>
          <w:rFonts w:hint="eastAsia" w:ascii="宋体" w:hAnsi="宋体" w:cs="宋体"/>
          <w:b/>
          <w:sz w:val="36"/>
          <w:szCs w:val="36"/>
        </w:rPr>
      </w:pPr>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 xml:space="preserve">    </w:t>
      </w:r>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pPr>
        <w:spacing w:line="480" w:lineRule="auto"/>
        <w:jc w:val="center"/>
        <w:rPr>
          <w:rFonts w:ascii="宋体" w:hAnsi="宋体" w:cs="宋体"/>
          <w:b/>
          <w:sz w:val="36"/>
          <w:szCs w:val="36"/>
        </w:rPr>
      </w:pPr>
      <w:r>
        <w:rPr>
          <w:rFonts w:hint="eastAsia" w:ascii="宋体" w:hAnsi="宋体" w:cs="宋体"/>
          <w:b/>
          <w:sz w:val="36"/>
          <w:szCs w:val="36"/>
        </w:rPr>
        <w:t>（货物类）</w:t>
      </w:r>
    </w:p>
    <w:p>
      <w:pPr>
        <w:pStyle w:val="700"/>
        <w:rPr>
          <w:rFonts w:ascii="宋体" w:hAnsi="宋体" w:cs="宋体"/>
          <w:szCs w:val="24"/>
        </w:rPr>
      </w:pPr>
    </w:p>
    <w:p>
      <w:pPr>
        <w:pStyle w:val="700"/>
        <w:rPr>
          <w:rFonts w:ascii="宋体" w:hAnsi="宋体" w:cs="宋体"/>
          <w:szCs w:val="24"/>
        </w:rPr>
      </w:pPr>
    </w:p>
    <w:p>
      <w:pPr>
        <w:pStyle w:val="700"/>
        <w:jc w:val="center"/>
        <w:rPr>
          <w:rFonts w:ascii="宋体" w:hAnsi="宋体" w:cs="宋体"/>
          <w:szCs w:val="24"/>
        </w:rPr>
      </w:pPr>
    </w:p>
    <w:p>
      <w:pPr>
        <w:pStyle w:val="700"/>
        <w:ind w:firstLine="2843" w:firstLineChars="1180"/>
        <w:rPr>
          <w:rFonts w:ascii="宋体" w:hAnsi="宋体" w:cs="宋体"/>
          <w:b/>
          <w:szCs w:val="24"/>
        </w:rPr>
      </w:pPr>
      <w:r>
        <w:rPr>
          <w:rFonts w:hint="eastAsia" w:ascii="宋体" w:hAnsi="宋体" w:cs="宋体"/>
          <w:b/>
          <w:szCs w:val="24"/>
        </w:rPr>
        <w:t>第一部分 合同书</w:t>
      </w:r>
    </w:p>
    <w:p>
      <w:pPr>
        <w:pStyle w:val="700"/>
        <w:rPr>
          <w:rFonts w:ascii="宋体" w:hAnsi="宋体" w:cs="宋体"/>
          <w:szCs w:val="24"/>
        </w:rPr>
      </w:pPr>
    </w:p>
    <w:p>
      <w:pPr>
        <w:pStyle w:val="700"/>
        <w:rPr>
          <w:rFonts w:ascii="宋体" w:hAnsi="宋体" w:cs="宋体"/>
          <w:szCs w:val="24"/>
        </w:rPr>
      </w:pPr>
    </w:p>
    <w:p>
      <w:pPr>
        <w:spacing w:before="120" w:line="22" w:lineRule="atLeast"/>
        <w:rPr>
          <w:rFonts w:ascii="宋体" w:hAnsi="宋体" w:cs="宋体"/>
          <w:sz w:val="24"/>
        </w:rPr>
      </w:pP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pStyle w:val="597"/>
        <w:spacing w:before="120" w:line="22" w:lineRule="atLeast"/>
        <w:rPr>
          <w:rFonts w:ascii="宋体" w:hAnsi="宋体" w:eastAsia="宋体" w:cs="宋体"/>
          <w:szCs w:val="24"/>
        </w:rPr>
      </w:pPr>
    </w:p>
    <w:p>
      <w:pPr>
        <w:pStyle w:val="597"/>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jc w:val="left"/>
        <w:rPr>
          <w:rFonts w:ascii="宋体" w:hAnsi="宋体" w:cs="宋体"/>
          <w:kern w:val="0"/>
          <w:sz w:val="24"/>
        </w:rPr>
        <w:sectPr>
          <w:pgSz w:w="11907" w:h="16840"/>
          <w:pgMar w:top="1474" w:right="1814" w:bottom="1474" w:left="1814" w:header="851" w:footer="851" w:gutter="0"/>
          <w:cols w:space="720" w:num="1"/>
        </w:sectPr>
      </w:pPr>
    </w:p>
    <w:p>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（采购人）   </w:t>
      </w:r>
      <w:r>
        <w:rPr>
          <w:rFonts w:hint="eastAsia" w:ascii="宋体" w:hAnsi="宋体" w:cs="宋体"/>
          <w:sz w:val="24"/>
        </w:rPr>
        <w:t>以</w:t>
      </w:r>
      <w:r>
        <w:rPr>
          <w:rFonts w:hint="eastAsia" w:ascii="宋体" w:hAnsi="宋体" w:cs="宋体"/>
          <w:sz w:val="24"/>
          <w:u w:val="single"/>
        </w:rPr>
        <w:t xml:space="preserve">   （政府采购方式）  </w:t>
      </w:r>
      <w:r>
        <w:rPr>
          <w:rFonts w:hint="eastAsia" w:ascii="宋体" w:hAnsi="宋体" w:cs="宋体"/>
          <w:sz w:val="24"/>
        </w:rPr>
        <w:t>对</w:t>
      </w:r>
      <w:r>
        <w:rPr>
          <w:rFonts w:hint="eastAsia" w:ascii="宋体" w:hAnsi="宋体" w:cs="宋体"/>
          <w:sz w:val="24"/>
          <w:u w:val="single"/>
        </w:rPr>
        <w:t xml:space="preserve">   （同前页项目名称）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（中标供应商名称）</w:t>
      </w:r>
      <w:r>
        <w:rPr>
          <w:rFonts w:hint="eastAsia" w:ascii="宋体" w:hAnsi="宋体" w:cs="宋体"/>
          <w:sz w:val="24"/>
        </w:rPr>
        <w:t>为该项目中标供应商。现于中标通知书发出之日起10个工作日内，按照采购文件确定的事项签订本合同。</w:t>
      </w:r>
    </w:p>
    <w:p>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（采购人）   </w:t>
      </w:r>
      <w:r>
        <w:rPr>
          <w:rFonts w:hint="eastAsia" w:ascii="宋体" w:hAnsi="宋体" w:cs="宋体"/>
          <w:sz w:val="24"/>
          <w:lang w:val="zh-CN"/>
        </w:rPr>
        <w:t>(以下简称：甲方)和</w:t>
      </w:r>
      <w:r>
        <w:rPr>
          <w:rFonts w:hint="eastAsia" w:ascii="宋体" w:hAnsi="宋体" w:cs="宋体"/>
          <w:sz w:val="24"/>
          <w:u w:val="single"/>
        </w:rPr>
        <w:t xml:space="preserve">   （中标供应商名称）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560" w:lineRule="exact"/>
        <w:ind w:firstLine="482" w:firstLineChars="200"/>
        <w:outlineLvl w:val="0"/>
        <w:rPr>
          <w:rFonts w:ascii="宋体" w:hAnsi="宋体" w:cs="宋体"/>
          <w:b/>
          <w:sz w:val="24"/>
        </w:rPr>
      </w:pPr>
      <w:bookmarkStart w:id="398" w:name="_Toc2232"/>
      <w:bookmarkStart w:id="399" w:name="_Toc24059"/>
      <w:bookmarkStart w:id="400" w:name="_Toc3029"/>
      <w:r>
        <w:rPr>
          <w:rFonts w:hint="eastAsia" w:ascii="宋体" w:hAnsi="宋体" w:cs="宋体"/>
          <w:b/>
          <w:sz w:val="24"/>
        </w:rPr>
        <w:t>1.1 合同组成部分</w:t>
      </w:r>
      <w:bookmarkEnd w:id="398"/>
      <w:bookmarkEnd w:id="399"/>
      <w:bookmarkEnd w:id="400"/>
    </w:p>
    <w:p>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pPr>
        <w:spacing w:line="560" w:lineRule="exact"/>
        <w:ind w:firstLine="480" w:firstLineChars="200"/>
        <w:rPr>
          <w:rFonts w:ascii="宋体" w:hAnsi="宋体" w:cs="宋体"/>
          <w:sz w:val="24"/>
        </w:rPr>
      </w:pPr>
      <w:r>
        <w:rPr>
          <w:rFonts w:hint="eastAsia" w:ascii="宋体" w:hAnsi="宋体" w:cs="宋体"/>
          <w:sz w:val="24"/>
        </w:rPr>
        <w:t>1.1.2 中标通知书；</w:t>
      </w:r>
    </w:p>
    <w:p>
      <w:pPr>
        <w:spacing w:line="560" w:lineRule="exact"/>
        <w:ind w:firstLine="480" w:firstLineChars="200"/>
        <w:rPr>
          <w:rFonts w:ascii="宋体" w:hAnsi="宋体" w:cs="宋体"/>
          <w:sz w:val="24"/>
        </w:rPr>
      </w:pPr>
      <w:r>
        <w:rPr>
          <w:rFonts w:hint="eastAsia" w:ascii="宋体" w:hAnsi="宋体" w:cs="宋体"/>
          <w:sz w:val="24"/>
        </w:rPr>
        <w:t>1.1.3 投标文件（含澄清或者说明文件）；</w:t>
      </w:r>
    </w:p>
    <w:p>
      <w:pPr>
        <w:spacing w:line="560" w:lineRule="exact"/>
        <w:ind w:firstLine="480" w:firstLineChars="200"/>
        <w:rPr>
          <w:rFonts w:ascii="宋体" w:hAnsi="宋体" w:cs="宋体"/>
          <w:sz w:val="24"/>
        </w:rPr>
      </w:pPr>
      <w:r>
        <w:rPr>
          <w:rFonts w:hint="eastAsia" w:ascii="宋体" w:hAnsi="宋体" w:cs="宋体"/>
          <w:sz w:val="24"/>
        </w:rPr>
        <w:t>1.1.4 招标文件（含澄清或者修改文件）；</w:t>
      </w:r>
    </w:p>
    <w:p>
      <w:pPr>
        <w:spacing w:line="560" w:lineRule="exact"/>
        <w:ind w:firstLine="480" w:firstLineChars="200"/>
        <w:rPr>
          <w:rFonts w:ascii="宋体" w:hAnsi="宋体" w:cs="宋体"/>
          <w:sz w:val="24"/>
        </w:rPr>
      </w:pPr>
      <w:r>
        <w:rPr>
          <w:rFonts w:hint="eastAsia" w:ascii="宋体" w:hAnsi="宋体" w:cs="宋体"/>
          <w:sz w:val="24"/>
        </w:rPr>
        <w:t>1.1.5 其他相关采购文件。</w:t>
      </w:r>
    </w:p>
    <w:p>
      <w:pPr>
        <w:spacing w:line="560" w:lineRule="exact"/>
        <w:ind w:firstLine="482" w:firstLineChars="200"/>
        <w:outlineLvl w:val="0"/>
        <w:rPr>
          <w:rFonts w:ascii="宋体" w:hAnsi="宋体" w:cs="宋体"/>
          <w:b/>
          <w:sz w:val="24"/>
        </w:rPr>
      </w:pPr>
      <w:bookmarkStart w:id="401" w:name="_Toc24300"/>
      <w:bookmarkStart w:id="402" w:name="_Toc27126"/>
      <w:bookmarkStart w:id="403" w:name="_Toc21295"/>
      <w:r>
        <w:rPr>
          <w:rFonts w:hint="eastAsia" w:ascii="宋体" w:hAnsi="宋体" w:cs="宋体"/>
          <w:b/>
          <w:sz w:val="24"/>
        </w:rPr>
        <w:t>1.2 货物</w:t>
      </w:r>
      <w:bookmarkEnd w:id="401"/>
      <w:bookmarkEnd w:id="402"/>
      <w:bookmarkEnd w:id="403"/>
    </w:p>
    <w:p>
      <w:pPr>
        <w:spacing w:line="560" w:lineRule="exact"/>
        <w:ind w:firstLine="480" w:firstLineChars="200"/>
        <w:rPr>
          <w:rFonts w:ascii="宋体" w:hAnsi="宋体" w:cs="宋体"/>
          <w:sz w:val="24"/>
          <w:u w:val="single"/>
        </w:rPr>
      </w:pPr>
      <w:r>
        <w:rPr>
          <w:rFonts w:hint="eastAsia" w:ascii="宋体" w:hAnsi="宋体" w:cs="宋体"/>
          <w:sz w:val="24"/>
        </w:rPr>
        <w:t>1.2.1 货物名称：</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1.2.3 货物质量：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04" w:name="_Toc21631"/>
      <w:bookmarkStart w:id="405" w:name="_Toc21551"/>
      <w:bookmarkStart w:id="406" w:name="_Toc23292"/>
      <w:r>
        <w:rPr>
          <w:rFonts w:hint="eastAsia" w:ascii="宋体" w:hAnsi="宋体" w:cs="宋体"/>
          <w:b/>
          <w:sz w:val="24"/>
        </w:rPr>
        <w:t>1.3 价款</w:t>
      </w:r>
      <w:bookmarkEnd w:id="404"/>
      <w:bookmarkEnd w:id="405"/>
      <w:bookmarkEnd w:id="406"/>
    </w:p>
    <w:p>
      <w:pPr>
        <w:spacing w:line="560" w:lineRule="exact"/>
        <w:ind w:firstLine="480" w:firstLineChars="200"/>
        <w:rPr>
          <w:rFonts w:ascii="宋体" w:hAnsi="宋体" w:cs="宋体"/>
          <w:sz w:val="24"/>
        </w:rPr>
      </w:pPr>
      <w:r>
        <w:rPr>
          <w:rFonts w:hint="eastAsia" w:ascii="宋体" w:hAnsi="宋体" w:cs="宋体"/>
          <w:sz w:val="24"/>
        </w:rPr>
        <w:t>本合同总价为：￥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Ansi="宋体" w:cs="宋体"/>
                <w:sz w:val="24"/>
                <w:szCs w:val="24"/>
              </w:rPr>
            </w:pPr>
            <w:r>
              <w:rPr>
                <w:rFonts w:hint="eastAsia" w:hAnsi="宋体" w:cs="宋体"/>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bl>
    <w:p>
      <w:pPr>
        <w:spacing w:line="560" w:lineRule="exact"/>
        <w:ind w:firstLine="482" w:firstLineChars="200"/>
        <w:outlineLvl w:val="0"/>
        <w:rPr>
          <w:rFonts w:ascii="宋体" w:hAnsi="宋体" w:cs="宋体"/>
          <w:b/>
          <w:sz w:val="24"/>
        </w:rPr>
      </w:pPr>
      <w:bookmarkStart w:id="407" w:name="_Toc1814"/>
      <w:bookmarkStart w:id="408" w:name="_Toc10340"/>
      <w:bookmarkStart w:id="409" w:name="_Toc22618"/>
      <w:r>
        <w:rPr>
          <w:rFonts w:hint="eastAsia" w:ascii="宋体" w:hAnsi="宋体" w:cs="宋体"/>
          <w:b/>
          <w:sz w:val="24"/>
        </w:rPr>
        <w:t>1.4 付款</w:t>
      </w:r>
      <w:bookmarkEnd w:id="407"/>
      <w:bookmarkEnd w:id="408"/>
      <w:bookmarkEnd w:id="409"/>
      <w:r>
        <w:rPr>
          <w:rFonts w:hint="eastAsia" w:ascii="宋体" w:hAnsi="宋体" w:cs="宋体"/>
          <w:b/>
          <w:sz w:val="24"/>
        </w:rPr>
        <w:t>方式、时间和条件</w:t>
      </w:r>
    </w:p>
    <w:p>
      <w:pPr>
        <w:pStyle w:val="957"/>
        <w:spacing w:before="0" w:beforeAutospacing="0" w:after="0" w:afterAutospacing="0" w:line="360" w:lineRule="auto"/>
        <w:ind w:firstLine="480"/>
      </w:pPr>
      <w:r>
        <w:rPr>
          <w:rFonts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宋体" w:hAnsi="宋体" w:cs="宋体"/>
          <w:sz w:val="24"/>
        </w:rPr>
      </w:pPr>
      <w:r>
        <w:rPr>
          <w:rFonts w:hint="eastAsia" w:ascii="宋体" w:hAnsi="宋体" w:cs="宋体"/>
          <w:sz w:val="24"/>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宋体" w:hAnsi="宋体" w:cs="宋体"/>
          <w:sz w:val="24"/>
        </w:rPr>
      </w:pPr>
      <w:r>
        <w:rPr>
          <w:rFonts w:hint="eastAsia" w:ascii="宋体" w:hAnsi="宋体" w:cs="宋体"/>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ascii="宋体" w:hAnsi="宋体" w:cs="宋体"/>
          <w:sz w:val="24"/>
        </w:rPr>
      </w:pPr>
      <w:r>
        <w:rPr>
          <w:rFonts w:hint="eastAsia" w:ascii="宋体" w:hAnsi="宋体" w:cs="宋体"/>
          <w:sz w:val="24"/>
        </w:rPr>
        <w:t>1.4.4资金支付的方式、时间和条件详见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outlineLvl w:val="0"/>
        <w:rPr>
          <w:rFonts w:ascii="宋体" w:hAnsi="宋体" w:cs="宋体"/>
          <w:sz w:val="24"/>
        </w:rPr>
      </w:pPr>
      <w:r>
        <w:rPr>
          <w:rFonts w:hint="eastAsia" w:ascii="宋体" w:hAnsi="宋体" w:cs="宋体"/>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560" w:lineRule="exact"/>
        <w:ind w:firstLine="482" w:firstLineChars="200"/>
        <w:outlineLvl w:val="0"/>
        <w:rPr>
          <w:rFonts w:ascii="宋体" w:hAnsi="宋体" w:cs="宋体"/>
          <w:b/>
          <w:sz w:val="24"/>
        </w:rPr>
      </w:pPr>
      <w:bookmarkStart w:id="410" w:name="_Toc2846"/>
      <w:bookmarkStart w:id="411" w:name="_Toc19304"/>
      <w:bookmarkStart w:id="412" w:name="_Toc32071"/>
      <w:r>
        <w:rPr>
          <w:rFonts w:hint="eastAsia" w:ascii="宋体" w:hAnsi="宋体" w:cs="宋体"/>
          <w:b/>
          <w:sz w:val="24"/>
        </w:rPr>
        <w:t>1.5 货物交付期限、地点和方式</w:t>
      </w:r>
      <w:bookmarkEnd w:id="410"/>
      <w:bookmarkEnd w:id="411"/>
      <w:bookmarkEnd w:id="412"/>
    </w:p>
    <w:p>
      <w:pPr>
        <w:spacing w:line="560" w:lineRule="exact"/>
        <w:ind w:firstLine="480" w:firstLineChars="200"/>
        <w:rPr>
          <w:rFonts w:ascii="宋体" w:hAnsi="宋体" w:cs="宋体"/>
          <w:sz w:val="24"/>
          <w:u w:val="single"/>
        </w:rPr>
      </w:pPr>
      <w:r>
        <w:rPr>
          <w:rFonts w:hint="eastAsia" w:ascii="宋体" w:hAnsi="宋体" w:cs="宋体"/>
          <w:sz w:val="24"/>
        </w:rPr>
        <w:t>1.5.1 交付期限：详见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13" w:name="_Toc21423"/>
      <w:bookmarkStart w:id="414" w:name="_Toc27250"/>
      <w:bookmarkStart w:id="415" w:name="_Toc19554"/>
      <w:r>
        <w:rPr>
          <w:rFonts w:hint="eastAsia" w:ascii="宋体" w:hAnsi="宋体" w:cs="宋体"/>
          <w:b/>
          <w:sz w:val="24"/>
        </w:rPr>
        <w:t>1.6 违约责任</w:t>
      </w:r>
      <w:bookmarkEnd w:id="413"/>
      <w:bookmarkEnd w:id="414"/>
      <w:bookmarkEnd w:id="415"/>
    </w:p>
    <w:p>
      <w:pPr>
        <w:spacing w:line="560" w:lineRule="exact"/>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sz w:val="24"/>
        </w:rPr>
      </w:pPr>
      <w:r>
        <w:rPr>
          <w:rFonts w:hint="eastAsia" w:ascii="宋体" w:hAnsi="宋体" w:cs="宋体"/>
          <w:sz w:val="24"/>
        </w:rPr>
        <w:t>1.6.2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sz w:val="24"/>
        </w:rPr>
      </w:pPr>
      <w:r>
        <w:rPr>
          <w:rFonts w:hint="eastAsia" w:ascii="宋体" w:hAnsi="宋体"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宋体" w:hAnsi="宋体" w:cs="宋体"/>
        </w:rPr>
      </w:pPr>
      <w:r>
        <w:rPr>
          <w:rFonts w:hint="eastAsia" w:ascii="宋体" w:hAnsi="宋体" w:cs="宋体"/>
          <w:sz w:val="24"/>
        </w:rPr>
        <w:t>1.6.7违约责任</w:t>
      </w:r>
      <w:r>
        <w:rPr>
          <w:rFonts w:hint="eastAsia" w:ascii="宋体" w:hAnsi="宋体" w:cs="宋体"/>
          <w:b/>
          <w:i/>
          <w:sz w:val="24"/>
          <w:u w:val="single"/>
        </w:rPr>
        <w:t>合同专用条款</w:t>
      </w:r>
      <w:r>
        <w:rPr>
          <w:rFonts w:hint="eastAsia" w:ascii="宋体" w:hAnsi="宋体" w:cs="宋体"/>
          <w:sz w:val="24"/>
        </w:rPr>
        <w:t>另有约定的，从其约定。</w:t>
      </w:r>
    </w:p>
    <w:p>
      <w:pPr>
        <w:spacing w:line="560" w:lineRule="exact"/>
        <w:ind w:firstLine="482" w:firstLineChars="200"/>
        <w:outlineLvl w:val="0"/>
        <w:rPr>
          <w:rFonts w:ascii="宋体" w:hAnsi="宋体" w:cs="宋体"/>
          <w:b/>
          <w:sz w:val="24"/>
        </w:rPr>
      </w:pPr>
      <w:bookmarkStart w:id="416" w:name="_Toc28375"/>
      <w:bookmarkStart w:id="417" w:name="_Toc16021"/>
      <w:bookmarkStart w:id="418" w:name="_Toc15583"/>
      <w:r>
        <w:rPr>
          <w:rFonts w:hint="eastAsia" w:ascii="宋体" w:hAnsi="宋体" w:cs="宋体"/>
          <w:b/>
          <w:sz w:val="24"/>
        </w:rPr>
        <w:t>1.7 合同争议的解决</w:t>
      </w:r>
      <w:bookmarkEnd w:id="416"/>
      <w:bookmarkEnd w:id="417"/>
      <w:bookmarkEnd w:id="418"/>
    </w:p>
    <w:p>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合同专用条款  </w:t>
      </w:r>
      <w:r>
        <w:rPr>
          <w:rFonts w:hint="eastAsia" w:ascii="宋体" w:hAnsi="宋体" w:cs="宋体"/>
          <w:sz w:val="24"/>
        </w:rPr>
        <w:t>条款规定的方式解决：</w:t>
      </w:r>
    </w:p>
    <w:p>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1.7.2 向</w:t>
      </w:r>
      <w:r>
        <w:rPr>
          <w:rFonts w:hint="eastAsia" w:ascii="宋体" w:hAnsi="宋体" w:cs="宋体"/>
          <w:b/>
          <w:i/>
          <w:sz w:val="24"/>
          <w:u w:val="single"/>
        </w:rPr>
        <w:t>合同专用条款</w:t>
      </w:r>
      <w:r>
        <w:rPr>
          <w:rFonts w:hint="eastAsia" w:ascii="宋体" w:hAnsi="宋体" w:cs="宋体"/>
          <w:sz w:val="24"/>
        </w:rPr>
        <w:t>人民法院起诉。</w:t>
      </w:r>
    </w:p>
    <w:p>
      <w:pPr>
        <w:spacing w:line="560" w:lineRule="exact"/>
        <w:ind w:firstLine="482" w:firstLineChars="200"/>
        <w:outlineLvl w:val="0"/>
        <w:rPr>
          <w:rFonts w:ascii="宋体" w:hAnsi="宋体" w:cs="宋体"/>
          <w:b/>
          <w:sz w:val="24"/>
        </w:rPr>
      </w:pPr>
      <w:bookmarkStart w:id="419" w:name="_Toc11173"/>
      <w:bookmarkStart w:id="420" w:name="_Toc15322"/>
      <w:bookmarkStart w:id="421" w:name="_Toc7245"/>
      <w:r>
        <w:rPr>
          <w:rFonts w:hint="eastAsia" w:ascii="宋体" w:hAnsi="宋体" w:cs="宋体"/>
          <w:b/>
          <w:sz w:val="24"/>
        </w:rPr>
        <w:t>1.8 合同生效</w:t>
      </w:r>
      <w:bookmarkEnd w:id="419"/>
      <w:bookmarkEnd w:id="420"/>
      <w:bookmarkEnd w:id="421"/>
    </w:p>
    <w:p>
      <w:pPr>
        <w:spacing w:line="560" w:lineRule="exact"/>
        <w:ind w:firstLine="480" w:firstLineChars="200"/>
        <w:rPr>
          <w:rFonts w:ascii="宋体" w:hAnsi="宋体" w:cs="宋体"/>
          <w:b/>
          <w:sz w:val="24"/>
        </w:rPr>
      </w:pPr>
      <w:r>
        <w:rPr>
          <w:rFonts w:hint="eastAsia" w:ascii="宋体" w:hAnsi="宋体" w:cs="宋体"/>
          <w:sz w:val="24"/>
        </w:rPr>
        <w:t>本合同自双方当事人盖章或者签字时生效。</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pPr>
        <w:autoSpaceDE w:val="0"/>
        <w:autoSpaceDN w:val="0"/>
        <w:spacing w:line="560" w:lineRule="exact"/>
        <w:rPr>
          <w:rFonts w:ascii="宋体" w:hAnsi="宋体" w:cs="宋体"/>
          <w:b/>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bookmarkStart w:id="422" w:name="_Toc331685783"/>
    </w:p>
    <w:p>
      <w:pPr>
        <w:pStyle w:val="700"/>
        <w:spacing w:line="560" w:lineRule="exact"/>
        <w:ind w:firstLine="482"/>
        <w:jc w:val="center"/>
        <w:rPr>
          <w:rFonts w:ascii="宋体" w:hAnsi="宋体" w:cs="宋体"/>
          <w:b/>
          <w:szCs w:val="24"/>
        </w:rPr>
      </w:pPr>
      <w:r>
        <w:rPr>
          <w:rFonts w:hint="eastAsia" w:ascii="宋体" w:hAnsi="宋体" w:cs="宋体"/>
          <w:b/>
          <w:szCs w:val="24"/>
        </w:rPr>
        <w:t>第二部分 合同一般条款</w:t>
      </w:r>
      <w:bookmarkEnd w:id="422"/>
    </w:p>
    <w:p>
      <w:pPr>
        <w:spacing w:line="560" w:lineRule="exact"/>
        <w:ind w:firstLine="482" w:firstLineChars="200"/>
        <w:outlineLvl w:val="0"/>
        <w:rPr>
          <w:rFonts w:ascii="宋体" w:hAnsi="宋体" w:cs="宋体"/>
          <w:b/>
          <w:sz w:val="24"/>
        </w:rPr>
      </w:pPr>
      <w:bookmarkStart w:id="423" w:name="_Toc259093669"/>
      <w:bookmarkStart w:id="424" w:name="_Ref467378404"/>
      <w:bookmarkStart w:id="425" w:name="_Ref467379205"/>
      <w:bookmarkStart w:id="426" w:name="_Toc28763"/>
      <w:bookmarkStart w:id="427" w:name="_Ref467379094"/>
      <w:bookmarkStart w:id="428" w:name="_Ref467379195"/>
      <w:bookmarkStart w:id="429" w:name="_Toc16917"/>
      <w:bookmarkStart w:id="430" w:name="_Ref467378499"/>
      <w:bookmarkStart w:id="431" w:name="_Ref467379214"/>
      <w:bookmarkStart w:id="432" w:name="_Toc279701240"/>
      <w:bookmarkStart w:id="433" w:name="_Ref467379225"/>
      <w:bookmarkStart w:id="434" w:name="_Ref467379109"/>
      <w:bookmarkStart w:id="435" w:name="_Ref467379101"/>
      <w:bookmarkStart w:id="436" w:name="_Ref467378463"/>
      <w:bookmarkStart w:id="437" w:name="_Toc19614"/>
      <w:bookmarkStart w:id="438" w:name="_Toc487900349"/>
      <w:r>
        <w:rPr>
          <w:rFonts w:hint="eastAsia" w:ascii="宋体" w:hAnsi="宋体" w:cs="宋体"/>
          <w:b/>
          <w:sz w:val="24"/>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560" w:lineRule="exact"/>
        <w:ind w:firstLine="480" w:firstLineChars="200"/>
        <w:rPr>
          <w:rFonts w:ascii="宋体" w:hAnsi="宋体" w:cs="宋体"/>
          <w:sz w:val="24"/>
        </w:rPr>
      </w:pPr>
      <w:r>
        <w:rPr>
          <w:rFonts w:hint="eastAsia" w:ascii="宋体" w:hAnsi="宋体" w:cs="宋体"/>
          <w:sz w:val="24"/>
        </w:rPr>
        <w:t>2.1.1 “合同”系指采购人和中标供应商签订的载明双方当事人所达成的协议，并包括所有的附件、附录和构成合同的其他文件。</w:t>
      </w:r>
    </w:p>
    <w:p>
      <w:pPr>
        <w:spacing w:line="560" w:lineRule="exact"/>
        <w:ind w:firstLine="480" w:firstLineChars="200"/>
        <w:rPr>
          <w:rFonts w:ascii="宋体" w:hAnsi="宋体" w:cs="宋体"/>
          <w:sz w:val="24"/>
        </w:rPr>
      </w:pPr>
      <w:r>
        <w:rPr>
          <w:rFonts w:hint="eastAsia" w:ascii="宋体" w:hAnsi="宋体" w:cs="宋体"/>
          <w:sz w:val="24"/>
        </w:rPr>
        <w:t>2.1.2 “合同价”系指根据合同约定，中标供应商在完全履行合同义务后，采购人应支付给中标供应商的价格。</w:t>
      </w:r>
    </w:p>
    <w:p>
      <w:pPr>
        <w:spacing w:line="560" w:lineRule="exact"/>
        <w:ind w:firstLine="480" w:firstLineChars="200"/>
        <w:rPr>
          <w:rFonts w:ascii="宋体" w:hAnsi="宋体" w:cs="宋体"/>
          <w:sz w:val="24"/>
        </w:rPr>
      </w:pPr>
      <w:r>
        <w:rPr>
          <w:rFonts w:hint="eastAsia" w:ascii="宋体" w:hAnsi="宋体" w:cs="宋体"/>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sz w:val="24"/>
        </w:rPr>
      </w:pPr>
      <w:bookmarkStart w:id="439" w:name="_Ref467378840"/>
      <w:r>
        <w:rPr>
          <w:rFonts w:hint="eastAsia" w:ascii="宋体" w:hAnsi="宋体" w:cs="宋体"/>
          <w:sz w:val="24"/>
        </w:rPr>
        <w:t>2.1.4 “甲方”系指与中标供应商签署合同的采购人</w:t>
      </w:r>
      <w:bookmarkEnd w:id="439"/>
      <w:r>
        <w:rPr>
          <w:rFonts w:hint="eastAsia" w:ascii="宋体" w:hAnsi="宋体" w:cs="宋体"/>
          <w:sz w:val="24"/>
        </w:rPr>
        <w:t>；采购人委托采购代理机构代表其与乙方签订合同的，采购人的授权委托书作为合同附件。</w:t>
      </w:r>
    </w:p>
    <w:p>
      <w:pPr>
        <w:spacing w:line="560" w:lineRule="exact"/>
        <w:ind w:firstLine="480" w:firstLineChars="200"/>
        <w:rPr>
          <w:rFonts w:ascii="宋体" w:hAnsi="宋体" w:cs="宋体"/>
          <w:sz w:val="24"/>
        </w:rPr>
      </w:pPr>
      <w:bookmarkStart w:id="440" w:name="_Ref467379400"/>
      <w:r>
        <w:rPr>
          <w:rFonts w:hint="eastAsia" w:ascii="宋体" w:hAnsi="宋体" w:cs="宋体"/>
          <w:sz w:val="24"/>
        </w:rPr>
        <w:t>2.1.5 “乙方”系指根据合同约定交付货物的中标供应商</w:t>
      </w:r>
      <w:bookmarkEnd w:id="440"/>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sz w:val="24"/>
        </w:rPr>
      </w:pPr>
      <w:bookmarkStart w:id="441" w:name="_Ref467379436"/>
      <w:r>
        <w:rPr>
          <w:rFonts w:hint="eastAsia" w:ascii="宋体" w:hAnsi="宋体" w:cs="宋体"/>
          <w:sz w:val="24"/>
        </w:rPr>
        <w:t>2.1.6 “现场”系指合同约定货物将要运至或者安装的地点。</w:t>
      </w:r>
      <w:bookmarkEnd w:id="441"/>
    </w:p>
    <w:p>
      <w:pPr>
        <w:spacing w:line="560" w:lineRule="exact"/>
        <w:ind w:firstLine="482" w:firstLineChars="200"/>
        <w:outlineLvl w:val="0"/>
        <w:rPr>
          <w:rFonts w:ascii="宋体" w:hAnsi="宋体" w:cs="宋体"/>
          <w:b/>
          <w:sz w:val="24"/>
        </w:rPr>
      </w:pPr>
      <w:bookmarkStart w:id="442" w:name="_Toc259093670"/>
      <w:bookmarkStart w:id="443" w:name="_Toc487900350"/>
      <w:bookmarkStart w:id="444" w:name="_Toc279701241"/>
      <w:bookmarkStart w:id="445" w:name="_Toc27635"/>
      <w:bookmarkStart w:id="446" w:name="_Toc32504"/>
      <w:bookmarkStart w:id="447" w:name="_Toc13336"/>
      <w:r>
        <w:rPr>
          <w:rFonts w:hint="eastAsia" w:ascii="宋体" w:hAnsi="宋体" w:cs="宋体"/>
          <w:b/>
          <w:sz w:val="24"/>
        </w:rPr>
        <w:t>2.2 技术规范</w:t>
      </w:r>
      <w:bookmarkEnd w:id="442"/>
      <w:bookmarkEnd w:id="443"/>
      <w:bookmarkEnd w:id="444"/>
      <w:bookmarkEnd w:id="445"/>
      <w:bookmarkEnd w:id="446"/>
      <w:bookmarkEnd w:id="447"/>
    </w:p>
    <w:p>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sz w:val="24"/>
        </w:rPr>
      </w:pPr>
      <w:bookmarkStart w:id="448" w:name="_Toc259093671"/>
      <w:bookmarkStart w:id="449" w:name="_Toc279701242"/>
      <w:bookmarkStart w:id="450" w:name="_Toc9829"/>
      <w:bookmarkStart w:id="451" w:name="_Toc487900351"/>
      <w:bookmarkStart w:id="452" w:name="_Toc31634"/>
      <w:bookmarkStart w:id="453" w:name="_Toc27853"/>
      <w:r>
        <w:rPr>
          <w:rFonts w:hint="eastAsia" w:ascii="宋体" w:hAnsi="宋体" w:cs="宋体"/>
          <w:b/>
          <w:sz w:val="24"/>
        </w:rPr>
        <w:t>2.3 知识产权</w:t>
      </w:r>
      <w:bookmarkEnd w:id="448"/>
      <w:bookmarkEnd w:id="449"/>
      <w:bookmarkEnd w:id="450"/>
      <w:bookmarkEnd w:id="451"/>
      <w:bookmarkEnd w:id="452"/>
      <w:bookmarkEnd w:id="453"/>
    </w:p>
    <w:p>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54" w:name="_Toc4194"/>
      <w:bookmarkStart w:id="455" w:name="_Toc11932"/>
      <w:bookmarkStart w:id="456" w:name="_Toc29149"/>
      <w:r>
        <w:rPr>
          <w:rFonts w:hint="eastAsia" w:ascii="宋体" w:hAnsi="宋体" w:cs="宋体"/>
          <w:b/>
          <w:sz w:val="24"/>
        </w:rPr>
        <w:t>2.4 包装和装运</w:t>
      </w:r>
      <w:bookmarkEnd w:id="454"/>
      <w:bookmarkEnd w:id="455"/>
      <w:bookmarkEnd w:id="456"/>
    </w:p>
    <w:p>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sz w:val="24"/>
        </w:rPr>
      </w:pPr>
      <w:r>
        <w:rPr>
          <w:rFonts w:hint="eastAsia" w:ascii="宋体" w:hAnsi="宋体" w:cs="宋体"/>
          <w:sz w:val="24"/>
        </w:rPr>
        <w:t>2.4.2 装运货物的要求和通知，详见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57" w:name="_Toc259093674"/>
      <w:bookmarkStart w:id="458" w:name="_Ref467379536"/>
      <w:bookmarkStart w:id="459" w:name="_Ref467378591"/>
      <w:bookmarkStart w:id="460" w:name="_Ref467378541"/>
      <w:bookmarkStart w:id="461" w:name="_Toc279701245"/>
      <w:bookmarkStart w:id="462" w:name="_Toc487900354"/>
      <w:bookmarkStart w:id="463" w:name="_Ref467379542"/>
      <w:bookmarkStart w:id="464" w:name="_Ref467379527"/>
      <w:bookmarkStart w:id="465" w:name="_Toc19074"/>
      <w:bookmarkStart w:id="466" w:name="_Toc26182"/>
      <w:bookmarkStart w:id="467" w:name="_Toc30272"/>
      <w:r>
        <w:rPr>
          <w:rFonts w:hint="eastAsia" w:ascii="宋体" w:hAnsi="宋体" w:cs="宋体"/>
          <w:b/>
          <w:sz w:val="24"/>
        </w:rPr>
        <w:t>2.</w:t>
      </w:r>
      <w:bookmarkEnd w:id="457"/>
      <w:bookmarkEnd w:id="458"/>
      <w:bookmarkEnd w:id="459"/>
      <w:bookmarkEnd w:id="460"/>
      <w:bookmarkEnd w:id="461"/>
      <w:bookmarkEnd w:id="462"/>
      <w:bookmarkEnd w:id="463"/>
      <w:bookmarkEnd w:id="464"/>
      <w:r>
        <w:rPr>
          <w:rFonts w:hint="eastAsia" w:ascii="宋体" w:hAnsi="宋体" w:cs="宋体"/>
          <w:b/>
          <w:sz w:val="24"/>
        </w:rPr>
        <w:t>5 履约检查和问题反馈</w:t>
      </w:r>
      <w:bookmarkEnd w:id="465"/>
      <w:bookmarkEnd w:id="466"/>
      <w:bookmarkEnd w:id="467"/>
    </w:p>
    <w:p>
      <w:pPr>
        <w:spacing w:line="560" w:lineRule="exact"/>
        <w:ind w:firstLine="480" w:firstLineChars="200"/>
        <w:rPr>
          <w:rFonts w:ascii="宋体" w:hAnsi="宋体" w:cs="宋体"/>
          <w:sz w:val="24"/>
        </w:rPr>
      </w:pPr>
      <w:bookmarkStart w:id="468" w:name="_Ref467379657"/>
      <w:r>
        <w:rPr>
          <w:rFonts w:hint="eastAsia" w:ascii="宋体" w:hAnsi="宋体" w:cs="宋体"/>
          <w:sz w:val="24"/>
        </w:rPr>
        <w:t>2.5.1</w:t>
      </w:r>
      <w:bookmarkEnd w:id="468"/>
      <w:bookmarkStart w:id="469" w:name="_Toc186431854"/>
      <w:bookmarkStart w:id="470" w:name="_Ref467379807"/>
      <w:bookmarkStart w:id="471" w:name="_Toc279701247"/>
      <w:bookmarkStart w:id="472" w:name="_Ref467379793"/>
      <w:bookmarkStart w:id="473" w:name="_Toc487900357"/>
      <w:bookmarkStart w:id="474" w:name="_Toc259093676"/>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469"/>
      <w:bookmarkStart w:id="475" w:name="_Toc186431855"/>
      <w:r>
        <w:rPr>
          <w:rFonts w:hint="eastAsia" w:ascii="宋体" w:hAnsi="宋体" w:cs="宋体"/>
          <w:sz w:val="24"/>
        </w:rPr>
        <w:t>。</w:t>
      </w:r>
    </w:p>
    <w:bookmarkEnd w:id="470"/>
    <w:bookmarkEnd w:id="471"/>
    <w:bookmarkEnd w:id="472"/>
    <w:bookmarkEnd w:id="473"/>
    <w:bookmarkEnd w:id="474"/>
    <w:bookmarkEnd w:id="475"/>
    <w:p>
      <w:pPr>
        <w:spacing w:line="560" w:lineRule="exact"/>
        <w:ind w:firstLine="482" w:firstLineChars="200"/>
        <w:outlineLvl w:val="0"/>
        <w:rPr>
          <w:rFonts w:ascii="宋体" w:hAnsi="宋体" w:cs="宋体"/>
          <w:b/>
          <w:sz w:val="24"/>
        </w:rPr>
      </w:pPr>
      <w:bookmarkStart w:id="476" w:name="_Toc487900358"/>
      <w:bookmarkStart w:id="477" w:name="_Ref467379852"/>
      <w:bookmarkStart w:id="478" w:name="_Ref467379863"/>
      <w:bookmarkStart w:id="479" w:name="_Toc279701248"/>
      <w:bookmarkStart w:id="480" w:name="_Ref467379923"/>
      <w:bookmarkStart w:id="481" w:name="_Toc259093677"/>
      <w:bookmarkStart w:id="482" w:name="_Toc3225"/>
      <w:bookmarkStart w:id="483" w:name="_Toc774"/>
      <w:bookmarkStart w:id="484" w:name="_Toc16110"/>
      <w:r>
        <w:rPr>
          <w:rFonts w:hint="eastAsia" w:ascii="宋体" w:hAnsi="宋体" w:cs="宋体"/>
          <w:b/>
          <w:sz w:val="24"/>
        </w:rPr>
        <w:t>2.6 技术资料</w:t>
      </w:r>
      <w:bookmarkEnd w:id="476"/>
      <w:bookmarkEnd w:id="477"/>
      <w:bookmarkEnd w:id="478"/>
      <w:bookmarkEnd w:id="479"/>
      <w:bookmarkEnd w:id="480"/>
      <w:bookmarkEnd w:id="481"/>
      <w:r>
        <w:rPr>
          <w:rFonts w:hint="eastAsia" w:ascii="宋体" w:hAnsi="宋体" w:cs="宋体"/>
          <w:b/>
          <w:sz w:val="24"/>
        </w:rPr>
        <w:t>和保密义务</w:t>
      </w:r>
      <w:bookmarkEnd w:id="482"/>
      <w:bookmarkEnd w:id="483"/>
      <w:bookmarkEnd w:id="484"/>
    </w:p>
    <w:p>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sz w:val="24"/>
        </w:rPr>
      </w:pPr>
      <w:bookmarkStart w:id="485" w:name="_Toc7860"/>
      <w:r>
        <w:rPr>
          <w:rFonts w:hint="eastAsia" w:ascii="宋体" w:hAnsi="宋体" w:cs="宋体"/>
          <w:b/>
          <w:sz w:val="24"/>
        </w:rPr>
        <w:t>2.7 质量保证</w:t>
      </w:r>
      <w:bookmarkEnd w:id="485"/>
    </w:p>
    <w:p>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sz w:val="24"/>
        </w:rPr>
      </w:pPr>
      <w:bookmarkStart w:id="486" w:name="_Toc17244"/>
      <w:bookmarkStart w:id="487" w:name="_Toc279701252"/>
      <w:bookmarkStart w:id="488" w:name="_Toc487900362"/>
      <w:bookmarkStart w:id="489" w:name="_Toc259093681"/>
      <w:r>
        <w:rPr>
          <w:rFonts w:hint="eastAsia" w:ascii="宋体" w:hAnsi="宋体" w:cs="宋体"/>
          <w:b/>
          <w:sz w:val="24"/>
        </w:rPr>
        <w:t>2.8 货物的风险负担</w:t>
      </w:r>
      <w:bookmarkEnd w:id="486"/>
    </w:p>
    <w:p>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90" w:name="_Toc14055"/>
      <w:r>
        <w:rPr>
          <w:rFonts w:hint="eastAsia" w:ascii="宋体" w:hAnsi="宋体" w:cs="宋体"/>
          <w:b/>
          <w:sz w:val="24"/>
        </w:rPr>
        <w:t>2.9 延迟交货</w:t>
      </w:r>
      <w:bookmarkEnd w:id="487"/>
      <w:bookmarkEnd w:id="488"/>
      <w:bookmarkEnd w:id="489"/>
      <w:bookmarkEnd w:id="490"/>
    </w:p>
    <w:p>
      <w:pPr>
        <w:spacing w:line="560" w:lineRule="exact"/>
        <w:ind w:firstLine="480" w:firstLineChars="200"/>
        <w:rPr>
          <w:rFonts w:ascii="宋体" w:hAnsi="宋体" w:cs="宋体"/>
          <w:sz w:val="24"/>
        </w:rPr>
      </w:pPr>
      <w:r>
        <w:rPr>
          <w:rFonts w:hint="eastAsia" w:ascii="宋体" w:hAnsi="宋体" w:cs="宋体"/>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sz w:val="24"/>
        </w:rPr>
      </w:pPr>
      <w:bookmarkStart w:id="491" w:name="_Toc7502"/>
      <w:bookmarkStart w:id="492" w:name="_Ref467378121"/>
      <w:bookmarkStart w:id="493" w:name="_Toc487900364"/>
      <w:bookmarkStart w:id="494" w:name="_Toc279701254"/>
      <w:bookmarkStart w:id="495" w:name="_Toc259093683"/>
      <w:r>
        <w:rPr>
          <w:rFonts w:hint="eastAsia" w:ascii="宋体" w:hAnsi="宋体" w:cs="宋体"/>
          <w:b/>
          <w:sz w:val="24"/>
        </w:rPr>
        <w:t>2.10 合同变更</w:t>
      </w:r>
      <w:bookmarkEnd w:id="491"/>
    </w:p>
    <w:p>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496" w:name="_Toc487900369"/>
      <w:bookmarkStart w:id="497" w:name="_Toc279701259"/>
      <w:bookmarkStart w:id="498" w:name="_Toc259093688"/>
    </w:p>
    <w:p>
      <w:pPr>
        <w:spacing w:line="560" w:lineRule="exact"/>
        <w:ind w:firstLine="482" w:firstLineChars="200"/>
        <w:outlineLvl w:val="0"/>
        <w:rPr>
          <w:rFonts w:ascii="宋体" w:hAnsi="宋体" w:cs="宋体"/>
          <w:b/>
          <w:sz w:val="24"/>
        </w:rPr>
      </w:pPr>
      <w:bookmarkStart w:id="499" w:name="_Toc10366"/>
      <w:bookmarkStart w:id="500" w:name="_Toc15237"/>
      <w:bookmarkStart w:id="501" w:name="_Toc22955"/>
      <w:r>
        <w:rPr>
          <w:rFonts w:hint="eastAsia" w:ascii="宋体" w:hAnsi="宋体" w:cs="宋体"/>
          <w:b/>
          <w:sz w:val="24"/>
        </w:rPr>
        <w:t>2.11 合同转让</w:t>
      </w:r>
      <w:bookmarkEnd w:id="496"/>
      <w:bookmarkEnd w:id="497"/>
      <w:bookmarkEnd w:id="498"/>
      <w:r>
        <w:rPr>
          <w:rFonts w:hint="eastAsia" w:ascii="宋体" w:hAnsi="宋体" w:cs="宋体"/>
          <w:b/>
          <w:sz w:val="24"/>
        </w:rPr>
        <w:t>和分包</w:t>
      </w:r>
      <w:bookmarkEnd w:id="499"/>
      <w:bookmarkEnd w:id="500"/>
      <w:bookmarkEnd w:id="501"/>
    </w:p>
    <w:p>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pPr>
        <w:spacing w:line="560" w:lineRule="exact"/>
        <w:ind w:firstLine="482" w:firstLineChars="200"/>
        <w:outlineLvl w:val="0"/>
        <w:rPr>
          <w:rFonts w:ascii="宋体" w:hAnsi="宋体" w:cs="宋体"/>
          <w:b/>
          <w:sz w:val="24"/>
        </w:rPr>
      </w:pPr>
      <w:bookmarkStart w:id="502" w:name="_Toc16508"/>
      <w:bookmarkStart w:id="503" w:name="_Toc13566"/>
      <w:bookmarkStart w:id="504" w:name="_Toc14066"/>
      <w:r>
        <w:rPr>
          <w:rFonts w:hint="eastAsia" w:ascii="宋体" w:hAnsi="宋体" w:cs="宋体"/>
          <w:b/>
          <w:sz w:val="24"/>
        </w:rPr>
        <w:t>2.12 不可抗力</w:t>
      </w:r>
      <w:bookmarkEnd w:id="502"/>
      <w:bookmarkEnd w:id="503"/>
      <w:bookmarkEnd w:id="504"/>
    </w:p>
    <w:p>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560" w:lineRule="exact"/>
        <w:ind w:firstLine="482" w:firstLineChars="200"/>
        <w:outlineLvl w:val="0"/>
        <w:rPr>
          <w:rFonts w:ascii="宋体" w:hAnsi="宋体" w:cs="宋体"/>
          <w:b/>
          <w:sz w:val="24"/>
        </w:rPr>
      </w:pPr>
      <w:bookmarkStart w:id="505" w:name="_Toc6969"/>
      <w:bookmarkStart w:id="506" w:name="_Toc259093684"/>
      <w:bookmarkStart w:id="507" w:name="_Toc30676"/>
      <w:bookmarkStart w:id="508" w:name="_Toc279701255"/>
      <w:bookmarkStart w:id="509" w:name="_Toc487900365"/>
      <w:bookmarkStart w:id="510" w:name="_Toc689"/>
      <w:r>
        <w:rPr>
          <w:rFonts w:hint="eastAsia" w:ascii="宋体" w:hAnsi="宋体" w:cs="宋体"/>
          <w:b/>
          <w:sz w:val="24"/>
        </w:rPr>
        <w:t>2.13 税费</w:t>
      </w:r>
      <w:bookmarkEnd w:id="505"/>
      <w:bookmarkEnd w:id="506"/>
      <w:bookmarkEnd w:id="507"/>
      <w:bookmarkEnd w:id="508"/>
      <w:bookmarkEnd w:id="509"/>
      <w:bookmarkEnd w:id="510"/>
    </w:p>
    <w:p>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560" w:lineRule="exact"/>
        <w:ind w:firstLine="482" w:firstLineChars="200"/>
        <w:outlineLvl w:val="0"/>
        <w:rPr>
          <w:rFonts w:ascii="宋体" w:hAnsi="宋体" w:cs="宋体"/>
          <w:b/>
          <w:sz w:val="24"/>
        </w:rPr>
      </w:pPr>
      <w:bookmarkStart w:id="511" w:name="_Toc259093687"/>
      <w:bookmarkStart w:id="512" w:name="_Toc16959"/>
      <w:bookmarkStart w:id="513" w:name="_Toc487900368"/>
      <w:bookmarkStart w:id="514" w:name="_Toc279701258"/>
      <w:bookmarkStart w:id="515" w:name="_Toc7102"/>
      <w:bookmarkStart w:id="516" w:name="_Toc8298"/>
      <w:r>
        <w:rPr>
          <w:rFonts w:hint="eastAsia" w:ascii="宋体" w:hAnsi="宋体" w:cs="宋体"/>
          <w:b/>
          <w:sz w:val="24"/>
        </w:rPr>
        <w:t>2.14乙方破产</w:t>
      </w:r>
      <w:bookmarkEnd w:id="511"/>
      <w:bookmarkEnd w:id="512"/>
      <w:bookmarkEnd w:id="513"/>
      <w:bookmarkEnd w:id="514"/>
      <w:bookmarkEnd w:id="515"/>
      <w:bookmarkEnd w:id="516"/>
    </w:p>
    <w:p>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sz w:val="24"/>
        </w:rPr>
      </w:pPr>
      <w:bookmarkStart w:id="517" w:name="_Toc29333"/>
      <w:bookmarkStart w:id="518" w:name="_Toc6134"/>
      <w:bookmarkStart w:id="519" w:name="_Toc15387"/>
      <w:r>
        <w:rPr>
          <w:rFonts w:hint="eastAsia" w:ascii="宋体" w:hAnsi="宋体" w:cs="宋体"/>
          <w:b/>
          <w:sz w:val="24"/>
        </w:rPr>
        <w:t>2.15 合同中止、终止</w:t>
      </w:r>
      <w:bookmarkEnd w:id="517"/>
      <w:bookmarkEnd w:id="518"/>
      <w:bookmarkEnd w:id="519"/>
    </w:p>
    <w:p>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sz w:val="24"/>
        </w:rPr>
      </w:pPr>
      <w:bookmarkStart w:id="520" w:name="_Toc1125"/>
      <w:bookmarkStart w:id="521" w:name="_Toc14563"/>
      <w:bookmarkStart w:id="522" w:name="_Toc6596"/>
      <w:r>
        <w:rPr>
          <w:rFonts w:hint="eastAsia" w:ascii="宋体" w:hAnsi="宋体" w:cs="宋体"/>
          <w:b/>
          <w:sz w:val="24"/>
        </w:rPr>
        <w:t>2.16检验和验收</w:t>
      </w:r>
      <w:bookmarkEnd w:id="520"/>
      <w:bookmarkEnd w:id="521"/>
      <w:bookmarkEnd w:id="522"/>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492"/>
    <w:bookmarkEnd w:id="493"/>
    <w:bookmarkEnd w:id="494"/>
    <w:bookmarkEnd w:id="495"/>
    <w:p>
      <w:pPr>
        <w:spacing w:line="560" w:lineRule="exact"/>
        <w:ind w:firstLine="482" w:firstLineChars="200"/>
        <w:outlineLvl w:val="0"/>
        <w:rPr>
          <w:rFonts w:ascii="宋体" w:hAnsi="宋体" w:cs="宋体"/>
          <w:b/>
          <w:sz w:val="24"/>
        </w:rPr>
      </w:pPr>
      <w:bookmarkStart w:id="523" w:name="_Toc259093690"/>
      <w:bookmarkStart w:id="524" w:name="_Toc279701261"/>
      <w:bookmarkStart w:id="525" w:name="_Toc487900371"/>
      <w:bookmarkStart w:id="526" w:name="_Toc11284"/>
      <w:bookmarkStart w:id="527" w:name="_Toc19604"/>
      <w:bookmarkStart w:id="528" w:name="_Toc25182"/>
      <w:r>
        <w:rPr>
          <w:rFonts w:hint="eastAsia" w:ascii="宋体" w:hAnsi="宋体" w:cs="宋体"/>
          <w:b/>
          <w:sz w:val="24"/>
        </w:rPr>
        <w:t>2.17 通知</w:t>
      </w:r>
      <w:bookmarkEnd w:id="523"/>
      <w:bookmarkEnd w:id="524"/>
      <w:bookmarkEnd w:id="525"/>
      <w:r>
        <w:rPr>
          <w:rFonts w:hint="eastAsia" w:ascii="宋体" w:hAnsi="宋体" w:cs="宋体"/>
          <w:b/>
          <w:sz w:val="24"/>
        </w:rPr>
        <w:t>和送达</w:t>
      </w:r>
      <w:bookmarkEnd w:id="526"/>
      <w:bookmarkEnd w:id="527"/>
      <w:bookmarkEnd w:id="528"/>
    </w:p>
    <w:p>
      <w:pPr>
        <w:spacing w:line="560" w:lineRule="exact"/>
        <w:ind w:firstLine="480" w:firstLineChars="200"/>
        <w:rPr>
          <w:rFonts w:ascii="宋体" w:hAnsi="宋体" w:cs="宋体"/>
          <w:sz w:val="24"/>
        </w:rPr>
      </w:pPr>
      <w:bookmarkStart w:id="529" w:name="_Toc3135"/>
      <w:bookmarkStart w:id="530" w:name="_Toc6698"/>
      <w:bookmarkStart w:id="531" w:name="_Toc279701262"/>
      <w:bookmarkStart w:id="532" w:name="_Toc487900372"/>
      <w:bookmarkStart w:id="533" w:name="_Toc259093691"/>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529"/>
      <w:bookmarkEnd w:id="530"/>
    </w:p>
    <w:p>
      <w:pPr>
        <w:spacing w:line="560" w:lineRule="exact"/>
        <w:ind w:firstLine="480" w:firstLineChars="200"/>
        <w:rPr>
          <w:rFonts w:ascii="宋体" w:hAnsi="宋体" w:cs="宋体"/>
          <w:sz w:val="24"/>
        </w:rPr>
      </w:pPr>
      <w:bookmarkStart w:id="534" w:name="_Toc23294"/>
      <w:bookmarkStart w:id="535" w:name="_Toc23128"/>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pPr>
        <w:spacing w:line="560" w:lineRule="exact"/>
        <w:ind w:firstLine="482" w:firstLineChars="200"/>
        <w:outlineLvl w:val="0"/>
        <w:rPr>
          <w:rFonts w:ascii="宋体" w:hAnsi="宋体" w:cs="宋体"/>
          <w:b/>
          <w:sz w:val="24"/>
        </w:rPr>
      </w:pPr>
      <w:bookmarkStart w:id="536" w:name="_Toc30599"/>
      <w:bookmarkStart w:id="537" w:name="_Toc4355"/>
      <w:bookmarkStart w:id="538" w:name="_Toc18540"/>
      <w:r>
        <w:rPr>
          <w:rFonts w:hint="eastAsia" w:ascii="宋体" w:hAnsi="宋体" w:cs="宋体"/>
          <w:b/>
          <w:sz w:val="24"/>
        </w:rPr>
        <w:t>2.18 计量单位</w:t>
      </w:r>
      <w:bookmarkEnd w:id="531"/>
      <w:bookmarkEnd w:id="532"/>
      <w:bookmarkEnd w:id="533"/>
      <w:bookmarkEnd w:id="536"/>
      <w:bookmarkEnd w:id="537"/>
      <w:bookmarkEnd w:id="538"/>
    </w:p>
    <w:p>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560" w:lineRule="exact"/>
        <w:ind w:firstLine="482" w:firstLineChars="200"/>
        <w:outlineLvl w:val="0"/>
        <w:rPr>
          <w:rFonts w:ascii="宋体" w:hAnsi="宋体" w:cs="宋体"/>
          <w:b/>
          <w:sz w:val="24"/>
        </w:rPr>
      </w:pPr>
      <w:bookmarkStart w:id="539" w:name="_Toc279701263"/>
      <w:bookmarkStart w:id="540" w:name="_Toc18567"/>
      <w:bookmarkStart w:id="541" w:name="_Toc12773"/>
      <w:bookmarkStart w:id="542" w:name="_Toc10330"/>
      <w:bookmarkStart w:id="543" w:name="_Toc487900373"/>
      <w:bookmarkStart w:id="544" w:name="_Toc259093692"/>
      <w:r>
        <w:rPr>
          <w:rFonts w:hint="eastAsia" w:ascii="宋体" w:hAnsi="宋体" w:cs="宋体"/>
          <w:b/>
          <w:sz w:val="24"/>
        </w:rPr>
        <w:t>2.19 合同使用的文字和适用的法律</w:t>
      </w:r>
      <w:bookmarkEnd w:id="539"/>
      <w:bookmarkEnd w:id="540"/>
      <w:bookmarkEnd w:id="541"/>
      <w:bookmarkEnd w:id="542"/>
      <w:bookmarkEnd w:id="543"/>
      <w:bookmarkEnd w:id="544"/>
    </w:p>
    <w:p>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pPr>
        <w:spacing w:line="560" w:lineRule="exact"/>
        <w:ind w:firstLine="482" w:firstLineChars="200"/>
        <w:outlineLvl w:val="0"/>
        <w:rPr>
          <w:rFonts w:ascii="宋体" w:hAnsi="宋体" w:cs="宋体"/>
          <w:b/>
          <w:sz w:val="24"/>
        </w:rPr>
      </w:pPr>
      <w:bookmarkStart w:id="545" w:name="_Toc16673"/>
      <w:bookmarkStart w:id="546" w:name="_Toc279701264"/>
      <w:bookmarkStart w:id="547" w:name="_Toc3148"/>
      <w:bookmarkStart w:id="548" w:name="_Toc259093693"/>
      <w:bookmarkStart w:id="549" w:name="_Toc12004"/>
      <w:bookmarkStart w:id="550" w:name="_Toc487900374"/>
      <w:r>
        <w:rPr>
          <w:rFonts w:hint="eastAsia" w:ascii="宋体" w:hAnsi="宋体" w:cs="宋体"/>
          <w:b/>
          <w:sz w:val="24"/>
        </w:rPr>
        <w:t>2.20 履约保证金</w:t>
      </w:r>
      <w:bookmarkEnd w:id="545"/>
      <w:bookmarkEnd w:id="546"/>
      <w:bookmarkEnd w:id="547"/>
      <w:bookmarkEnd w:id="548"/>
      <w:bookmarkEnd w:id="549"/>
    </w:p>
    <w:p>
      <w:pPr>
        <w:pStyle w:val="957"/>
        <w:spacing w:before="0" w:beforeAutospacing="0" w:after="0" w:afterAutospacing="0" w:line="360" w:lineRule="auto"/>
        <w:ind w:firstLine="420"/>
      </w:pPr>
      <w:r>
        <w:rPr>
          <w:rFonts w:hint="eastAsia"/>
        </w:rPr>
        <w:t>2.20.1 采购文件要求乙方提交履约保证金的，乙方应按</w:t>
      </w:r>
      <w:r>
        <w:rPr>
          <w:rFonts w:hint="eastAsia"/>
          <w:b/>
          <w:i/>
          <w:u w:val="single"/>
        </w:rPr>
        <w:t>合同专用条款</w:t>
      </w:r>
      <w:r>
        <w:rPr>
          <w:rFonts w:hint="eastAsia"/>
        </w:rPr>
        <w:t>约定的方式，以支票、汇票、本票或者金融机构、担保机构出具的保函等非现金形式，提交不超过合同金额</w:t>
      </w:r>
      <w:r>
        <w:t>1%</w:t>
      </w:r>
      <w:r>
        <w:rPr>
          <w:rFonts w:hint="eastAsia"/>
        </w:rPr>
        <w:t>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ascii="宋体" w:hAnsi="宋体" w:cs="宋体"/>
          <w:sz w:val="24"/>
        </w:rPr>
      </w:pPr>
      <w:r>
        <w:rPr>
          <w:rFonts w:ascii="宋体" w:hAnsi="宋体" w:cs="宋体"/>
          <w:sz w:val="24"/>
        </w:rPr>
        <w:t xml:space="preserve">2.20.2  </w:t>
      </w:r>
      <w:r>
        <w:rPr>
          <w:rFonts w:hint="eastAsia" w:ascii="宋体" w:hAnsi="宋体" w:cs="宋体"/>
          <w:sz w:val="24"/>
        </w:rPr>
        <w:t>甲方在项目验收结束后及时退还履约保证金。甲方在项目通过验收之日起</w:t>
      </w:r>
      <w:r>
        <w:rPr>
          <w:rFonts w:hint="eastAsia" w:ascii="宋体" w:hAnsi="宋体" w:cs="宋体"/>
          <w:sz w:val="24"/>
          <w:u w:val="single"/>
        </w:rPr>
        <w:t xml:space="preserve"> 5 </w:t>
      </w:r>
      <w:r>
        <w:rPr>
          <w:rFonts w:hint="eastAsia" w:ascii="宋体" w:hAnsi="宋体" w:cs="宋体"/>
          <w:sz w:val="24"/>
        </w:rPr>
        <w:t>个工作日内，按</w:t>
      </w:r>
      <w:r>
        <w:rPr>
          <w:rFonts w:hint="eastAsia" w:ascii="宋体" w:hAnsi="宋体" w:cs="宋体"/>
          <w:b/>
          <w:i/>
          <w:sz w:val="24"/>
          <w:u w:val="single"/>
        </w:rPr>
        <w:t>合同专用条款</w:t>
      </w:r>
      <w:r>
        <w:rPr>
          <w:rFonts w:hint="eastAsia" w:ascii="宋体" w:hAnsi="宋体" w:cs="宋体"/>
          <w:sz w:val="24"/>
        </w:rPr>
        <w:t>约定的方式将履约保证金退还乙方，逾期退还的，乙方可要求甲方支付违约金，违约金按每迟延退还一日的应退还而未退还金额的</w:t>
      </w:r>
      <w:r>
        <w:rPr>
          <w:rFonts w:hint="eastAsia" w:ascii="宋体" w:hAnsi="宋体" w:cs="宋体"/>
          <w:sz w:val="24"/>
          <w:u w:val="single"/>
        </w:rPr>
        <w:t xml:space="preserve">  0.05  </w:t>
      </w:r>
      <w:r>
        <w:rPr>
          <w:rFonts w:hint="eastAsia" w:ascii="宋体" w:hAnsi="宋体" w:cs="宋体"/>
          <w:sz w:val="24"/>
        </w:rPr>
        <w:t>%计算，最高限额为本合同履约保证金的</w:t>
      </w:r>
      <w:r>
        <w:rPr>
          <w:rFonts w:hint="eastAsia" w:ascii="宋体" w:hAnsi="宋体" w:cs="宋体"/>
          <w:sz w:val="24"/>
          <w:u w:val="single"/>
        </w:rPr>
        <w:t xml:space="preserve">  20   </w:t>
      </w:r>
      <w:r>
        <w:rPr>
          <w:rFonts w:hint="eastAsia" w:ascii="宋体" w:hAnsi="宋体" w:cs="宋体"/>
          <w:sz w:val="24"/>
        </w:rPr>
        <w:t xml:space="preserve">%； </w:t>
      </w:r>
    </w:p>
    <w:p>
      <w:pPr>
        <w:spacing w:line="560" w:lineRule="exact"/>
        <w:ind w:firstLine="480" w:firstLineChars="200"/>
        <w:rPr>
          <w:rFonts w:ascii="宋体" w:hAnsi="宋体" w:cs="宋体"/>
          <w:sz w:val="24"/>
        </w:rPr>
      </w:pPr>
      <w:r>
        <w:rPr>
          <w:rFonts w:hint="eastAsia" w:ascii="宋体" w:hAnsi="宋体" w:cs="宋体"/>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宋体" w:hAnsi="宋体" w:cs="宋体"/>
          <w:sz w:val="24"/>
        </w:rPr>
      </w:pPr>
      <w:r>
        <w:rPr>
          <w:rFonts w:hint="eastAsia" w:ascii="宋体" w:hAnsi="宋体" w:cs="宋体"/>
          <w:sz w:val="24"/>
        </w:rPr>
        <w:t>2.20.4 甲方根据杭州市政府采购网公布的供应商履约评价情况减免履约保证金。乙方履约验收评价总分为100分的，甲方免收履约保证金。</w:t>
      </w:r>
    </w:p>
    <w:p>
      <w:pPr>
        <w:spacing w:line="560" w:lineRule="exact"/>
        <w:ind w:firstLine="480" w:firstLineChars="200"/>
        <w:rPr>
          <w:rFonts w:ascii="宋体" w:hAnsi="宋体" w:cs="宋体"/>
        </w:rPr>
      </w:pPr>
      <w:r>
        <w:rPr>
          <w:rFonts w:hint="eastAsia" w:ascii="宋体" w:hAnsi="宋体" w:cs="宋体"/>
          <w:sz w:val="24"/>
        </w:rPr>
        <w:t>2.20.5甲方在乙方履行完合同约定义务事项后及时退还，延迟退还的，应当按照合同约定和法律规定承担相应的赔偿责任。</w:t>
      </w:r>
    </w:p>
    <w:p>
      <w:pPr>
        <w:spacing w:line="560" w:lineRule="exact"/>
        <w:ind w:firstLine="480" w:firstLineChars="200"/>
        <w:rPr>
          <w:rFonts w:ascii="宋体" w:hAnsi="宋体" w:cs="宋体"/>
          <w:sz w:val="24"/>
        </w:rPr>
      </w:pPr>
      <w:r>
        <w:rPr>
          <w:rFonts w:hint="eastAsia" w:ascii="宋体" w:hAnsi="宋体" w:cs="宋体"/>
          <w:sz w:val="24"/>
        </w:rPr>
        <w:t>2.21对于因甲方原因导致变更、中止或者终止政府采购合同的，甲方应当依照合同约定对供应商受到的损失予以赔偿或者补偿。</w:t>
      </w:r>
    </w:p>
    <w:bookmarkEnd w:id="550"/>
    <w:p>
      <w:pPr>
        <w:spacing w:line="560" w:lineRule="exact"/>
        <w:ind w:firstLine="482" w:firstLineChars="200"/>
        <w:outlineLvl w:val="0"/>
        <w:rPr>
          <w:rFonts w:ascii="宋体" w:hAnsi="宋体" w:cs="宋体"/>
          <w:b/>
          <w:sz w:val="24"/>
        </w:rPr>
      </w:pPr>
      <w:bookmarkStart w:id="551" w:name="_Toc19890"/>
      <w:bookmarkStart w:id="552" w:name="_Toc6885"/>
      <w:bookmarkStart w:id="553" w:name="_Toc14001"/>
      <w:r>
        <w:rPr>
          <w:rFonts w:hint="eastAsia" w:ascii="宋体" w:hAnsi="宋体" w:cs="宋体"/>
          <w:b/>
          <w:sz w:val="24"/>
        </w:rPr>
        <w:t>2.22合同份数</w:t>
      </w:r>
      <w:bookmarkEnd w:id="551"/>
      <w:bookmarkEnd w:id="552"/>
      <w:bookmarkEnd w:id="553"/>
    </w:p>
    <w:p>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pPr>
        <w:pStyle w:val="700"/>
        <w:spacing w:line="560" w:lineRule="exact"/>
        <w:jc w:val="center"/>
        <w:rPr>
          <w:rFonts w:ascii="宋体" w:hAnsi="宋体" w:cs="宋体"/>
          <w:b/>
          <w:szCs w:val="24"/>
        </w:rPr>
      </w:pPr>
      <w:r>
        <w:rPr>
          <w:rFonts w:hint="eastAsia" w:ascii="宋体" w:hAnsi="宋体" w:cs="宋体"/>
          <w:kern w:val="0"/>
          <w:szCs w:val="24"/>
        </w:rPr>
        <w:br w:type="page"/>
      </w:r>
      <w:bookmarkStart w:id="554" w:name="_Toc331685784"/>
      <w:r>
        <w:rPr>
          <w:rFonts w:hint="eastAsia" w:ascii="宋体" w:hAnsi="宋体" w:cs="宋体"/>
          <w:b/>
          <w:szCs w:val="24"/>
        </w:rPr>
        <w:t xml:space="preserve"> </w:t>
      </w:r>
      <w:bookmarkEnd w:id="554"/>
      <w:r>
        <w:rPr>
          <w:rFonts w:hint="eastAsia" w:ascii="宋体" w:hAnsi="宋体" w:cs="宋体"/>
          <w:b/>
          <w:szCs w:val="24"/>
        </w:rPr>
        <w:t>第三部分  合同专用条款</w:t>
      </w:r>
    </w:p>
    <w:p>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条款号</w:t>
            </w:r>
          </w:p>
        </w:tc>
        <w:tc>
          <w:tcPr>
            <w:tcW w:w="4534" w:type="pct"/>
            <w:vAlign w:val="center"/>
          </w:tcPr>
          <w:p>
            <w:pPr>
              <w:spacing w:line="360" w:lineRule="auto"/>
              <w:jc w:val="center"/>
              <w:rPr>
                <w:rFonts w:ascii="宋体" w:hAnsi="宋体" w:cs="宋体"/>
                <w:b/>
                <w:sz w:val="24"/>
              </w:rPr>
            </w:pPr>
            <w:r>
              <w:rPr>
                <w:rFonts w:hint="eastAsia" w:ascii="宋体" w:hAnsi="宋体" w:cs="宋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1.4.4</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1.5.1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1.5.3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1.6.7</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2.3.2</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2.4.1</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宋体" w:hAnsi="宋体" w:cs="宋体"/>
                <w:sz w:val="24"/>
              </w:rPr>
            </w:pPr>
            <w:r>
              <w:rPr>
                <w:rFonts w:hint="eastAsia" w:ascii="宋体" w:hAnsi="宋体" w:cs="宋体"/>
                <w:sz w:val="24"/>
              </w:rPr>
              <w:t xml:space="preserve">2.8 </w:t>
            </w:r>
          </w:p>
        </w:tc>
        <w:tc>
          <w:tcPr>
            <w:tcW w:w="4534" w:type="pct"/>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2.12.4</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宋体" w:hAnsi="宋体" w:cs="宋体"/>
                <w:sz w:val="24"/>
              </w:rPr>
            </w:pPr>
            <w:r>
              <w:rPr>
                <w:rFonts w:hint="eastAsia" w:ascii="宋体" w:hAnsi="宋体" w:cs="宋体"/>
                <w:sz w:val="24"/>
              </w:rPr>
              <w:t>2.20.1</w:t>
            </w:r>
          </w:p>
        </w:tc>
        <w:tc>
          <w:tcPr>
            <w:tcW w:w="4534" w:type="pct"/>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2.20.2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sz w:val="24"/>
              </w:rPr>
            </w:pPr>
            <w:r>
              <w:rPr>
                <w:rFonts w:hint="eastAsia" w:ascii="宋体" w:hAnsi="宋体" w:cs="宋体"/>
                <w:sz w:val="24"/>
              </w:rPr>
              <w:t xml:space="preserve">2.22 </w:t>
            </w:r>
          </w:p>
        </w:tc>
        <w:tc>
          <w:tcPr>
            <w:tcW w:w="4534" w:type="pct"/>
            <w:vAlign w:val="center"/>
          </w:tcPr>
          <w:p>
            <w:pPr>
              <w:spacing w:line="360" w:lineRule="auto"/>
              <w:rPr>
                <w:rFonts w:ascii="宋体" w:hAnsi="宋体" w:cs="宋体"/>
                <w:sz w:val="24"/>
              </w:rPr>
            </w:pPr>
          </w:p>
        </w:tc>
      </w:tr>
    </w:tbl>
    <w:p>
      <w:pPr>
        <w:spacing w:line="360" w:lineRule="auto"/>
        <w:ind w:left="-420" w:leftChars="-200" w:right="-420" w:rightChars="-200" w:firstLine="480" w:firstLineChars="200"/>
        <w:rPr>
          <w:rFonts w:ascii="宋体" w:hAnsi="宋体" w:cs="宋体"/>
          <w:sz w:val="24"/>
        </w:rPr>
      </w:pPr>
    </w:p>
    <w:p>
      <w:pPr>
        <w:spacing w:line="360" w:lineRule="auto"/>
        <w:ind w:left="-420" w:leftChars="-200" w:right="-420" w:rightChars="-200"/>
        <w:rPr>
          <w:rFonts w:ascii="宋体" w:hAnsi="宋体" w:cs="宋体"/>
          <w:sz w:val="24"/>
        </w:rPr>
      </w:pPr>
    </w:p>
    <w:p>
      <w:pPr>
        <w:spacing w:line="360" w:lineRule="auto"/>
        <w:ind w:left="-420" w:leftChars="-200" w:right="-420" w:rightChars="-200" w:firstLine="480" w:firstLineChars="200"/>
        <w:jc w:val="center"/>
        <w:outlineLvl w:val="0"/>
        <w:rPr>
          <w:rFonts w:ascii="宋体" w:hAnsi="宋体" w:cs="宋体"/>
          <w:sz w:val="24"/>
        </w:rPr>
      </w:pPr>
    </w:p>
    <w:p>
      <w:pPr>
        <w:spacing w:line="360" w:lineRule="auto"/>
        <w:ind w:left="-420" w:leftChars="-200" w:right="-420" w:rightChars="-200" w:firstLine="480" w:firstLineChars="200"/>
        <w:jc w:val="center"/>
        <w:outlineLvl w:val="0"/>
        <w:rPr>
          <w:rFonts w:ascii="宋体" w:hAnsi="宋体" w:cs="宋体"/>
          <w:sz w:val="24"/>
        </w:rPr>
      </w:pPr>
    </w:p>
    <w:p>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96"/>
      <w:r>
        <w:rPr>
          <w:rFonts w:hint="eastAsia" w:ascii="宋体" w:hAnsi="宋体" w:cs="宋体"/>
          <w:b/>
          <w:sz w:val="36"/>
          <w:szCs w:val="20"/>
        </w:rPr>
        <w:t xml:space="preserve"> </w:t>
      </w:r>
      <w:bookmarkEnd w:id="397"/>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rPr>
      </w:pPr>
      <w:r>
        <w:rPr>
          <w:rFonts w:hint="eastAsia" w:ascii="宋体" w:hAnsi="宋体" w:cs="宋体"/>
          <w:b/>
          <w:sz w:val="24"/>
        </w:rPr>
        <w:t xml:space="preserve">    </w:t>
      </w: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），分包意向协议中中小企业合同金额应当达到招标公告载明的比例；如果供应商本身提供所有标的均由中小企业制造的，视同符合了资格条件，无需再向中小企业分包，无需提供分包意向协议。</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2"/>
        <w:rPr>
          <w:lang w:val="en-US"/>
        </w:rPr>
      </w:pPr>
    </w:p>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rPr>
          <w:rFonts w:ascii="宋体" w:hAnsi="宋体" w:cs="宋体"/>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pStyle w:val="2"/>
        <w:rPr>
          <w:lang w:val="en-US"/>
        </w:rPr>
      </w:pPr>
    </w:p>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pStyle w:val="2"/>
        <w:rPr>
          <w:lang w:val="en-US"/>
        </w:rPr>
      </w:pPr>
    </w:p>
    <w:p>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本项目的特定资格要求（如果有）。</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32"/>
          <w:szCs w:val="32"/>
        </w:rPr>
      </w:pPr>
    </w:p>
    <w:p>
      <w:pPr>
        <w:snapToGrid w:val="0"/>
        <w:spacing w:line="360" w:lineRule="auto"/>
        <w:rPr>
          <w:rFonts w:ascii="宋体" w:hAnsi="宋体" w:cs="宋体"/>
          <w:sz w:val="24"/>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r>
        <w:rPr>
          <w:rFonts w:hint="eastAsia" w:ascii="宋体" w:hAnsi="宋体" w:cs="宋体"/>
          <w:sz w:val="24"/>
        </w:rPr>
        <w:t xml:space="preserve">                                </w:t>
      </w: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snapToGrid w:val="0"/>
        <w:spacing w:line="360" w:lineRule="auto"/>
        <w:rPr>
          <w:rFonts w:ascii="宋体" w:hAnsi="宋体" w:cs="宋体"/>
          <w:sz w:val="24"/>
        </w:rPr>
      </w:pPr>
    </w:p>
    <w:p>
      <w:pPr>
        <w:snapToGrid w:val="0"/>
        <w:spacing w:line="360" w:lineRule="auto"/>
        <w:rPr>
          <w:rFonts w:ascii="宋体" w:hAnsi="宋体" w:cs="宋体"/>
          <w:sz w:val="24"/>
        </w:rPr>
      </w:pPr>
    </w:p>
    <w:p>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47"/>
        <w:spacing w:line="360" w:lineRule="auto"/>
        <w:rPr>
          <w:rFonts w:hAnsi="宋体" w:cs="宋体"/>
          <w:bCs/>
          <w:sz w:val="24"/>
        </w:rPr>
      </w:pPr>
      <w:r>
        <w:rPr>
          <w:rFonts w:hint="eastAsia" w:hAnsi="宋体" w:cs="宋体"/>
          <w:bCs/>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Ansi="宋体" w:cs="宋体"/>
                <w:bCs/>
                <w:sz w:val="24"/>
              </w:rPr>
            </w:pPr>
            <w:r>
              <w:rPr>
                <w:rFonts w:hint="eastAsia" w:hAnsi="宋体" w:cs="宋体"/>
                <w:bCs/>
                <w:sz w:val="24"/>
              </w:rPr>
              <w:t>正面：                                 反面：</w:t>
            </w:r>
          </w:p>
          <w:p>
            <w:pPr>
              <w:pStyle w:val="147"/>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宋体" w:hAnsi="宋体" w:cs="宋体"/>
          <w:b/>
          <w:kern w:val="0"/>
          <w:sz w:val="32"/>
          <w:szCs w:val="32"/>
        </w:rPr>
      </w:pPr>
      <w:r>
        <w:rPr>
          <w:rFonts w:hint="eastAsia" w:ascii="宋体" w:hAnsi="宋体" w:cs="宋体"/>
          <w:b/>
          <w:kern w:val="0"/>
          <w:sz w:val="32"/>
          <w:szCs w:val="32"/>
        </w:rPr>
        <w:t>三、分包意向协议</w:t>
      </w:r>
    </w:p>
    <w:p>
      <w:pPr>
        <w:widowControl/>
        <w:spacing w:line="360" w:lineRule="auto"/>
        <w:ind w:firstLine="120" w:firstLineChars="50"/>
        <w:jc w:val="left"/>
        <w:rPr>
          <w:rFonts w:ascii="宋体" w:hAnsi="宋体" w:cs="宋体"/>
          <w:sz w:val="24"/>
        </w:rPr>
      </w:pPr>
      <w:bookmarkStart w:id="555"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555"/>
    <w:p>
      <w:pPr>
        <w:snapToGrid w:val="0"/>
        <w:spacing w:line="360" w:lineRule="auto"/>
        <w:rPr>
          <w:rFonts w:ascii="宋体" w:hAnsi="宋体" w:cs="宋体"/>
          <w:kern w:val="0"/>
          <w:sz w:val="24"/>
        </w:rPr>
      </w:pPr>
    </w:p>
    <w:p>
      <w:pPr>
        <w:jc w:val="center"/>
        <w:rPr>
          <w:rFonts w:ascii="宋体" w:hAnsi="宋体" w:cs="宋体"/>
          <w:b/>
          <w:kern w:val="0"/>
          <w:sz w:val="32"/>
          <w:szCs w:val="32"/>
        </w:rPr>
      </w:pPr>
      <w:r>
        <w:rPr>
          <w:rFonts w:hint="eastAsia" w:ascii="宋体" w:hAnsi="宋体" w:cs="宋体"/>
          <w:b/>
          <w:kern w:val="0"/>
          <w:sz w:val="32"/>
          <w:szCs w:val="32"/>
        </w:rPr>
        <w:t>四、符合性审查资料</w:t>
      </w:r>
    </w:p>
    <w:p>
      <w:pPr>
        <w:jc w:val="center"/>
        <w:rPr>
          <w:rFonts w:ascii="宋体" w:hAnsi="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sz w:val="24"/>
              </w:rPr>
            </w:pPr>
            <w:r>
              <w:rPr>
                <w:rFonts w:hint="eastAsia" w:ascii="宋体" w:hAnsi="宋体" w:cs="宋体"/>
                <w:sz w:val="24"/>
              </w:rPr>
              <w:t>1</w:t>
            </w:r>
          </w:p>
        </w:tc>
        <w:tc>
          <w:tcPr>
            <w:tcW w:w="4991" w:type="dxa"/>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宋体" w:hAnsi="宋体" w:cs="宋体"/>
                <w:sz w:val="24"/>
              </w:rPr>
            </w:pPr>
            <w:r>
              <w:rPr>
                <w:rFonts w:hint="eastAsia" w:ascii="宋体" w:hAnsi="宋体" w:cs="宋体"/>
                <w:sz w:val="24"/>
              </w:rPr>
              <w:t>2</w:t>
            </w:r>
          </w:p>
        </w:tc>
        <w:tc>
          <w:tcPr>
            <w:tcW w:w="4991" w:type="dxa"/>
          </w:tcPr>
          <w:p>
            <w:pPr>
              <w:spacing w:line="360" w:lineRule="auto"/>
              <w:rPr>
                <w:rFonts w:ascii="宋体" w:hAnsi="宋体" w:cs="宋体"/>
                <w:sz w:val="24"/>
              </w:rPr>
            </w:pPr>
            <w:r>
              <w:rPr>
                <w:rFonts w:hint="eastAsia" w:ascii="宋体" w:hAnsi="宋体" w:cs="宋体"/>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宋体" w:hAnsi="宋体" w:cs="宋体"/>
                <w:sz w:val="24"/>
              </w:rPr>
            </w:pPr>
            <w:r>
              <w:rPr>
                <w:rFonts w:hint="eastAsia" w:ascii="宋体" w:hAnsi="宋体" w:cs="宋体"/>
                <w:sz w:val="24"/>
              </w:rPr>
              <w:t>节能产品认证证书（本项目拟采购的产品不属于政府强制采购的节能产品品目清单范围的，无需提供）</w:t>
            </w:r>
          </w:p>
        </w:tc>
        <w:tc>
          <w:tcPr>
            <w:tcW w:w="1418" w:type="dxa"/>
          </w:tcPr>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见投标文件</w:t>
            </w:r>
          </w:p>
          <w:p>
            <w:pPr>
              <w:pStyle w:val="2"/>
              <w:rPr>
                <w:rFonts w:ascii="宋体" w:hAnsi="宋体" w:eastAsia="宋体" w:cs="宋体"/>
                <w:lang w:val="en-US"/>
              </w:rPr>
            </w:pPr>
            <w:r>
              <w:rPr>
                <w:rFonts w:hint="eastAsia" w:ascii="宋体" w:hAnsi="宋体" w:eastAsia="宋体" w:cs="宋体"/>
                <w:b w:val="0"/>
                <w:bCs w:val="0"/>
                <w:sz w:val="24"/>
                <w:szCs w:val="24"/>
                <w:lang w:val="en-US"/>
              </w:rPr>
              <w:t>第</w:t>
            </w:r>
            <w:r>
              <w:rPr>
                <w:rFonts w:hint="eastAsia" w:ascii="宋体" w:hAnsi="宋体" w:eastAsia="宋体" w:cs="宋体"/>
                <w:b w:val="0"/>
                <w:bCs w:val="0"/>
                <w:sz w:val="24"/>
                <w:szCs w:val="24"/>
                <w:u w:val="single"/>
                <w:lang w:val="en-US"/>
              </w:rPr>
              <w:t xml:space="preserve">  </w:t>
            </w:r>
            <w:r>
              <w:rPr>
                <w:rFonts w:hint="eastAsia" w:ascii="宋体" w:hAnsi="宋体" w:eastAsia="宋体" w:cs="宋体"/>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sz w:val="24"/>
              </w:rPr>
            </w:pPr>
            <w:r>
              <w:rPr>
                <w:rFonts w:hint="eastAsia" w:ascii="宋体" w:hAnsi="宋体" w:cs="宋体"/>
                <w:sz w:val="24"/>
              </w:rPr>
              <w:t>3</w:t>
            </w:r>
          </w:p>
        </w:tc>
        <w:tc>
          <w:tcPr>
            <w:tcW w:w="4991" w:type="dxa"/>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sz w:val="24"/>
              </w:rPr>
            </w:pPr>
            <w:r>
              <w:rPr>
                <w:rFonts w:hint="eastAsia" w:ascii="宋体" w:hAnsi="宋体" w:cs="宋体"/>
                <w:sz w:val="24"/>
              </w:rPr>
              <w:t>4</w:t>
            </w:r>
          </w:p>
        </w:tc>
        <w:tc>
          <w:tcPr>
            <w:tcW w:w="4991" w:type="dxa"/>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 xml:space="preserve">            </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rPr>
      </w:pPr>
      <w:r>
        <w:rPr>
          <w:rFonts w:hint="eastAsia" w:ascii="宋体" w:hAnsi="宋体" w:cs="宋体"/>
          <w:b/>
          <w:kern w:val="0"/>
          <w:sz w:val="32"/>
          <w:szCs w:val="32"/>
        </w:rPr>
        <w:t>五、评标标准相应的商务技术资料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24"/>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3"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1</w:t>
            </w:r>
          </w:p>
        </w:tc>
        <w:tc>
          <w:tcPr>
            <w:tcW w:w="1417" w:type="dxa"/>
            <w:vAlign w:val="center"/>
          </w:tcPr>
          <w:p>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2</w:t>
            </w:r>
          </w:p>
        </w:tc>
        <w:tc>
          <w:tcPr>
            <w:tcW w:w="1417" w:type="dxa"/>
            <w:vAlign w:val="center"/>
          </w:tcPr>
          <w:p>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w:t>
            </w: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kern w:val="0"/>
          <w:sz w:val="24"/>
          <w:lang w:val="zh-CN"/>
        </w:rPr>
      </w:pPr>
      <w:r>
        <w:rPr>
          <w:rFonts w:ascii="宋体" w:hAnsi="宋体" w:cs="宋体"/>
          <w:kern w:val="0"/>
          <w:sz w:val="24"/>
          <w:szCs w:val="22"/>
          <w:lang w:val="zh-CN"/>
        </w:rPr>
        <w:t>4</w:t>
      </w:r>
      <w:r>
        <w:rPr>
          <w:rFonts w:hint="eastAsia" w:ascii="宋体" w:hAnsi="宋体" w:cs="宋体"/>
          <w:kern w:val="0"/>
          <w:sz w:val="24"/>
          <w:szCs w:val="22"/>
          <w:lang w:val="zh-CN"/>
        </w:rPr>
        <w:t>、</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556" w:name="_Hlk101259491"/>
      <w:r>
        <w:rPr>
          <w:rFonts w:hint="eastAsia" w:ascii="宋体" w:hAnsi="宋体" w:eastAsia="宋体" w:cs="宋体"/>
          <w:sz w:val="32"/>
          <w:szCs w:val="32"/>
        </w:rPr>
        <w:t>（如果有）</w:t>
      </w:r>
      <w:bookmarkEnd w:id="556"/>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pPr>
        <w:pStyle w:val="691"/>
        <w:keepNext w:val="0"/>
        <w:pageBreakBefore w:val="0"/>
        <w:tabs>
          <w:tab w:val="clear" w:pos="720"/>
        </w:tabs>
        <w:snapToGrid w:val="0"/>
        <w:spacing w:before="120" w:after="120"/>
        <w:ind w:firstLine="643"/>
        <w:outlineLvl w:val="9"/>
        <w:rPr>
          <w:rFonts w:ascii="宋体" w:hAnsi="宋体" w:eastAsia="宋体" w:cs="宋体"/>
          <w:b w:val="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tabs>
          <w:tab w:val="left" w:pos="8085"/>
        </w:tabs>
        <w:spacing w:line="360" w:lineRule="auto"/>
        <w:ind w:firstLine="1285" w:firstLineChars="400"/>
        <w:jc w:val="left"/>
        <w:rPr>
          <w:rFonts w:ascii="宋体" w:hAnsi="宋体" w:cs="宋体"/>
          <w:b/>
          <w:sz w:val="32"/>
          <w:szCs w:val="32"/>
        </w:rPr>
      </w:pPr>
      <w:r>
        <w:rPr>
          <w:rFonts w:hint="eastAsia" w:ascii="宋体" w:hAnsi="宋体" w:cs="宋体"/>
          <w:b/>
          <w:sz w:val="32"/>
          <w:szCs w:val="32"/>
        </w:rPr>
        <w:t>政府采购支持中小企业信用融资相关事项通知</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宋体" w:hAnsi="宋体" w:cs="宋体"/>
          <w:kern w:val="0"/>
          <w:sz w:val="24"/>
          <w:lang w:val="zh-CN"/>
        </w:rPr>
      </w:pPr>
      <w:r>
        <w:rPr>
          <w:rFonts w:hint="eastAsia" w:ascii="宋体" w:hAnsi="宋体" w:cs="宋体"/>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宋体" w:hAnsi="宋体" w:cs="宋体"/>
          <w:b/>
          <w:sz w:val="24"/>
        </w:rPr>
      </w:pPr>
      <w:r>
        <w:rPr>
          <w:rFonts w:hint="eastAsia" w:ascii="宋体" w:hAnsi="宋体" w:cs="宋体"/>
          <w:b/>
          <w:sz w:val="24"/>
        </w:rPr>
        <w:t>一、适用对象</w:t>
      </w:r>
    </w:p>
    <w:p>
      <w:pPr>
        <w:spacing w:line="360" w:lineRule="auto"/>
        <w:ind w:firstLine="480" w:firstLineChars="200"/>
        <w:rPr>
          <w:rFonts w:ascii="宋体" w:hAnsi="宋体" w:cs="宋体"/>
          <w:sz w:val="24"/>
        </w:rPr>
      </w:pPr>
      <w:r>
        <w:rPr>
          <w:rFonts w:hint="eastAsia" w:ascii="宋体" w:hAnsi="宋体" w:cs="宋体"/>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宋体" w:hAnsi="宋体" w:cs="宋体"/>
          <w:b/>
          <w:sz w:val="24"/>
        </w:rPr>
      </w:pPr>
      <w:r>
        <w:rPr>
          <w:rFonts w:hint="eastAsia" w:ascii="宋体" w:hAnsi="宋体" w:cs="宋体"/>
          <w:b/>
          <w:sz w:val="24"/>
        </w:rPr>
        <w:t>二、相关信息获取方式</w:t>
      </w:r>
    </w:p>
    <w:p>
      <w:pPr>
        <w:spacing w:line="360" w:lineRule="auto"/>
        <w:ind w:firstLine="480" w:firstLineChars="200"/>
        <w:rPr>
          <w:rFonts w:ascii="宋体" w:hAnsi="宋体" w:cs="宋体"/>
          <w:sz w:val="24"/>
        </w:rPr>
      </w:pPr>
      <w:r>
        <w:rPr>
          <w:rFonts w:hint="eastAsia" w:ascii="宋体" w:hAnsi="宋体" w:cs="宋体"/>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宋体" w:hAnsi="宋体" w:cs="宋体"/>
          <w:b/>
          <w:sz w:val="24"/>
        </w:rPr>
      </w:pPr>
      <w:r>
        <w:rPr>
          <w:rFonts w:hint="eastAsia" w:ascii="宋体" w:hAnsi="宋体" w:cs="宋体"/>
          <w:b/>
          <w:sz w:val="24"/>
        </w:rPr>
        <w:t>三、　政府采购信用融资操作流程：</w:t>
      </w:r>
    </w:p>
    <w:p>
      <w:pPr>
        <w:spacing w:line="360" w:lineRule="auto"/>
        <w:ind w:firstLine="960" w:firstLineChars="400"/>
        <w:rPr>
          <w:rFonts w:ascii="宋体" w:hAnsi="宋体" w:cs="宋体"/>
          <w:sz w:val="24"/>
        </w:rPr>
      </w:pPr>
      <w:r>
        <w:rPr>
          <w:rFonts w:hint="eastAsia" w:ascii="宋体" w:hAnsi="宋体" w:cs="宋体"/>
          <w:sz w:val="24"/>
        </w:rPr>
        <w:t>（一）线上融资模式：</w:t>
      </w:r>
    </w:p>
    <w:p>
      <w:pPr>
        <w:spacing w:line="360" w:lineRule="auto"/>
        <w:ind w:firstLine="480" w:firstLineChars="200"/>
        <w:rPr>
          <w:rFonts w:ascii="宋体" w:hAnsi="宋体" w:cs="宋体"/>
          <w:sz w:val="24"/>
        </w:rPr>
      </w:pPr>
      <w:r>
        <w:rPr>
          <w:rFonts w:hint="eastAsia" w:ascii="宋体" w:hAnsi="宋体" w:cs="宋体"/>
          <w:sz w:val="24"/>
        </w:rPr>
        <w:t>　　1.供应商根据合作银行提供的方案，自行选择金融产品，并办理开户等手续；</w:t>
      </w:r>
    </w:p>
    <w:p>
      <w:pPr>
        <w:spacing w:line="360" w:lineRule="auto"/>
        <w:ind w:firstLine="480" w:firstLineChars="200"/>
        <w:rPr>
          <w:rFonts w:ascii="宋体" w:hAnsi="宋体" w:cs="宋体"/>
          <w:sz w:val="24"/>
        </w:rPr>
      </w:pPr>
      <w:r>
        <w:rPr>
          <w:rFonts w:hint="eastAsia" w:ascii="宋体" w:hAnsi="宋体" w:cs="宋体"/>
          <w:sz w:val="24"/>
        </w:rPr>
        <w:t>　　2.供应商中标后，可通过杭州市政府采购网或“浙里办”测算授信额度；</w:t>
      </w:r>
    </w:p>
    <w:p>
      <w:pPr>
        <w:spacing w:line="360" w:lineRule="auto"/>
        <w:ind w:firstLine="480" w:firstLineChars="200"/>
        <w:rPr>
          <w:rFonts w:ascii="宋体" w:hAnsi="宋体" w:cs="宋体"/>
          <w:sz w:val="24"/>
        </w:rPr>
      </w:pPr>
      <w:r>
        <w:rPr>
          <w:rFonts w:hint="eastAsia" w:ascii="宋体" w:hAnsi="宋体" w:cs="宋体"/>
          <w:sz w:val="24"/>
        </w:rPr>
        <w:t>　　3.采购合同签订后，供应商在杭州市政府采购网或“浙里办”向合作银行发出融资申请；</w:t>
      </w:r>
    </w:p>
    <w:p>
      <w:pPr>
        <w:spacing w:line="360" w:lineRule="auto"/>
        <w:ind w:firstLine="480" w:firstLineChars="200"/>
        <w:rPr>
          <w:rFonts w:ascii="宋体" w:hAnsi="宋体" w:cs="宋体"/>
          <w:sz w:val="24"/>
        </w:rPr>
      </w:pPr>
      <w:r>
        <w:rPr>
          <w:rFonts w:hint="eastAsia" w:ascii="宋体" w:hAnsi="宋体" w:cs="宋体"/>
          <w:sz w:val="24"/>
        </w:rPr>
        <w:t>　　4.审批通过后，在线办理放贷手续。</w:t>
      </w:r>
    </w:p>
    <w:p>
      <w:pPr>
        <w:spacing w:line="360" w:lineRule="auto"/>
        <w:ind w:firstLine="480" w:firstLineChars="200"/>
        <w:rPr>
          <w:rFonts w:ascii="宋体" w:hAnsi="宋体" w:cs="宋体"/>
          <w:sz w:val="24"/>
        </w:rPr>
      </w:pPr>
      <w:r>
        <w:rPr>
          <w:rFonts w:hint="eastAsia" w:ascii="宋体" w:hAnsi="宋体" w:cs="宋体"/>
          <w:sz w:val="24"/>
        </w:rPr>
        <w:t>　　（二）线下融资模式：</w:t>
      </w:r>
    </w:p>
    <w:p>
      <w:pPr>
        <w:spacing w:line="360" w:lineRule="auto"/>
        <w:ind w:firstLine="480" w:firstLineChars="200"/>
        <w:rPr>
          <w:rFonts w:ascii="宋体" w:hAnsi="宋体" w:cs="宋体"/>
          <w:sz w:val="24"/>
        </w:rPr>
      </w:pPr>
      <w:r>
        <w:rPr>
          <w:rFonts w:hint="eastAsia" w:ascii="宋体" w:hAnsi="宋体" w:cs="宋体"/>
          <w:sz w:val="24"/>
        </w:rPr>
        <w:t>　　1.供应商根据合作银行提供的方案，自行选择金融产品，向合作银行提出信用资格预审，并办理开户等手续；</w:t>
      </w:r>
    </w:p>
    <w:p>
      <w:pPr>
        <w:spacing w:line="360" w:lineRule="auto"/>
        <w:ind w:firstLine="480" w:firstLineChars="200"/>
        <w:rPr>
          <w:rFonts w:ascii="宋体" w:hAnsi="宋体" w:cs="宋体"/>
          <w:sz w:val="24"/>
        </w:rPr>
      </w:pPr>
      <w:r>
        <w:rPr>
          <w:rFonts w:hint="eastAsia" w:ascii="宋体" w:hAnsi="宋体" w:cs="宋体"/>
          <w:sz w:val="24"/>
        </w:rPr>
        <w:t>　　2.采购合同签订后，供应商在杭州市政府采购网或“浙里办”向合作银行发出融资申请；</w:t>
      </w:r>
    </w:p>
    <w:p>
      <w:pPr>
        <w:spacing w:line="360" w:lineRule="auto"/>
        <w:ind w:firstLine="480" w:firstLineChars="200"/>
        <w:rPr>
          <w:rFonts w:ascii="宋体" w:hAnsi="宋体" w:cs="宋体"/>
          <w:sz w:val="24"/>
        </w:rPr>
      </w:pPr>
      <w:r>
        <w:rPr>
          <w:rFonts w:hint="eastAsia" w:ascii="宋体" w:hAnsi="宋体" w:cs="宋体"/>
          <w:sz w:val="24"/>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宋体" w:hAnsi="宋体" w:cs="宋体"/>
          <w:sz w:val="24"/>
        </w:rPr>
      </w:pPr>
      <w:r>
        <w:rPr>
          <w:rFonts w:hint="eastAsia" w:ascii="宋体" w:hAnsi="宋体" w:cs="宋体"/>
          <w:sz w:val="24"/>
        </w:rPr>
        <w:t>　　4.审批通过后，合作银行应按照合作备忘录中约定的审批放款期限和优惠利率及时予以放款。</w:t>
      </w:r>
    </w:p>
    <w:p>
      <w:pPr>
        <w:pStyle w:val="2"/>
        <w:numPr>
          <w:ilvl w:val="255"/>
          <w:numId w:val="0"/>
        </w:numPr>
        <w:ind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（三）杭州e融平台申请融资</w:t>
      </w:r>
    </w:p>
    <w:p>
      <w:pPr>
        <w:pStyle w:val="2"/>
        <w:numPr>
          <w:ilvl w:val="255"/>
          <w:numId w:val="0"/>
        </w:numPr>
        <w:ind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供应商通过杭州e融平台政采贷专区，自行选择金融产品，按规定手续办理贷款流程。</w:t>
      </w:r>
    </w:p>
    <w:p>
      <w:pPr>
        <w:spacing w:line="360" w:lineRule="auto"/>
        <w:ind w:firstLine="482" w:firstLineChars="200"/>
        <w:rPr>
          <w:rFonts w:ascii="宋体" w:hAnsi="宋体" w:cs="宋体"/>
          <w:b/>
          <w:sz w:val="24"/>
        </w:rPr>
      </w:pPr>
      <w:r>
        <w:rPr>
          <w:rFonts w:hint="eastAsia" w:ascii="宋体" w:hAnsi="宋体" w:cs="宋体"/>
          <w:b/>
          <w:sz w:val="24"/>
        </w:rPr>
        <w:t>四、注意事项</w:t>
      </w:r>
    </w:p>
    <w:p>
      <w:pPr>
        <w:spacing w:line="360" w:lineRule="auto"/>
        <w:ind w:firstLine="480" w:firstLineChars="200"/>
        <w:rPr>
          <w:rFonts w:ascii="宋体" w:hAnsi="宋体" w:cs="宋体"/>
          <w:sz w:val="24"/>
        </w:rPr>
      </w:pPr>
      <w:r>
        <w:rPr>
          <w:rFonts w:hint="eastAsia" w:ascii="宋体" w:hAnsi="宋体" w:cs="宋体"/>
          <w:sz w:val="24"/>
        </w:rPr>
        <w:t>1、对拟用于信用融资的政府采购合同，供应商在签订合同时应当在合同中注明融资银行名称及账号，作为在该银行的唯一收款账号。</w:t>
      </w:r>
    </w:p>
    <w:p>
      <w:pPr>
        <w:spacing w:line="360" w:lineRule="auto"/>
        <w:ind w:firstLine="480" w:firstLineChars="200"/>
        <w:rPr>
          <w:rFonts w:ascii="宋体" w:hAnsi="宋体" w:cs="宋体"/>
          <w:sz w:val="24"/>
        </w:rPr>
      </w:pPr>
      <w:r>
        <w:rPr>
          <w:rFonts w:hint="eastAsia" w:ascii="宋体" w:hAnsi="宋体" w:cs="宋体"/>
          <w:sz w:val="24"/>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ascii="宋体" w:hAnsi="宋体" w:cs="宋体"/>
          <w:b/>
          <w:bCs/>
          <w:kern w:val="0"/>
          <w:sz w:val="24"/>
        </w:rPr>
      </w:pPr>
    </w:p>
    <w:p>
      <w:pPr>
        <w:pStyle w:val="4"/>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557" w:name="_Toc465665161"/>
      <w:r>
        <w:rPr>
          <w:rFonts w:hint="eastAsia" w:ascii="宋体" w:hAnsi="宋体" w:cs="宋体"/>
        </w:rPr>
        <w:t>附件</w:t>
      </w:r>
      <w:bookmarkEnd w:id="557"/>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558" w:name="OLE_LINK14"/>
      <w:bookmarkStart w:id="559" w:name="OLE_LINK13"/>
      <w:r>
        <w:rPr>
          <w:rFonts w:hint="eastAsia" w:ascii="宋体" w:hAnsi="宋体" w:cs="宋体"/>
          <w:b/>
          <w:spacing w:val="6"/>
          <w:sz w:val="32"/>
          <w:szCs w:val="32"/>
        </w:rPr>
        <w:t>残疾人福利性单位声明函</w:t>
      </w:r>
    </w:p>
    <w:bookmarkEnd w:id="558"/>
    <w:bookmarkEnd w:id="559"/>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sz w:val="24"/>
        </w:rPr>
      </w:pPr>
      <w:r>
        <w:rPr>
          <w:rFonts w:hint="eastAsia" w:ascii="宋体" w:hAnsi="宋体" w:cs="宋体"/>
          <w:sz w:val="24"/>
          <w:u w:val="single"/>
        </w:rPr>
        <w:t>（采购人）、（采购代理机构）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你方组织的（项目名称）项目【招标编号：（采购编号）】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kern w:val="0"/>
          <w:sz w:val="32"/>
          <w:szCs w:val="32"/>
          <w:lang w:val="zh-CN"/>
        </w:rPr>
      </w:pPr>
      <w:r>
        <w:rPr>
          <w:rFonts w:hint="eastAsia" w:ascii="宋体" w:hAnsi="宋体" w:cs="宋体"/>
          <w:b/>
          <w:spacing w:val="6"/>
          <w:sz w:val="32"/>
          <w:szCs w:val="32"/>
        </w:rPr>
        <w:t>附件</w:t>
      </w:r>
      <w:r>
        <w:rPr>
          <w:rFonts w:ascii="宋体" w:hAnsi="宋体" w:cs="宋体"/>
          <w:b/>
          <w:spacing w:val="6"/>
          <w:sz w:val="32"/>
          <w:szCs w:val="32"/>
        </w:rPr>
        <w:t>5</w:t>
      </w:r>
      <w:r>
        <w:rPr>
          <w:rFonts w:hint="eastAsia" w:ascii="宋体" w:hAnsi="宋体" w:cs="宋体"/>
          <w:b/>
          <w:spacing w:val="6"/>
          <w:sz w:val="32"/>
          <w:szCs w:val="32"/>
        </w:rPr>
        <w:t>：</w:t>
      </w:r>
      <w:r>
        <w:rPr>
          <w:rFonts w:hint="eastAsia" w:ascii="宋体" w:hAnsi="宋体" w:cs="宋体"/>
          <w:b/>
          <w:kern w:val="0"/>
          <w:sz w:val="32"/>
          <w:szCs w:val="32"/>
          <w:lang w:val="zh-CN"/>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bookmarkStart w:id="560"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560"/>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（未预留份额专门面向中小企业采购的的采购项目，以及预留份额中的非预留部分采购包，接受联合体投标的，联合协议约定小微企业的合同份额占到合同总金额30%以上的，对联合体报价给予</w:t>
      </w:r>
      <w:r>
        <w:rPr>
          <w:rFonts w:ascii="宋体" w:hAnsi="宋体" w:cs="宋体"/>
          <w:b/>
          <w:kern w:val="0"/>
          <w:sz w:val="24"/>
          <w:lang w:val="zh-CN"/>
        </w:rPr>
        <w:t>6</w:t>
      </w:r>
      <w:r>
        <w:rPr>
          <w:rFonts w:hint="eastAsia" w:ascii="宋体" w:hAnsi="宋体" w:cs="宋体"/>
          <w:b/>
          <w:kern w:val="0"/>
          <w:sz w:val="24"/>
          <w:lang w:val="zh-CN"/>
        </w:rPr>
        <w:t>%的扣除。供应商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ind w:firstLine="3666" w:firstLineChars="1100"/>
        <w:rPr>
          <w:rFonts w:ascii="宋体" w:hAnsi="宋体" w:cs="宋体"/>
          <w:b/>
          <w:spacing w:val="6"/>
          <w:sz w:val="32"/>
          <w:szCs w:val="32"/>
        </w:rPr>
      </w:pPr>
    </w:p>
    <w:p>
      <w:pPr>
        <w:snapToGrid w:val="0"/>
        <w:spacing w:line="360" w:lineRule="auto"/>
        <w:ind w:firstLine="3666" w:firstLineChars="1100"/>
        <w:rPr>
          <w:rFonts w:ascii="宋体" w:hAnsi="宋体" w:cs="宋体"/>
          <w:b/>
          <w:kern w:val="0"/>
          <w:sz w:val="32"/>
          <w:szCs w:val="32"/>
        </w:rPr>
      </w:pPr>
      <w:r>
        <w:rPr>
          <w:rFonts w:hint="eastAsia" w:ascii="宋体" w:hAnsi="宋体" w:cs="宋体"/>
          <w:b/>
          <w:spacing w:val="6"/>
          <w:sz w:val="32"/>
          <w:szCs w:val="32"/>
        </w:rPr>
        <w:t>附件</w:t>
      </w:r>
      <w:r>
        <w:rPr>
          <w:rFonts w:ascii="宋体" w:hAnsi="宋体" w:cs="宋体"/>
          <w:b/>
          <w:spacing w:val="6"/>
          <w:sz w:val="32"/>
          <w:szCs w:val="32"/>
        </w:rPr>
        <w:t>6</w:t>
      </w:r>
      <w:r>
        <w:rPr>
          <w:rFonts w:hint="eastAsia" w:ascii="宋体" w:hAnsi="宋体" w:cs="宋体"/>
          <w:b/>
          <w:spacing w:val="6"/>
          <w:sz w:val="32"/>
          <w:szCs w:val="32"/>
        </w:rPr>
        <w:t>：</w:t>
      </w:r>
      <w:r>
        <w:rPr>
          <w:rFonts w:hint="eastAsia" w:ascii="宋体" w:hAnsi="宋体" w:cs="宋体"/>
          <w:b/>
          <w:kern w:val="0"/>
          <w:sz w:val="32"/>
          <w:szCs w:val="32"/>
        </w:rPr>
        <w:t>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2"/>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（未预留份额专门面向中小企业采购的的采购项目，以及预留份额中的非预留部分采购包，允许分包的，分包意向协议约定小微企业的合同份额占到合同总金额30%以上的，对大中型企业的报价给予</w:t>
      </w:r>
      <w:r>
        <w:rPr>
          <w:rFonts w:ascii="宋体" w:hAnsi="宋体" w:cs="宋体"/>
          <w:b/>
          <w:kern w:val="0"/>
          <w:sz w:val="24"/>
          <w:lang w:val="zh-CN"/>
        </w:rPr>
        <w:t>6</w:t>
      </w:r>
      <w:r>
        <w:rPr>
          <w:rFonts w:hint="eastAsia" w:ascii="宋体" w:hAnsi="宋体" w:cs="宋体"/>
          <w:b/>
          <w:kern w:val="0"/>
          <w:sz w:val="24"/>
          <w:lang w:val="zh-CN"/>
        </w:rPr>
        <w:t>%的扣除。供应商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61"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61"/>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pPr>
        <w:snapToGrid w:val="0"/>
        <w:spacing w:line="360" w:lineRule="auto"/>
        <w:ind w:firstLine="5640" w:firstLineChars="2350"/>
        <w:rPr>
          <w:rFonts w:ascii="宋体" w:hAnsi="宋体" w:cs="宋体"/>
          <w:kern w:val="0"/>
          <w:sz w:val="24"/>
          <w:lang w:val="zh-CN"/>
        </w:rPr>
      </w:pPr>
      <w:r>
        <w:rPr>
          <w:rFonts w:hint="eastAsia" w:ascii="宋体" w:hAnsi="宋体" w:cs="宋体"/>
          <w:kern w:val="0"/>
          <w:sz w:val="24"/>
          <w:lang w:val="zh-CN"/>
        </w:rPr>
        <w:t>分包供应商名称：</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w:t>
      </w:r>
      <w:r>
        <w:rPr>
          <w:rFonts w:ascii="宋体" w:hAnsi="宋体" w:cs="宋体"/>
          <w:b/>
          <w:spacing w:val="6"/>
          <w:sz w:val="32"/>
          <w:szCs w:val="32"/>
        </w:rPr>
        <w:t>7</w:t>
      </w:r>
      <w:r>
        <w:rPr>
          <w:rFonts w:hint="eastAsia" w:ascii="宋体" w:hAnsi="宋体" w:cs="宋体"/>
          <w:b/>
          <w:spacing w:val="6"/>
          <w:sz w:val="32"/>
          <w:szCs w:val="32"/>
        </w:rPr>
        <w:t>：</w:t>
      </w:r>
      <w:r>
        <w:rPr>
          <w:rFonts w:hint="eastAsia" w:ascii="宋体" w:hAnsi="宋体" w:cs="宋体"/>
          <w:b/>
          <w:sz w:val="32"/>
          <w:szCs w:val="32"/>
        </w:rPr>
        <w:t>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rPr>
          <w:rFonts w:ascii="宋体" w:hAnsi="宋体" w:cs="宋体"/>
          <w:bCs/>
          <w:sz w:val="24"/>
        </w:rPr>
      </w:pP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 w:name="TimesNewRomanPSMT">
    <w:altName w:val="Times New Roman"/>
    <w:panose1 w:val="00000000000000000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bookmarkStart w:id="562" w:name="_Toc91899912"/>
    <w:bookmarkStart w:id="563" w:name="_Toc131845147"/>
    <w:bookmarkStart w:id="564" w:name="_Toc164085800"/>
    <w:bookmarkStart w:id="565" w:name="_Toc36110187"/>
    <w:r>
      <w:rPr>
        <w:rFonts w:hint="eastAsia" w:ascii="仿宋_GB2312" w:eastAsia="仿宋_GB2312"/>
        <w:kern w:val="0"/>
        <w:szCs w:val="21"/>
      </w:rPr>
      <w:t xml:space="preserve"> 页</w:t>
    </w:r>
    <w:bookmarkEnd w:id="562"/>
    <w:bookmarkEnd w:id="563"/>
    <w:bookmarkEnd w:id="564"/>
    <w:bookmarkEnd w:id="56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0FC1DB"/>
    <w:multiLevelType w:val="singleLevel"/>
    <w:tmpl w:val="B20FC1DB"/>
    <w:lvl w:ilvl="0" w:tentative="0">
      <w:start w:val="1"/>
      <w:numFmt w:val="decimal"/>
      <w:suff w:val="nothing"/>
      <w:lvlText w:val="（%1）"/>
      <w:lvlJc w:val="left"/>
    </w:lvl>
  </w:abstractNum>
  <w:abstractNum w:abstractNumId="1">
    <w:nsid w:val="DE995F7B"/>
    <w:multiLevelType w:val="singleLevel"/>
    <w:tmpl w:val="DE995F7B"/>
    <w:lvl w:ilvl="0" w:tentative="0">
      <w:start w:val="4"/>
      <w:numFmt w:val="chineseCounting"/>
      <w:suff w:val="space"/>
      <w:lvlText w:val="第%1部分"/>
      <w:lvlJc w:val="left"/>
      <w:rPr>
        <w:rFonts w:hint="eastAsia"/>
      </w:rPr>
    </w:lvl>
  </w:abstractNum>
  <w:abstractNum w:abstractNumId="2">
    <w:nsid w:val="09CA428A"/>
    <w:multiLevelType w:val="multilevel"/>
    <w:tmpl w:val="09CA428A"/>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77C5E04"/>
    <w:multiLevelType w:val="multilevel"/>
    <w:tmpl w:val="677C5E0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EA15D4E"/>
    <w:multiLevelType w:val="singleLevel"/>
    <w:tmpl w:val="7EA15D4E"/>
    <w:lvl w:ilvl="0" w:tentative="0">
      <w:start w:val="1"/>
      <w:numFmt w:val="decimal"/>
      <w:suff w:val="nothing"/>
      <w:lvlText w:val="%1．"/>
      <w:lvlJc w:val="left"/>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ZWNjNzAxZDY1ODYwOTRhMGY0ZTRmYjkwNmM5Ym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6ED1885"/>
    <w:rsid w:val="07245D42"/>
    <w:rsid w:val="07264C62"/>
    <w:rsid w:val="07415BC6"/>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042D1"/>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4C4090"/>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0C51"/>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042F41"/>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537F26"/>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8E3DCA"/>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29482D"/>
    <w:rsid w:val="2B437463"/>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424D2"/>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BA77DB"/>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9743DE"/>
    <w:rsid w:val="42CD1CE0"/>
    <w:rsid w:val="42E1381E"/>
    <w:rsid w:val="42E639A1"/>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880638"/>
    <w:rsid w:val="52977FD4"/>
    <w:rsid w:val="52A25790"/>
    <w:rsid w:val="52A96B6F"/>
    <w:rsid w:val="52B45975"/>
    <w:rsid w:val="52D94AA4"/>
    <w:rsid w:val="52EA3A62"/>
    <w:rsid w:val="52F50BB8"/>
    <w:rsid w:val="53097272"/>
    <w:rsid w:val="53544462"/>
    <w:rsid w:val="538D112D"/>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B75A3B"/>
    <w:rsid w:val="5AD63A24"/>
    <w:rsid w:val="5B2E1A1D"/>
    <w:rsid w:val="5B843A1C"/>
    <w:rsid w:val="5B873E3F"/>
    <w:rsid w:val="5C02690E"/>
    <w:rsid w:val="5C196DA7"/>
    <w:rsid w:val="5C2A048C"/>
    <w:rsid w:val="5C80234E"/>
    <w:rsid w:val="5C8A680C"/>
    <w:rsid w:val="5CF93AE0"/>
    <w:rsid w:val="5D0C4701"/>
    <w:rsid w:val="5D0F0395"/>
    <w:rsid w:val="5D221076"/>
    <w:rsid w:val="5D3916DB"/>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A69F5"/>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785095"/>
    <w:rsid w:val="6B802A42"/>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4A0A72"/>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customStyle="1" w:styleId="3">
    <w:name w:val="标准正文"/>
    <w:basedOn w:val="1"/>
    <w:qFormat/>
    <w:uiPriority w:val="0"/>
    <w:pPr>
      <w:tabs>
        <w:tab w:val="left" w:pos="780"/>
      </w:tabs>
      <w:adjustRightInd/>
      <w:spacing w:line="360" w:lineRule="auto"/>
      <w:ind w:left="200" w:leftChars="200" w:firstLine="200" w:firstLineChars="200"/>
    </w:pPr>
    <w:rPr>
      <w:sz w:val="24"/>
    </w:rPr>
  </w:style>
  <w:style w:type="paragraph" w:styleId="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next w:val="17"/>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Balloon Text"/>
    <w:basedOn w:val="1"/>
    <w:next w:val="18"/>
    <w:link w:val="186"/>
    <w:qFormat/>
    <w:uiPriority w:val="0"/>
    <w:rPr>
      <w:sz w:val="18"/>
      <w:szCs w:val="18"/>
    </w:rPr>
  </w:style>
  <w:style w:type="paragraph" w:styleId="18">
    <w:name w:val="toc 8"/>
    <w:basedOn w:val="1"/>
    <w:next w:val="1"/>
    <w:qFormat/>
    <w:uiPriority w:val="0"/>
    <w:pPr>
      <w:ind w:left="2940" w:leftChars="1400"/>
    </w:pPr>
  </w:style>
  <w:style w:type="paragraph" w:styleId="19">
    <w:name w:val="caption"/>
    <w:basedOn w:val="1"/>
    <w:next w:val="1"/>
    <w:link w:val="227"/>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0"/>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7">
    <w:name w:val="Body Text Indent"/>
    <w:basedOn w:val="1"/>
    <w:next w:val="16"/>
    <w:link w:val="263"/>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3"/>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Date"/>
    <w:basedOn w:val="1"/>
    <w:next w:val="1"/>
    <w:link w:val="179"/>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4"/>
    <w:qFormat/>
    <w:uiPriority w:val="0"/>
    <w:rPr>
      <w:b/>
      <w:bCs/>
    </w:rPr>
  </w:style>
  <w:style w:type="paragraph" w:styleId="61">
    <w:name w:val="Body Text First Indent"/>
    <w:basedOn w:val="26"/>
    <w:link w:val="319"/>
    <w:qFormat/>
    <w:uiPriority w:val="0"/>
    <w:pPr>
      <w:ind w:firstLine="420"/>
    </w:pPr>
    <w:rPr>
      <w:rFonts w:hAnsi="Calibri" w:cs="Times New Roman"/>
      <w:snapToGrid/>
      <w:szCs w:val="20"/>
    </w:rPr>
  </w:style>
  <w:style w:type="paragraph" w:styleId="62">
    <w:name w:val="Body Text First Indent 2"/>
    <w:basedOn w:val="27"/>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字符"/>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62"/>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字符"/>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字符"/>
    <w:link w:val="9"/>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2"/>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字符"/>
    <w:link w:val="37"/>
    <w:qFormat/>
    <w:uiPriority w:val="0"/>
    <w:rPr>
      <w:rFonts w:ascii="宋体"/>
      <w:kern w:val="2"/>
      <w:sz w:val="24"/>
      <w:szCs w:val="21"/>
      <w:lang w:val="zh-CN"/>
    </w:rPr>
  </w:style>
  <w:style w:type="character" w:customStyle="1" w:styleId="180">
    <w:name w:val="标题 9 字符"/>
    <w:link w:val="12"/>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字符1"/>
    <w:link w:val="17"/>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字符"/>
    <w:link w:val="21"/>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字符"/>
    <w:link w:val="32"/>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7"/>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字符"/>
    <w:link w:val="19"/>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7"/>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3"/>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0"/>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2"/>
    <w:qFormat/>
    <w:uiPriority w:val="0"/>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6"/>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0"/>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6"/>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6"/>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6"/>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6"/>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数字标题5"/>
    <w:basedOn w:val="8"/>
    <w:next w:val="1"/>
    <w:qFormat/>
    <w:uiPriority w:val="0"/>
    <w:pPr>
      <w:tabs>
        <w:tab w:val="left" w:pos="1080"/>
      </w:tabs>
      <w:ind w:left="1080" w:hanging="1080"/>
    </w:pPr>
  </w:style>
  <w:style w:type="paragraph" w:customStyle="1" w:styleId="894">
    <w:name w:val="数字标题1"/>
    <w:basedOn w:val="4"/>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1"/>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字符"/>
    <w:link w:val="39"/>
    <w:qFormat/>
    <w:uiPriority w:val="0"/>
    <w:rPr>
      <w:kern w:val="2"/>
      <w:sz w:val="21"/>
      <w:szCs w:val="24"/>
      <w:lang w:val="zh-CN"/>
    </w:rPr>
  </w:style>
  <w:style w:type="character" w:customStyle="1" w:styleId="930">
    <w:name w:val="无间隔 字符"/>
    <w:link w:val="481"/>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70"/>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font3"/>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jpe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jpe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jpe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jpe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2E4DD-CC59-4F12-BC75-1F204CB91537}">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43840</Words>
  <Characters>47057</Characters>
  <Lines>287</Lines>
  <Paragraphs>81</Paragraphs>
  <TotalTime>23</TotalTime>
  <ScaleCrop>false</ScaleCrop>
  <LinksUpToDate>false</LinksUpToDate>
  <CharactersWithSpaces>52482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王花花</cp:lastModifiedBy>
  <cp:lastPrinted>2021-12-27T03:06:00Z</cp:lastPrinted>
  <dcterms:modified xsi:type="dcterms:W3CDTF">2022-07-14T07:07:57Z</dcterms:modified>
  <dc:title>杭州市市民卡扩大发卡工程</dc:title>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