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pacing w:line="400" w:lineRule="atLeast"/>
        <w:rPr>
          <w:rFonts w:hAnsi="宋体"/>
          <w:b/>
          <w:bCs/>
          <w:sz w:val="52"/>
          <w:szCs w:val="52"/>
        </w:rPr>
      </w:pPr>
      <w:bookmarkStart w:id="0" w:name="B05_项目名称"/>
    </w:p>
    <w:bookmarkEnd w:id="0"/>
    <w:p>
      <w:pPr>
        <w:pStyle w:val="22"/>
        <w:spacing w:line="360" w:lineRule="auto"/>
        <w:jc w:val="center"/>
        <w:rPr>
          <w:rFonts w:hint="eastAsia" w:hAnsi="宋体"/>
          <w:b/>
          <w:bCs/>
          <w:color w:val="FF0000"/>
          <w:sz w:val="44"/>
          <w:szCs w:val="44"/>
          <w:lang w:val="en-US" w:eastAsia="zh-CN"/>
        </w:rPr>
      </w:pPr>
      <w:r>
        <w:rPr>
          <w:rFonts w:hint="eastAsia" w:hAnsi="宋体"/>
          <w:b/>
          <w:bCs/>
          <w:color w:val="FF0000"/>
          <w:sz w:val="44"/>
          <w:szCs w:val="44"/>
          <w:lang w:val="en-US" w:eastAsia="zh-CN"/>
        </w:rPr>
        <w:t>2019-2021年度桐庐县城公用照明</w:t>
      </w:r>
    </w:p>
    <w:p>
      <w:pPr>
        <w:pStyle w:val="22"/>
        <w:spacing w:line="360" w:lineRule="auto"/>
        <w:jc w:val="center"/>
        <w:rPr>
          <w:rFonts w:hint="eastAsia" w:hAnsi="宋体" w:eastAsia="宋体"/>
          <w:b/>
          <w:bCs/>
          <w:sz w:val="72"/>
          <w:szCs w:val="72"/>
          <w:lang w:val="en-US" w:eastAsia="zh-CN"/>
        </w:rPr>
      </w:pPr>
      <w:r>
        <w:rPr>
          <w:rFonts w:hint="eastAsia" w:hAnsi="宋体"/>
          <w:b/>
          <w:bCs/>
          <w:color w:val="FF0000"/>
          <w:sz w:val="44"/>
          <w:szCs w:val="44"/>
          <w:lang w:val="en-US" w:eastAsia="zh-CN"/>
        </w:rPr>
        <w:t>设施维护工程</w:t>
      </w:r>
    </w:p>
    <w:p>
      <w:pPr>
        <w:pStyle w:val="22"/>
        <w:spacing w:line="360" w:lineRule="auto"/>
        <w:jc w:val="center"/>
        <w:rPr>
          <w:rFonts w:hint="eastAsia" w:hAnsi="宋体"/>
          <w:b/>
          <w:bCs/>
          <w:sz w:val="72"/>
          <w:szCs w:val="72"/>
        </w:rPr>
      </w:pPr>
    </w:p>
    <w:p>
      <w:pPr>
        <w:pStyle w:val="22"/>
        <w:spacing w:line="360" w:lineRule="auto"/>
        <w:jc w:val="center"/>
        <w:rPr>
          <w:rFonts w:hAnsi="宋体"/>
          <w:b/>
          <w:bCs/>
          <w:sz w:val="72"/>
          <w:szCs w:val="72"/>
        </w:rPr>
      </w:pPr>
      <w:r>
        <w:rPr>
          <w:rFonts w:hint="eastAsia" w:hAnsi="宋体"/>
          <w:b/>
          <w:bCs/>
          <w:sz w:val="72"/>
          <w:szCs w:val="72"/>
        </w:rPr>
        <w:t>招 标 文 件</w:t>
      </w:r>
    </w:p>
    <w:p>
      <w:pPr>
        <w:spacing w:line="480" w:lineRule="auto"/>
        <w:jc w:val="center"/>
        <w:rPr>
          <w:rFonts w:ascii="宋体" w:hAnsi="宋体"/>
          <w:color w:val="FF0000"/>
          <w:sz w:val="28"/>
          <w:szCs w:val="28"/>
        </w:rPr>
      </w:pPr>
      <w:r>
        <w:rPr>
          <w:rFonts w:hint="eastAsia" w:ascii="宋体" w:hAnsi="宋体"/>
          <w:color w:val="FF0000"/>
          <w:sz w:val="28"/>
          <w:szCs w:val="28"/>
        </w:rPr>
        <w:t>（</w:t>
      </w:r>
      <w:r>
        <w:rPr>
          <w:rFonts w:hint="eastAsia" w:ascii="宋体" w:hAnsi="宋体"/>
          <w:color w:val="FF0000"/>
          <w:sz w:val="28"/>
          <w:szCs w:val="28"/>
          <w:lang w:eastAsia="zh-CN"/>
        </w:rPr>
        <w:t>招标</w:t>
      </w:r>
      <w:r>
        <w:rPr>
          <w:rFonts w:hint="eastAsia" w:ascii="宋体" w:hAnsi="宋体"/>
          <w:color w:val="FF0000"/>
          <w:sz w:val="28"/>
          <w:szCs w:val="28"/>
        </w:rPr>
        <w:t>编号：</w:t>
      </w:r>
      <w:r>
        <w:rPr>
          <w:rFonts w:hint="eastAsia" w:ascii="宋体" w:hAnsi="宋体"/>
          <w:color w:val="FF0000"/>
          <w:sz w:val="28"/>
          <w:szCs w:val="28"/>
        </w:rPr>
        <w:fldChar w:fldCharType="begin"/>
      </w:r>
      <w:r>
        <w:rPr>
          <w:rFonts w:hint="eastAsia" w:ascii="宋体" w:hAnsi="宋体"/>
          <w:color w:val="FF0000"/>
          <w:sz w:val="28"/>
          <w:szCs w:val="28"/>
        </w:rPr>
        <w:instrText xml:space="preserve"> HYPERLINK "http://www.tlztb.com.cn/jzfcg/AfficheInfo_ZCY.aspx?ProAfficheID=1287963D-A6CD-4FAB-A465-0A2EE3057C1D&amp;xmbh=HXZFCG2018-GK-016&amp;ProType=2&amp;OID=3980406" \t "http://www.tlztb.com.cn/jzfcg/_blank" </w:instrText>
      </w:r>
      <w:r>
        <w:rPr>
          <w:rFonts w:hint="eastAsia" w:ascii="宋体" w:hAnsi="宋体"/>
          <w:color w:val="FF0000"/>
          <w:sz w:val="28"/>
          <w:szCs w:val="28"/>
        </w:rPr>
        <w:fldChar w:fldCharType="separate"/>
      </w:r>
      <w:r>
        <w:rPr>
          <w:rFonts w:hint="eastAsia" w:ascii="宋体" w:hAnsi="宋体"/>
          <w:color w:val="FF0000"/>
          <w:sz w:val="28"/>
          <w:szCs w:val="28"/>
          <w:lang w:val="en-US" w:eastAsia="zh-CN"/>
        </w:rPr>
        <w:t xml:space="preserve"> TLZHCG2019-GK-006-1</w:t>
      </w:r>
      <w:r>
        <w:rPr>
          <w:rFonts w:hint="eastAsia" w:ascii="宋体" w:hAnsi="宋体"/>
          <w:color w:val="FF0000"/>
          <w:sz w:val="28"/>
          <w:szCs w:val="28"/>
        </w:rPr>
        <w:t xml:space="preserve"> </w:t>
      </w:r>
      <w:r>
        <w:rPr>
          <w:rFonts w:hint="eastAsia" w:ascii="宋体" w:hAnsi="宋体"/>
          <w:color w:val="FF0000"/>
          <w:sz w:val="28"/>
          <w:szCs w:val="28"/>
        </w:rPr>
        <w:fldChar w:fldCharType="end"/>
      </w:r>
      <w:r>
        <w:rPr>
          <w:rFonts w:hint="eastAsia" w:ascii="宋体" w:hAnsi="宋体"/>
          <w:color w:val="FF0000"/>
          <w:sz w:val="28"/>
          <w:szCs w:val="28"/>
        </w:rPr>
        <w:t>）</w:t>
      </w:r>
      <w:bookmarkStart w:id="25" w:name="_GoBack"/>
      <w:bookmarkEnd w:id="25"/>
    </w:p>
    <w:p>
      <w:pPr>
        <w:tabs>
          <w:tab w:val="left" w:pos="1980"/>
          <w:tab w:val="left" w:pos="3240"/>
          <w:tab w:val="left" w:pos="3420"/>
          <w:tab w:val="left" w:pos="3600"/>
          <w:tab w:val="left" w:pos="3780"/>
        </w:tabs>
        <w:spacing w:line="840" w:lineRule="auto"/>
        <w:ind w:left="-181" w:leftChars="-86" w:firstLine="1760" w:firstLineChars="550"/>
        <w:rPr>
          <w:rFonts w:ascii="宋体" w:hAnsi="宋体"/>
          <w:sz w:val="32"/>
        </w:rPr>
      </w:pPr>
    </w:p>
    <w:p>
      <w:pPr>
        <w:tabs>
          <w:tab w:val="left" w:pos="1980"/>
          <w:tab w:val="left" w:pos="3240"/>
          <w:tab w:val="left" w:pos="3420"/>
          <w:tab w:val="left" w:pos="3600"/>
          <w:tab w:val="left" w:pos="3780"/>
        </w:tabs>
        <w:spacing w:line="840" w:lineRule="auto"/>
        <w:ind w:left="-181" w:leftChars="-86" w:firstLine="1760" w:firstLineChars="550"/>
        <w:rPr>
          <w:rFonts w:ascii="宋体" w:hAnsi="宋体"/>
          <w:sz w:val="32"/>
        </w:rPr>
      </w:pPr>
    </w:p>
    <w:p>
      <w:pPr>
        <w:tabs>
          <w:tab w:val="left" w:pos="1980"/>
          <w:tab w:val="left" w:pos="3240"/>
          <w:tab w:val="left" w:pos="3420"/>
          <w:tab w:val="left" w:pos="3600"/>
          <w:tab w:val="left" w:pos="3780"/>
        </w:tabs>
        <w:spacing w:line="720" w:lineRule="auto"/>
        <w:ind w:firstLine="640" w:firstLineChars="200"/>
        <w:rPr>
          <w:sz w:val="32"/>
          <w:u w:val="single"/>
        </w:rPr>
      </w:pPr>
      <w:r>
        <w:rPr>
          <w:rFonts w:hint="eastAsia"/>
          <w:sz w:val="32"/>
        </w:rPr>
        <w:t>采购单位 ：</w:t>
      </w:r>
      <w:r>
        <w:rPr>
          <w:rFonts w:hint="eastAsia"/>
          <w:sz w:val="32"/>
          <w:u w:val="single"/>
        </w:rPr>
        <w:t xml:space="preserve">          桐庐县</w:t>
      </w:r>
      <w:r>
        <w:rPr>
          <w:rFonts w:hint="eastAsia"/>
          <w:sz w:val="32"/>
          <w:u w:val="single"/>
          <w:lang w:eastAsia="zh-CN"/>
        </w:rPr>
        <w:t>市政园林建设管理处</w:t>
      </w:r>
      <w:r>
        <w:rPr>
          <w:rFonts w:hint="eastAsia"/>
          <w:sz w:val="32"/>
          <w:u w:val="single"/>
        </w:rPr>
        <w:t xml:space="preserve">              </w:t>
      </w:r>
    </w:p>
    <w:p>
      <w:pPr>
        <w:tabs>
          <w:tab w:val="left" w:pos="1980"/>
          <w:tab w:val="left" w:pos="3240"/>
          <w:tab w:val="left" w:pos="3420"/>
          <w:tab w:val="left" w:pos="3600"/>
          <w:tab w:val="left" w:pos="3780"/>
        </w:tabs>
        <w:spacing w:line="720" w:lineRule="auto"/>
        <w:ind w:firstLine="640" w:firstLineChars="200"/>
        <w:rPr>
          <w:sz w:val="32"/>
          <w:u w:val="single"/>
        </w:rPr>
      </w:pPr>
      <w:r>
        <w:rPr>
          <w:rFonts w:hint="eastAsia"/>
          <w:sz w:val="32"/>
        </w:rPr>
        <w:t>法定代表人或其委托代理人</w:t>
      </w:r>
      <w:r>
        <w:rPr>
          <w:sz w:val="32"/>
        </w:rPr>
        <w:t>:</w:t>
      </w:r>
      <w:r>
        <w:rPr>
          <w:rFonts w:hint="eastAsia"/>
          <w:sz w:val="32"/>
          <w:u w:val="single"/>
        </w:rPr>
        <w:t xml:space="preserve">     </w:t>
      </w:r>
      <w:r>
        <w:rPr>
          <w:rFonts w:hint="eastAsia"/>
          <w:sz w:val="32"/>
          <w:u w:val="single"/>
          <w:lang w:val="en-US" w:eastAsia="zh-CN"/>
        </w:rPr>
        <w:t xml:space="preserve"> </w:t>
      </w:r>
      <w:r>
        <w:rPr>
          <w:rFonts w:hint="eastAsia"/>
          <w:sz w:val="32"/>
          <w:u w:val="single"/>
        </w:rPr>
        <w:t xml:space="preserve">  </w:t>
      </w:r>
      <w:r>
        <w:rPr>
          <w:rFonts w:hint="eastAsia"/>
          <w:sz w:val="32"/>
          <w:u w:val="single"/>
          <w:lang w:eastAsia="zh-CN"/>
        </w:rPr>
        <w:t>朱樟军</w:t>
      </w:r>
      <w:r>
        <w:rPr>
          <w:rFonts w:hint="eastAsia"/>
          <w:sz w:val="32"/>
          <w:u w:val="single"/>
        </w:rPr>
        <w:t xml:space="preserve">                          </w:t>
      </w:r>
    </w:p>
    <w:p>
      <w:pPr>
        <w:tabs>
          <w:tab w:val="left" w:pos="1620"/>
          <w:tab w:val="left" w:pos="1800"/>
          <w:tab w:val="left" w:pos="1980"/>
        </w:tabs>
        <w:spacing w:line="720" w:lineRule="auto"/>
        <w:ind w:firstLine="640" w:firstLineChars="200"/>
        <w:rPr>
          <w:rFonts w:ascii="宋体" w:hAnsi="宋体"/>
          <w:sz w:val="33"/>
          <w:szCs w:val="33"/>
          <w:u w:val="single"/>
        </w:rPr>
      </w:pPr>
      <w:r>
        <w:rPr>
          <w:rFonts w:hint="eastAsia"/>
          <w:sz w:val="32"/>
        </w:rPr>
        <w:t>采购机构</w:t>
      </w:r>
      <w:r>
        <w:rPr>
          <w:rFonts w:hint="eastAsia" w:ascii="宋体" w:hAnsi="宋体"/>
          <w:sz w:val="33"/>
          <w:szCs w:val="33"/>
        </w:rPr>
        <w:t xml:space="preserve"> ：</w:t>
      </w:r>
      <w:r>
        <w:rPr>
          <w:rFonts w:hint="eastAsia" w:ascii="宋体" w:hAnsi="宋体"/>
          <w:sz w:val="33"/>
          <w:szCs w:val="33"/>
          <w:u w:val="single"/>
        </w:rPr>
        <w:t xml:space="preserve">   </w:t>
      </w:r>
      <w:r>
        <w:rPr>
          <w:rFonts w:hint="eastAsia"/>
          <w:sz w:val="32"/>
          <w:u w:val="single"/>
        </w:rPr>
        <w:t xml:space="preserve">  杭州桐庐正宏建设管理有限公司</w:t>
      </w:r>
      <w:r>
        <w:rPr>
          <w:rFonts w:hint="eastAsia" w:ascii="宋体" w:hAnsi="宋体"/>
          <w:sz w:val="33"/>
          <w:szCs w:val="33"/>
          <w:u w:val="single"/>
        </w:rPr>
        <w:t xml:space="preserve">                          </w:t>
      </w:r>
    </w:p>
    <w:p>
      <w:pPr>
        <w:tabs>
          <w:tab w:val="left" w:pos="1620"/>
          <w:tab w:val="left" w:pos="1800"/>
          <w:tab w:val="left" w:pos="1980"/>
        </w:tabs>
        <w:spacing w:line="720" w:lineRule="auto"/>
        <w:ind w:firstLine="660" w:firstLineChars="200"/>
        <w:rPr>
          <w:rFonts w:ascii="宋体" w:hAnsi="宋体"/>
          <w:color w:val="FF0000"/>
          <w:sz w:val="52"/>
        </w:rPr>
      </w:pPr>
      <w:r>
        <w:rPr>
          <w:rFonts w:hint="eastAsia" w:ascii="宋体" w:hAnsi="宋体"/>
          <w:sz w:val="33"/>
          <w:szCs w:val="33"/>
        </w:rPr>
        <w:t xml:space="preserve">                      </w:t>
      </w:r>
      <w:r>
        <w:rPr>
          <w:rFonts w:hint="eastAsia" w:ascii="宋体" w:hAnsi="宋体"/>
          <w:color w:val="FF0000"/>
          <w:sz w:val="33"/>
          <w:szCs w:val="33"/>
        </w:rPr>
        <w:t>2019年</w:t>
      </w:r>
      <w:r>
        <w:rPr>
          <w:rFonts w:hint="eastAsia" w:ascii="宋体" w:hAnsi="宋体"/>
          <w:color w:val="FF0000"/>
          <w:sz w:val="33"/>
          <w:szCs w:val="33"/>
          <w:lang w:val="en-US" w:eastAsia="zh-CN"/>
        </w:rPr>
        <w:t>10</w:t>
      </w:r>
      <w:r>
        <w:rPr>
          <w:rFonts w:hint="eastAsia" w:ascii="宋体" w:hAnsi="宋体"/>
          <w:color w:val="FF0000"/>
          <w:sz w:val="33"/>
          <w:szCs w:val="33"/>
        </w:rPr>
        <w:t>月</w:t>
      </w:r>
    </w:p>
    <w:p>
      <w:pPr>
        <w:pStyle w:val="24"/>
        <w:ind w:left="99" w:leftChars="47"/>
        <w:jc w:val="center"/>
        <w:rPr>
          <w:rFonts w:ascii="宋体" w:hAnsi="宋体"/>
          <w:color w:val="000000"/>
          <w:sz w:val="36"/>
          <w:szCs w:val="36"/>
        </w:rPr>
      </w:pPr>
    </w:p>
    <w:p>
      <w:pPr>
        <w:pStyle w:val="24"/>
        <w:ind w:left="99" w:leftChars="47"/>
        <w:jc w:val="center"/>
        <w:rPr>
          <w:rFonts w:ascii="宋体" w:hAnsi="宋体"/>
          <w:color w:val="000000"/>
          <w:sz w:val="36"/>
          <w:szCs w:val="36"/>
        </w:rPr>
      </w:pPr>
      <w:r>
        <w:rPr>
          <w:rFonts w:hint="eastAsia" w:ascii="宋体" w:hAnsi="宋体"/>
          <w:color w:val="000000"/>
          <w:sz w:val="36"/>
          <w:szCs w:val="36"/>
        </w:rPr>
        <w:t xml:space="preserve">  </w:t>
      </w:r>
    </w:p>
    <w:p>
      <w:pPr>
        <w:pStyle w:val="24"/>
        <w:ind w:left="99" w:leftChars="47"/>
        <w:jc w:val="center"/>
        <w:rPr>
          <w:rFonts w:ascii="宋体" w:hAnsi="宋体"/>
          <w:color w:val="000000"/>
          <w:sz w:val="36"/>
          <w:szCs w:val="36"/>
        </w:rPr>
      </w:pPr>
    </w:p>
    <w:p>
      <w:pPr>
        <w:pStyle w:val="24"/>
        <w:ind w:left="99" w:leftChars="47"/>
        <w:jc w:val="center"/>
        <w:rPr>
          <w:rFonts w:hint="eastAsia" w:ascii="宋体" w:hAnsi="宋体"/>
          <w:color w:val="000000"/>
          <w:sz w:val="36"/>
          <w:szCs w:val="36"/>
        </w:rPr>
      </w:pPr>
    </w:p>
    <w:p>
      <w:pPr>
        <w:pStyle w:val="24"/>
        <w:ind w:left="99" w:leftChars="47"/>
        <w:jc w:val="center"/>
        <w:rPr>
          <w:rFonts w:hint="eastAsia" w:ascii="宋体" w:hAnsi="宋体"/>
          <w:color w:val="000000"/>
          <w:sz w:val="36"/>
          <w:szCs w:val="36"/>
        </w:rPr>
      </w:pPr>
    </w:p>
    <w:p>
      <w:pPr>
        <w:pStyle w:val="24"/>
        <w:ind w:left="99" w:leftChars="47"/>
        <w:jc w:val="center"/>
        <w:rPr>
          <w:rFonts w:hint="eastAsia" w:ascii="宋体" w:hAnsi="宋体"/>
          <w:color w:val="000000"/>
          <w:sz w:val="36"/>
          <w:szCs w:val="36"/>
        </w:rPr>
      </w:pPr>
    </w:p>
    <w:p>
      <w:pPr>
        <w:rPr>
          <w:rFonts w:hint="eastAsia"/>
        </w:rPr>
      </w:pPr>
    </w:p>
    <w:p>
      <w:pPr>
        <w:pStyle w:val="24"/>
        <w:ind w:left="99" w:leftChars="47"/>
        <w:jc w:val="center"/>
        <w:rPr>
          <w:rFonts w:hint="eastAsia" w:ascii="宋体" w:hAnsi="宋体"/>
          <w:color w:val="000000"/>
          <w:sz w:val="36"/>
          <w:szCs w:val="36"/>
        </w:rPr>
      </w:pPr>
    </w:p>
    <w:p>
      <w:pPr>
        <w:pStyle w:val="24"/>
        <w:ind w:left="99" w:leftChars="47"/>
        <w:jc w:val="center"/>
        <w:rPr>
          <w:rFonts w:hint="eastAsia" w:ascii="宋体" w:hAnsi="宋体"/>
          <w:color w:val="000000"/>
          <w:sz w:val="36"/>
          <w:szCs w:val="36"/>
        </w:rPr>
      </w:pPr>
    </w:p>
    <w:p>
      <w:pPr>
        <w:pStyle w:val="24"/>
        <w:ind w:left="99" w:leftChars="47"/>
        <w:jc w:val="center"/>
        <w:rPr>
          <w:rFonts w:ascii="宋体" w:hAnsi="宋体"/>
          <w:sz w:val="36"/>
          <w:szCs w:val="36"/>
        </w:rPr>
      </w:pPr>
      <w:r>
        <w:rPr>
          <w:rFonts w:hint="eastAsia" w:ascii="宋体" w:hAnsi="宋体"/>
          <w:color w:val="000000"/>
          <w:sz w:val="36"/>
          <w:szCs w:val="36"/>
        </w:rPr>
        <w:t>目     录</w:t>
      </w:r>
    </w:p>
    <w:p>
      <w:pPr>
        <w:rPr>
          <w:rFonts w:ascii="宋体" w:hAnsi="宋体"/>
        </w:rPr>
      </w:pPr>
    </w:p>
    <w:p>
      <w:pPr>
        <w:numPr>
          <w:ilvl w:val="0"/>
          <w:numId w:val="2"/>
        </w:numPr>
        <w:tabs>
          <w:tab w:val="left" w:pos="1440"/>
          <w:tab w:val="clear" w:pos="1275"/>
        </w:tabs>
        <w:spacing w:beforeLines="50" w:line="480" w:lineRule="exact"/>
        <w:ind w:left="1440"/>
        <w:rPr>
          <w:rFonts w:ascii="宋体" w:hAnsi="宋体"/>
          <w:color w:val="000000"/>
          <w:sz w:val="30"/>
        </w:rPr>
      </w:pPr>
      <w:r>
        <w:rPr>
          <w:rFonts w:hint="eastAsia" w:ascii="宋体" w:hAnsi="宋体"/>
          <w:color w:val="000000"/>
          <w:sz w:val="30"/>
        </w:rPr>
        <w:t>招标公告</w:t>
      </w:r>
    </w:p>
    <w:p>
      <w:pPr>
        <w:numPr>
          <w:ilvl w:val="0"/>
          <w:numId w:val="2"/>
        </w:numPr>
        <w:tabs>
          <w:tab w:val="left" w:pos="1440"/>
          <w:tab w:val="clear" w:pos="1275"/>
        </w:tabs>
        <w:spacing w:beforeLines="50" w:line="480" w:lineRule="exact"/>
        <w:ind w:left="1440"/>
        <w:rPr>
          <w:rFonts w:ascii="宋体" w:hAnsi="宋体"/>
          <w:color w:val="000000"/>
          <w:sz w:val="30"/>
        </w:rPr>
      </w:pPr>
      <w:r>
        <w:rPr>
          <w:rFonts w:hint="eastAsia" w:ascii="宋体" w:hAnsi="宋体"/>
          <w:color w:val="000000"/>
          <w:sz w:val="30"/>
        </w:rPr>
        <w:t>招标需求</w:t>
      </w:r>
    </w:p>
    <w:p>
      <w:pPr>
        <w:numPr>
          <w:ilvl w:val="0"/>
          <w:numId w:val="2"/>
        </w:numPr>
        <w:tabs>
          <w:tab w:val="left" w:pos="1440"/>
          <w:tab w:val="clear" w:pos="1275"/>
        </w:tabs>
        <w:spacing w:beforeLines="50" w:line="480" w:lineRule="exact"/>
        <w:ind w:left="1440"/>
        <w:rPr>
          <w:rFonts w:ascii="宋体" w:hAnsi="宋体"/>
          <w:color w:val="000000"/>
          <w:sz w:val="30"/>
        </w:rPr>
      </w:pPr>
      <w:r>
        <w:rPr>
          <w:rFonts w:hint="eastAsia" w:ascii="宋体" w:hAnsi="宋体"/>
          <w:color w:val="000000"/>
          <w:sz w:val="30"/>
        </w:rPr>
        <w:t>投标人须知</w:t>
      </w:r>
    </w:p>
    <w:p>
      <w:pPr>
        <w:spacing w:beforeLines="50" w:line="480" w:lineRule="exact"/>
        <w:ind w:left="1440"/>
        <w:rPr>
          <w:rFonts w:ascii="宋体" w:hAnsi="宋体"/>
          <w:color w:val="000000"/>
          <w:sz w:val="30"/>
        </w:rPr>
      </w:pPr>
      <w:r>
        <w:rPr>
          <w:rFonts w:hint="eastAsia" w:ascii="宋体" w:hAnsi="宋体"/>
          <w:color w:val="000000"/>
          <w:sz w:val="30"/>
        </w:rPr>
        <w:t>前附表</w:t>
      </w:r>
    </w:p>
    <w:p>
      <w:pPr>
        <w:numPr>
          <w:ilvl w:val="1"/>
          <w:numId w:val="2"/>
        </w:numPr>
        <w:tabs>
          <w:tab w:val="left" w:pos="1305"/>
          <w:tab w:val="clear" w:pos="1140"/>
        </w:tabs>
        <w:spacing w:beforeLines="50" w:line="480" w:lineRule="exact"/>
        <w:ind w:left="1305"/>
        <w:rPr>
          <w:rFonts w:ascii="宋体" w:hAnsi="宋体"/>
          <w:color w:val="000000"/>
          <w:sz w:val="30"/>
        </w:rPr>
      </w:pPr>
      <w:r>
        <w:rPr>
          <w:rFonts w:hint="eastAsia" w:ascii="宋体" w:hAnsi="宋体"/>
          <w:color w:val="000000"/>
          <w:sz w:val="30"/>
        </w:rPr>
        <w:t xml:space="preserve"> 总 则</w:t>
      </w:r>
    </w:p>
    <w:p>
      <w:pPr>
        <w:numPr>
          <w:ilvl w:val="1"/>
          <w:numId w:val="2"/>
        </w:numPr>
        <w:tabs>
          <w:tab w:val="left" w:pos="1305"/>
          <w:tab w:val="clear" w:pos="1140"/>
        </w:tabs>
        <w:spacing w:beforeLines="50" w:line="480" w:lineRule="exact"/>
        <w:ind w:left="1305"/>
        <w:rPr>
          <w:rFonts w:ascii="宋体" w:hAnsi="宋体"/>
          <w:color w:val="000000"/>
          <w:sz w:val="30"/>
        </w:rPr>
      </w:pPr>
      <w:r>
        <w:rPr>
          <w:rFonts w:hint="eastAsia" w:ascii="宋体" w:hAnsi="宋体"/>
          <w:color w:val="000000"/>
          <w:sz w:val="30"/>
        </w:rPr>
        <w:t xml:space="preserve"> 招标文件</w:t>
      </w:r>
    </w:p>
    <w:p>
      <w:pPr>
        <w:numPr>
          <w:ilvl w:val="1"/>
          <w:numId w:val="2"/>
        </w:numPr>
        <w:tabs>
          <w:tab w:val="left" w:pos="1305"/>
          <w:tab w:val="clear" w:pos="1140"/>
        </w:tabs>
        <w:spacing w:beforeLines="50" w:line="480" w:lineRule="exact"/>
        <w:ind w:left="1305"/>
        <w:rPr>
          <w:rFonts w:ascii="宋体" w:hAnsi="宋体"/>
          <w:color w:val="000000"/>
          <w:sz w:val="30"/>
        </w:rPr>
      </w:pPr>
      <w:r>
        <w:rPr>
          <w:rFonts w:hint="eastAsia" w:ascii="宋体" w:hAnsi="宋体"/>
          <w:color w:val="000000"/>
          <w:sz w:val="30"/>
        </w:rPr>
        <w:t xml:space="preserve"> 投标文件的编制</w:t>
      </w:r>
    </w:p>
    <w:p>
      <w:pPr>
        <w:numPr>
          <w:ilvl w:val="1"/>
          <w:numId w:val="2"/>
        </w:numPr>
        <w:tabs>
          <w:tab w:val="left" w:pos="1305"/>
          <w:tab w:val="clear" w:pos="1140"/>
        </w:tabs>
        <w:spacing w:beforeLines="50" w:line="480" w:lineRule="exact"/>
        <w:ind w:left="1305"/>
        <w:rPr>
          <w:rFonts w:ascii="宋体" w:hAnsi="宋体"/>
          <w:color w:val="000000"/>
          <w:sz w:val="30"/>
        </w:rPr>
      </w:pPr>
      <w:r>
        <w:rPr>
          <w:rFonts w:hint="eastAsia" w:ascii="宋体" w:hAnsi="宋体"/>
          <w:color w:val="000000"/>
          <w:sz w:val="30"/>
        </w:rPr>
        <w:t xml:space="preserve"> 开标</w:t>
      </w:r>
    </w:p>
    <w:p>
      <w:pPr>
        <w:numPr>
          <w:ilvl w:val="1"/>
          <w:numId w:val="2"/>
        </w:numPr>
        <w:tabs>
          <w:tab w:val="left" w:pos="1305"/>
          <w:tab w:val="clear" w:pos="1140"/>
        </w:tabs>
        <w:spacing w:beforeLines="50" w:line="480" w:lineRule="exact"/>
        <w:ind w:left="1305"/>
        <w:rPr>
          <w:rFonts w:ascii="宋体" w:hAnsi="宋体"/>
          <w:color w:val="000000"/>
          <w:sz w:val="30"/>
        </w:rPr>
      </w:pPr>
      <w:r>
        <w:rPr>
          <w:rFonts w:hint="eastAsia" w:ascii="宋体" w:hAnsi="宋体"/>
          <w:color w:val="000000"/>
          <w:sz w:val="30"/>
        </w:rPr>
        <w:t xml:space="preserve"> 评标</w:t>
      </w:r>
    </w:p>
    <w:p>
      <w:pPr>
        <w:numPr>
          <w:ilvl w:val="1"/>
          <w:numId w:val="2"/>
        </w:numPr>
        <w:tabs>
          <w:tab w:val="left" w:pos="1305"/>
          <w:tab w:val="clear" w:pos="1140"/>
        </w:tabs>
        <w:spacing w:beforeLines="50" w:line="480" w:lineRule="exact"/>
        <w:ind w:left="1305"/>
        <w:rPr>
          <w:rFonts w:ascii="宋体" w:hAnsi="宋体"/>
          <w:color w:val="000000"/>
          <w:sz w:val="30"/>
        </w:rPr>
      </w:pPr>
      <w:r>
        <w:rPr>
          <w:rFonts w:hint="eastAsia" w:ascii="宋体" w:hAnsi="宋体"/>
          <w:color w:val="000000"/>
          <w:sz w:val="30"/>
        </w:rPr>
        <w:t xml:space="preserve"> 定标</w:t>
      </w:r>
    </w:p>
    <w:p>
      <w:pPr>
        <w:numPr>
          <w:ilvl w:val="1"/>
          <w:numId w:val="2"/>
        </w:numPr>
        <w:tabs>
          <w:tab w:val="left" w:pos="1305"/>
          <w:tab w:val="clear" w:pos="1140"/>
        </w:tabs>
        <w:spacing w:beforeLines="50" w:line="480" w:lineRule="exact"/>
        <w:ind w:left="1305"/>
        <w:rPr>
          <w:rFonts w:ascii="宋体" w:hAnsi="宋体"/>
          <w:color w:val="000000"/>
          <w:sz w:val="30"/>
        </w:rPr>
      </w:pPr>
      <w:r>
        <w:rPr>
          <w:rFonts w:hint="eastAsia" w:ascii="宋体" w:hAnsi="宋体"/>
          <w:color w:val="000000"/>
          <w:sz w:val="30"/>
        </w:rPr>
        <w:t xml:space="preserve"> 合同授予</w:t>
      </w:r>
    </w:p>
    <w:p>
      <w:pPr>
        <w:numPr>
          <w:ilvl w:val="0"/>
          <w:numId w:val="2"/>
        </w:numPr>
        <w:tabs>
          <w:tab w:val="left" w:pos="1440"/>
          <w:tab w:val="clear" w:pos="1275"/>
        </w:tabs>
        <w:spacing w:beforeLines="50" w:line="480" w:lineRule="exact"/>
        <w:ind w:left="1440"/>
        <w:rPr>
          <w:rFonts w:ascii="宋体" w:hAnsi="宋体"/>
          <w:color w:val="000000"/>
          <w:sz w:val="30"/>
        </w:rPr>
      </w:pPr>
      <w:r>
        <w:rPr>
          <w:rFonts w:hint="eastAsia" w:ascii="宋体" w:hAnsi="宋体"/>
          <w:color w:val="000000"/>
          <w:sz w:val="30"/>
        </w:rPr>
        <w:t>评标办法及评分标准</w:t>
      </w:r>
    </w:p>
    <w:p>
      <w:pPr>
        <w:numPr>
          <w:ilvl w:val="0"/>
          <w:numId w:val="2"/>
        </w:numPr>
        <w:tabs>
          <w:tab w:val="left" w:pos="1440"/>
          <w:tab w:val="clear" w:pos="1275"/>
        </w:tabs>
        <w:spacing w:beforeLines="50" w:line="480" w:lineRule="exact"/>
        <w:ind w:left="1440"/>
        <w:rPr>
          <w:rFonts w:ascii="宋体" w:hAnsi="宋体"/>
          <w:color w:val="000000"/>
          <w:sz w:val="30"/>
        </w:rPr>
      </w:pPr>
      <w:r>
        <w:rPr>
          <w:rFonts w:hint="eastAsia" w:ascii="宋体" w:hAnsi="宋体"/>
          <w:color w:val="000000"/>
          <w:sz w:val="30"/>
        </w:rPr>
        <w:t>政府采购合同</w:t>
      </w:r>
    </w:p>
    <w:p>
      <w:pPr>
        <w:numPr>
          <w:ilvl w:val="0"/>
          <w:numId w:val="2"/>
        </w:numPr>
        <w:tabs>
          <w:tab w:val="left" w:pos="1440"/>
          <w:tab w:val="clear" w:pos="1275"/>
        </w:tabs>
        <w:spacing w:beforeLines="50" w:line="480" w:lineRule="exact"/>
        <w:ind w:left="1440"/>
        <w:rPr>
          <w:rFonts w:ascii="宋体" w:hAnsi="宋体"/>
          <w:color w:val="000000"/>
          <w:sz w:val="30"/>
        </w:rPr>
      </w:pPr>
      <w:r>
        <w:rPr>
          <w:rFonts w:hint="eastAsia" w:ascii="宋体" w:hAnsi="宋体"/>
          <w:color w:val="000000"/>
          <w:sz w:val="30"/>
        </w:rPr>
        <w:t>投标文件格式</w:t>
      </w:r>
    </w:p>
    <w:p>
      <w:pPr>
        <w:pStyle w:val="3"/>
        <w:rPr>
          <w:rFonts w:hAnsi="宋体" w:eastAsia="宋体"/>
          <w:b w:val="0"/>
          <w:sz w:val="32"/>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3"/>
        <w:jc w:val="center"/>
        <w:rPr>
          <w:rFonts w:hAnsi="宋体" w:eastAsia="宋体"/>
          <w:b w:val="0"/>
          <w:sz w:val="32"/>
          <w:szCs w:val="32"/>
        </w:rPr>
      </w:pPr>
      <w:r>
        <w:rPr>
          <w:rFonts w:hint="eastAsia" w:hAnsi="宋体" w:eastAsia="宋体"/>
          <w:color w:val="auto"/>
          <w:kern w:val="2"/>
          <w:sz w:val="32"/>
          <w:szCs w:val="32"/>
        </w:rPr>
        <w:t>第一章   招标公告</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hAnsi="宋体" w:eastAsia="宋体"/>
          <w:b/>
          <w:bCs/>
          <w:sz w:val="72"/>
          <w:szCs w:val="72"/>
          <w:lang w:val="en-US" w:eastAsia="zh-CN"/>
        </w:rPr>
      </w:pPr>
      <w:r>
        <w:rPr>
          <w:rFonts w:hint="eastAsia" w:ascii="宋体" w:hAnsi="宋体"/>
          <w:color w:val="000000"/>
          <w:sz w:val="24"/>
        </w:rPr>
        <w:t xml:space="preserve">    根据《中华人民共和国政府采购法》、《政府采购货物和服务招标投标管理办法》规定，经桐庐县政府采购管理办公室批准，现就</w:t>
      </w:r>
      <w:r>
        <w:rPr>
          <w:rFonts w:hint="eastAsia" w:hAnsi="宋体"/>
          <w:b/>
          <w:bCs/>
          <w:color w:val="000000"/>
          <w:sz w:val="24"/>
          <w:lang w:val="en-US" w:eastAsia="zh-CN"/>
        </w:rPr>
        <w:t>2019-2021年度桐庐县城公用照明设施维护工程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b/>
          <w:bCs/>
          <w:sz w:val="24"/>
        </w:rPr>
      </w:pPr>
      <w:r>
        <w:rPr>
          <w:rFonts w:hint="eastAsia" w:ascii="宋体" w:hAnsi="宋体"/>
          <w:color w:val="000000"/>
          <w:sz w:val="24"/>
        </w:rPr>
        <w:t>采用公开招标方式进行采购，欢迎符合投标资格条件且提供本国货物的供应商来投标：</w:t>
      </w:r>
    </w:p>
    <w:p>
      <w:pPr>
        <w:spacing w:line="360" w:lineRule="auto"/>
        <w:ind w:firstLine="482" w:firstLineChars="200"/>
        <w:rPr>
          <w:rFonts w:hint="eastAsia" w:ascii="宋体" w:hAnsi="宋体" w:eastAsia="宋体"/>
          <w:sz w:val="24"/>
          <w:szCs w:val="24"/>
          <w:lang w:eastAsia="zh-CN"/>
        </w:rPr>
      </w:pPr>
      <w:r>
        <w:rPr>
          <w:rFonts w:hint="eastAsia" w:ascii="宋体" w:hAnsi="宋体" w:cs="Arial"/>
          <w:b/>
          <w:bCs/>
          <w:color w:val="000000"/>
          <w:sz w:val="24"/>
        </w:rPr>
        <w:t>一、项目编号：</w:t>
      </w:r>
      <w:r>
        <w:rPr>
          <w:rFonts w:hint="eastAsia" w:ascii="宋体" w:hAnsi="宋体" w:cs="Arial"/>
          <w:b/>
          <w:bCs/>
          <w:color w:val="000000"/>
          <w:sz w:val="24"/>
          <w:lang w:eastAsia="zh-CN"/>
        </w:rPr>
        <w:t>TLZHCG2019-GK-006-1</w:t>
      </w:r>
    </w:p>
    <w:p>
      <w:pPr>
        <w:spacing w:line="360" w:lineRule="auto"/>
        <w:ind w:firstLine="482" w:firstLineChars="200"/>
        <w:rPr>
          <w:rFonts w:ascii="宋体" w:hAnsi="宋体" w:cs="Arial"/>
          <w:b/>
          <w:bCs/>
          <w:color w:val="000000"/>
          <w:sz w:val="24"/>
        </w:rPr>
      </w:pPr>
      <w:r>
        <w:rPr>
          <w:rFonts w:hint="eastAsia" w:ascii="宋体" w:hAnsi="宋体" w:cs="Arial"/>
          <w:b/>
          <w:bCs/>
          <w:color w:val="000000"/>
          <w:sz w:val="24"/>
        </w:rPr>
        <w:t>二、采购组织类型：</w:t>
      </w:r>
      <w:r>
        <w:rPr>
          <w:rFonts w:hint="eastAsia" w:ascii="宋体" w:hAnsi="宋体"/>
          <w:color w:val="000000"/>
          <w:sz w:val="24"/>
        </w:rPr>
        <w:t>分散采购委托代理</w:t>
      </w:r>
    </w:p>
    <w:p>
      <w:pPr>
        <w:spacing w:line="360" w:lineRule="auto"/>
        <w:ind w:firstLine="482" w:firstLineChars="200"/>
        <w:rPr>
          <w:rFonts w:ascii="宋体" w:hAnsi="宋体" w:cs="Arial"/>
          <w:color w:val="000000"/>
          <w:sz w:val="24"/>
        </w:rPr>
      </w:pPr>
      <w:r>
        <w:rPr>
          <w:rFonts w:hint="eastAsia" w:ascii="宋体" w:hAnsi="宋体" w:cs="Arial"/>
          <w:b/>
          <w:color w:val="000000"/>
          <w:sz w:val="24"/>
        </w:rPr>
        <w:t>三、采购方式：</w:t>
      </w:r>
      <w:r>
        <w:rPr>
          <w:rFonts w:hint="eastAsia" w:ascii="宋体" w:hAnsi="宋体" w:cs="Arial"/>
          <w:color w:val="000000"/>
          <w:sz w:val="24"/>
        </w:rPr>
        <w:t>公开招标</w:t>
      </w:r>
    </w:p>
    <w:p>
      <w:pPr>
        <w:spacing w:line="360" w:lineRule="auto"/>
        <w:ind w:firstLine="482" w:firstLineChars="200"/>
        <w:rPr>
          <w:rFonts w:ascii="宋体" w:hAnsi="宋体" w:cs="Arial"/>
          <w:color w:val="000000"/>
          <w:sz w:val="24"/>
        </w:rPr>
      </w:pPr>
      <w:r>
        <w:rPr>
          <w:rFonts w:hint="eastAsia" w:ascii="宋体" w:hAnsi="宋体" w:cs="Arial"/>
          <w:b/>
          <w:color w:val="000000"/>
          <w:sz w:val="24"/>
        </w:rPr>
        <w:t>四、</w:t>
      </w:r>
      <w:r>
        <w:rPr>
          <w:rFonts w:hint="eastAsia" w:ascii="宋体" w:hAnsi="宋体" w:cs="Arial"/>
          <w:b/>
          <w:bCs/>
          <w:color w:val="000000"/>
          <w:sz w:val="24"/>
        </w:rPr>
        <w:t>采购内容及数量：</w:t>
      </w:r>
      <w:r>
        <w:rPr>
          <w:rFonts w:hint="eastAsia" w:ascii="宋体" w:hAnsi="宋体" w:cs="Arial"/>
          <w:color w:val="000000"/>
          <w:sz w:val="24"/>
        </w:rPr>
        <w:t xml:space="preserve">（具体技术参数详见招标需求） </w:t>
      </w:r>
    </w:p>
    <w:tbl>
      <w:tblPr>
        <w:tblStyle w:val="46"/>
        <w:tblW w:w="8377" w:type="dxa"/>
        <w:jc w:val="center"/>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611"/>
        <w:gridCol w:w="181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1157" w:type="dxa"/>
            <w:vAlign w:val="center"/>
          </w:tcPr>
          <w:p>
            <w:pPr>
              <w:jc w:val="center"/>
              <w:rPr>
                <w:rFonts w:ascii="宋体" w:hAnsi="宋体"/>
                <w:b/>
                <w:color w:val="000000"/>
                <w:szCs w:val="21"/>
              </w:rPr>
            </w:pPr>
            <w:r>
              <w:rPr>
                <w:rFonts w:hint="eastAsia" w:ascii="宋体" w:hAnsi="宋体"/>
                <w:b/>
                <w:color w:val="000000"/>
                <w:szCs w:val="21"/>
              </w:rPr>
              <w:t>标项</w:t>
            </w:r>
          </w:p>
        </w:tc>
        <w:tc>
          <w:tcPr>
            <w:tcW w:w="3611" w:type="dxa"/>
            <w:vAlign w:val="center"/>
          </w:tcPr>
          <w:p>
            <w:pPr>
              <w:jc w:val="center"/>
              <w:rPr>
                <w:rFonts w:ascii="宋体" w:hAnsi="宋体"/>
                <w:b/>
                <w:color w:val="000000"/>
                <w:szCs w:val="21"/>
              </w:rPr>
            </w:pPr>
            <w:r>
              <w:rPr>
                <w:rFonts w:hint="eastAsia" w:ascii="宋体" w:hAnsi="宋体"/>
                <w:b/>
                <w:color w:val="000000"/>
                <w:szCs w:val="21"/>
              </w:rPr>
              <w:t>项目名称</w:t>
            </w:r>
          </w:p>
        </w:tc>
        <w:tc>
          <w:tcPr>
            <w:tcW w:w="1813" w:type="dxa"/>
            <w:vAlign w:val="center"/>
          </w:tcPr>
          <w:p>
            <w:pPr>
              <w:jc w:val="center"/>
              <w:rPr>
                <w:rFonts w:ascii="宋体" w:hAnsi="宋体"/>
                <w:b/>
                <w:color w:val="000000"/>
                <w:szCs w:val="21"/>
              </w:rPr>
            </w:pPr>
            <w:r>
              <w:rPr>
                <w:rFonts w:hint="eastAsia" w:ascii="宋体" w:hAnsi="宋体"/>
                <w:b/>
                <w:color w:val="000000"/>
                <w:szCs w:val="21"/>
              </w:rPr>
              <w:t>数量</w:t>
            </w:r>
          </w:p>
        </w:tc>
        <w:tc>
          <w:tcPr>
            <w:tcW w:w="1796" w:type="dxa"/>
            <w:vAlign w:val="center"/>
          </w:tcPr>
          <w:p>
            <w:pPr>
              <w:jc w:val="center"/>
              <w:rPr>
                <w:rFonts w:hint="eastAsia" w:ascii="宋体" w:hAnsi="宋体" w:eastAsia="宋体"/>
                <w:b/>
                <w:color w:val="000000"/>
                <w:szCs w:val="21"/>
                <w:lang w:eastAsia="zh-CN"/>
              </w:rPr>
            </w:pPr>
            <w:r>
              <w:rPr>
                <w:rFonts w:hint="eastAsia" w:ascii="宋体" w:hAnsi="宋体"/>
                <w:b/>
                <w:color w:val="000000"/>
                <w:szCs w:val="21"/>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exact"/>
          <w:jc w:val="center"/>
        </w:trPr>
        <w:tc>
          <w:tcPr>
            <w:tcW w:w="1157" w:type="dxa"/>
            <w:vAlign w:val="center"/>
          </w:tcPr>
          <w:p>
            <w:pPr>
              <w:jc w:val="center"/>
              <w:rPr>
                <w:rFonts w:ascii="宋体" w:hAnsi="宋体"/>
                <w:b/>
                <w:color w:val="000000"/>
                <w:szCs w:val="21"/>
              </w:rPr>
            </w:pPr>
            <w:r>
              <w:rPr>
                <w:rFonts w:hint="eastAsia" w:ascii="宋体" w:hAnsi="宋体"/>
                <w:b/>
                <w:color w:val="000000"/>
                <w:szCs w:val="21"/>
              </w:rPr>
              <w:t>1</w:t>
            </w:r>
          </w:p>
        </w:tc>
        <w:tc>
          <w:tcPr>
            <w:tcW w:w="3611" w:type="dxa"/>
            <w:vAlign w:val="center"/>
          </w:tcPr>
          <w:p>
            <w:pPr>
              <w:jc w:val="center"/>
              <w:rPr>
                <w:rFonts w:hint="eastAsia" w:ascii="宋体" w:hAnsi="宋体" w:eastAsia="宋体"/>
                <w:b/>
                <w:color w:val="000000"/>
                <w:szCs w:val="21"/>
                <w:lang w:eastAsia="zh-CN"/>
              </w:rPr>
            </w:pPr>
            <w:r>
              <w:rPr>
                <w:rFonts w:hint="eastAsia" w:ascii="宋体" w:hAnsi="宋体"/>
                <w:b/>
                <w:color w:val="000000"/>
                <w:szCs w:val="21"/>
                <w:lang w:val="en-US" w:eastAsia="zh-CN"/>
              </w:rPr>
              <w:t>2019-2021年度桐庐县城公用照明设施维护工程</w:t>
            </w:r>
          </w:p>
        </w:tc>
        <w:tc>
          <w:tcPr>
            <w:tcW w:w="1813" w:type="dxa"/>
            <w:vAlign w:val="center"/>
          </w:tcPr>
          <w:p>
            <w:pPr>
              <w:jc w:val="center"/>
              <w:rPr>
                <w:rFonts w:ascii="宋体" w:hAnsi="宋体"/>
                <w:color w:val="000000"/>
                <w:szCs w:val="21"/>
              </w:rPr>
            </w:pPr>
            <w:r>
              <w:rPr>
                <w:rFonts w:hint="eastAsia" w:ascii="宋体" w:hAnsi="宋体"/>
                <w:color w:val="000000"/>
                <w:szCs w:val="21"/>
              </w:rPr>
              <w:t>一项</w:t>
            </w:r>
          </w:p>
        </w:tc>
        <w:tc>
          <w:tcPr>
            <w:tcW w:w="1796" w:type="dxa"/>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785万元</w:t>
            </w:r>
          </w:p>
        </w:tc>
      </w:tr>
    </w:tbl>
    <w:p>
      <w:pPr>
        <w:spacing w:line="360" w:lineRule="auto"/>
        <w:ind w:firstLine="482" w:firstLineChars="200"/>
        <w:rPr>
          <w:rFonts w:ascii="宋体" w:hAnsi="宋体" w:cs="Arial"/>
          <w:b/>
          <w:bCs/>
          <w:sz w:val="24"/>
        </w:rPr>
      </w:pPr>
      <w:r>
        <w:rPr>
          <w:rFonts w:hint="eastAsia" w:ascii="宋体" w:hAnsi="宋体" w:cs="Arial"/>
          <w:b/>
          <w:sz w:val="24"/>
        </w:rPr>
        <w:t>五</w:t>
      </w:r>
      <w:r>
        <w:rPr>
          <w:rFonts w:hint="eastAsia" w:ascii="宋体" w:hAnsi="宋体" w:cs="Arial"/>
          <w:sz w:val="24"/>
        </w:rPr>
        <w:t>、</w:t>
      </w:r>
      <w:r>
        <w:rPr>
          <w:rFonts w:hint="eastAsia" w:ascii="宋体" w:hAnsi="宋体" w:cs="Arial"/>
          <w:b/>
          <w:bCs/>
          <w:sz w:val="24"/>
        </w:rPr>
        <w:t>合格投标人的资格要求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在中华人民共和国内注册，</w:t>
      </w:r>
      <w:bookmarkStart w:id="1" w:name="B18_投标供应商的资格要求"/>
      <w:r>
        <w:rPr>
          <w:rFonts w:hint="eastAsia" w:ascii="宋体" w:hAnsi="宋体"/>
          <w:sz w:val="24"/>
        </w:rPr>
        <w:t>符合《政府采购法》第二十二条的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的生产企业或经销商。由评标委员会对投标人信用记录情况进行核实。</w:t>
      </w:r>
    </w:p>
    <w:p>
      <w:pPr>
        <w:pStyle w:val="2"/>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eastAsia="宋体"/>
          <w:lang w:val="en-US" w:eastAsia="zh-CN"/>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）具有城市及道路照明工程专业承包贰级及以上资质的独立法人。</w:t>
      </w:r>
    </w:p>
    <w:p>
      <w:pPr>
        <w:pStyle w:val="2"/>
        <w:keepNext w:val="0"/>
        <w:keepLines w:val="0"/>
        <w:pageBreakBefore w:val="0"/>
        <w:widowControl w:val="0"/>
        <w:kinsoku/>
        <w:wordWrap/>
        <w:overflowPunct/>
        <w:topLinePunct w:val="0"/>
        <w:autoSpaceDE/>
        <w:autoSpaceDN/>
        <w:bidi w:val="0"/>
        <w:adjustRightInd/>
        <w:spacing w:line="360" w:lineRule="auto"/>
        <w:textAlignment w:val="auto"/>
        <w:outlineLvl w:val="9"/>
        <w:rPr>
          <w:rFonts w:ascii="宋体" w:hAnsi="宋体"/>
          <w:sz w:val="24"/>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本项目不接受联合体。</w:t>
      </w:r>
    </w:p>
    <w:bookmarkEnd w:id="1"/>
    <w:p>
      <w:pPr>
        <w:spacing w:line="360" w:lineRule="auto"/>
        <w:ind w:firstLine="482" w:firstLineChars="200"/>
        <w:rPr>
          <w:rFonts w:ascii="宋体" w:hAnsi="宋体" w:cs="Arial"/>
          <w:b/>
          <w:color w:val="000000"/>
          <w:sz w:val="28"/>
          <w:szCs w:val="28"/>
        </w:rPr>
      </w:pPr>
      <w:r>
        <w:rPr>
          <w:rFonts w:hint="eastAsia" w:ascii="宋体" w:hAnsi="宋体" w:cs="Arial"/>
          <w:b/>
          <w:bCs/>
          <w:color w:val="000000"/>
          <w:sz w:val="24"/>
        </w:rPr>
        <w:t>六、招标文件的获取</w:t>
      </w:r>
      <w:r>
        <w:rPr>
          <w:rFonts w:hint="eastAsia" w:ascii="宋体" w:hAnsi="宋体" w:cs="Arial"/>
          <w:color w:val="000000"/>
          <w:sz w:val="24"/>
        </w:rPr>
        <w:t>：</w:t>
      </w:r>
    </w:p>
    <w:p>
      <w:pPr>
        <w:snapToGrid w:val="0"/>
        <w:spacing w:line="360" w:lineRule="auto"/>
        <w:ind w:firstLine="482"/>
        <w:rPr>
          <w:rFonts w:ascii="宋体" w:hAnsi="宋体"/>
          <w:kern w:val="0"/>
          <w:sz w:val="24"/>
        </w:rPr>
      </w:pPr>
      <w:r>
        <w:rPr>
          <w:rFonts w:hint="eastAsia" w:ascii="宋体" w:hAnsi="宋体"/>
          <w:kern w:val="0"/>
          <w:sz w:val="24"/>
        </w:rPr>
        <w:t>投标人可到</w:t>
      </w:r>
      <w:r>
        <w:rPr>
          <w:rFonts w:hint="eastAsia" w:ascii="宋体" w:hAnsi="宋体"/>
          <w:b/>
          <w:sz w:val="24"/>
        </w:rPr>
        <w:t>浙江政府采购网(</w:t>
      </w:r>
      <w:r>
        <w:fldChar w:fldCharType="begin"/>
      </w:r>
      <w:r>
        <w:instrText xml:space="preserve"> HYPERLINK "http://www.zjzfcg.gov.cn/" </w:instrText>
      </w:r>
      <w:r>
        <w:fldChar w:fldCharType="separate"/>
      </w:r>
      <w:r>
        <w:rPr>
          <w:rFonts w:ascii="宋体" w:hAnsi="宋体"/>
          <w:b/>
          <w:sz w:val="24"/>
        </w:rPr>
        <w:t>http://www.zjzfcg.gov.cn</w:t>
      </w:r>
      <w:r>
        <w:rPr>
          <w:rFonts w:ascii="宋体" w:hAnsi="宋体"/>
          <w:b/>
          <w:sz w:val="24"/>
        </w:rPr>
        <w:fldChar w:fldCharType="end"/>
      </w:r>
      <w:r>
        <w:rPr>
          <w:rFonts w:hint="eastAsia" w:ascii="宋体" w:hAnsi="宋体"/>
          <w:b/>
          <w:sz w:val="24"/>
        </w:rPr>
        <w:t>)或桐庐县公共资源招投标网（</w:t>
      </w:r>
      <w:r>
        <w:fldChar w:fldCharType="begin"/>
      </w:r>
      <w:r>
        <w:instrText xml:space="preserve"> HYPERLINK "http://www.tlztb.com" </w:instrText>
      </w:r>
      <w:r>
        <w:fldChar w:fldCharType="separate"/>
      </w:r>
      <w:r>
        <w:rPr>
          <w:rStyle w:val="44"/>
          <w:rFonts w:ascii="宋体" w:hAnsi="宋体"/>
          <w:b/>
          <w:sz w:val="24"/>
        </w:rPr>
        <w:t>http://www.tlztb.com</w:t>
      </w:r>
      <w:r>
        <w:rPr>
          <w:rStyle w:val="44"/>
          <w:rFonts w:ascii="宋体" w:hAnsi="宋体"/>
          <w:b/>
          <w:sz w:val="24"/>
        </w:rPr>
        <w:fldChar w:fldCharType="end"/>
      </w:r>
      <w:r>
        <w:rPr>
          <w:rFonts w:hint="eastAsia" w:ascii="宋体" w:hAnsi="宋体"/>
          <w:b/>
          <w:sz w:val="24"/>
        </w:rPr>
        <w:t>.cn</w:t>
      </w:r>
      <w:r>
        <w:rPr>
          <w:rFonts w:ascii="宋体" w:hAnsi="宋体"/>
          <w:b/>
          <w:sz w:val="24"/>
        </w:rPr>
        <w:t>/</w:t>
      </w:r>
      <w:r>
        <w:rPr>
          <w:rFonts w:hint="eastAsia" w:ascii="宋体" w:hAnsi="宋体"/>
          <w:b/>
          <w:sz w:val="24"/>
        </w:rPr>
        <w:t>）上</w:t>
      </w:r>
      <w:r>
        <w:rPr>
          <w:rFonts w:hint="eastAsia" w:ascii="宋体" w:hAnsi="宋体"/>
          <w:sz w:val="24"/>
        </w:rPr>
        <w:t>自行查看和下载电子文件。</w:t>
      </w:r>
    </w:p>
    <w:p>
      <w:pPr>
        <w:snapToGrid w:val="0"/>
        <w:spacing w:line="360" w:lineRule="auto"/>
        <w:ind w:firstLine="482" w:firstLineChars="200"/>
        <w:rPr>
          <w:rFonts w:ascii="宋体" w:hAnsi="宋体" w:cs="Arial"/>
          <w:color w:val="000000"/>
          <w:sz w:val="24"/>
        </w:rPr>
      </w:pPr>
      <w:r>
        <w:rPr>
          <w:rFonts w:hint="eastAsia" w:ascii="宋体" w:hAnsi="宋体" w:cs="Arial"/>
          <w:b/>
          <w:color w:val="000000"/>
          <w:sz w:val="24"/>
        </w:rPr>
        <w:t>七</w:t>
      </w:r>
      <w:r>
        <w:rPr>
          <w:rFonts w:hint="eastAsia" w:ascii="宋体" w:hAnsi="宋体" w:cs="Arial"/>
          <w:b/>
          <w:bCs/>
          <w:color w:val="000000"/>
          <w:sz w:val="24"/>
        </w:rPr>
        <w:t>、投标保证金</w:t>
      </w:r>
      <w:r>
        <w:rPr>
          <w:rFonts w:hint="eastAsia" w:ascii="宋体" w:hAnsi="宋体" w:cs="Arial"/>
          <w:color w:val="000000"/>
          <w:sz w:val="24"/>
        </w:rPr>
        <w:t>：无需缴纳投标保证金。</w:t>
      </w:r>
    </w:p>
    <w:p>
      <w:pPr>
        <w:snapToGrid w:val="0"/>
        <w:spacing w:line="360" w:lineRule="auto"/>
        <w:ind w:left="479" w:firstLine="60"/>
        <w:rPr>
          <w:rFonts w:ascii="宋体" w:hAnsi="宋体"/>
          <w:b/>
          <w:color w:val="000000"/>
          <w:sz w:val="24"/>
        </w:rPr>
      </w:pPr>
      <w:r>
        <w:rPr>
          <w:rFonts w:hint="eastAsia" w:ascii="宋体" w:hAnsi="宋体"/>
          <w:b/>
          <w:color w:val="000000"/>
          <w:sz w:val="24"/>
        </w:rPr>
        <w:t>八、其他事项：</w:t>
      </w:r>
    </w:p>
    <w:p>
      <w:pPr>
        <w:snapToGrid w:val="0"/>
        <w:spacing w:line="360" w:lineRule="auto"/>
        <w:ind w:firstLine="480" w:firstLineChars="200"/>
        <w:rPr>
          <w:rFonts w:hAnsi="宋体"/>
          <w:sz w:val="24"/>
        </w:rPr>
      </w:pPr>
      <w:r>
        <w:rPr>
          <w:rFonts w:hint="eastAsia" w:ascii="宋体" w:hAnsi="宋体" w:cs="宋体"/>
          <w:sz w:val="24"/>
        </w:rPr>
        <w:t>采购项目需要落实的政府采购政策：对符合财政扶持政策的小微企业（监狱企业视同小微企业，须提供省级以上监狱管理局、戒毒管理局(含新疆生产建设兵团)出具的属于监狱企业的证明文件），享商务报价分优惠。</w:t>
      </w:r>
    </w:p>
    <w:p>
      <w:pPr>
        <w:snapToGrid w:val="0"/>
        <w:spacing w:line="360" w:lineRule="auto"/>
        <w:ind w:firstLine="482" w:firstLineChars="200"/>
        <w:rPr>
          <w:rFonts w:ascii="宋体" w:hAnsi="宋体" w:cs="Arial"/>
          <w:color w:val="000000"/>
          <w:sz w:val="24"/>
        </w:rPr>
      </w:pPr>
      <w:r>
        <w:rPr>
          <w:rFonts w:hint="eastAsia" w:ascii="宋体" w:hAnsi="宋体" w:cs="Arial"/>
          <w:b/>
          <w:bCs/>
          <w:color w:val="000000"/>
          <w:sz w:val="24"/>
        </w:rPr>
        <w:t>九、投标截止时间和地点</w:t>
      </w:r>
      <w:r>
        <w:rPr>
          <w:rFonts w:hint="eastAsia" w:ascii="宋体" w:hAnsi="宋体" w:cs="Arial"/>
          <w:color w:val="000000"/>
          <w:sz w:val="24"/>
        </w:rPr>
        <w:t>：</w:t>
      </w:r>
    </w:p>
    <w:p>
      <w:pPr>
        <w:snapToGrid w:val="0"/>
        <w:spacing w:line="360" w:lineRule="auto"/>
        <w:ind w:firstLine="480"/>
        <w:jc w:val="left"/>
        <w:rPr>
          <w:rFonts w:ascii="宋体" w:hAnsi="宋体"/>
          <w:color w:val="000000"/>
          <w:sz w:val="24"/>
        </w:rPr>
      </w:pPr>
      <w:r>
        <w:rPr>
          <w:rFonts w:hint="eastAsia" w:ascii="宋体" w:hAnsi="宋体"/>
          <w:color w:val="000000"/>
          <w:sz w:val="24"/>
        </w:rPr>
        <w:t>投标人应于</w:t>
      </w:r>
      <w:r>
        <w:rPr>
          <w:rFonts w:ascii="宋体" w:hAnsi="宋体"/>
          <w:b/>
          <w:color w:val="FF0000"/>
          <w:sz w:val="24"/>
        </w:rPr>
        <w:t>201</w:t>
      </w:r>
      <w:r>
        <w:rPr>
          <w:rFonts w:hint="eastAsia" w:ascii="宋体" w:hAnsi="宋体"/>
          <w:b/>
          <w:color w:val="FF0000"/>
          <w:sz w:val="24"/>
        </w:rPr>
        <w:t xml:space="preserve">9年 </w:t>
      </w:r>
      <w:r>
        <w:rPr>
          <w:rFonts w:hint="eastAsia" w:ascii="宋体" w:hAnsi="宋体"/>
          <w:b/>
          <w:color w:val="FF0000"/>
          <w:sz w:val="24"/>
          <w:lang w:val="en-US" w:eastAsia="zh-CN"/>
        </w:rPr>
        <w:t>10</w:t>
      </w:r>
      <w:r>
        <w:rPr>
          <w:rFonts w:hint="eastAsia" w:ascii="宋体" w:hAnsi="宋体"/>
          <w:b/>
          <w:color w:val="FF0000"/>
          <w:sz w:val="24"/>
        </w:rPr>
        <w:t xml:space="preserve"> 月 </w:t>
      </w:r>
      <w:r>
        <w:rPr>
          <w:rFonts w:hint="eastAsia" w:ascii="宋体" w:hAnsi="宋体"/>
          <w:b/>
          <w:color w:val="FF0000"/>
          <w:sz w:val="24"/>
          <w:lang w:val="en-US" w:eastAsia="zh-CN"/>
        </w:rPr>
        <w:t xml:space="preserve">30  </w:t>
      </w:r>
      <w:r>
        <w:rPr>
          <w:rFonts w:hint="eastAsia" w:ascii="宋体" w:hAnsi="宋体"/>
          <w:b/>
          <w:color w:val="FF0000"/>
          <w:sz w:val="24"/>
        </w:rPr>
        <w:t>日</w:t>
      </w:r>
      <w:r>
        <w:rPr>
          <w:rFonts w:hint="eastAsia" w:ascii="宋体" w:hAnsi="宋体"/>
          <w:b/>
          <w:color w:val="FF0000"/>
          <w:sz w:val="24"/>
          <w:lang w:val="en-US" w:eastAsia="zh-CN"/>
        </w:rPr>
        <w:t xml:space="preserve"> 10</w:t>
      </w:r>
      <w:r>
        <w:rPr>
          <w:rFonts w:hint="eastAsia" w:ascii="宋体" w:hAnsi="宋体"/>
          <w:b/>
          <w:color w:val="FF0000"/>
          <w:sz w:val="24"/>
        </w:rPr>
        <w:t xml:space="preserve">  时</w:t>
      </w:r>
      <w:r>
        <w:rPr>
          <w:rFonts w:hint="eastAsia" w:ascii="宋体" w:hAnsi="宋体"/>
          <w:b/>
          <w:color w:val="FF0000"/>
          <w:sz w:val="24"/>
          <w:lang w:val="en-US" w:eastAsia="zh-CN"/>
        </w:rPr>
        <w:t xml:space="preserve">  00</w:t>
      </w:r>
      <w:r>
        <w:rPr>
          <w:rFonts w:hint="eastAsia" w:ascii="宋体" w:hAnsi="宋体"/>
          <w:b/>
          <w:color w:val="FF0000"/>
          <w:sz w:val="24"/>
        </w:rPr>
        <w:t xml:space="preserve"> 分</w:t>
      </w:r>
      <w:r>
        <w:rPr>
          <w:rFonts w:hint="eastAsia" w:ascii="宋体" w:hAnsi="宋体"/>
          <w:color w:val="000000"/>
          <w:sz w:val="24"/>
        </w:rPr>
        <w:t>前将投标文件及合格投标人资格证明文件原件送交到桐庐县招投标服务中心</w:t>
      </w:r>
      <w:r>
        <w:rPr>
          <w:rFonts w:hint="eastAsia" w:ascii="宋体" w:hAnsi="宋体"/>
          <w:color w:val="000000"/>
          <w:sz w:val="24"/>
          <w:lang w:val="en-US" w:eastAsia="zh-CN"/>
        </w:rPr>
        <w:t xml:space="preserve"> 2 </w:t>
      </w:r>
      <w:r>
        <w:rPr>
          <w:rFonts w:hint="eastAsia" w:ascii="宋体" w:hAnsi="宋体"/>
          <w:color w:val="000000"/>
          <w:sz w:val="24"/>
        </w:rPr>
        <w:t>号开标大厅，逾期送达作无效标处理。</w:t>
      </w:r>
      <w:r>
        <w:rPr>
          <w:rFonts w:ascii="宋体" w:hAnsi="宋体"/>
          <w:color w:val="000000"/>
          <w:sz w:val="24"/>
        </w:rPr>
        <w:t xml:space="preserve"> </w:t>
      </w:r>
    </w:p>
    <w:p>
      <w:pPr>
        <w:snapToGrid w:val="0"/>
        <w:spacing w:line="360" w:lineRule="auto"/>
        <w:ind w:firstLine="482"/>
        <w:rPr>
          <w:rFonts w:ascii="宋体"/>
          <w:color w:val="000000"/>
          <w:sz w:val="24"/>
        </w:rPr>
      </w:pPr>
      <w:r>
        <w:rPr>
          <w:rFonts w:hint="eastAsia" w:hAnsi="宋体"/>
          <w:b/>
          <w:sz w:val="24"/>
        </w:rPr>
        <w:t>十、</w:t>
      </w:r>
      <w:r>
        <w:rPr>
          <w:rFonts w:hint="eastAsia" w:ascii="宋体" w:hAnsi="宋体"/>
          <w:b/>
          <w:color w:val="000000"/>
          <w:sz w:val="24"/>
        </w:rPr>
        <w:t>开标时间及地点</w:t>
      </w:r>
      <w:r>
        <w:rPr>
          <w:rFonts w:hint="eastAsia" w:ascii="宋体" w:hAnsi="宋体"/>
          <w:color w:val="000000"/>
          <w:sz w:val="24"/>
        </w:rPr>
        <w:t>：</w:t>
      </w:r>
    </w:p>
    <w:p>
      <w:pPr>
        <w:snapToGrid w:val="0"/>
        <w:spacing w:line="360" w:lineRule="auto"/>
        <w:ind w:firstLine="480"/>
        <w:rPr>
          <w:rFonts w:ascii="宋体"/>
          <w:sz w:val="24"/>
        </w:rPr>
      </w:pPr>
      <w:r>
        <w:rPr>
          <w:rFonts w:hint="eastAsia" w:ascii="宋体" w:hAnsi="宋体"/>
          <w:color w:val="000000"/>
          <w:sz w:val="24"/>
        </w:rPr>
        <w:t>本次招标将</w:t>
      </w:r>
      <w:r>
        <w:rPr>
          <w:rFonts w:hint="eastAsia" w:ascii="宋体" w:hAnsi="宋体"/>
          <w:sz w:val="24"/>
        </w:rPr>
        <w:t>于</w:t>
      </w:r>
      <w:r>
        <w:rPr>
          <w:rFonts w:ascii="宋体" w:hAnsi="宋体"/>
          <w:b/>
          <w:color w:val="FF0000"/>
          <w:sz w:val="24"/>
        </w:rPr>
        <w:t>201</w:t>
      </w:r>
      <w:r>
        <w:rPr>
          <w:rFonts w:hint="eastAsia" w:ascii="宋体" w:hAnsi="宋体"/>
          <w:b/>
          <w:color w:val="FF0000"/>
          <w:sz w:val="24"/>
        </w:rPr>
        <w:t xml:space="preserve">9年 </w:t>
      </w:r>
      <w:r>
        <w:rPr>
          <w:rFonts w:hint="eastAsia" w:ascii="宋体" w:hAnsi="宋体"/>
          <w:b/>
          <w:color w:val="FF0000"/>
          <w:sz w:val="24"/>
          <w:lang w:val="en-US" w:eastAsia="zh-CN"/>
        </w:rPr>
        <w:t>10</w:t>
      </w:r>
      <w:r>
        <w:rPr>
          <w:rFonts w:hint="eastAsia" w:ascii="宋体" w:hAnsi="宋体"/>
          <w:b/>
          <w:color w:val="FF0000"/>
          <w:sz w:val="24"/>
        </w:rPr>
        <w:t xml:space="preserve"> 月 </w:t>
      </w:r>
      <w:r>
        <w:rPr>
          <w:rFonts w:hint="eastAsia" w:ascii="宋体" w:hAnsi="宋体"/>
          <w:b/>
          <w:color w:val="FF0000"/>
          <w:sz w:val="24"/>
          <w:lang w:val="en-US" w:eastAsia="zh-CN"/>
        </w:rPr>
        <w:t xml:space="preserve">30  </w:t>
      </w:r>
      <w:r>
        <w:rPr>
          <w:rFonts w:hint="eastAsia" w:ascii="宋体" w:hAnsi="宋体"/>
          <w:b/>
          <w:color w:val="FF0000"/>
          <w:sz w:val="24"/>
        </w:rPr>
        <w:t>日</w:t>
      </w:r>
      <w:r>
        <w:rPr>
          <w:rFonts w:hint="eastAsia" w:ascii="宋体" w:hAnsi="宋体"/>
          <w:b/>
          <w:color w:val="FF0000"/>
          <w:sz w:val="24"/>
          <w:lang w:val="en-US" w:eastAsia="zh-CN"/>
        </w:rPr>
        <w:t xml:space="preserve"> 10</w:t>
      </w:r>
      <w:r>
        <w:rPr>
          <w:rFonts w:hint="eastAsia" w:ascii="宋体" w:hAnsi="宋体"/>
          <w:b/>
          <w:color w:val="FF0000"/>
          <w:sz w:val="24"/>
        </w:rPr>
        <w:t xml:space="preserve">  时</w:t>
      </w:r>
      <w:r>
        <w:rPr>
          <w:rFonts w:hint="eastAsia" w:ascii="宋体" w:hAnsi="宋体"/>
          <w:b/>
          <w:color w:val="FF0000"/>
          <w:sz w:val="24"/>
          <w:lang w:val="en-US" w:eastAsia="zh-CN"/>
        </w:rPr>
        <w:t xml:space="preserve">  00</w:t>
      </w:r>
      <w:r>
        <w:rPr>
          <w:rFonts w:hint="eastAsia" w:ascii="宋体" w:hAnsi="宋体"/>
          <w:b/>
          <w:color w:val="FF0000"/>
          <w:sz w:val="24"/>
        </w:rPr>
        <w:t xml:space="preserve"> 分</w:t>
      </w:r>
      <w:r>
        <w:rPr>
          <w:rFonts w:hint="eastAsia" w:ascii="宋体" w:hAnsi="宋体"/>
          <w:color w:val="000000"/>
          <w:sz w:val="24"/>
        </w:rPr>
        <w:t>在桐庐县招投标服务中心</w:t>
      </w:r>
      <w:r>
        <w:rPr>
          <w:rFonts w:hint="eastAsia" w:ascii="宋体" w:hAnsi="宋体"/>
          <w:color w:val="000000"/>
          <w:sz w:val="24"/>
          <w:lang w:val="en-US" w:eastAsia="zh-CN"/>
        </w:rPr>
        <w:t xml:space="preserve"> 2 </w:t>
      </w:r>
      <w:r>
        <w:rPr>
          <w:rFonts w:hint="eastAsia" w:ascii="宋体" w:hAnsi="宋体"/>
          <w:color w:val="000000"/>
          <w:sz w:val="24"/>
        </w:rPr>
        <w:t>号开标大厅开标，</w:t>
      </w:r>
      <w:r>
        <w:rPr>
          <w:rFonts w:hint="eastAsia" w:ascii="宋体" w:hAnsi="宋体"/>
          <w:sz w:val="24"/>
          <w:highlight w:val="yellow"/>
        </w:rPr>
        <w:t>投标代表携带本人有效身份证原件</w:t>
      </w:r>
      <w:r>
        <w:rPr>
          <w:rFonts w:ascii="宋体"/>
          <w:sz w:val="24"/>
          <w:highlight w:val="yellow"/>
        </w:rPr>
        <w:t>,</w:t>
      </w:r>
      <w:r>
        <w:rPr>
          <w:rFonts w:hint="eastAsia" w:ascii="宋体" w:hAnsi="宋体"/>
          <w:sz w:val="24"/>
          <w:highlight w:val="yellow"/>
        </w:rPr>
        <w:t>授权委托人还需按要求提供授权委托书出席开标会议。</w:t>
      </w:r>
    </w:p>
    <w:p>
      <w:pPr>
        <w:snapToGrid w:val="0"/>
        <w:spacing w:line="360" w:lineRule="auto"/>
        <w:ind w:firstLine="480"/>
        <w:rPr>
          <w:rFonts w:hAnsi="宋体"/>
          <w:b/>
          <w:sz w:val="24"/>
        </w:rPr>
      </w:pPr>
      <w:r>
        <w:rPr>
          <w:rFonts w:hint="eastAsia" w:ascii="宋体" w:hAnsi="宋体"/>
          <w:sz w:val="24"/>
        </w:rPr>
        <w:t>投标人如不派代表或不准时参加开标大会的</w:t>
      </w:r>
      <w:r>
        <w:rPr>
          <w:rFonts w:ascii="宋体"/>
          <w:sz w:val="24"/>
        </w:rPr>
        <w:t>,</w:t>
      </w:r>
      <w:r>
        <w:rPr>
          <w:rFonts w:hint="eastAsia" w:ascii="宋体" w:hAnsi="宋体"/>
          <w:sz w:val="24"/>
        </w:rPr>
        <w:t>事后不得对采购相关人员、开标过程和开标结果提出异议。</w:t>
      </w:r>
    </w:p>
    <w:p>
      <w:pPr>
        <w:snapToGrid w:val="0"/>
        <w:spacing w:line="360" w:lineRule="auto"/>
        <w:ind w:firstLine="420"/>
        <w:rPr>
          <w:rFonts w:ascii="宋体" w:hAnsi="宋体"/>
          <w:b/>
          <w:sz w:val="24"/>
        </w:rPr>
      </w:pPr>
      <w:r>
        <w:rPr>
          <w:rFonts w:ascii="宋体" w:hAnsi="宋体"/>
          <w:b/>
          <w:sz w:val="24"/>
        </w:rPr>
        <w:t>十</w:t>
      </w:r>
      <w:r>
        <w:rPr>
          <w:rFonts w:hint="eastAsia" w:ascii="宋体" w:hAnsi="宋体"/>
          <w:b/>
          <w:sz w:val="24"/>
        </w:rPr>
        <w:t>一</w:t>
      </w:r>
      <w:r>
        <w:rPr>
          <w:rFonts w:ascii="宋体" w:hAnsi="宋体"/>
          <w:b/>
          <w:sz w:val="24"/>
        </w:rPr>
        <w:t>、业务咨询：</w:t>
      </w:r>
    </w:p>
    <w:p>
      <w:pPr>
        <w:snapToGrid w:val="0"/>
        <w:spacing w:line="360" w:lineRule="auto"/>
        <w:ind w:firstLine="240" w:firstLineChars="100"/>
        <w:rPr>
          <w:rFonts w:ascii="宋体" w:hAnsi="宋体"/>
          <w:sz w:val="24"/>
        </w:rPr>
      </w:pPr>
      <w:r>
        <w:rPr>
          <w:rFonts w:hint="eastAsia" w:ascii="宋体" w:hAnsi="宋体"/>
          <w:sz w:val="24"/>
        </w:rPr>
        <w:t>1.采购人：桐庐县</w:t>
      </w:r>
      <w:r>
        <w:rPr>
          <w:rFonts w:hint="eastAsia" w:ascii="宋体" w:hAnsi="宋体"/>
          <w:sz w:val="24"/>
          <w:lang w:eastAsia="zh-CN"/>
        </w:rPr>
        <w:t>市政园林建设管理处</w:t>
      </w:r>
      <w:r>
        <w:rPr>
          <w:rFonts w:hint="eastAsia" w:ascii="宋体" w:hAnsi="宋体"/>
          <w:sz w:val="24"/>
        </w:rPr>
        <w:t xml:space="preserve">    </w:t>
      </w:r>
    </w:p>
    <w:p>
      <w:pPr>
        <w:snapToGrid w:val="0"/>
        <w:spacing w:line="360" w:lineRule="auto"/>
        <w:ind w:firstLine="240" w:firstLineChars="100"/>
        <w:rPr>
          <w:rFonts w:hint="eastAsia" w:ascii="宋体" w:hAnsi="宋体" w:eastAsia="宋体"/>
          <w:sz w:val="24"/>
          <w:lang w:eastAsia="zh-CN"/>
        </w:rPr>
      </w:pPr>
      <w:r>
        <w:rPr>
          <w:rFonts w:hint="eastAsia" w:ascii="宋体" w:hAnsi="宋体"/>
          <w:sz w:val="24"/>
        </w:rPr>
        <w:t xml:space="preserve">  联系人：</w:t>
      </w:r>
      <w:r>
        <w:rPr>
          <w:rFonts w:hint="eastAsia" w:ascii="宋体" w:hAnsi="宋体"/>
          <w:sz w:val="24"/>
          <w:lang w:eastAsia="zh-CN"/>
        </w:rPr>
        <w:t>朱樟军</w:t>
      </w:r>
    </w:p>
    <w:p>
      <w:pPr>
        <w:snapToGrid w:val="0"/>
        <w:spacing w:line="360" w:lineRule="auto"/>
        <w:ind w:firstLine="240" w:firstLineChars="100"/>
        <w:rPr>
          <w:rFonts w:hint="eastAsia" w:ascii="宋体" w:hAnsi="宋体"/>
          <w:sz w:val="24"/>
          <w:lang w:val="en-US" w:eastAsia="zh-CN"/>
        </w:rPr>
      </w:pPr>
      <w:r>
        <w:rPr>
          <w:rFonts w:hint="eastAsia" w:ascii="宋体" w:hAnsi="宋体"/>
          <w:sz w:val="24"/>
        </w:rPr>
        <w:t xml:space="preserve">  联系电话：</w:t>
      </w:r>
      <w:r>
        <w:rPr>
          <w:rFonts w:hint="eastAsia" w:ascii="宋体" w:hAnsi="宋体"/>
          <w:sz w:val="24"/>
          <w:lang w:val="en-US" w:eastAsia="zh-CN"/>
        </w:rPr>
        <w:t>13819176218</w:t>
      </w:r>
    </w:p>
    <w:p>
      <w:pPr>
        <w:snapToGrid w:val="0"/>
        <w:spacing w:line="360" w:lineRule="auto"/>
        <w:ind w:firstLine="240" w:firstLineChars="100"/>
        <w:rPr>
          <w:rFonts w:ascii="宋体" w:hAnsi="宋体"/>
          <w:sz w:val="24"/>
        </w:rPr>
      </w:pPr>
      <w:r>
        <w:rPr>
          <w:rFonts w:hint="eastAsia" w:ascii="宋体" w:hAnsi="宋体"/>
          <w:sz w:val="24"/>
        </w:rPr>
        <w:t xml:space="preserve">2.采购代理机构：杭州桐庐正宏建设管理有限公司   </w:t>
      </w:r>
    </w:p>
    <w:p>
      <w:pPr>
        <w:snapToGrid w:val="0"/>
        <w:spacing w:line="360" w:lineRule="auto"/>
        <w:ind w:firstLine="480" w:firstLineChars="200"/>
        <w:rPr>
          <w:rFonts w:ascii="宋体" w:hAnsi="宋体"/>
          <w:sz w:val="24"/>
        </w:rPr>
      </w:pPr>
      <w:r>
        <w:rPr>
          <w:rFonts w:hint="eastAsia" w:ascii="宋体" w:hAnsi="宋体"/>
          <w:sz w:val="24"/>
        </w:rPr>
        <w:t>联系人：吴正洪        电话： 0571-64217869</w:t>
      </w:r>
    </w:p>
    <w:p>
      <w:pPr>
        <w:spacing w:line="360" w:lineRule="auto"/>
        <w:ind w:firstLine="480" w:firstLineChars="200"/>
        <w:rPr>
          <w:rFonts w:ascii="宋体" w:hAnsi="宋体" w:cs="宋体"/>
          <w:sz w:val="24"/>
        </w:rPr>
      </w:pPr>
      <w:r>
        <w:rPr>
          <w:rFonts w:hint="eastAsia" w:ascii="宋体" w:hAnsi="宋体" w:cs="宋体"/>
          <w:sz w:val="24"/>
        </w:rPr>
        <w:t>地  点：桐庐县城南街道迎春南路桦桐大厦11楼</w:t>
      </w:r>
    </w:p>
    <w:p>
      <w:pPr>
        <w:spacing w:line="360" w:lineRule="auto"/>
        <w:ind w:firstLine="540" w:firstLineChars="225"/>
        <w:rPr>
          <w:rFonts w:ascii="宋体" w:hAnsi="宋体" w:cs="宋体"/>
          <w:sz w:val="24"/>
        </w:rPr>
      </w:pPr>
      <w:r>
        <w:rPr>
          <w:rFonts w:hint="eastAsia" w:ascii="宋体" w:hAnsi="宋体" w:cs="宋体"/>
          <w:sz w:val="24"/>
        </w:rPr>
        <w:t>电子信箱：</w:t>
      </w:r>
      <w:r>
        <w:fldChar w:fldCharType="begin"/>
      </w:r>
      <w:r>
        <w:instrText xml:space="preserve"> HYPERLINK "mailto:451593244@qq.com" </w:instrText>
      </w:r>
      <w:r>
        <w:fldChar w:fldCharType="separate"/>
      </w:r>
      <w:r>
        <w:rPr>
          <w:rStyle w:val="44"/>
          <w:rFonts w:hint="eastAsia" w:ascii="宋体" w:hAnsi="宋体" w:cs="宋体"/>
          <w:sz w:val="24"/>
        </w:rPr>
        <w:t>805792950@qq.com</w:t>
      </w:r>
      <w:r>
        <w:rPr>
          <w:rStyle w:val="44"/>
          <w:rFonts w:hint="eastAsia" w:ascii="宋体" w:hAnsi="宋体" w:cs="宋体"/>
          <w:sz w:val="24"/>
        </w:rPr>
        <w:fldChar w:fldCharType="end"/>
      </w:r>
    </w:p>
    <w:p>
      <w:pPr>
        <w:snapToGrid w:val="0"/>
        <w:spacing w:line="360" w:lineRule="auto"/>
        <w:ind w:firstLine="240" w:firstLineChars="100"/>
        <w:rPr>
          <w:rFonts w:ascii="宋体" w:hAnsi="宋体"/>
          <w:sz w:val="24"/>
        </w:rPr>
      </w:pPr>
      <w:r>
        <w:rPr>
          <w:rFonts w:hint="eastAsia" w:ascii="宋体" w:hAnsi="宋体"/>
          <w:sz w:val="24"/>
        </w:rPr>
        <w:t xml:space="preserve"> 3.监管单位：桐庐县财政局</w:t>
      </w:r>
    </w:p>
    <w:p>
      <w:pPr>
        <w:snapToGrid w:val="0"/>
        <w:spacing w:line="360" w:lineRule="auto"/>
        <w:ind w:firstLine="480" w:firstLineChars="200"/>
        <w:rPr>
          <w:rFonts w:ascii="宋体" w:hAnsi="宋体"/>
          <w:sz w:val="24"/>
        </w:rPr>
      </w:pPr>
      <w:r>
        <w:rPr>
          <w:rFonts w:hint="eastAsia" w:ascii="宋体" w:hAnsi="宋体"/>
          <w:sz w:val="24"/>
        </w:rPr>
        <w:t xml:space="preserve">联系人：陈毅      </w:t>
      </w:r>
    </w:p>
    <w:p>
      <w:pPr>
        <w:snapToGrid w:val="0"/>
        <w:spacing w:line="360" w:lineRule="auto"/>
        <w:ind w:firstLine="480" w:firstLineChars="200"/>
        <w:rPr>
          <w:rFonts w:ascii="宋体" w:hAnsi="宋体"/>
          <w:sz w:val="24"/>
        </w:rPr>
      </w:pPr>
      <w:r>
        <w:rPr>
          <w:rFonts w:hint="eastAsia" w:ascii="宋体" w:hAnsi="宋体"/>
          <w:sz w:val="24"/>
        </w:rPr>
        <w:t>监督投诉电话：0571-64217655  传真：0571-64217662</w:t>
      </w:r>
    </w:p>
    <w:p>
      <w:pPr>
        <w:snapToGrid w:val="0"/>
        <w:spacing w:line="360" w:lineRule="auto"/>
        <w:ind w:firstLine="480" w:firstLineChars="200"/>
        <w:rPr>
          <w:rFonts w:ascii="宋体" w:hAnsi="宋体"/>
          <w:sz w:val="24"/>
        </w:rPr>
      </w:pPr>
      <w:r>
        <w:rPr>
          <w:rFonts w:hint="eastAsia" w:ascii="宋体" w:hAnsi="宋体"/>
          <w:sz w:val="24"/>
        </w:rPr>
        <w:t>地 址：桐庐县迎春南路258号国资大厦6楼</w:t>
      </w: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numPr>
          <w:ilvl w:val="0"/>
          <w:numId w:val="3"/>
        </w:numPr>
        <w:snapToGrid w:val="0"/>
        <w:spacing w:line="360" w:lineRule="auto"/>
        <w:jc w:val="center"/>
        <w:rPr>
          <w:rFonts w:ascii="宋体" w:hAnsi="宋体"/>
          <w:b/>
          <w:sz w:val="32"/>
          <w:szCs w:val="32"/>
        </w:rPr>
      </w:pPr>
      <w:r>
        <w:rPr>
          <w:rFonts w:hint="eastAsia" w:ascii="宋体" w:hAnsi="宋体"/>
          <w:b/>
          <w:sz w:val="32"/>
          <w:szCs w:val="32"/>
        </w:rPr>
        <w:t xml:space="preserve"> 招标需求</w:t>
      </w:r>
    </w:p>
    <w:p>
      <w:pPr>
        <w:pStyle w:val="76"/>
        <w:keepNext w:val="0"/>
        <w:keepLines w:val="0"/>
        <w:pageBreakBefore w:val="0"/>
        <w:numPr>
          <w:ilvl w:val="0"/>
          <w:numId w:val="0"/>
        </w:numPr>
        <w:kinsoku/>
        <w:wordWrap/>
        <w:overflowPunct/>
        <w:topLinePunct w:val="0"/>
        <w:bidi w:val="0"/>
        <w:snapToGrid w:val="0"/>
        <w:spacing w:line="360" w:lineRule="auto"/>
        <w:ind w:left="-720" w:leftChars="0" w:firstLine="723" w:firstLineChars="300"/>
        <w:textAlignment w:val="auto"/>
        <w:rPr>
          <w:rFonts w:ascii="宋体" w:hAnsi="宋体"/>
          <w:b/>
          <w:sz w:val="28"/>
          <w:szCs w:val="28"/>
        </w:rPr>
      </w:pPr>
      <w:r>
        <w:rPr>
          <w:rFonts w:hint="eastAsia" w:ascii="宋体" w:hAnsi="宋体"/>
          <w:b/>
          <w:sz w:val="24"/>
          <w:szCs w:val="24"/>
          <w:lang w:eastAsia="zh-CN"/>
        </w:rPr>
        <w:t>一、</w:t>
      </w:r>
      <w:r>
        <w:rPr>
          <w:rFonts w:hint="eastAsia" w:ascii="宋体" w:hAnsi="宋体"/>
          <w:b/>
          <w:sz w:val="24"/>
          <w:szCs w:val="24"/>
        </w:rPr>
        <w:t>总体要求</w:t>
      </w:r>
    </w:p>
    <w:p>
      <w:pPr>
        <w:keepNext w:val="0"/>
        <w:keepLines w:val="0"/>
        <w:pageBreakBefore w:val="0"/>
        <w:kinsoku/>
        <w:wordWrap/>
        <w:overflowPunct/>
        <w:topLinePunct w:val="0"/>
        <w:bidi w:val="0"/>
        <w:snapToGrid w:val="0"/>
        <w:spacing w:line="360" w:lineRule="auto"/>
        <w:ind w:left="0" w:leftChars="0" w:firstLine="482" w:firstLineChars="200"/>
        <w:textAlignment w:val="auto"/>
        <w:rPr>
          <w:rFonts w:hint="eastAsia" w:ascii="宋体" w:hAnsi="宋体" w:eastAsia="宋体"/>
          <w:b/>
          <w:color w:val="FF0000"/>
          <w:sz w:val="24"/>
          <w:szCs w:val="24"/>
          <w:lang w:eastAsia="zh-CN"/>
        </w:rPr>
      </w:pPr>
      <w:r>
        <w:rPr>
          <w:rFonts w:hint="eastAsia" w:ascii="宋体" w:hAnsi="宋体"/>
          <w:b/>
          <w:color w:val="FF0000"/>
          <w:sz w:val="24"/>
          <w:szCs w:val="24"/>
        </w:rPr>
        <w:t>本次货物采购范围路灯及相应的变压器、控制箱、电缆等的维护。</w:t>
      </w:r>
    </w:p>
    <w:p>
      <w:pPr>
        <w:keepNext w:val="0"/>
        <w:keepLines w:val="0"/>
        <w:pageBreakBefore w:val="0"/>
        <w:numPr>
          <w:ilvl w:val="0"/>
          <w:numId w:val="0"/>
        </w:numPr>
        <w:kinsoku/>
        <w:wordWrap/>
        <w:overflowPunct/>
        <w:topLinePunct w:val="0"/>
        <w:bidi w:val="0"/>
        <w:snapToGrid w:val="0"/>
        <w:spacing w:line="360" w:lineRule="auto"/>
        <w:textAlignment w:val="auto"/>
        <w:rPr>
          <w:rFonts w:hint="eastAsia" w:ascii="宋体" w:hAnsi="宋体" w:eastAsia="宋体" w:cs="Times New Roman"/>
          <w:b/>
          <w:kern w:val="0"/>
          <w:sz w:val="24"/>
          <w:szCs w:val="24"/>
          <w:lang w:val="en-US" w:eastAsia="zh-CN" w:bidi="ar-SA"/>
        </w:rPr>
      </w:pPr>
      <w:r>
        <w:rPr>
          <w:rFonts w:hint="eastAsia" w:ascii="宋体" w:hAnsi="宋体"/>
          <w:b/>
          <w:sz w:val="28"/>
          <w:szCs w:val="28"/>
          <w:lang w:eastAsia="zh-CN"/>
        </w:rPr>
        <w:t>二、</w:t>
      </w:r>
      <w:r>
        <w:rPr>
          <w:rFonts w:hint="eastAsia" w:ascii="宋体" w:hAnsi="宋体" w:eastAsia="宋体" w:cs="Times New Roman"/>
          <w:b/>
          <w:kern w:val="0"/>
          <w:sz w:val="24"/>
          <w:szCs w:val="24"/>
          <w:lang w:val="en-US" w:eastAsia="zh-CN" w:bidi="ar-SA"/>
        </w:rPr>
        <w:t>采购清单（具体内容详见招标公告附件）</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rPr>
        <w:t>供应商为本项目投入的人员、专业设备：须为本单位在职人员，专业设备产权证须为本单位所有。巡查组配备1组路灯巡查吊车，路灯巡查吊车配备至少3人，其中1人驾驶员应持有公安交通部门颁发了机动车驾驶证B证，</w:t>
      </w:r>
      <w:r>
        <w:rPr>
          <w:rFonts w:hint="eastAsia" w:ascii="宋体" w:hAnsi="宋体"/>
          <w:b/>
          <w:bCs/>
          <w:color w:val="0070C0"/>
          <w:kern w:val="0"/>
          <w:sz w:val="24"/>
          <w:szCs w:val="24"/>
        </w:rPr>
        <w:t>另外2名电工需持有</w:t>
      </w:r>
      <w:r>
        <w:rPr>
          <w:rFonts w:hint="eastAsia" w:ascii="宋体" w:hAnsi="宋体"/>
          <w:b/>
          <w:bCs/>
          <w:color w:val="0070C0"/>
          <w:kern w:val="0"/>
          <w:sz w:val="24"/>
          <w:szCs w:val="24"/>
          <w:lang w:eastAsia="zh-CN"/>
        </w:rPr>
        <w:t>杭州市城乡建设委员会颁发的建筑电工</w:t>
      </w:r>
      <w:r>
        <w:rPr>
          <w:rFonts w:hint="eastAsia" w:ascii="宋体" w:hAnsi="宋体"/>
          <w:b/>
          <w:bCs/>
          <w:color w:val="0070C0"/>
          <w:kern w:val="0"/>
          <w:sz w:val="24"/>
          <w:szCs w:val="24"/>
        </w:rPr>
        <w:t>。</w:t>
      </w:r>
    </w:p>
    <w:p>
      <w:pPr>
        <w:pStyle w:val="76"/>
        <w:keepNext w:val="0"/>
        <w:keepLines w:val="0"/>
        <w:pageBreakBefore w:val="0"/>
        <w:numPr>
          <w:ilvl w:val="0"/>
          <w:numId w:val="0"/>
        </w:numPr>
        <w:kinsoku/>
        <w:wordWrap/>
        <w:overflowPunct/>
        <w:topLinePunct w:val="0"/>
        <w:bidi w:val="0"/>
        <w:snapToGrid w:val="0"/>
        <w:spacing w:line="360" w:lineRule="auto"/>
        <w:ind w:left="0" w:leftChars="0"/>
        <w:textAlignment w:val="auto"/>
        <w:rPr>
          <w:rFonts w:hint="eastAsia" w:ascii="宋体" w:hAnsi="宋体"/>
          <w:b/>
          <w:sz w:val="24"/>
          <w:szCs w:val="24"/>
        </w:rPr>
      </w:pPr>
      <w:r>
        <w:rPr>
          <w:rFonts w:hint="eastAsia" w:ascii="宋体" w:hAnsi="宋体"/>
          <w:b/>
          <w:sz w:val="24"/>
          <w:szCs w:val="24"/>
          <w:lang w:eastAsia="zh-CN"/>
        </w:rPr>
        <w:t>三、</w:t>
      </w:r>
      <w:r>
        <w:rPr>
          <w:rFonts w:hint="eastAsia" w:ascii="宋体" w:hAnsi="宋体"/>
          <w:b/>
          <w:sz w:val="24"/>
          <w:szCs w:val="24"/>
        </w:rPr>
        <w:t>项目养护服务相关要求</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rPr>
        <w:t>1、在养护期限内，成交供应商应按照行业相应的作业标准和管理规定，精心组织、精心养护，确保所有设施、设备正常运作并向业主提供有关养护管理计划及落实措施。</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rPr>
        <w:t>2、对实施养护管理所需的一切劳动力、材料、设备和服务，按招标要求和投标承诺由成交供应商自行组织，并承担由此产生的一切费用。</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rPr>
        <w:t>3、如所养护的设施、设备发生人为原因减小或损毁的，由成交供应商自主处理理赔事宜，并按规定及时补齐或修复，所需费用由成交供应商承担。若发生不可抗力的破坏</w:t>
      </w:r>
      <w:r>
        <w:rPr>
          <w:rFonts w:hint="eastAsia" w:ascii="宋体" w:hAnsi="宋体"/>
          <w:kern w:val="0"/>
          <w:sz w:val="24"/>
          <w:szCs w:val="24"/>
          <w:lang w:val="en-US" w:eastAsia="zh-CN"/>
        </w:rPr>
        <w:t>(战争、地震）</w:t>
      </w:r>
      <w:r>
        <w:rPr>
          <w:rFonts w:hint="eastAsia" w:ascii="宋体" w:hAnsi="宋体"/>
          <w:kern w:val="0"/>
          <w:sz w:val="24"/>
          <w:szCs w:val="24"/>
        </w:rPr>
        <w:t>所引起的设施缺损，维修费用由业主承担，其余事故均有成交供应商承担相应维护费用。变压器、控制箱损坏由供应商负责。</w:t>
      </w:r>
    </w:p>
    <w:p>
      <w:pPr>
        <w:keepNext w:val="0"/>
        <w:keepLines w:val="0"/>
        <w:pageBreakBefore w:val="0"/>
        <w:kinsoku/>
        <w:wordWrap/>
        <w:overflowPunct/>
        <w:topLinePunct w:val="0"/>
        <w:autoSpaceDE w:val="0"/>
        <w:autoSpaceDN w:val="0"/>
        <w:bidi w:val="0"/>
        <w:adjustRightInd w:val="0"/>
        <w:spacing w:line="360" w:lineRule="auto"/>
        <w:ind w:left="0" w:leftChars="0" w:firstLine="482" w:firstLineChars="200"/>
        <w:jc w:val="left"/>
        <w:textAlignment w:val="auto"/>
        <w:rPr>
          <w:rFonts w:hint="eastAsia" w:ascii="宋体" w:hAnsi="宋体"/>
          <w:b/>
          <w:bCs/>
          <w:color w:val="4F81BD" w:themeColor="accent1"/>
          <w:kern w:val="0"/>
          <w:sz w:val="24"/>
          <w:szCs w:val="24"/>
          <w14:textFill>
            <w14:solidFill>
              <w14:schemeClr w14:val="accent1"/>
            </w14:solidFill>
          </w14:textFill>
        </w:rPr>
      </w:pPr>
      <w:r>
        <w:rPr>
          <w:rFonts w:hint="eastAsia" w:ascii="宋体" w:hAnsi="宋体"/>
          <w:b/>
          <w:bCs/>
          <w:color w:val="4F81BD" w:themeColor="accent1"/>
          <w:kern w:val="0"/>
          <w:sz w:val="24"/>
          <w:szCs w:val="24"/>
          <w:lang w:eastAsia="zh-CN"/>
          <w14:textFill>
            <w14:solidFill>
              <w14:schemeClr w14:val="accent1"/>
            </w14:solidFill>
          </w14:textFill>
        </w:rPr>
        <w:t>★</w:t>
      </w:r>
      <w:r>
        <w:rPr>
          <w:rFonts w:hint="eastAsia" w:ascii="宋体" w:hAnsi="宋体"/>
          <w:b/>
          <w:bCs/>
          <w:color w:val="4F81BD" w:themeColor="accent1"/>
          <w:kern w:val="0"/>
          <w:sz w:val="24"/>
          <w:szCs w:val="24"/>
          <w14:textFill>
            <w14:solidFill>
              <w14:schemeClr w14:val="accent1"/>
            </w14:solidFill>
          </w14:textFill>
        </w:rPr>
        <w:t>4、如发生电缆故障、偷盗等</w:t>
      </w:r>
      <w:r>
        <w:rPr>
          <w:rFonts w:hint="eastAsia" w:ascii="宋体" w:hAnsi="宋体"/>
          <w:b/>
          <w:bCs/>
          <w:color w:val="4F81BD" w:themeColor="accent1"/>
          <w:kern w:val="0"/>
          <w:sz w:val="24"/>
          <w:szCs w:val="24"/>
          <w:lang w:eastAsia="zh-CN"/>
          <w14:textFill>
            <w14:solidFill>
              <w14:schemeClr w14:val="accent1"/>
            </w14:solidFill>
          </w14:textFill>
        </w:rPr>
        <w:t>（非成交供应商原因造成的除外）</w:t>
      </w:r>
      <w:r>
        <w:rPr>
          <w:rFonts w:hint="eastAsia" w:ascii="宋体" w:hAnsi="宋体"/>
          <w:b/>
          <w:bCs/>
          <w:color w:val="4F81BD" w:themeColor="accent1"/>
          <w:kern w:val="0"/>
          <w:sz w:val="24"/>
          <w:szCs w:val="24"/>
          <w14:textFill>
            <w14:solidFill>
              <w14:schemeClr w14:val="accent1"/>
            </w14:solidFill>
          </w14:textFill>
        </w:rPr>
        <w:t>的情况，全部由成交供应商承担。</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rPr>
        <w:t>5、成交供应商在搞好日常养护工作的同时，必须配合业主做好重大节庆日和重大活动的保障工作。</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rPr>
        <w:t>6、在养护期限内，成交供应商所使用的专业人员、专业设备必须与投标承诺相一致，如有变更须经得业主单位同意。</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rPr>
        <w:t>7、成交供应商必须为全体作业人员购买社保和人身意外保险、重视安全生产工作，确保不发生安全生产责任事故。如发生安全生产责任事故或交通事故，由成交供应商承担一切责任及损失。</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rPr>
        <w:t>8、在养护期内，如有新移交的路灯需要成交供应商进行养护，养护费用按照同类型灯具的中标价进行结算。</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rPr>
        <w:t>9、如遇政府改造等政策问题：路灯拆除后，拆除部分的路灯不涉及养护，此部分路灯的养护经费按照（养护天数×中标单价×数量/365）结算；节能改造后，养护经费为同类型路灯原中标价的</w:t>
      </w:r>
      <w:r>
        <w:rPr>
          <w:rFonts w:hint="eastAsia" w:ascii="宋体" w:hAnsi="宋体"/>
          <w:kern w:val="0"/>
          <w:sz w:val="24"/>
          <w:szCs w:val="24"/>
          <w:lang w:val="en-US" w:eastAsia="zh-CN"/>
        </w:rPr>
        <w:t>8</w:t>
      </w:r>
      <w:r>
        <w:rPr>
          <w:rFonts w:hint="eastAsia" w:ascii="宋体" w:hAnsi="宋体"/>
          <w:kern w:val="0"/>
          <w:sz w:val="24"/>
          <w:szCs w:val="24"/>
        </w:rPr>
        <w:t>0%</w:t>
      </w:r>
      <w:r>
        <w:rPr>
          <w:rFonts w:hint="eastAsia" w:ascii="宋体" w:hAnsi="宋体"/>
          <w:kern w:val="0"/>
          <w:sz w:val="24"/>
          <w:szCs w:val="24"/>
          <w:lang w:eastAsia="zh-CN"/>
        </w:rPr>
        <w:t>（不含电缆、控制器、变压器等）</w:t>
      </w:r>
      <w:r>
        <w:rPr>
          <w:rFonts w:hint="eastAsia" w:ascii="宋体" w:hAnsi="宋体"/>
          <w:kern w:val="0"/>
          <w:sz w:val="24"/>
          <w:szCs w:val="24"/>
        </w:rPr>
        <w:t>。上述条件供应商应无条件接受。</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rPr>
        <w:t>10、维修养护作业时，白天进行线路检查维护等工作，夜间进行路灯亮灯巡检及更换不亮灯具或灯头，不得在白天作业时亮灯作业维修灯具或灯头。</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hint="eastAsia"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rPr>
        <w:t>11、现有已损坏路灯由成交供应商负责维修。</w:t>
      </w:r>
    </w:p>
    <w:p>
      <w:pPr>
        <w:keepNext w:val="0"/>
        <w:keepLines w:val="0"/>
        <w:pageBreakBefore w:val="0"/>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Times New Roman"/>
          <w:b/>
          <w:kern w:val="0"/>
          <w:sz w:val="24"/>
          <w:szCs w:val="24"/>
          <w:lang w:val="en-US" w:eastAsia="zh-CN" w:bidi="ar-SA"/>
        </w:rPr>
      </w:pPr>
      <w:r>
        <w:rPr>
          <w:rFonts w:hint="eastAsia" w:ascii="宋体" w:hAnsi="宋体" w:eastAsia="宋体" w:cs="Times New Roman"/>
          <w:b/>
          <w:kern w:val="0"/>
          <w:sz w:val="24"/>
          <w:szCs w:val="24"/>
          <w:lang w:val="en-US" w:eastAsia="zh-CN" w:bidi="ar-SA"/>
        </w:rPr>
        <w:t>四、其他要求</w:t>
      </w:r>
    </w:p>
    <w:p>
      <w:pPr>
        <w:keepNext w:val="0"/>
        <w:keepLines w:val="0"/>
        <w:pageBreakBefore w:val="0"/>
        <w:kinsoku/>
        <w:wordWrap/>
        <w:overflowPunct/>
        <w:topLinePunct w:val="0"/>
        <w:autoSpaceDE w:val="0"/>
        <w:autoSpaceDN w:val="0"/>
        <w:bidi w:val="0"/>
        <w:adjustRightInd w:val="0"/>
        <w:spacing w:line="360" w:lineRule="auto"/>
        <w:ind w:left="0" w:leftChars="0" w:firstLine="480" w:firstLineChars="200"/>
        <w:jc w:val="left"/>
        <w:textAlignment w:val="auto"/>
        <w:rPr>
          <w:rFonts w:ascii="宋体" w:hAnsi="宋体"/>
          <w:kern w:val="0"/>
          <w:sz w:val="24"/>
          <w:szCs w:val="24"/>
        </w:rPr>
      </w:pPr>
      <w:r>
        <w:rPr>
          <w:rFonts w:hint="eastAsia" w:ascii="宋体" w:hAnsi="宋体"/>
          <w:kern w:val="0"/>
          <w:sz w:val="24"/>
          <w:szCs w:val="24"/>
        </w:rPr>
        <w:t>供应商须在投标文件内进行服务承诺，无承诺的做无效标处理：</w:t>
      </w:r>
    </w:p>
    <w:p>
      <w:pPr>
        <w:keepNext w:val="0"/>
        <w:keepLines w:val="0"/>
        <w:pageBreakBefore w:val="0"/>
        <w:kinsoku/>
        <w:wordWrap/>
        <w:overflowPunct/>
        <w:topLinePunct w:val="0"/>
        <w:autoSpaceDE w:val="0"/>
        <w:autoSpaceDN w:val="0"/>
        <w:bidi w:val="0"/>
        <w:adjustRightInd w:val="0"/>
        <w:snapToGrid/>
        <w:spacing w:line="360" w:lineRule="auto"/>
        <w:ind w:left="0" w:leftChars="0" w:firstLine="480" w:firstLineChars="200"/>
        <w:jc w:val="left"/>
        <w:textAlignment w:val="auto"/>
        <w:outlineLvl w:val="9"/>
        <w:rPr>
          <w:rFonts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供应商应具备管理服务中心，并安排专人24小时值班；统一提供管理服务。</w:t>
      </w:r>
    </w:p>
    <w:p>
      <w:pPr>
        <w:keepNext w:val="0"/>
        <w:keepLines w:val="0"/>
        <w:pageBreakBefore w:val="0"/>
        <w:kinsoku/>
        <w:wordWrap/>
        <w:overflowPunct/>
        <w:topLinePunct w:val="0"/>
        <w:autoSpaceDE w:val="0"/>
        <w:autoSpaceDN w:val="0"/>
        <w:bidi w:val="0"/>
        <w:adjustRightInd w:val="0"/>
        <w:snapToGrid/>
        <w:spacing w:line="360" w:lineRule="auto"/>
        <w:ind w:left="0" w:leftChars="0" w:firstLine="480" w:firstLineChars="200"/>
        <w:jc w:val="left"/>
        <w:textAlignment w:val="auto"/>
        <w:outlineLvl w:val="9"/>
        <w:rPr>
          <w:rFonts w:hint="eastAsia" w:ascii="宋体" w:hAnsi="宋体"/>
          <w:kern w:val="0"/>
          <w:sz w:val="24"/>
          <w:szCs w:val="24"/>
        </w:rPr>
      </w:pPr>
      <w:r>
        <w:rPr>
          <w:rFonts w:hint="eastAsia" w:ascii="宋体" w:hAnsi="宋体"/>
          <w:kern w:val="0"/>
          <w:sz w:val="24"/>
          <w:szCs w:val="24"/>
          <w:lang w:val="en-US" w:eastAsia="zh-CN"/>
        </w:rPr>
        <w:t>2、</w:t>
      </w:r>
      <w:r>
        <w:rPr>
          <w:rFonts w:hint="eastAsia" w:ascii="宋体" w:hAnsi="宋体"/>
          <w:kern w:val="0"/>
          <w:sz w:val="24"/>
          <w:szCs w:val="24"/>
        </w:rPr>
        <w:t>管理服务中心须有专人值班，提供12小时响应服务，紧急情况提供24小时响应服务；工作时间范围（含节假日、法定节假日）：早上8:00—晚上20:00。</w:t>
      </w:r>
    </w:p>
    <w:p>
      <w:pPr>
        <w:keepNext w:val="0"/>
        <w:keepLines w:val="0"/>
        <w:pageBreakBefore w:val="0"/>
        <w:kinsoku/>
        <w:wordWrap/>
        <w:overflowPunct/>
        <w:topLinePunct w:val="0"/>
        <w:bidi w:val="0"/>
        <w:snapToGrid/>
        <w:spacing w:line="360" w:lineRule="auto"/>
        <w:ind w:left="0" w:leftChars="0" w:firstLine="480" w:firstLineChars="200"/>
        <w:textAlignment w:val="auto"/>
        <w:outlineLvl w:val="9"/>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维护期内，配备足够的维护人员。</w:t>
      </w:r>
    </w:p>
    <w:p>
      <w:pPr>
        <w:keepNext w:val="0"/>
        <w:keepLines w:val="0"/>
        <w:pageBreakBefore w:val="0"/>
        <w:kinsoku/>
        <w:wordWrap/>
        <w:overflowPunct/>
        <w:topLinePunct w:val="0"/>
        <w:bidi w:val="0"/>
        <w:snapToGrid/>
        <w:spacing w:line="360" w:lineRule="auto"/>
        <w:ind w:left="0" w:leftChars="0" w:firstLine="480" w:firstLineChars="200"/>
        <w:textAlignment w:val="auto"/>
        <w:outlineLvl w:val="9"/>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维护期内，具有相应的机械等设备。</w:t>
      </w:r>
    </w:p>
    <w:p>
      <w:pPr>
        <w:keepNext w:val="0"/>
        <w:keepLines w:val="0"/>
        <w:pageBreakBefore w:val="0"/>
        <w:kinsoku/>
        <w:wordWrap/>
        <w:overflowPunct/>
        <w:topLinePunct w:val="0"/>
        <w:bidi w:val="0"/>
        <w:snapToGrid/>
        <w:spacing w:line="360" w:lineRule="auto"/>
        <w:ind w:left="0" w:leftChars="0" w:firstLine="480" w:firstLineChars="200"/>
        <w:textAlignment w:val="auto"/>
        <w:outlineLvl w:val="9"/>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维护期限内，中标方负有维护和管理职能，招标人负责维护监管。</w:t>
      </w:r>
    </w:p>
    <w:p>
      <w:pPr>
        <w:keepNext w:val="0"/>
        <w:keepLines w:val="0"/>
        <w:pageBreakBefore w:val="0"/>
        <w:kinsoku/>
        <w:wordWrap/>
        <w:overflowPunct/>
        <w:topLinePunct w:val="0"/>
        <w:bidi w:val="0"/>
        <w:snapToGrid/>
        <w:spacing w:line="360" w:lineRule="auto"/>
        <w:ind w:left="0" w:leftChars="0" w:firstLine="480" w:firstLineChars="200"/>
        <w:textAlignment w:val="auto"/>
        <w:outlineLvl w:val="9"/>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投标人中标后，招标人与中标人签定安全生产责任书，责任书中明确提出，在维护期间所发生的任何安全事故一律由中标方负责，招标人不承担任何责任。招标人将定期对安全生产进行检查。</w:t>
      </w:r>
    </w:p>
    <w:p>
      <w:pPr>
        <w:keepNext w:val="0"/>
        <w:keepLines w:val="0"/>
        <w:pageBreakBefore w:val="0"/>
        <w:kinsoku/>
        <w:wordWrap/>
        <w:overflowPunct/>
        <w:topLinePunct w:val="0"/>
        <w:bidi w:val="0"/>
        <w:snapToGrid/>
        <w:spacing w:line="360" w:lineRule="auto"/>
        <w:ind w:left="0" w:leftChars="0" w:firstLine="480" w:firstLineChars="200"/>
        <w:textAlignment w:val="auto"/>
        <w:outlineLvl w:val="9"/>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中标后，原灯具存在偷盗或人为造成不亮均由中标人负责维修和更换。</w:t>
      </w:r>
    </w:p>
    <w:p>
      <w:pPr>
        <w:keepNext w:val="0"/>
        <w:keepLines w:val="0"/>
        <w:pageBreakBefore w:val="0"/>
        <w:widowControl/>
        <w:kinsoku/>
        <w:wordWrap/>
        <w:overflowPunct/>
        <w:topLinePunct w:val="0"/>
        <w:bidi w:val="0"/>
        <w:snapToGrid/>
        <w:spacing w:line="360" w:lineRule="auto"/>
        <w:ind w:left="240" w:leftChars="0" w:hanging="240" w:hangingChars="100"/>
        <w:jc w:val="left"/>
        <w:textAlignment w:val="auto"/>
        <w:outlineLvl w:val="9"/>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在维护过程中，对无法使用的灯具、光源、电器，更换时品牌的选择应与原使用品牌相同。</w:t>
      </w:r>
    </w:p>
    <w:p>
      <w:pPr>
        <w:keepNext w:val="0"/>
        <w:keepLines w:val="0"/>
        <w:pageBreakBefore w:val="0"/>
        <w:widowControl/>
        <w:kinsoku/>
        <w:wordWrap/>
        <w:overflowPunct/>
        <w:topLinePunct w:val="0"/>
        <w:bidi w:val="0"/>
        <w:snapToGrid/>
        <w:spacing w:line="360" w:lineRule="auto"/>
        <w:ind w:left="240" w:leftChars="0" w:hanging="240" w:hangingChars="100"/>
        <w:jc w:val="left"/>
        <w:textAlignment w:val="auto"/>
        <w:outlineLvl w:val="9"/>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标人中标后，有义务确保照明光缆的完整性，发现光缆缺失或被盗，需及时恢复。</w:t>
      </w:r>
    </w:p>
    <w:p>
      <w:pPr>
        <w:keepNext w:val="0"/>
        <w:keepLines w:val="0"/>
        <w:pageBreakBefore w:val="0"/>
        <w:widowControl/>
        <w:kinsoku/>
        <w:wordWrap/>
        <w:overflowPunct/>
        <w:topLinePunct w:val="0"/>
        <w:bidi w:val="0"/>
        <w:snapToGrid/>
        <w:spacing w:line="360" w:lineRule="auto"/>
        <w:ind w:left="240" w:leftChars="0" w:hanging="240" w:hangingChars="100"/>
        <w:jc w:val="left"/>
        <w:textAlignment w:val="auto"/>
        <w:outlineLvl w:val="9"/>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投标人中标后，照明设施受外力影响导致照明灯具被撞需第一时间赶到现场处置。</w:t>
      </w:r>
    </w:p>
    <w:p>
      <w:pPr>
        <w:keepNext w:val="0"/>
        <w:keepLines w:val="0"/>
        <w:pageBreakBefore w:val="0"/>
        <w:widowControl/>
        <w:kinsoku/>
        <w:wordWrap/>
        <w:overflowPunct/>
        <w:topLinePunct w:val="0"/>
        <w:bidi w:val="0"/>
        <w:snapToGrid/>
        <w:spacing w:line="360" w:lineRule="auto"/>
        <w:ind w:left="240" w:leftChars="0" w:hanging="240" w:hangingChars="100"/>
        <w:jc w:val="left"/>
        <w:textAlignment w:val="auto"/>
        <w:outlineLvl w:val="9"/>
        <w:rPr>
          <w:rFonts w:hint="eastAsia" w:ascii="宋体" w:hAnsi="宋体"/>
          <w:sz w:val="24"/>
          <w:szCs w:val="24"/>
          <w:lang w:val="en-US" w:eastAsia="zh-CN"/>
        </w:rPr>
      </w:pPr>
      <w:r>
        <w:rPr>
          <w:rFonts w:hint="eastAsia" w:ascii="宋体" w:hAnsi="宋体"/>
          <w:sz w:val="24"/>
          <w:szCs w:val="24"/>
          <w:lang w:val="en-US" w:eastAsia="zh-CN"/>
        </w:rPr>
        <w:t>11、中标后，试用期为6个月，如试用期内考核不合格，招标人终止施工合同。</w:t>
      </w:r>
    </w:p>
    <w:p>
      <w:pPr>
        <w:keepNext w:val="0"/>
        <w:keepLines w:val="0"/>
        <w:pageBreakBefore w:val="0"/>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Times New Roman"/>
          <w:b/>
          <w:kern w:val="0"/>
          <w:sz w:val="24"/>
          <w:szCs w:val="24"/>
          <w:lang w:val="en-US" w:eastAsia="zh-CN" w:bidi="ar-SA"/>
        </w:rPr>
      </w:pPr>
      <w:r>
        <w:rPr>
          <w:rFonts w:hint="eastAsia" w:ascii="宋体" w:hAnsi="宋体" w:eastAsia="宋体" w:cs="Times New Roman"/>
          <w:b/>
          <w:kern w:val="0"/>
          <w:sz w:val="24"/>
          <w:szCs w:val="24"/>
          <w:lang w:val="en-US" w:eastAsia="zh-CN" w:bidi="ar-SA"/>
        </w:rPr>
        <w:t xml:space="preserve"> </w:t>
      </w:r>
      <w:r>
        <w:rPr>
          <w:rFonts w:hint="eastAsia" w:ascii="宋体" w:hAnsi="宋体" w:cs="Times New Roman"/>
          <w:b/>
          <w:kern w:val="0"/>
          <w:sz w:val="24"/>
          <w:szCs w:val="24"/>
          <w:lang w:val="en-US" w:eastAsia="zh-CN" w:bidi="ar-SA"/>
        </w:rPr>
        <w:t>五</w:t>
      </w:r>
      <w:r>
        <w:rPr>
          <w:rFonts w:hint="eastAsia" w:ascii="宋体" w:hAnsi="宋体" w:eastAsia="宋体" w:cs="Times New Roman"/>
          <w:b/>
          <w:kern w:val="0"/>
          <w:sz w:val="24"/>
          <w:szCs w:val="24"/>
          <w:lang w:val="en-US" w:eastAsia="zh-CN" w:bidi="ar-SA"/>
        </w:rPr>
        <w:t>、付款方式：</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jc w:val="left"/>
        <w:textAlignment w:val="auto"/>
        <w:rPr>
          <w:rFonts w:ascii="宋体" w:hAnsi="宋体"/>
          <w:b/>
          <w:color w:val="FF0000"/>
          <w:sz w:val="24"/>
          <w:szCs w:val="24"/>
          <w:highlight w:val="none"/>
        </w:rPr>
      </w:pPr>
      <w:r>
        <w:rPr>
          <w:rFonts w:hint="eastAsia" w:ascii="宋体" w:hAnsi="宋体"/>
          <w:color w:val="FF0000"/>
          <w:sz w:val="24"/>
          <w:szCs w:val="24"/>
          <w:highlight w:val="none"/>
          <w:lang w:val="en-US" w:eastAsia="zh-CN"/>
        </w:rPr>
        <w:t>1</w:t>
      </w:r>
      <w:r>
        <w:rPr>
          <w:rFonts w:hint="eastAsia" w:ascii="宋体" w:hAnsi="宋体"/>
          <w:color w:val="FF0000"/>
          <w:sz w:val="24"/>
          <w:szCs w:val="24"/>
          <w:highlight w:val="none"/>
        </w:rPr>
        <w:t>.履约保证金：中标人在签订合同前向采购单位交纳履约保证金，按合同总金额的5%计收，履约结束</w:t>
      </w:r>
      <w:r>
        <w:rPr>
          <w:rFonts w:ascii="宋体" w:hAnsi="宋体"/>
          <w:color w:val="FF0000"/>
          <w:sz w:val="24"/>
          <w:szCs w:val="24"/>
          <w:highlight w:val="none"/>
        </w:rPr>
        <w:t>后自动转为</w:t>
      </w:r>
      <w:r>
        <w:rPr>
          <w:rFonts w:hint="eastAsia" w:ascii="宋体" w:hAnsi="宋体"/>
          <w:color w:val="FF0000"/>
          <w:sz w:val="24"/>
          <w:szCs w:val="24"/>
          <w:highlight w:val="none"/>
          <w:lang w:eastAsia="zh-CN"/>
        </w:rPr>
        <w:t>维护</w:t>
      </w:r>
      <w:r>
        <w:rPr>
          <w:rFonts w:ascii="宋体" w:hAnsi="宋体"/>
          <w:color w:val="FF0000"/>
          <w:sz w:val="24"/>
          <w:szCs w:val="24"/>
          <w:highlight w:val="none"/>
        </w:rPr>
        <w:t>金，</w:t>
      </w:r>
      <w:r>
        <w:rPr>
          <w:rFonts w:hint="eastAsia" w:ascii="宋体" w:hAnsi="宋体"/>
          <w:color w:val="FF0000"/>
          <w:sz w:val="24"/>
          <w:szCs w:val="24"/>
          <w:highlight w:val="none"/>
          <w:lang w:eastAsia="zh-CN"/>
        </w:rPr>
        <w:t>维护</w:t>
      </w:r>
      <w:r>
        <w:rPr>
          <w:rFonts w:hint="eastAsia" w:ascii="宋体" w:hAnsi="宋体"/>
          <w:color w:val="FF0000"/>
          <w:sz w:val="24"/>
          <w:szCs w:val="24"/>
          <w:highlight w:val="none"/>
        </w:rPr>
        <w:t>期满后无质量问题无息退还。</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jc w:val="left"/>
        <w:textAlignment w:val="auto"/>
        <w:rPr>
          <w:rFonts w:hint="eastAsia" w:ascii="宋体" w:hAnsi="宋体" w:cs="宋体"/>
          <w:color w:val="FF0000"/>
          <w:kern w:val="0"/>
          <w:sz w:val="24"/>
          <w:szCs w:val="24"/>
          <w:highlight w:val="none"/>
        </w:rPr>
      </w:pPr>
      <w:r>
        <w:rPr>
          <w:rFonts w:hint="eastAsia" w:ascii="宋体" w:hAnsi="宋体"/>
          <w:color w:val="FF0000"/>
          <w:sz w:val="24"/>
          <w:szCs w:val="24"/>
          <w:highlight w:val="none"/>
          <w:lang w:val="en-US" w:eastAsia="zh-CN"/>
        </w:rPr>
        <w:t>2</w:t>
      </w:r>
      <w:r>
        <w:rPr>
          <w:rFonts w:hint="eastAsia" w:ascii="宋体" w:hAnsi="宋体"/>
          <w:color w:val="FF0000"/>
          <w:sz w:val="24"/>
          <w:szCs w:val="24"/>
          <w:highlight w:val="none"/>
        </w:rPr>
        <w:t>.付款方式：</w:t>
      </w:r>
      <w:r>
        <w:rPr>
          <w:rFonts w:hint="eastAsia" w:ascii="宋体" w:hAnsi="宋体"/>
          <w:color w:val="FF0000"/>
          <w:sz w:val="24"/>
          <w:szCs w:val="24"/>
          <w:highlight w:val="none"/>
          <w:lang w:eastAsia="zh-CN"/>
        </w:rPr>
        <w:t>①采购单位每个季度对供应单位进行考核，考核合格后，每个季度支付相应维护费用，工程单价参照中标单价折算，工程量按实结算。若违反考核办法，处罚金在维护费中扣除</w:t>
      </w:r>
      <w:r>
        <w:rPr>
          <w:rFonts w:hint="eastAsia" w:ascii="宋体" w:hAnsi="宋体"/>
          <w:color w:val="FF0000"/>
          <w:sz w:val="24"/>
          <w:szCs w:val="24"/>
          <w:highlight w:val="none"/>
          <w:lang w:val="en-US" w:eastAsia="zh-CN"/>
        </w:rPr>
        <w:t>(考核办法附后）</w:t>
      </w:r>
      <w:r>
        <w:rPr>
          <w:rFonts w:hint="eastAsia" w:ascii="宋体" w:hAnsi="宋体" w:cs="宋体"/>
          <w:color w:val="FF0000"/>
          <w:kern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jc w:val="left"/>
        <w:textAlignment w:val="auto"/>
        <w:rPr>
          <w:rFonts w:ascii="宋体" w:hAnsi="宋体"/>
          <w:b/>
          <w:sz w:val="24"/>
          <w:szCs w:val="24"/>
          <w:highlight w:val="none"/>
        </w:rPr>
        <w:sectPr>
          <w:footerReference r:id="rId3" w:type="default"/>
          <w:pgSz w:w="11906" w:h="16838"/>
          <w:pgMar w:top="397" w:right="907" w:bottom="397" w:left="907" w:header="720" w:footer="720" w:gutter="0"/>
          <w:cols w:space="720" w:num="1"/>
          <w:docGrid w:linePitch="286" w:charSpace="0"/>
        </w:sectPr>
      </w:pPr>
      <w:r>
        <w:rPr>
          <w:rFonts w:hint="eastAsia" w:ascii="宋体" w:hAnsi="宋体"/>
          <w:color w:val="FF0000"/>
          <w:sz w:val="24"/>
          <w:szCs w:val="24"/>
          <w:highlight w:val="none"/>
          <w:lang w:eastAsia="zh-CN"/>
        </w:rPr>
        <w:t>②新增设路灯的维护费用按以上方法（折算成元</w:t>
      </w:r>
      <w:r>
        <w:rPr>
          <w:rFonts w:hint="eastAsia" w:ascii="宋体" w:hAnsi="宋体"/>
          <w:color w:val="FF0000"/>
          <w:sz w:val="24"/>
          <w:szCs w:val="24"/>
          <w:highlight w:val="none"/>
          <w:lang w:val="en-US" w:eastAsia="zh-CN"/>
        </w:rPr>
        <w:t>/灯/月</w:t>
      </w:r>
      <w:r>
        <w:rPr>
          <w:rFonts w:hint="eastAsia" w:ascii="宋体" w:hAnsi="宋体"/>
          <w:color w:val="FF0000"/>
          <w:sz w:val="24"/>
          <w:szCs w:val="24"/>
          <w:highlight w:val="none"/>
          <w:lang w:eastAsia="zh-CN"/>
        </w:rPr>
        <w:t>）结算。</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第三章 投标人须知</w:t>
      </w:r>
      <w:bookmarkStart w:id="2" w:name="_Toc194217867"/>
    </w:p>
    <w:bookmarkEnd w:id="2"/>
    <w:p>
      <w:pPr>
        <w:pStyle w:val="3"/>
        <w:spacing w:line="240" w:lineRule="auto"/>
        <w:jc w:val="center"/>
        <w:rPr>
          <w:rFonts w:hAnsi="宋体" w:eastAsia="宋体"/>
          <w:color w:val="auto"/>
          <w:kern w:val="2"/>
          <w:sz w:val="32"/>
          <w:szCs w:val="32"/>
        </w:rPr>
      </w:pPr>
      <w:bookmarkStart w:id="3" w:name="_Toc91899903"/>
      <w:r>
        <w:rPr>
          <w:rFonts w:hint="eastAsia" w:hAnsi="宋体" w:eastAsia="宋体"/>
          <w:color w:val="auto"/>
          <w:kern w:val="2"/>
          <w:sz w:val="32"/>
          <w:szCs w:val="32"/>
        </w:rPr>
        <w:t>前附表</w:t>
      </w:r>
    </w:p>
    <w:tbl>
      <w:tblPr>
        <w:tblStyle w:val="46"/>
        <w:tblW w:w="964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序号</w:t>
            </w:r>
          </w:p>
        </w:tc>
        <w:tc>
          <w:tcPr>
            <w:tcW w:w="8882" w:type="dxa"/>
            <w:vAlign w:val="center"/>
          </w:tcPr>
          <w:p>
            <w:pPr>
              <w:snapToGrid w:val="0"/>
              <w:spacing w:line="360" w:lineRule="auto"/>
              <w:jc w:val="center"/>
              <w:rPr>
                <w:rFonts w:ascii="宋体" w:hAns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w:t>
            </w:r>
          </w:p>
        </w:tc>
        <w:tc>
          <w:tcPr>
            <w:tcW w:w="8882" w:type="dxa"/>
            <w:vAlign w:val="center"/>
          </w:tcPr>
          <w:p>
            <w:pPr>
              <w:spacing w:line="420" w:lineRule="exact"/>
              <w:rPr>
                <w:rFonts w:hint="eastAsia" w:ascii="宋体" w:eastAsia="宋体"/>
                <w:b/>
                <w:bCs/>
                <w:sz w:val="24"/>
                <w:lang w:eastAsia="zh-CN"/>
              </w:rPr>
            </w:pPr>
            <w:r>
              <w:rPr>
                <w:rFonts w:hint="eastAsia" w:ascii="宋体" w:hAnsi="宋体"/>
                <w:sz w:val="24"/>
              </w:rPr>
              <w:t>项目名称：</w:t>
            </w:r>
            <w:r>
              <w:rPr>
                <w:rFonts w:hint="eastAsia" w:ascii="宋体" w:hAnsi="宋体"/>
                <w:b/>
                <w:bCs/>
                <w:color w:val="000000"/>
                <w:sz w:val="24"/>
                <w:lang w:val="en-US" w:eastAsia="zh-CN"/>
              </w:rPr>
              <w:t>2019-2021年度桐庐县城公用照明设施维护工程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2</w:t>
            </w:r>
          </w:p>
        </w:tc>
        <w:tc>
          <w:tcPr>
            <w:tcW w:w="8882" w:type="dxa"/>
            <w:vAlign w:val="center"/>
          </w:tcPr>
          <w:p>
            <w:pPr>
              <w:snapToGrid w:val="0"/>
              <w:spacing w:line="420" w:lineRule="exact"/>
              <w:rPr>
                <w:rFonts w:ascii="宋体" w:hAnsi="宋体"/>
                <w:color w:val="000000"/>
                <w:sz w:val="24"/>
              </w:rPr>
            </w:pPr>
            <w:r>
              <w:rPr>
                <w:rFonts w:ascii="宋体" w:hAnsi="宋体"/>
                <w:sz w:val="24"/>
              </w:rPr>
              <w:t xml:space="preserve"> </w:t>
            </w:r>
            <w:r>
              <w:rPr>
                <w:rFonts w:hint="eastAsia" w:ascii="宋体" w:hAnsi="宋体"/>
                <w:sz w:val="24"/>
              </w:rPr>
              <w:t>信用记录：根据财库</w:t>
            </w:r>
            <w:r>
              <w:rPr>
                <w:rFonts w:ascii="宋体" w:hAnsi="宋体"/>
                <w:sz w:val="24"/>
              </w:rPr>
              <w:t>[2016]125</w:t>
            </w:r>
            <w:r>
              <w:rPr>
                <w:rFonts w:hint="eastAsia" w:ascii="宋体" w:hAnsi="宋体"/>
                <w:sz w:val="24"/>
              </w:rPr>
              <w:t>号文件，通过“信用中国”网站（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），以开标当日网页查询记录为准。对列入失信被执行人、重大税收违法案件当事人名单、政府采购严重违法失信行为记录名单的供应商，</w:t>
            </w:r>
            <w:r>
              <w:rPr>
                <w:rFonts w:hint="eastAsia" w:ascii="宋体" w:hAnsi="宋体"/>
                <w:b/>
                <w:sz w:val="24"/>
              </w:rPr>
              <w:t>其投标将作无效标处理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3</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政府采购节能环保产品：</w:t>
            </w:r>
            <w:r>
              <w:rPr>
                <w:rFonts w:hint="eastAsia" w:ascii="宋体" w:hAnsi="宋体"/>
                <w:sz w:val="24"/>
              </w:rPr>
              <w:t>投标产品若属于节能环保产品的，请提供财政部、环境保护保部发布有效期内环境标志产品政府采购清单以及财政部、发改委联合发布有效期内节能产品政府采购清单。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4</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小微企业有关政策：1、根据财库〔2011〕181号的相关规定，在评审时对小型和微型企业的投标报价给予6%的扣除，取扣除后的价格作为最终投标报价（此最终投标报价仅作为价格分计算）。属于小型和微型企业的，投标文件中必须同时提供《中小企业声明函》、“国家企业信用信息公示系统——小微企业名录”页面查询结果（查询时间为投标截止时间前一周内，并加盖单位公章）。</w:t>
            </w:r>
          </w:p>
          <w:p>
            <w:pPr>
              <w:numPr>
                <w:ilvl w:val="0"/>
                <w:numId w:val="4"/>
              </w:numPr>
              <w:snapToGrid w:val="0"/>
              <w:spacing w:line="420" w:lineRule="exact"/>
              <w:rPr>
                <w:rFonts w:ascii="宋体" w:hAnsi="宋体"/>
                <w:color w:val="000000"/>
                <w:sz w:val="24"/>
              </w:rPr>
            </w:pPr>
            <w:r>
              <w:rPr>
                <w:rFonts w:hint="eastAsia" w:ascii="宋体" w:hAnsi="宋体"/>
                <w:color w:val="000000"/>
                <w:sz w:val="24"/>
              </w:rPr>
              <w:t>根据财库〔2017〕141号的相关规定，在政府采购活动中，监狱企业（含新疆生产建设兵团）、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20" w:lineRule="exact"/>
              <w:rPr>
                <w:rFonts w:ascii="宋体" w:hAnsi="宋体"/>
                <w:color w:val="000000"/>
                <w:sz w:val="24"/>
              </w:rPr>
            </w:pPr>
            <w:r>
              <w:rPr>
                <w:rFonts w:hint="eastAsia" w:ascii="宋体" w:hAnsi="宋体"/>
                <w:color w:val="FF0000"/>
                <w:sz w:val="24"/>
              </w:rPr>
              <w:t>(注：以上材料制作进报价文件中；未提供以上材料的，均不给予价格扣除）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_GB2312" w:hAnsi="宋体"/>
                <w:color w:val="000000"/>
                <w:sz w:val="24"/>
              </w:rPr>
              <w:t>5</w:t>
            </w:r>
          </w:p>
        </w:tc>
        <w:tc>
          <w:tcPr>
            <w:tcW w:w="8882" w:type="dxa"/>
            <w:vAlign w:val="center"/>
          </w:tcPr>
          <w:p>
            <w:pPr>
              <w:keepNext w:val="0"/>
              <w:keepLines w:val="0"/>
              <w:pageBreakBefore w:val="0"/>
              <w:widowControl w:val="0"/>
              <w:kinsoku/>
              <w:wordWrap/>
              <w:overflowPunct/>
              <w:topLinePunct w:val="0"/>
              <w:bidi w:val="0"/>
              <w:adjustRightInd/>
              <w:snapToGrid w:val="0"/>
              <w:spacing w:line="420" w:lineRule="exact"/>
              <w:outlineLvl w:val="9"/>
              <w:rPr>
                <w:rFonts w:ascii="宋体" w:hAnsi="宋体"/>
                <w:color w:val="000000"/>
                <w:sz w:val="24"/>
              </w:rPr>
            </w:pPr>
            <w:r>
              <w:rPr>
                <w:rFonts w:hint="eastAsia" w:ascii="宋体" w:hAnsi="宋体"/>
                <w:color w:val="000000"/>
                <w:sz w:val="24"/>
              </w:rPr>
              <w:t>中小企业扶持政策：融资对象：凡已在浙江政府采购网网上注册入库，并取得桐庐县政府采购合同的中小企业供应商，均可申请政府采购信用融资。</w:t>
            </w:r>
          </w:p>
          <w:p>
            <w:pPr>
              <w:keepNext w:val="0"/>
              <w:keepLines w:val="0"/>
              <w:pageBreakBefore w:val="0"/>
              <w:widowControl w:val="0"/>
              <w:kinsoku/>
              <w:wordWrap/>
              <w:overflowPunct/>
              <w:topLinePunct w:val="0"/>
              <w:bidi w:val="0"/>
              <w:adjustRightInd/>
              <w:snapToGrid w:val="0"/>
              <w:spacing w:line="420" w:lineRule="exact"/>
              <w:outlineLvl w:val="9"/>
              <w:rPr>
                <w:rFonts w:ascii="宋体" w:hAnsi="宋体"/>
                <w:color w:val="000000"/>
                <w:sz w:val="24"/>
              </w:rPr>
            </w:pPr>
            <w:r>
              <w:rPr>
                <w:rFonts w:hint="eastAsia" w:ascii="宋体" w:hAnsi="宋体"/>
                <w:color w:val="000000"/>
                <w:sz w:val="24"/>
              </w:rPr>
              <w:t>具体操作流程如下：</w:t>
            </w:r>
            <w:r>
              <w:fldChar w:fldCharType="begin"/>
            </w:r>
            <w:r>
              <w:instrText xml:space="preserve"> HYPERLINK "https://help.zcygov.cn/web/site_2/2019/05-30/3144.html" </w:instrText>
            </w:r>
            <w:r>
              <w:fldChar w:fldCharType="separate"/>
            </w:r>
            <w:r>
              <w:fldChar w:fldCharType="end"/>
            </w:r>
            <w:r>
              <w:rPr>
                <w:rFonts w:hint="eastAsia" w:ascii="宋体" w:hAnsi="宋体"/>
                <w:color w:val="000000"/>
                <w:sz w:val="24"/>
              </w:rPr>
              <w:t xml:space="preserve"> </w:t>
            </w:r>
            <w:r>
              <w:rPr>
                <w:rFonts w:ascii="宋体" w:hAnsi="宋体"/>
                <w:color w:val="000000"/>
                <w:sz w:val="24"/>
              </w:rPr>
              <w:t>https://help.zcygov.cn/web/site_2/2019/05-24/3117.html</w:t>
            </w:r>
          </w:p>
          <w:p>
            <w:pPr>
              <w:snapToGrid w:val="0"/>
              <w:spacing w:line="420" w:lineRule="exact"/>
              <w:ind w:firstLine="960" w:firstLineChars="400"/>
              <w:rPr>
                <w:rFonts w:ascii="宋体" w:hAnsi="宋体"/>
                <w:color w:val="000000"/>
                <w:sz w:val="24"/>
              </w:rPr>
            </w:pPr>
            <w:r>
              <w:rPr>
                <w:rFonts w:ascii="宋体" w:hAnsi="宋体"/>
                <w:color w:val="000000"/>
                <w:sz w:val="24"/>
              </w:rPr>
              <w:t>https://help.zcygov.cn/web/site_2/2019/05-30/3144.html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_GB2312" w:hAnsi="宋体"/>
                <w:sz w:val="24"/>
              </w:rPr>
              <w:t>6</w:t>
            </w:r>
          </w:p>
        </w:tc>
        <w:tc>
          <w:tcPr>
            <w:tcW w:w="8882" w:type="dxa"/>
            <w:vAlign w:val="center"/>
          </w:tcPr>
          <w:p>
            <w:pPr>
              <w:snapToGrid w:val="0"/>
              <w:spacing w:line="420" w:lineRule="exact"/>
              <w:jc w:val="left"/>
              <w:rPr>
                <w:rFonts w:ascii="宋体" w:hAnsi="宋体"/>
                <w:color w:val="000000"/>
                <w:sz w:val="24"/>
              </w:rPr>
            </w:pPr>
            <w:r>
              <w:rPr>
                <w:rFonts w:hint="eastAsia" w:ascii="宋体" w:hAnsi="宋体" w:cs="宋体"/>
                <w:sz w:val="24"/>
              </w:rPr>
              <w:t>投标人如认为采购文件表述不清晰、存在歧视性或者倾向性或者其他违法内容的，必须在</w:t>
            </w:r>
            <w:r>
              <w:rPr>
                <w:rFonts w:ascii="宋体" w:hAnsi="宋体" w:cs="宋体"/>
                <w:color w:val="FF0000"/>
                <w:sz w:val="24"/>
              </w:rPr>
              <w:t>201</w:t>
            </w:r>
            <w:r>
              <w:rPr>
                <w:rFonts w:hint="eastAsia" w:ascii="宋体" w:hAnsi="宋体" w:cs="宋体"/>
                <w:color w:val="FF0000"/>
                <w:sz w:val="24"/>
              </w:rPr>
              <w:t xml:space="preserve">9年 </w:t>
            </w:r>
            <w:r>
              <w:rPr>
                <w:rFonts w:hint="eastAsia" w:ascii="宋体" w:hAnsi="宋体" w:cs="宋体"/>
                <w:color w:val="FF0000"/>
                <w:sz w:val="24"/>
                <w:lang w:val="en-US" w:eastAsia="zh-CN"/>
              </w:rPr>
              <w:t>10</w:t>
            </w:r>
            <w:r>
              <w:rPr>
                <w:rFonts w:hint="eastAsia" w:ascii="宋体" w:hAnsi="宋体" w:cs="宋体"/>
                <w:color w:val="FF0000"/>
                <w:sz w:val="24"/>
              </w:rPr>
              <w:t xml:space="preserve"> 月 </w:t>
            </w:r>
            <w:r>
              <w:rPr>
                <w:rFonts w:hint="eastAsia" w:ascii="宋体" w:hAnsi="宋体" w:cs="宋体"/>
                <w:color w:val="FF0000"/>
                <w:sz w:val="24"/>
                <w:lang w:val="en-US" w:eastAsia="zh-CN"/>
              </w:rPr>
              <w:t>15</w:t>
            </w:r>
            <w:r>
              <w:rPr>
                <w:rFonts w:hint="eastAsia" w:ascii="宋体" w:hAnsi="宋体" w:cs="宋体"/>
                <w:color w:val="FF0000"/>
                <w:sz w:val="24"/>
              </w:rPr>
              <w:t xml:space="preserve"> </w:t>
            </w:r>
            <w:r>
              <w:rPr>
                <w:rFonts w:hint="eastAsia" w:ascii="宋体" w:hAnsi="宋体" w:cs="宋体"/>
                <w:color w:val="FF0000"/>
                <w:sz w:val="24"/>
                <w:lang w:val="en-US" w:eastAsia="zh-CN"/>
              </w:rPr>
              <w:t xml:space="preserve">  </w:t>
            </w:r>
            <w:r>
              <w:rPr>
                <w:rFonts w:hint="eastAsia" w:ascii="宋体" w:hAnsi="宋体" w:cs="宋体"/>
                <w:color w:val="FF0000"/>
                <w:sz w:val="24"/>
              </w:rPr>
              <w:t>日</w:t>
            </w:r>
            <w:r>
              <w:rPr>
                <w:rFonts w:ascii="宋体" w:hAnsi="宋体" w:cs="宋体"/>
                <w:snapToGrid w:val="0"/>
                <w:color w:val="FF0000"/>
                <w:sz w:val="24"/>
              </w:rPr>
              <w:t xml:space="preserve"> </w:t>
            </w:r>
            <w:r>
              <w:rPr>
                <w:rFonts w:hint="eastAsia" w:ascii="宋体" w:hAnsi="宋体" w:cs="宋体"/>
                <w:snapToGrid w:val="0"/>
                <w:color w:val="FF0000"/>
                <w:sz w:val="24"/>
                <w:lang w:val="en-US" w:eastAsia="zh-CN"/>
              </w:rPr>
              <w:t xml:space="preserve"> 16  </w:t>
            </w:r>
            <w:r>
              <w:rPr>
                <w:rFonts w:hint="eastAsia" w:ascii="宋体" w:hAnsi="宋体" w:cs="宋体"/>
                <w:snapToGrid w:val="0"/>
                <w:color w:val="FF0000"/>
                <w:sz w:val="24"/>
              </w:rPr>
              <w:t>时之前</w:t>
            </w:r>
            <w:r>
              <w:rPr>
                <w:rFonts w:hint="eastAsia" w:ascii="宋体" w:hAnsi="宋体"/>
                <w:sz w:val="24"/>
              </w:rPr>
              <w:t>以书面形式要求采购机构或采购人作出书面解释、澄清或者向采购机构提出书面质疑，逾期不再受理；如有投标人提出质疑的，采购机构视情况将以答复；答疑内容是招标文件的组成部分，</w:t>
            </w:r>
            <w:r>
              <w:rPr>
                <w:rFonts w:hint="eastAsia" w:hAnsi="宋体"/>
                <w:b/>
                <w:sz w:val="24"/>
              </w:rPr>
              <w:t>将在提交投标文件截止时间15日前，在桐庐县招投标服务中心网上发布更正公告，请投标人自行到网上查看和下载，投标人因漏看带来的后果由投标人自行承担</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7</w:t>
            </w:r>
          </w:p>
        </w:tc>
        <w:tc>
          <w:tcPr>
            <w:tcW w:w="8882" w:type="dxa"/>
            <w:vAlign w:val="center"/>
          </w:tcPr>
          <w:p>
            <w:pPr>
              <w:spacing w:line="420" w:lineRule="exact"/>
              <w:rPr>
                <w:rFonts w:ascii="宋体" w:hAnsi="宋体"/>
                <w:color w:val="000000"/>
                <w:sz w:val="24"/>
              </w:rPr>
            </w:pPr>
            <w:r>
              <w:rPr>
                <w:rFonts w:hint="eastAsia" w:ascii="宋体" w:hAnsi="宋体"/>
                <w:color w:val="000000"/>
                <w:sz w:val="24"/>
              </w:rPr>
              <w:t>采购数量及单位：</w:t>
            </w:r>
            <w:r>
              <w:rPr>
                <w:rFonts w:hint="eastAsia" w:ascii="仿宋_GB2312" w:hAnsi="宋体"/>
                <w:color w:val="000000"/>
                <w:sz w:val="24"/>
              </w:rPr>
              <w:t>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8</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投标报价及费用：1.本项目投标应以人民币报价；2.</w:t>
            </w:r>
            <w:r>
              <w:rPr>
                <w:rFonts w:hint="eastAsia" w:ascii="宋体" w:hAnsi="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9</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投标保证金：按照采购公告要求交纳。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10</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投标文件组成：正本各</w:t>
            </w:r>
            <w:r>
              <w:rPr>
                <w:rFonts w:hint="eastAsia" w:ascii="宋体" w:hAnsi="宋体"/>
                <w:b/>
                <w:color w:val="000000"/>
                <w:sz w:val="24"/>
              </w:rPr>
              <w:t>1</w:t>
            </w:r>
            <w:r>
              <w:rPr>
                <w:rFonts w:hint="eastAsia" w:ascii="宋体" w:hAnsi="宋体"/>
                <w:color w:val="000000"/>
                <w:sz w:val="24"/>
              </w:rPr>
              <w:t>份；副本各</w:t>
            </w:r>
            <w:r>
              <w:rPr>
                <w:rFonts w:hint="eastAsia" w:ascii="宋体" w:hAnsi="宋体"/>
                <w:b/>
                <w:color w:val="000000"/>
                <w:sz w:val="24"/>
              </w:rPr>
              <w:t>4</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11</w:t>
            </w:r>
          </w:p>
        </w:tc>
        <w:tc>
          <w:tcPr>
            <w:tcW w:w="8882" w:type="dxa"/>
            <w:vAlign w:val="center"/>
          </w:tcPr>
          <w:p>
            <w:pPr>
              <w:snapToGrid w:val="0"/>
              <w:spacing w:line="420" w:lineRule="exact"/>
              <w:rPr>
                <w:rFonts w:ascii="宋体" w:hAnsi="宋体" w:cs="宋体"/>
                <w:snapToGrid w:val="0"/>
                <w:sz w:val="24"/>
              </w:rPr>
            </w:pPr>
            <w:r>
              <w:rPr>
                <w:rFonts w:hint="eastAsia" w:ascii="宋体" w:hAnsi="宋体" w:cs="宋体"/>
                <w:snapToGrid w:val="0"/>
                <w:sz w:val="24"/>
              </w:rPr>
              <w:t>投标截止时间：</w:t>
            </w:r>
            <w:r>
              <w:rPr>
                <w:rFonts w:ascii="宋体" w:hAnsi="宋体"/>
                <w:b/>
                <w:color w:val="FF0000"/>
                <w:sz w:val="24"/>
              </w:rPr>
              <w:t>201</w:t>
            </w:r>
            <w:r>
              <w:rPr>
                <w:rFonts w:hint="eastAsia" w:ascii="宋体" w:hAnsi="宋体"/>
                <w:b/>
                <w:color w:val="FF0000"/>
                <w:sz w:val="24"/>
              </w:rPr>
              <w:t xml:space="preserve">9年 </w:t>
            </w:r>
            <w:r>
              <w:rPr>
                <w:rFonts w:hint="eastAsia" w:ascii="宋体" w:hAnsi="宋体"/>
                <w:b/>
                <w:color w:val="FF0000"/>
                <w:sz w:val="24"/>
                <w:lang w:val="en-US" w:eastAsia="zh-CN"/>
              </w:rPr>
              <w:t>10</w:t>
            </w:r>
            <w:r>
              <w:rPr>
                <w:rFonts w:hint="eastAsia" w:ascii="宋体" w:hAnsi="宋体"/>
                <w:b/>
                <w:color w:val="FF0000"/>
                <w:sz w:val="24"/>
              </w:rPr>
              <w:t xml:space="preserve"> 月 </w:t>
            </w:r>
            <w:r>
              <w:rPr>
                <w:rFonts w:hint="eastAsia" w:ascii="宋体" w:hAnsi="宋体"/>
                <w:b/>
                <w:color w:val="FF0000"/>
                <w:sz w:val="24"/>
                <w:lang w:val="en-US" w:eastAsia="zh-CN"/>
              </w:rPr>
              <w:t xml:space="preserve">30  </w:t>
            </w:r>
            <w:r>
              <w:rPr>
                <w:rFonts w:hint="eastAsia" w:ascii="宋体" w:hAnsi="宋体"/>
                <w:b/>
                <w:color w:val="FF0000"/>
                <w:sz w:val="24"/>
              </w:rPr>
              <w:t xml:space="preserve"> 日 </w:t>
            </w:r>
            <w:r>
              <w:rPr>
                <w:rFonts w:hint="eastAsia" w:ascii="宋体" w:hAnsi="宋体"/>
                <w:b/>
                <w:color w:val="FF0000"/>
                <w:sz w:val="24"/>
                <w:lang w:val="en-US" w:eastAsia="zh-CN"/>
              </w:rPr>
              <w:t xml:space="preserve"> 10</w:t>
            </w:r>
            <w:r>
              <w:rPr>
                <w:rFonts w:hint="eastAsia" w:ascii="宋体" w:hAnsi="宋体"/>
                <w:b/>
                <w:color w:val="FF0000"/>
                <w:sz w:val="24"/>
              </w:rPr>
              <w:t xml:space="preserve">  时 </w:t>
            </w:r>
            <w:r>
              <w:rPr>
                <w:rFonts w:hint="eastAsia" w:ascii="宋体" w:hAnsi="宋体"/>
                <w:b/>
                <w:color w:val="FF0000"/>
                <w:sz w:val="24"/>
                <w:lang w:val="en-US" w:eastAsia="zh-CN"/>
              </w:rPr>
              <w:t xml:space="preserve">00 </w:t>
            </w:r>
            <w:r>
              <w:rPr>
                <w:rFonts w:hint="eastAsia" w:ascii="宋体" w:hAnsi="宋体"/>
                <w:b/>
                <w:color w:val="FF0000"/>
                <w:sz w:val="24"/>
              </w:rPr>
              <w:t xml:space="preserve">  分</w:t>
            </w:r>
          </w:p>
          <w:p>
            <w:pPr>
              <w:snapToGrid w:val="0"/>
              <w:spacing w:line="420" w:lineRule="exact"/>
              <w:rPr>
                <w:rFonts w:ascii="宋体" w:hAnsi="宋体"/>
                <w:color w:val="000000"/>
                <w:sz w:val="24"/>
              </w:rPr>
            </w:pPr>
            <w:r>
              <w:rPr>
                <w:rFonts w:hint="eastAsia" w:ascii="宋体" w:hAnsi="宋体" w:cs="宋体"/>
                <w:snapToGrid w:val="0"/>
                <w:sz w:val="24"/>
              </w:rPr>
              <w:t>地点：桐庐县招投标服务中心</w:t>
            </w:r>
            <w:r>
              <w:rPr>
                <w:rFonts w:hint="eastAsia" w:ascii="宋体" w:hAnsi="宋体" w:cs="宋体"/>
                <w:snapToGrid w:val="0"/>
                <w:sz w:val="24"/>
                <w:lang w:val="en-US" w:eastAsia="zh-CN"/>
              </w:rPr>
              <w:t xml:space="preserve"> 2 </w:t>
            </w:r>
            <w:r>
              <w:rPr>
                <w:rFonts w:hint="eastAsia" w:ascii="宋体" w:hAnsi="宋体" w:cs="宋体"/>
                <w:snapToGrid w:val="0"/>
                <w:sz w:val="24"/>
              </w:rPr>
              <w:t>号开标大厅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12</w:t>
            </w:r>
          </w:p>
        </w:tc>
        <w:tc>
          <w:tcPr>
            <w:tcW w:w="8882" w:type="dxa"/>
            <w:vAlign w:val="center"/>
          </w:tcPr>
          <w:p>
            <w:pPr>
              <w:snapToGrid w:val="0"/>
              <w:spacing w:line="420" w:lineRule="exact"/>
              <w:rPr>
                <w:rFonts w:ascii="宋体" w:hAnsi="宋体" w:cs="宋体"/>
                <w:snapToGrid w:val="0"/>
                <w:sz w:val="24"/>
              </w:rPr>
            </w:pPr>
            <w:r>
              <w:rPr>
                <w:rFonts w:hint="eastAsia" w:ascii="宋体" w:hAnsi="宋体" w:cs="宋体"/>
                <w:snapToGrid w:val="0"/>
                <w:sz w:val="24"/>
              </w:rPr>
              <w:t>开标时间及地点：</w:t>
            </w:r>
            <w:r>
              <w:rPr>
                <w:rFonts w:ascii="宋体" w:hAnsi="宋体"/>
                <w:b/>
                <w:color w:val="FF0000"/>
                <w:sz w:val="24"/>
              </w:rPr>
              <w:t>201</w:t>
            </w:r>
            <w:r>
              <w:rPr>
                <w:rFonts w:hint="eastAsia" w:ascii="宋体" w:hAnsi="宋体"/>
                <w:b/>
                <w:color w:val="FF0000"/>
                <w:sz w:val="24"/>
              </w:rPr>
              <w:t xml:space="preserve">9年 </w:t>
            </w:r>
            <w:r>
              <w:rPr>
                <w:rFonts w:hint="eastAsia" w:ascii="宋体" w:hAnsi="宋体"/>
                <w:b/>
                <w:color w:val="FF0000"/>
                <w:sz w:val="24"/>
                <w:lang w:val="en-US" w:eastAsia="zh-CN"/>
              </w:rPr>
              <w:t>10</w:t>
            </w:r>
            <w:r>
              <w:rPr>
                <w:rFonts w:hint="eastAsia" w:ascii="宋体" w:hAnsi="宋体"/>
                <w:b/>
                <w:color w:val="FF0000"/>
                <w:sz w:val="24"/>
              </w:rPr>
              <w:t xml:space="preserve"> 月 </w:t>
            </w:r>
            <w:r>
              <w:rPr>
                <w:rFonts w:hint="eastAsia" w:ascii="宋体" w:hAnsi="宋体"/>
                <w:b/>
                <w:color w:val="FF0000"/>
                <w:sz w:val="24"/>
                <w:lang w:val="en-US" w:eastAsia="zh-CN"/>
              </w:rPr>
              <w:t xml:space="preserve">30  </w:t>
            </w:r>
            <w:r>
              <w:rPr>
                <w:rFonts w:hint="eastAsia" w:ascii="宋体" w:hAnsi="宋体"/>
                <w:b/>
                <w:color w:val="FF0000"/>
                <w:sz w:val="24"/>
              </w:rPr>
              <w:t xml:space="preserve"> 日 </w:t>
            </w:r>
            <w:r>
              <w:rPr>
                <w:rFonts w:hint="eastAsia" w:ascii="宋体" w:hAnsi="宋体"/>
                <w:b/>
                <w:color w:val="FF0000"/>
                <w:sz w:val="24"/>
                <w:lang w:val="en-US" w:eastAsia="zh-CN"/>
              </w:rPr>
              <w:t xml:space="preserve"> 10</w:t>
            </w:r>
            <w:r>
              <w:rPr>
                <w:rFonts w:hint="eastAsia" w:ascii="宋体" w:hAnsi="宋体"/>
                <w:b/>
                <w:color w:val="FF0000"/>
                <w:sz w:val="24"/>
              </w:rPr>
              <w:t xml:space="preserve">  时 </w:t>
            </w:r>
            <w:r>
              <w:rPr>
                <w:rFonts w:hint="eastAsia" w:ascii="宋体" w:hAnsi="宋体"/>
                <w:b/>
                <w:color w:val="FF0000"/>
                <w:sz w:val="24"/>
                <w:lang w:val="en-US" w:eastAsia="zh-CN"/>
              </w:rPr>
              <w:t xml:space="preserve">00 </w:t>
            </w:r>
            <w:r>
              <w:rPr>
                <w:rFonts w:hint="eastAsia" w:ascii="宋体" w:hAnsi="宋体"/>
                <w:b/>
                <w:color w:val="FF0000"/>
                <w:sz w:val="24"/>
              </w:rPr>
              <w:t xml:space="preserve">  分</w:t>
            </w:r>
          </w:p>
          <w:p>
            <w:pPr>
              <w:snapToGrid w:val="0"/>
              <w:spacing w:line="420" w:lineRule="exact"/>
              <w:rPr>
                <w:rFonts w:ascii="宋体" w:hAnsi="宋体"/>
                <w:color w:val="000000"/>
                <w:sz w:val="24"/>
              </w:rPr>
            </w:pPr>
            <w:r>
              <w:rPr>
                <w:rFonts w:hint="eastAsia" w:ascii="宋体" w:hAnsi="宋体" w:cs="宋体"/>
                <w:snapToGrid w:val="0"/>
                <w:sz w:val="24"/>
              </w:rPr>
              <w:t>地点：桐庐县招投标服务中心</w:t>
            </w:r>
            <w:r>
              <w:rPr>
                <w:rFonts w:hint="eastAsia" w:ascii="宋体" w:hAnsi="宋体" w:cs="宋体"/>
                <w:snapToGrid w:val="0"/>
                <w:sz w:val="24"/>
                <w:lang w:val="en-US" w:eastAsia="zh-CN"/>
              </w:rPr>
              <w:t xml:space="preserve"> 2 </w:t>
            </w:r>
            <w:r>
              <w:rPr>
                <w:rFonts w:hint="eastAsia" w:ascii="宋体" w:hAnsi="宋体" w:cs="宋体"/>
                <w:snapToGrid w:val="0"/>
                <w:sz w:val="24"/>
              </w:rPr>
              <w:t>号开标大厅。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13</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14</w:t>
            </w:r>
          </w:p>
        </w:tc>
        <w:tc>
          <w:tcPr>
            <w:tcW w:w="8882" w:type="dxa"/>
            <w:vAlign w:val="center"/>
          </w:tcPr>
          <w:p>
            <w:pPr>
              <w:snapToGrid w:val="0"/>
              <w:spacing w:line="420" w:lineRule="exact"/>
              <w:rPr>
                <w:rFonts w:ascii="宋体" w:hAnsi="宋体"/>
                <w:b/>
                <w:color w:val="FF0000"/>
                <w:sz w:val="24"/>
              </w:rPr>
            </w:pPr>
            <w:r>
              <w:rPr>
                <w:rFonts w:hint="eastAsia" w:ascii="宋体" w:hAnsi="宋体"/>
                <w:b/>
                <w:color w:val="FF0000"/>
                <w:sz w:val="24"/>
              </w:rPr>
              <w:t>上限价：本项目上限价为人民币</w:t>
            </w:r>
            <w:r>
              <w:rPr>
                <w:rFonts w:hint="eastAsia" w:ascii="宋体" w:hAnsi="宋体"/>
                <w:b/>
                <w:color w:val="FF0000"/>
                <w:sz w:val="24"/>
                <w:lang w:val="en-US" w:eastAsia="zh-CN"/>
              </w:rPr>
              <w:t>785</w:t>
            </w:r>
            <w:r>
              <w:rPr>
                <w:rFonts w:hint="eastAsia" w:ascii="宋体" w:hAnsi="宋体"/>
                <w:b/>
                <w:color w:val="FF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15</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sz w:val="24"/>
              </w:rPr>
              <w:t>评标结果公示：中标供应商确定之日起2个工作日内，将在浙江省政府采购网( http://www.zjzfcg.gov.cn) 、桐庐县公共资源招投标网（http://www.tlztb.com.cn/）发布中标公告。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16</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仿宋_GB2312" w:hAnsi="宋体"/>
                <w:color w:val="000000"/>
                <w:sz w:val="24"/>
              </w:rPr>
              <w:t>中标通知书：</w:t>
            </w:r>
            <w:r>
              <w:rPr>
                <w:rFonts w:hint="eastAsia" w:ascii="仿宋_GB2312" w:hAnsi="宋体"/>
                <w:sz w:val="24"/>
              </w:rPr>
              <w:t>发布中标公告</w:t>
            </w:r>
            <w:r>
              <w:rPr>
                <w:rFonts w:hint="eastAsia" w:ascii="仿宋_GB2312" w:hAnsi="宋体"/>
                <w:sz w:val="24"/>
                <w:lang w:eastAsia="zh-CN"/>
              </w:rPr>
              <w:t>的同时，</w:t>
            </w:r>
            <w:r>
              <w:rPr>
                <w:rFonts w:hint="eastAsia" w:ascii="仿宋_GB2312" w:hAnsi="宋体"/>
                <w:sz w:val="24"/>
              </w:rPr>
              <w:t>采购机构以书面形式发出《中标通知书》。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17</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 xml:space="preserve">投标保证金退还：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63" w:type="dxa"/>
            <w:vAlign w:val="center"/>
          </w:tcPr>
          <w:p>
            <w:pPr>
              <w:snapToGrid w:val="0"/>
              <w:spacing w:line="360" w:lineRule="auto"/>
              <w:jc w:val="center"/>
              <w:rPr>
                <w:rFonts w:ascii="宋体" w:hAnsi="宋体"/>
                <w:color w:val="000000"/>
                <w:sz w:val="24"/>
              </w:rPr>
            </w:pPr>
            <w:r>
              <w:rPr>
                <w:rStyle w:val="41"/>
                <w:rFonts w:hint="eastAsia" w:ascii="宋体" w:hAnsi="宋体"/>
                <w:sz w:val="24"/>
              </w:rPr>
              <w:t>18</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签订合同：中标通知书发出后30天内。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19</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投标文件有效期：</w:t>
            </w:r>
            <w:r>
              <w:rPr>
                <w:rFonts w:hint="eastAsia" w:ascii="宋体" w:hAnsi="宋体" w:cs="Arial"/>
                <w:color w:val="000000"/>
                <w:sz w:val="24"/>
                <w:u w:val="single"/>
              </w:rPr>
              <w:t>90</w:t>
            </w:r>
            <w:r>
              <w:rPr>
                <w:rFonts w:hint="eastAsia" w:ascii="宋体" w:hAnsi="宋体" w:cs="Arial"/>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20</w:t>
            </w:r>
          </w:p>
        </w:tc>
        <w:tc>
          <w:tcPr>
            <w:tcW w:w="8882" w:type="dxa"/>
            <w:vAlign w:val="center"/>
          </w:tcPr>
          <w:p>
            <w:pPr>
              <w:snapToGrid w:val="0"/>
              <w:spacing w:line="420" w:lineRule="exact"/>
              <w:rPr>
                <w:rFonts w:ascii="宋体" w:hAnsi="宋体" w:eastAsia="仿宋_GB2312"/>
                <w:color w:val="000000"/>
                <w:sz w:val="24"/>
              </w:rPr>
            </w:pPr>
            <w:r>
              <w:rPr>
                <w:rFonts w:hint="eastAsia" w:ascii="宋体" w:hAnsi="宋体"/>
                <w:color w:val="000000"/>
                <w:sz w:val="24"/>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21</w:t>
            </w:r>
          </w:p>
        </w:tc>
        <w:tc>
          <w:tcPr>
            <w:tcW w:w="8882" w:type="dxa"/>
            <w:vAlign w:val="center"/>
          </w:tcPr>
          <w:p>
            <w:pPr>
              <w:snapToGrid w:val="0"/>
              <w:spacing w:line="420" w:lineRule="exact"/>
              <w:rPr>
                <w:rFonts w:ascii="宋体" w:hAnsi="宋体"/>
                <w:color w:val="000000"/>
                <w:sz w:val="24"/>
              </w:rPr>
            </w:pPr>
            <w:r>
              <w:rPr>
                <w:rFonts w:hint="eastAsia" w:ascii="宋体" w:hAnsi="宋体"/>
                <w:sz w:val="24"/>
              </w:rPr>
              <w:t>本项目招投标活动适用《中华人民共和国政府采购法》等有关法律法规规章及其他规范性文件。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22</w:t>
            </w:r>
          </w:p>
        </w:tc>
        <w:tc>
          <w:tcPr>
            <w:tcW w:w="8882" w:type="dxa"/>
            <w:vAlign w:val="center"/>
          </w:tcPr>
          <w:p>
            <w:pPr>
              <w:snapToGrid w:val="0"/>
              <w:spacing w:line="420" w:lineRule="exact"/>
              <w:rPr>
                <w:rFonts w:ascii="宋体" w:hAnsi="宋体"/>
                <w:sz w:val="24"/>
              </w:rPr>
            </w:pPr>
            <w:r>
              <w:rPr>
                <w:rFonts w:hint="eastAsia" w:ascii="宋体" w:hAnsi="宋体"/>
                <w:color w:val="FF0000"/>
                <w:sz w:val="24"/>
              </w:rPr>
              <w:t>注：本项目招标代理费【按国家收费标准计取（100万元以下按1.5%，100万元-500万元按</w:t>
            </w:r>
            <w:r>
              <w:rPr>
                <w:rFonts w:hint="eastAsia" w:ascii="宋体" w:hAnsi="宋体"/>
                <w:color w:val="FF0000"/>
                <w:sz w:val="24"/>
                <w:lang w:val="en-US" w:eastAsia="zh-CN"/>
              </w:rPr>
              <w:t>0.8</w:t>
            </w:r>
            <w:r>
              <w:rPr>
                <w:rFonts w:hint="eastAsia" w:ascii="宋体" w:hAnsi="宋体"/>
                <w:color w:val="FF0000"/>
                <w:sz w:val="24"/>
              </w:rPr>
              <w:t>%</w:t>
            </w:r>
            <w:r>
              <w:rPr>
                <w:rFonts w:hint="eastAsia" w:ascii="宋体" w:hAnsi="宋体"/>
                <w:color w:val="FF0000"/>
                <w:sz w:val="24"/>
                <w:lang w:val="en-US" w:eastAsia="zh-CN"/>
              </w:rPr>
              <w:t>,5</w:t>
            </w:r>
            <w:r>
              <w:rPr>
                <w:rFonts w:hint="eastAsia" w:ascii="宋体" w:hAnsi="宋体"/>
                <w:color w:val="FF0000"/>
                <w:sz w:val="24"/>
              </w:rPr>
              <w:t>00万元-</w:t>
            </w:r>
            <w:r>
              <w:rPr>
                <w:rFonts w:hint="eastAsia" w:ascii="宋体" w:hAnsi="宋体"/>
                <w:color w:val="FF0000"/>
                <w:sz w:val="24"/>
                <w:lang w:val="en-US" w:eastAsia="zh-CN"/>
              </w:rPr>
              <w:t>10</w:t>
            </w:r>
            <w:r>
              <w:rPr>
                <w:rFonts w:hint="eastAsia" w:ascii="宋体" w:hAnsi="宋体"/>
                <w:color w:val="FF0000"/>
                <w:sz w:val="24"/>
              </w:rPr>
              <w:t>00万元按</w:t>
            </w:r>
            <w:r>
              <w:rPr>
                <w:rFonts w:hint="eastAsia" w:ascii="宋体" w:hAnsi="宋体"/>
                <w:color w:val="FF0000"/>
                <w:sz w:val="24"/>
                <w:lang w:val="en-US" w:eastAsia="zh-CN"/>
              </w:rPr>
              <w:t>0.45</w:t>
            </w:r>
            <w:r>
              <w:rPr>
                <w:rFonts w:hint="eastAsia" w:ascii="宋体" w:hAnsi="宋体"/>
                <w:color w:val="FF0000"/>
                <w:sz w:val="24"/>
              </w:rPr>
              <w:t>%）】</w:t>
            </w:r>
            <w:r>
              <w:rPr>
                <w:rFonts w:hint="eastAsia" w:ascii="宋体" w:hAnsi="宋体"/>
                <w:color w:val="FF0000"/>
                <w:sz w:val="24"/>
                <w:lang w:val="en-US" w:eastAsia="zh-CN"/>
              </w:rPr>
              <w:t>和</w:t>
            </w:r>
            <w:r>
              <w:rPr>
                <w:rFonts w:hint="eastAsia" w:ascii="宋体" w:hAnsi="宋体"/>
                <w:color w:val="FF0000"/>
                <w:sz w:val="24"/>
              </w:rPr>
              <w:t>专家费（按实际结算）由中标单位承担，中标单位在领取中标通知书时，一次性支付给采购招标代理机构。投标报价时须综合考虑这项费用。</w:t>
            </w:r>
          </w:p>
        </w:tc>
      </w:tr>
    </w:tbl>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ind w:firstLine="482" w:firstLineChars="200"/>
        <w:rPr>
          <w:rFonts w:hAnsi="宋体"/>
          <w:b/>
          <w:sz w:val="24"/>
        </w:rPr>
      </w:pPr>
      <w:r>
        <w:rPr>
          <w:rFonts w:hint="eastAsia" w:hAnsi="宋体"/>
          <w:b/>
          <w:sz w:val="24"/>
        </w:rPr>
        <w:t>一   总  则</w:t>
      </w:r>
    </w:p>
    <w:p>
      <w:pPr>
        <w:tabs>
          <w:tab w:val="left" w:pos="360"/>
          <w:tab w:val="left" w:pos="540"/>
          <w:tab w:val="left" w:pos="720"/>
        </w:tabs>
        <w:snapToGrid w:val="0"/>
        <w:spacing w:line="360" w:lineRule="auto"/>
        <w:ind w:firstLine="482" w:firstLineChars="200"/>
        <w:jc w:val="left"/>
        <w:outlineLvl w:val="1"/>
        <w:rPr>
          <w:rFonts w:ascii="宋体" w:hAnsi="宋体"/>
          <w:b/>
          <w:color w:val="000000"/>
          <w:sz w:val="24"/>
        </w:rPr>
      </w:pPr>
      <w:r>
        <w:rPr>
          <w:rFonts w:hint="eastAsia" w:ascii="宋体" w:hAnsi="宋体"/>
          <w:b/>
          <w:color w:val="000000"/>
          <w:sz w:val="24"/>
        </w:rPr>
        <w:t>（一）适用范围</w:t>
      </w:r>
    </w:p>
    <w:p>
      <w:pPr>
        <w:spacing w:line="360" w:lineRule="auto"/>
        <w:ind w:firstLine="360" w:firstLineChars="150"/>
        <w:rPr>
          <w:rFonts w:ascii="宋体"/>
          <w:b/>
          <w:bCs/>
          <w:sz w:val="24"/>
        </w:rPr>
      </w:pPr>
      <w:r>
        <w:rPr>
          <w:rFonts w:hint="eastAsia" w:ascii="宋体" w:hAnsi="宋体"/>
          <w:color w:val="000000"/>
          <w:sz w:val="24"/>
        </w:rPr>
        <w:t>本招标文件适用于</w:t>
      </w:r>
      <w:r>
        <w:rPr>
          <w:rFonts w:hint="eastAsia" w:ascii="宋体" w:hAnsi="宋体"/>
          <w:b/>
          <w:bCs/>
          <w:color w:val="000000"/>
          <w:sz w:val="24"/>
          <w:lang w:val="en-US" w:eastAsia="zh-CN"/>
        </w:rPr>
        <w:t>2019-2021年度桐庐县城公用照明设施维护工程</w:t>
      </w:r>
      <w:r>
        <w:rPr>
          <w:rFonts w:hint="eastAsia" w:ascii="宋体" w:hAnsi="宋体"/>
          <w:color w:val="000000"/>
          <w:sz w:val="24"/>
        </w:rPr>
        <w:t>的招标、评标、定标、验收、合同履约、付款等（法律、法规另有规定的，从其规定）。</w:t>
      </w:r>
    </w:p>
    <w:p>
      <w:pPr>
        <w:snapToGrid w:val="0"/>
        <w:spacing w:line="360" w:lineRule="auto"/>
        <w:ind w:firstLine="482" w:firstLineChars="200"/>
        <w:jc w:val="left"/>
        <w:outlineLvl w:val="1"/>
        <w:rPr>
          <w:rFonts w:ascii="宋体" w:hAnsi="宋体"/>
          <w:b/>
          <w:color w:val="000000"/>
          <w:sz w:val="24"/>
        </w:rPr>
      </w:pPr>
      <w:r>
        <w:rPr>
          <w:rFonts w:hint="eastAsia" w:ascii="宋体" w:hAnsi="宋体"/>
          <w:b/>
          <w:color w:val="000000"/>
          <w:sz w:val="24"/>
        </w:rPr>
        <w:t>（二）定义</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1.“投标人”系指向采购机构提交投标文件的单位。</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2.“产品”系指供方按招标文件规定，须向采购人提供的一切设备、保险、税金、备品备件、工具、手册及其它有关技术资料和材料。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3.“服务”系指招标文件规定投标人须承担的安装、调试、技术协助、校准、培训、技术指导以及其他类似的义务。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4.“项目”系指投标人按招标文件规定向采购人提供的产品和服务。</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5.“书面形式”包括信函、传真、电报等。</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6.“</w:t>
      </w:r>
      <w:r>
        <w:rPr>
          <w:rFonts w:hint="eastAsia" w:ascii="宋体" w:hAnsi="宋体"/>
          <w:sz w:val="24"/>
        </w:rPr>
        <w:t>★</w:t>
      </w:r>
      <w:r>
        <w:rPr>
          <w:rFonts w:hint="eastAsia" w:ascii="宋体" w:hAnsi="宋体"/>
          <w:color w:val="000000"/>
          <w:sz w:val="24"/>
        </w:rPr>
        <w:t>”系指实质性要求条款。</w:t>
      </w:r>
    </w:p>
    <w:p>
      <w:pPr>
        <w:snapToGrid w:val="0"/>
        <w:spacing w:line="360" w:lineRule="auto"/>
        <w:ind w:firstLine="482" w:firstLineChars="200"/>
        <w:jc w:val="left"/>
        <w:outlineLvl w:val="1"/>
        <w:rPr>
          <w:rFonts w:ascii="宋体" w:hAnsi="宋体"/>
          <w:b/>
          <w:color w:val="000000"/>
          <w:sz w:val="24"/>
        </w:rPr>
      </w:pPr>
      <w:bookmarkStart w:id="4" w:name="_Toc177870539"/>
      <w:r>
        <w:rPr>
          <w:rFonts w:hint="eastAsia" w:ascii="宋体" w:hAnsi="宋体"/>
          <w:b/>
          <w:color w:val="000000"/>
          <w:sz w:val="24"/>
        </w:rPr>
        <w:t>（三）招标方式</w:t>
      </w:r>
      <w:bookmarkEnd w:id="4"/>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本次招标采用公开招标方式进行。</w:t>
      </w:r>
    </w:p>
    <w:p>
      <w:pPr>
        <w:snapToGrid w:val="0"/>
        <w:spacing w:line="360" w:lineRule="auto"/>
        <w:ind w:firstLine="482" w:firstLineChars="200"/>
        <w:jc w:val="left"/>
        <w:rPr>
          <w:b/>
          <w:sz w:val="24"/>
        </w:rPr>
      </w:pPr>
      <w:bookmarkStart w:id="5" w:name="_Toc177824941"/>
      <w:bookmarkStart w:id="6" w:name="_Toc177825122"/>
      <w:bookmarkStart w:id="7" w:name="_Toc177870540"/>
      <w:bookmarkStart w:id="8" w:name="_Toc177824874"/>
      <w:r>
        <w:rPr>
          <w:rFonts w:hint="eastAsia"/>
          <w:b/>
          <w:sz w:val="24"/>
        </w:rPr>
        <w:t>（四）投标委托</w:t>
      </w:r>
      <w:bookmarkEnd w:id="5"/>
      <w:bookmarkEnd w:id="6"/>
      <w:bookmarkEnd w:id="7"/>
      <w:bookmarkEnd w:id="8"/>
    </w:p>
    <w:p>
      <w:pPr>
        <w:snapToGrid w:val="0"/>
        <w:spacing w:line="360" w:lineRule="auto"/>
        <w:ind w:firstLine="480" w:firstLineChars="200"/>
        <w:jc w:val="left"/>
        <w:outlineLvl w:val="1"/>
        <w:rPr>
          <w:rFonts w:ascii="宋体" w:hAnsi="宋体"/>
          <w:sz w:val="24"/>
        </w:rPr>
      </w:pPr>
      <w:r>
        <w:rPr>
          <w:rFonts w:hint="eastAsia" w:ascii="宋体" w:hAnsi="宋体"/>
          <w:sz w:val="24"/>
        </w:rPr>
        <w:t>投标人代表须携带居民身份证、法定代表人出具的授权委托书。</w:t>
      </w:r>
    </w:p>
    <w:p>
      <w:pPr>
        <w:snapToGrid w:val="0"/>
        <w:spacing w:line="360" w:lineRule="auto"/>
        <w:ind w:firstLine="482" w:firstLineChars="200"/>
        <w:jc w:val="left"/>
        <w:outlineLvl w:val="1"/>
        <w:rPr>
          <w:rFonts w:ascii="宋体" w:hAnsi="宋体"/>
          <w:b/>
          <w:color w:val="000000"/>
          <w:sz w:val="24"/>
        </w:rPr>
      </w:pPr>
      <w:bookmarkStart w:id="9" w:name="_Toc177825123"/>
      <w:bookmarkStart w:id="10" w:name="_Toc177824942"/>
      <w:bookmarkStart w:id="11" w:name="_Toc177824875"/>
      <w:bookmarkStart w:id="12" w:name="_Toc177870541"/>
      <w:r>
        <w:rPr>
          <w:rFonts w:hint="eastAsia" w:ascii="宋体" w:hAnsi="宋体"/>
          <w:b/>
          <w:color w:val="000000"/>
          <w:sz w:val="24"/>
        </w:rPr>
        <w:t>（五）投标费用</w:t>
      </w:r>
      <w:bookmarkEnd w:id="9"/>
      <w:bookmarkEnd w:id="10"/>
      <w:bookmarkEnd w:id="11"/>
      <w:bookmarkEnd w:id="12"/>
    </w:p>
    <w:p>
      <w:pPr>
        <w:snapToGrid w:val="0"/>
        <w:spacing w:line="360" w:lineRule="auto"/>
        <w:ind w:firstLine="480" w:firstLineChars="200"/>
        <w:jc w:val="left"/>
        <w:outlineLvl w:val="1"/>
        <w:rPr>
          <w:rFonts w:ascii="宋体" w:hAnsi="宋体"/>
          <w:b/>
          <w:color w:val="000000"/>
          <w:sz w:val="24"/>
        </w:rPr>
      </w:pPr>
      <w:r>
        <w:rPr>
          <w:rFonts w:hint="eastAsia" w:ascii="宋体" w:hAnsi="宋体"/>
          <w:sz w:val="24"/>
        </w:rPr>
        <w:t>不论投标结果如何，投标人均应自行承担所有与投标有关的全部费用。</w:t>
      </w:r>
    </w:p>
    <w:p>
      <w:pPr>
        <w:numPr>
          <w:ilvl w:val="0"/>
          <w:numId w:val="5"/>
        </w:numPr>
        <w:snapToGrid w:val="0"/>
        <w:spacing w:line="360" w:lineRule="auto"/>
        <w:ind w:firstLine="602" w:firstLineChars="250"/>
        <w:jc w:val="left"/>
        <w:rPr>
          <w:rFonts w:ascii="宋体" w:hAnsi="宋体"/>
          <w:b/>
          <w:color w:val="000000"/>
          <w:sz w:val="24"/>
        </w:rPr>
      </w:pPr>
      <w:r>
        <w:rPr>
          <w:rFonts w:hint="eastAsia" w:ascii="宋体" w:hAnsi="宋体"/>
          <w:b/>
          <w:color w:val="000000"/>
          <w:sz w:val="24"/>
        </w:rPr>
        <w:t>特别说明：</w:t>
      </w:r>
    </w:p>
    <w:p>
      <w:pPr>
        <w:pStyle w:val="22"/>
        <w:snapToGrid w:val="0"/>
        <w:spacing w:line="360" w:lineRule="auto"/>
        <w:ind w:firstLine="480" w:firstLineChars="200"/>
        <w:rPr>
          <w:rFonts w:hAnsi="宋体"/>
          <w:sz w:val="24"/>
        </w:rPr>
      </w:pPr>
      <w:r>
        <w:rPr>
          <w:rFonts w:hint="eastAsia" w:hAnsi="宋体"/>
          <w:sz w:val="24"/>
        </w:rPr>
        <w:t>★1.提供相同品牌产品且通过资格审查、符合性审查的不同投标人参加同一合同项下投标的，按一家投标人计算，评审后得分最高的同品牌投标获得中标人推荐资格；评审得分相同的，由评标委员会按照采购文件规定的方式确定一个投标人获得中标人的推荐资格，采购文件未规定的采取随机抽取的方式确定，其他同品牌投标人不作为中标候选人。</w:t>
      </w:r>
    </w:p>
    <w:p>
      <w:pPr>
        <w:pStyle w:val="22"/>
        <w:snapToGrid w:val="0"/>
        <w:spacing w:line="360" w:lineRule="auto"/>
        <w:ind w:firstLine="480" w:firstLineChars="200"/>
        <w:rPr>
          <w:rFonts w:hAnsi="宋体"/>
          <w:sz w:val="24"/>
        </w:rPr>
      </w:pPr>
      <w:r>
        <w:rPr>
          <w:rFonts w:hint="eastAsia" w:hAnsi="宋体"/>
          <w:sz w:val="24"/>
        </w:rPr>
        <w:t>★2.投标人投标所使用的资格、信誉、荣誉、业绩与企业认证必须为本企业所拥有。投标人投标所使用的采购项目实施人员可以为其控股公司的工作人员。</w:t>
      </w:r>
    </w:p>
    <w:p>
      <w:pPr>
        <w:pStyle w:val="22"/>
        <w:snapToGrid w:val="0"/>
        <w:spacing w:line="360" w:lineRule="auto"/>
        <w:ind w:firstLine="480" w:firstLineChars="200"/>
        <w:rPr>
          <w:rFonts w:hAnsi="宋体"/>
          <w:sz w:val="24"/>
        </w:rPr>
      </w:pPr>
      <w:r>
        <w:rPr>
          <w:rFonts w:hint="eastAsia" w:hAnsi="宋体"/>
          <w:sz w:val="24"/>
        </w:rPr>
        <w:t>★3.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pPr>
        <w:pStyle w:val="22"/>
        <w:snapToGrid w:val="0"/>
        <w:spacing w:line="360" w:lineRule="auto"/>
        <w:ind w:firstLine="480" w:firstLineChars="200"/>
        <w:rPr>
          <w:rFonts w:hAnsi="宋体"/>
          <w:sz w:val="24"/>
        </w:rPr>
      </w:pPr>
      <w:r>
        <w:rPr>
          <w:rFonts w:hint="eastAsia" w:hAnsi="宋体"/>
          <w:sz w:val="24"/>
        </w:rPr>
        <w:t>★4.投标人应仔细阅读招标文件的所有内容，按照招标文件的要求提交投标文件。投标文件应对招标文件的要求作出实质性响应，并对所提供的全部资料的真实性承担法律责任。</w:t>
      </w:r>
      <w:bookmarkStart w:id="13" w:name="_Toc177870543"/>
    </w:p>
    <w:p>
      <w:pPr>
        <w:pStyle w:val="22"/>
        <w:snapToGrid w:val="0"/>
        <w:spacing w:line="360" w:lineRule="auto"/>
        <w:ind w:firstLine="482" w:firstLineChars="200"/>
        <w:rPr>
          <w:rFonts w:hAnsi="宋体"/>
          <w:b/>
          <w:bCs/>
          <w:sz w:val="24"/>
        </w:rPr>
      </w:pPr>
      <w:r>
        <w:rPr>
          <w:rFonts w:hint="eastAsia" w:hAnsi="宋体"/>
          <w:b/>
          <w:color w:val="000000"/>
          <w:sz w:val="24"/>
        </w:rPr>
        <w:t>（七）</w:t>
      </w:r>
      <w:r>
        <w:rPr>
          <w:rFonts w:hint="eastAsia" w:hAnsi="宋体"/>
          <w:b/>
          <w:bCs/>
          <w:sz w:val="24"/>
        </w:rPr>
        <w:t>质疑</w:t>
      </w:r>
      <w:bookmarkEnd w:id="13"/>
      <w:r>
        <w:rPr>
          <w:rFonts w:hint="eastAsia" w:hAnsi="宋体"/>
          <w:b/>
          <w:bCs/>
          <w:sz w:val="24"/>
        </w:rPr>
        <w:t>和投诉</w:t>
      </w:r>
    </w:p>
    <w:p>
      <w:pPr>
        <w:snapToGrid w:val="0"/>
        <w:spacing w:line="360" w:lineRule="auto"/>
        <w:ind w:firstLine="480"/>
        <w:rPr>
          <w:rFonts w:ascii="??_GB2312" w:hAnsi="宋体"/>
          <w:sz w:val="24"/>
        </w:rPr>
      </w:pPr>
      <w:bookmarkStart w:id="14" w:name="_Toc177870544"/>
      <w:r>
        <w:rPr>
          <w:rFonts w:ascii="??_GB2312" w:hAnsi="宋体"/>
          <w:sz w:val="24"/>
        </w:rPr>
        <w:t>1.</w:t>
      </w:r>
      <w:r>
        <w:rPr>
          <w:rFonts w:hint="eastAsia" w:ascii="??_GB2312" w:hAnsi="宋体"/>
          <w:sz w:val="24"/>
        </w:rPr>
        <w:t>投标人认为招标过程和中标结果使自己的合法权益受到损害的，应当在知道或者应知其权益受到损害之日起七个工作日内，以书面形式向采购机构提出质疑。投标人对采购机构的质疑答复不满意或者招标采购人未在规定时间内作出答复的，可以在答复期满后十五个工作日内向同级采购监管部门投诉。</w:t>
      </w:r>
    </w:p>
    <w:p>
      <w:pPr>
        <w:spacing w:line="360" w:lineRule="auto"/>
        <w:ind w:firstLine="480" w:firstLineChars="200"/>
        <w:rPr>
          <w:rFonts w:ascii="宋体" w:hAnsi="宋体" w:cs="宋体"/>
          <w:bCs/>
          <w:sz w:val="24"/>
        </w:rPr>
      </w:pPr>
      <w:r>
        <w:rPr>
          <w:rFonts w:hint="eastAsia" w:ascii="??_GB2312" w:hAnsi="宋体"/>
          <w:sz w:val="24"/>
        </w:rPr>
        <w:t>2.</w:t>
      </w:r>
      <w:r>
        <w:rPr>
          <w:rFonts w:hint="eastAsia" w:ascii="宋体" w:hAnsi="宋体" w:cs="宋体"/>
          <w:bCs/>
          <w:sz w:val="24"/>
        </w:rPr>
        <w:t xml:space="preserve"> 投标供应商在法定质疑期内一次性提出针对同一采购程序环节的质疑。</w:t>
      </w:r>
    </w:p>
    <w:p>
      <w:pPr>
        <w:snapToGrid w:val="0"/>
        <w:spacing w:line="360" w:lineRule="auto"/>
        <w:ind w:firstLine="480" w:firstLineChars="200"/>
        <w:rPr>
          <w:rFonts w:ascii="??_GB2312" w:hAnsi="宋体"/>
          <w:sz w:val="24"/>
        </w:rPr>
      </w:pPr>
      <w:r>
        <w:rPr>
          <w:rFonts w:hint="eastAsia" w:ascii="??_GB2312" w:hAnsi="宋体"/>
          <w:sz w:val="24"/>
        </w:rPr>
        <w:t>3.投标人认可采购机构在质疑答复程序中启用的调查和复核等程序，在该程序操作过程未明显违反法律禁止性规定时，不得提出疑义；</w:t>
      </w:r>
    </w:p>
    <w:p>
      <w:pPr>
        <w:snapToGrid w:val="0"/>
        <w:spacing w:line="360" w:lineRule="auto"/>
        <w:ind w:firstLine="480"/>
        <w:rPr>
          <w:rFonts w:ascii="??_GB2312" w:hAnsi="宋体"/>
          <w:sz w:val="24"/>
        </w:rPr>
      </w:pPr>
      <w:r>
        <w:rPr>
          <w:rFonts w:hint="eastAsia" w:ascii="??_GB2312" w:hAnsi="宋体"/>
          <w:sz w:val="24"/>
        </w:rPr>
        <w:t>4</w:t>
      </w:r>
      <w:r>
        <w:rPr>
          <w:rFonts w:ascii="??_GB2312" w:hAnsi="宋体"/>
          <w:sz w:val="24"/>
        </w:rPr>
        <w:t>.</w:t>
      </w:r>
      <w:r>
        <w:rPr>
          <w:rFonts w:hint="eastAsia" w:ascii="??_GB2312" w:hAnsi="宋体"/>
          <w:sz w:val="24"/>
        </w:rPr>
        <w:t>质疑、投诉应当采用书面形式，质疑书、投诉书均应明确阐述招标文件、招标过程和中标结果中使自己合法权益受到损害的实质性内容，提供相关事实、依据和证据及其来源或线索，便于有关单位调查、答复和处理，否则，采购机构将不予处理。</w:t>
      </w:r>
    </w:p>
    <w:p>
      <w:pPr>
        <w:snapToGrid w:val="0"/>
        <w:spacing w:line="360" w:lineRule="auto"/>
        <w:ind w:firstLine="480"/>
        <w:rPr>
          <w:rFonts w:ascii="??_GB2312" w:hAnsi="宋体"/>
          <w:b/>
          <w:bCs/>
          <w:sz w:val="24"/>
        </w:rPr>
      </w:pPr>
      <w:r>
        <w:rPr>
          <w:rFonts w:hint="eastAsia" w:ascii="??_GB2312" w:hAnsi="宋体"/>
          <w:b/>
          <w:bCs/>
          <w:sz w:val="24"/>
        </w:rPr>
        <w:t>5.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22"/>
        <w:snapToGrid w:val="0"/>
        <w:spacing w:line="360" w:lineRule="auto"/>
        <w:ind w:firstLine="436" w:firstLineChars="181"/>
        <w:outlineLvl w:val="0"/>
        <w:rPr>
          <w:rFonts w:hAnsi="宋体"/>
          <w:b/>
          <w:sz w:val="24"/>
        </w:rPr>
      </w:pPr>
      <w:r>
        <w:rPr>
          <w:rFonts w:hint="eastAsia" w:hAnsi="宋体"/>
          <w:b/>
          <w:sz w:val="24"/>
        </w:rPr>
        <w:t>二  招标文件</w:t>
      </w:r>
      <w:bookmarkEnd w:id="14"/>
    </w:p>
    <w:p>
      <w:pPr>
        <w:snapToGrid w:val="0"/>
        <w:spacing w:line="360" w:lineRule="auto"/>
        <w:ind w:firstLine="316" w:firstLineChars="131"/>
        <w:jc w:val="left"/>
        <w:rPr>
          <w:rFonts w:ascii="宋体" w:hAnsi="宋体"/>
          <w:b/>
          <w:color w:val="000000"/>
          <w:sz w:val="24"/>
        </w:rPr>
      </w:pPr>
      <w:r>
        <w:rPr>
          <w:rFonts w:hint="eastAsia" w:ascii="宋体" w:hAnsi="宋体"/>
          <w:b/>
          <w:color w:val="000000"/>
          <w:sz w:val="24"/>
        </w:rPr>
        <w:t>（一）招标文件的构成。本招标文件由以下部分组成：</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1.招标公告</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2.招标需求</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3.投标人须知</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4.评标办法及标准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5.政府采购合同</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6.投标文件格式</w:t>
      </w:r>
    </w:p>
    <w:p>
      <w:pPr>
        <w:snapToGrid w:val="0"/>
        <w:spacing w:line="360" w:lineRule="auto"/>
        <w:ind w:firstLine="318" w:firstLineChars="132"/>
        <w:jc w:val="left"/>
        <w:rPr>
          <w:rFonts w:ascii="宋体" w:hAnsi="宋体"/>
          <w:b/>
          <w:color w:val="000000"/>
          <w:sz w:val="24"/>
        </w:rPr>
      </w:pPr>
      <w:r>
        <w:rPr>
          <w:rFonts w:hint="eastAsia" w:ascii="宋体" w:hAnsi="宋体"/>
          <w:b/>
          <w:color w:val="000000"/>
          <w:sz w:val="24"/>
        </w:rPr>
        <w:t>（二）投标人的风险</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投标人没有按照招标文件要求提供全部资料，或者投标人没有对招标文件在各方面者作出实质性响应是投标人的风险，并可能导致其投标被拒绝。</w:t>
      </w:r>
    </w:p>
    <w:p>
      <w:pPr>
        <w:pStyle w:val="13"/>
        <w:widowControl w:val="0"/>
        <w:numPr>
          <w:ilvl w:val="0"/>
          <w:numId w:val="0"/>
        </w:numPr>
        <w:tabs>
          <w:tab w:val="left" w:pos="980"/>
        </w:tabs>
        <w:snapToGrid w:val="0"/>
        <w:spacing w:afterLines="0" w:line="360" w:lineRule="auto"/>
        <w:ind w:firstLine="318" w:firstLineChars="132"/>
        <w:rPr>
          <w:rFonts w:ascii="宋体" w:hAnsi="宋体"/>
          <w:b/>
          <w:color w:val="000000"/>
          <w:szCs w:val="24"/>
        </w:rPr>
      </w:pPr>
      <w:r>
        <w:rPr>
          <w:rFonts w:hint="eastAsia" w:ascii="宋体" w:hAnsi="宋体"/>
          <w:b/>
          <w:color w:val="000000"/>
          <w:szCs w:val="24"/>
        </w:rPr>
        <w:t xml:space="preserve">（三）招标文件的澄清与修改 </w:t>
      </w:r>
    </w:p>
    <w:p>
      <w:pPr>
        <w:pStyle w:val="22"/>
        <w:snapToGrid w:val="0"/>
        <w:spacing w:line="360" w:lineRule="auto"/>
        <w:ind w:left="239" w:leftChars="114" w:firstLine="196" w:firstLineChars="82"/>
        <w:rPr>
          <w:rFonts w:hAnsi="宋体"/>
          <w:bCs/>
          <w:sz w:val="24"/>
        </w:rPr>
      </w:pPr>
      <w:r>
        <w:rPr>
          <w:rFonts w:hint="eastAsia" w:hAnsi="宋体"/>
          <w:bCs/>
          <w:sz w:val="24"/>
        </w:rPr>
        <w:t>1.投标人应认真阅读本招标文件，发现其中有误或有要求不合理的，投标人必须在</w:t>
      </w:r>
      <w:r>
        <w:rPr>
          <w:rFonts w:hint="eastAsia" w:hAnsi="宋体"/>
          <w:b/>
          <w:bCs/>
          <w:color w:val="FF0000"/>
          <w:sz w:val="24"/>
        </w:rPr>
        <w:t>前附表第6项规定的时间</w:t>
      </w:r>
      <w:r>
        <w:rPr>
          <w:rFonts w:hint="eastAsia" w:hAnsi="宋体"/>
          <w:bCs/>
          <w:sz w:val="24"/>
        </w:rPr>
        <w:t>前以书面形式要求采购人或采购机构澄清。</w:t>
      </w:r>
    </w:p>
    <w:p>
      <w:pPr>
        <w:pStyle w:val="22"/>
        <w:snapToGrid w:val="0"/>
        <w:spacing w:line="360" w:lineRule="auto"/>
        <w:ind w:firstLine="439" w:firstLineChars="182"/>
        <w:rPr>
          <w:rFonts w:hAnsi="宋体"/>
          <w:sz w:val="24"/>
        </w:rPr>
      </w:pPr>
      <w:r>
        <w:rPr>
          <w:rFonts w:hint="eastAsia" w:hAnsi="宋体"/>
          <w:b/>
          <w:sz w:val="24"/>
        </w:rPr>
        <w:t>2.采购机构对已发出的招标文件进行必要澄清、答复、修改或补充的，将在招标文件要求提交投标文件截止时间15日前，在浙江政府采购网和桐庐县公共资源招投标网上发布更正公告，请投标人自行到网上查看和下载，投标人因漏看带来的后果由投标人自行承担</w:t>
      </w:r>
      <w:r>
        <w:rPr>
          <w:rFonts w:hint="eastAsia" w:hAnsi="宋体"/>
          <w:sz w:val="24"/>
        </w:rPr>
        <w:t>。</w:t>
      </w:r>
    </w:p>
    <w:p>
      <w:pPr>
        <w:pStyle w:val="22"/>
        <w:snapToGrid w:val="0"/>
        <w:spacing w:line="360" w:lineRule="auto"/>
        <w:ind w:firstLine="480" w:firstLineChars="200"/>
        <w:rPr>
          <w:rFonts w:hAnsi="宋体"/>
          <w:sz w:val="24"/>
        </w:rPr>
      </w:pPr>
      <w:r>
        <w:rPr>
          <w:rFonts w:hint="eastAsia" w:hAnsi="宋体"/>
          <w:sz w:val="24"/>
        </w:rPr>
        <w:t>3.招标文件澄清、答复、修改、补充的内容为招标文件的组成部分。当招标文件与招标文件的答复、澄清、修改、补充通知就同一内容的表述不一致时，以最后发出的文件为准。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auto"/>
        <w:ind w:firstLine="480" w:firstLineChars="200"/>
        <w:rPr>
          <w:rFonts w:hAnsi="宋体"/>
          <w:sz w:val="24"/>
        </w:rPr>
      </w:pPr>
      <w:r>
        <w:rPr>
          <w:rFonts w:hint="eastAsia" w:hAnsi="宋体"/>
          <w:sz w:val="24"/>
        </w:rPr>
        <w:t>4.招标文件的澄清、答复、修改或补充都应该通过采购机构以法定形式发布，采购人非通过采购机构，不得擅自澄清、答复、修改或补充招标文件。</w:t>
      </w:r>
    </w:p>
    <w:p>
      <w:pPr>
        <w:pStyle w:val="22"/>
        <w:snapToGrid w:val="0"/>
        <w:spacing w:line="360" w:lineRule="auto"/>
        <w:ind w:firstLine="482" w:firstLineChars="200"/>
        <w:outlineLvl w:val="1"/>
        <w:rPr>
          <w:rFonts w:hAnsi="宋体"/>
          <w:b/>
          <w:sz w:val="24"/>
        </w:rPr>
      </w:pPr>
      <w:r>
        <w:rPr>
          <w:rFonts w:hint="eastAsia" w:hAnsi="宋体"/>
          <w:b/>
          <w:sz w:val="24"/>
        </w:rPr>
        <w:t>三、投标文件的编制</w:t>
      </w:r>
    </w:p>
    <w:p>
      <w:pPr>
        <w:snapToGrid w:val="0"/>
        <w:spacing w:line="360" w:lineRule="auto"/>
        <w:ind w:firstLine="482" w:firstLineChars="200"/>
        <w:jc w:val="left"/>
        <w:outlineLvl w:val="0"/>
        <w:rPr>
          <w:rFonts w:ascii="宋体" w:hAnsi="宋体"/>
          <w:b/>
          <w:color w:val="000000"/>
          <w:sz w:val="24"/>
        </w:rPr>
      </w:pPr>
      <w:r>
        <w:rPr>
          <w:rFonts w:hint="eastAsia" w:ascii="宋体" w:hAnsi="宋体"/>
          <w:b/>
          <w:color w:val="000000"/>
          <w:sz w:val="24"/>
        </w:rPr>
        <w:t>（一）投标文件的组成</w:t>
      </w:r>
    </w:p>
    <w:p>
      <w:pPr>
        <w:snapToGrid w:val="0"/>
        <w:spacing w:line="360" w:lineRule="auto"/>
        <w:ind w:firstLine="480" w:firstLineChars="200"/>
        <w:jc w:val="left"/>
        <w:rPr>
          <w:rFonts w:ascii="宋体" w:hAnsi="宋体"/>
          <w:sz w:val="24"/>
        </w:rPr>
      </w:pPr>
      <w:r>
        <w:rPr>
          <w:rFonts w:hint="eastAsia" w:ascii="宋体" w:hAnsi="宋体"/>
          <w:sz w:val="24"/>
        </w:rPr>
        <w:t>投标文件由</w:t>
      </w:r>
      <w:r>
        <w:rPr>
          <w:rFonts w:hint="eastAsia" w:ascii="宋体" w:hAnsi="宋体"/>
          <w:b/>
          <w:sz w:val="24"/>
        </w:rPr>
        <w:t>资信文件、技术及商务文件、报价文件</w:t>
      </w:r>
      <w:r>
        <w:rPr>
          <w:rFonts w:hint="eastAsia" w:ascii="宋体" w:hAnsi="宋体"/>
          <w:bCs/>
          <w:sz w:val="24"/>
        </w:rPr>
        <w:t>三部分组成</w:t>
      </w:r>
      <w:r>
        <w:rPr>
          <w:rFonts w:hint="eastAsia" w:ascii="宋体" w:hAnsi="宋体"/>
          <w:sz w:val="24"/>
        </w:rPr>
        <w:t>：</w:t>
      </w:r>
    </w:p>
    <w:p>
      <w:pPr>
        <w:snapToGrid w:val="0"/>
        <w:spacing w:line="360" w:lineRule="auto"/>
        <w:ind w:firstLine="482" w:firstLineChars="200"/>
        <w:jc w:val="left"/>
        <w:rPr>
          <w:rFonts w:ascii="宋体" w:hAnsi="宋体"/>
          <w:b/>
          <w:sz w:val="24"/>
        </w:rPr>
      </w:pPr>
      <w:r>
        <w:rPr>
          <w:rFonts w:hint="eastAsia" w:ascii="宋体" w:hAnsi="宋体"/>
          <w:b/>
          <w:sz w:val="24"/>
        </w:rPr>
        <w:t>1.资信文件（不含报价）：</w:t>
      </w:r>
    </w:p>
    <w:p>
      <w:pPr>
        <w:snapToGrid w:val="0"/>
        <w:spacing w:line="360" w:lineRule="auto"/>
        <w:ind w:firstLine="597" w:firstLineChars="249"/>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597" w:firstLineChars="249"/>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597" w:firstLineChars="249"/>
        <w:jc w:val="left"/>
        <w:rPr>
          <w:rFonts w:ascii="宋体" w:hAnsi="宋体"/>
          <w:sz w:val="24"/>
        </w:rPr>
      </w:pPr>
      <w:r>
        <w:rPr>
          <w:rFonts w:hint="eastAsia" w:ascii="宋体" w:hAnsi="宋体"/>
          <w:sz w:val="24"/>
        </w:rPr>
        <w:t>（3）法定代表人授权委托书(格式见附件)；</w:t>
      </w:r>
    </w:p>
    <w:p>
      <w:pPr>
        <w:snapToGrid w:val="0"/>
        <w:spacing w:line="360" w:lineRule="auto"/>
        <w:ind w:firstLine="597" w:firstLineChars="249"/>
        <w:jc w:val="left"/>
        <w:rPr>
          <w:rFonts w:hint="eastAsia" w:ascii="宋体" w:hAnsi="宋体"/>
          <w:sz w:val="24"/>
        </w:rPr>
      </w:pPr>
      <w:r>
        <w:rPr>
          <w:rFonts w:hint="eastAsia" w:ascii="宋体" w:hAnsi="宋体"/>
          <w:sz w:val="24"/>
        </w:rPr>
        <w:t>（4）提供有效的营业执照</w:t>
      </w:r>
      <w:r>
        <w:rPr>
          <w:rFonts w:hint="eastAsia" w:ascii="宋体" w:hAnsi="宋体"/>
          <w:sz w:val="24"/>
          <w:lang w:eastAsia="zh-CN"/>
        </w:rPr>
        <w:t>、资质证书</w:t>
      </w:r>
      <w:r>
        <w:rPr>
          <w:rFonts w:hint="eastAsia" w:ascii="宋体" w:hAnsi="宋体"/>
          <w:sz w:val="24"/>
        </w:rPr>
        <w:t>复印件并加盖公司公章；</w:t>
      </w:r>
    </w:p>
    <w:p>
      <w:pPr>
        <w:snapToGrid w:val="0"/>
        <w:spacing w:line="360" w:lineRule="auto"/>
        <w:ind w:firstLine="597" w:firstLineChars="249"/>
        <w:jc w:val="left"/>
        <w:rPr>
          <w:rFonts w:hint="eastAsia"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597" w:firstLineChars="249"/>
        <w:jc w:val="left"/>
        <w:rPr>
          <w:rFonts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）投标人认为需要提供的其他资料。</w:t>
      </w:r>
    </w:p>
    <w:p>
      <w:pPr>
        <w:snapToGrid w:val="0"/>
        <w:spacing w:line="360" w:lineRule="auto"/>
        <w:ind w:firstLine="600" w:firstLineChars="249"/>
        <w:jc w:val="left"/>
        <w:rPr>
          <w:rFonts w:ascii="宋体" w:hAnsi="宋体"/>
          <w:b/>
          <w:color w:val="000000"/>
          <w:sz w:val="24"/>
        </w:rPr>
      </w:pPr>
      <w:r>
        <w:rPr>
          <w:rFonts w:hint="eastAsia" w:ascii="宋体" w:hAnsi="宋体"/>
          <w:b/>
          <w:color w:val="000000"/>
          <w:sz w:val="24"/>
        </w:rPr>
        <w:t>2.技术及商务文件（不含报价）：</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（1）评分对应表（格式见附件，主要用于评委对应评分内容）</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2</w:t>
      </w:r>
      <w:r>
        <w:rPr>
          <w:rFonts w:hint="eastAsia" w:ascii="宋体" w:hAnsi="宋体"/>
          <w:color w:val="000000"/>
          <w:sz w:val="24"/>
        </w:rPr>
        <w:t>）</w:t>
      </w:r>
      <w:r>
        <w:rPr>
          <w:rFonts w:hint="eastAsia" w:ascii="宋体" w:hAnsi="宋体"/>
          <w:color w:val="000000"/>
          <w:sz w:val="24"/>
          <w:lang w:eastAsia="zh-CN"/>
        </w:rPr>
        <w:t>供应商服务承诺</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）项目总体解决方案</w:t>
      </w:r>
      <w:r>
        <w:rPr>
          <w:rFonts w:hint="eastAsia" w:ascii="宋体" w:hAnsi="宋体"/>
          <w:color w:val="000000"/>
          <w:sz w:val="24"/>
          <w:lang w:val="en-US" w:eastAsia="zh-CN"/>
        </w:rPr>
        <w:t xml:space="preserve"> （包括总体服务方案及承担本亮灯维护服务工作的特点和服务亮点、日常作业程序及应急处置方案设想等内容）</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4</w:t>
      </w:r>
      <w:r>
        <w:rPr>
          <w:rFonts w:hint="eastAsia" w:ascii="宋体" w:hAnsi="宋体"/>
          <w:color w:val="000000"/>
          <w:sz w:val="24"/>
        </w:rPr>
        <w:t>）项目实施计划（可包含且不限于保证工期的施工组织方案及人力资源安排、项目组人员清单等）；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5</w:t>
      </w:r>
      <w:r>
        <w:rPr>
          <w:rFonts w:hint="eastAsia" w:ascii="宋体" w:hAnsi="宋体"/>
          <w:color w:val="000000"/>
          <w:sz w:val="24"/>
        </w:rPr>
        <w:t>）列入政府采购节能环保清单的证明资料（若有）；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6</w:t>
      </w:r>
      <w:r>
        <w:rPr>
          <w:rFonts w:hint="eastAsia" w:ascii="宋体" w:hAnsi="宋体"/>
          <w:color w:val="000000"/>
          <w:sz w:val="24"/>
        </w:rPr>
        <w:t>）商务响应表（格式见附件）；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7</w:t>
      </w:r>
      <w:r>
        <w:rPr>
          <w:rFonts w:hint="eastAsia" w:ascii="宋体" w:hAnsi="宋体"/>
          <w:color w:val="000000"/>
          <w:sz w:val="24"/>
        </w:rPr>
        <w:t>）售后服务计划（可包含且不限于对用户故障的响应、处理、定期巡检、常用耗材提供、驻点人员情况等）；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8</w:t>
      </w:r>
      <w:r>
        <w:rPr>
          <w:rFonts w:hint="eastAsia" w:ascii="宋体" w:hAnsi="宋体"/>
          <w:color w:val="000000"/>
          <w:sz w:val="24"/>
        </w:rPr>
        <w:t>）技术培训计划（若有）；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9</w:t>
      </w:r>
      <w:r>
        <w:rPr>
          <w:rFonts w:hint="eastAsia" w:ascii="宋体" w:hAnsi="宋体"/>
          <w:color w:val="000000"/>
          <w:sz w:val="24"/>
        </w:rPr>
        <w:t>）投标人履约能力（可包含且不限于技术力量情况、投标人各项能力证书</w:t>
      </w:r>
      <w:r>
        <w:rPr>
          <w:rFonts w:hint="eastAsia" w:ascii="宋体" w:hAnsi="宋体"/>
          <w:color w:val="000000"/>
          <w:sz w:val="24"/>
          <w:lang w:eastAsia="zh-CN"/>
        </w:rPr>
        <w:t>、考核规章制度、装备器材等</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0</w:t>
      </w:r>
      <w:r>
        <w:rPr>
          <w:rFonts w:hint="eastAsia" w:ascii="宋体" w:hAnsi="宋体"/>
          <w:color w:val="000000"/>
          <w:sz w:val="24"/>
        </w:rPr>
        <w:t>）案例的业绩证明（投标人业绩情况一览表、合同复印件等）</w:t>
      </w:r>
      <w:r>
        <w:rPr>
          <w:rFonts w:hint="eastAsia" w:ascii="宋体" w:hAnsi="宋体"/>
          <w:color w:val="000000"/>
          <w:sz w:val="24"/>
          <w:lang w:eastAsia="zh-CN"/>
        </w:rPr>
        <w:t>及投标人管理用房证明材料</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1</w:t>
      </w:r>
      <w:r>
        <w:rPr>
          <w:rFonts w:hint="eastAsia" w:ascii="宋体" w:hAnsi="宋体"/>
          <w:color w:val="000000"/>
          <w:sz w:val="24"/>
        </w:rPr>
        <w:t xml:space="preserve">）优惠措施：投标单位承诺给予的各种优惠条件，包括售后服务、专用耗材等方面的优惠； </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）投标人对本项目的合理化建议和改进措施；</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）投标方认为需要的其他文件资料。</w:t>
      </w:r>
    </w:p>
    <w:p>
      <w:pPr>
        <w:snapToGrid w:val="0"/>
        <w:spacing w:line="360" w:lineRule="auto"/>
        <w:ind w:firstLine="477" w:firstLineChars="198"/>
        <w:jc w:val="left"/>
        <w:rPr>
          <w:rFonts w:ascii="宋体" w:hAnsi="宋体"/>
          <w:b/>
          <w:color w:val="000000"/>
          <w:sz w:val="24"/>
        </w:rPr>
      </w:pPr>
      <w:r>
        <w:rPr>
          <w:rFonts w:hint="eastAsia" w:ascii="宋体" w:hAnsi="宋体"/>
          <w:b/>
          <w:color w:val="000000"/>
          <w:sz w:val="24"/>
        </w:rPr>
        <w:t>3.报价文件：</w:t>
      </w:r>
    </w:p>
    <w:p>
      <w:pPr>
        <w:snapToGrid w:val="0"/>
        <w:spacing w:line="360" w:lineRule="auto"/>
        <w:ind w:firstLine="360" w:firstLineChars="150"/>
        <w:jc w:val="left"/>
        <w:rPr>
          <w:rFonts w:ascii="宋体" w:hAnsi="宋体"/>
          <w:color w:val="000000"/>
          <w:sz w:val="24"/>
        </w:rPr>
      </w:pPr>
      <w:r>
        <w:rPr>
          <w:rFonts w:hint="eastAsia" w:ascii="宋体" w:hAnsi="宋体"/>
          <w:color w:val="000000"/>
          <w:sz w:val="24"/>
        </w:rPr>
        <w:t xml:space="preserve">（1）投标函（格式见附件）。 </w:t>
      </w:r>
    </w:p>
    <w:p>
      <w:pPr>
        <w:snapToGrid w:val="0"/>
        <w:spacing w:line="360" w:lineRule="auto"/>
        <w:ind w:firstLine="360" w:firstLineChars="150"/>
        <w:jc w:val="left"/>
        <w:rPr>
          <w:rFonts w:ascii="宋体" w:hAnsi="宋体"/>
          <w:sz w:val="24"/>
        </w:rPr>
      </w:pPr>
      <w:r>
        <w:rPr>
          <w:rFonts w:hint="eastAsia" w:ascii="宋体" w:hAnsi="宋体"/>
          <w:sz w:val="24"/>
        </w:rPr>
        <w:t>（2）开标一览表（格式见附件）。</w:t>
      </w:r>
    </w:p>
    <w:p>
      <w:pPr>
        <w:snapToGrid w:val="0"/>
        <w:spacing w:line="360" w:lineRule="auto"/>
        <w:ind w:firstLine="360" w:firstLineChars="150"/>
        <w:jc w:val="left"/>
        <w:rPr>
          <w:rFonts w:ascii="宋体" w:hAnsi="宋体"/>
          <w:sz w:val="24"/>
        </w:rPr>
      </w:pPr>
      <w:r>
        <w:rPr>
          <w:rFonts w:hint="eastAsia" w:ascii="宋体" w:hAnsi="宋体"/>
          <w:sz w:val="24"/>
        </w:rPr>
        <w:t>（3）投标报价明细表（格式见附件）。</w:t>
      </w:r>
    </w:p>
    <w:p>
      <w:pPr>
        <w:snapToGrid w:val="0"/>
        <w:spacing w:line="360" w:lineRule="auto"/>
        <w:ind w:firstLine="422" w:firstLineChars="176"/>
        <w:jc w:val="left"/>
        <w:rPr>
          <w:rFonts w:ascii="宋体" w:hAnsi="宋体"/>
          <w:sz w:val="24"/>
        </w:rPr>
      </w:pPr>
      <w:r>
        <w:rPr>
          <w:rFonts w:hint="eastAsia" w:ascii="宋体" w:hAnsi="宋体"/>
          <w:sz w:val="24"/>
        </w:rPr>
        <w:t>（4）小微企业声明函及相关资料、残疾人福利性单位相关资料（如有）</w:t>
      </w:r>
    </w:p>
    <w:p>
      <w:pPr>
        <w:snapToGrid w:val="0"/>
        <w:spacing w:line="360" w:lineRule="auto"/>
        <w:ind w:firstLine="422" w:firstLineChars="176"/>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）投标人需要说明的其他文件和说明。</w:t>
      </w:r>
    </w:p>
    <w:p>
      <w:pPr>
        <w:snapToGrid w:val="0"/>
        <w:spacing w:line="360" w:lineRule="auto"/>
        <w:ind w:firstLine="354" w:firstLineChars="147"/>
        <w:jc w:val="left"/>
        <w:outlineLvl w:val="0"/>
        <w:rPr>
          <w:rFonts w:ascii="宋体" w:hAnsi="宋体"/>
          <w:b/>
          <w:sz w:val="24"/>
          <w:u w:val="single"/>
        </w:rPr>
      </w:pPr>
      <w:r>
        <w:rPr>
          <w:rFonts w:hint="eastAsia" w:ascii="宋体" w:hAnsi="宋体"/>
          <w:b/>
          <w:sz w:val="24"/>
        </w:rPr>
        <w:t>注：投标人在投标截止时间前必须提供合格投标人资格证明文件原件（1.营业执照原件；2.投标人认为需要提供的其他资料。）提供不全或无效的将以无效标处理。</w:t>
      </w:r>
      <w:r>
        <w:rPr>
          <w:rFonts w:hint="eastAsia" w:ascii="宋体" w:hAnsi="宋体"/>
          <w:b/>
          <w:sz w:val="24"/>
          <w:u w:val="single"/>
        </w:rPr>
        <w:t>投标人须将合格投标人资格证明文件原件另外单独包装。</w:t>
      </w:r>
      <w:r>
        <w:rPr>
          <w:rFonts w:hint="eastAsia" w:ascii="宋体" w:hAnsi="宋体"/>
          <w:b/>
          <w:sz w:val="24"/>
        </w:rPr>
        <w:t>资信文件、技术及商务文件中均不得出现价格信息，否则以无效标处理。</w:t>
      </w:r>
    </w:p>
    <w:p>
      <w:pPr>
        <w:snapToGrid w:val="0"/>
        <w:spacing w:line="360" w:lineRule="auto"/>
        <w:ind w:firstLine="482" w:firstLineChars="200"/>
        <w:jc w:val="left"/>
        <w:rPr>
          <w:rFonts w:ascii="宋体" w:hAnsi="宋体"/>
          <w:b/>
          <w:sz w:val="24"/>
        </w:rPr>
      </w:pPr>
      <w:r>
        <w:rPr>
          <w:rFonts w:hint="eastAsia" w:ascii="宋体" w:hAnsi="宋体"/>
          <w:b/>
          <w:sz w:val="24"/>
        </w:rPr>
        <w:t>投标人为浙江省政府采购网正式注册供应商的，可不提供营业执照原件。</w:t>
      </w:r>
    </w:p>
    <w:p>
      <w:p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（二）投标文件的语言及计量</w:t>
      </w:r>
    </w:p>
    <w:p>
      <w:pPr>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（三）投标报价</w:t>
      </w:r>
    </w:p>
    <w:p>
      <w:pPr>
        <w:pStyle w:val="22"/>
        <w:snapToGrid w:val="0"/>
        <w:spacing w:line="360" w:lineRule="auto"/>
        <w:ind w:firstLine="480" w:firstLineChars="200"/>
        <w:jc w:val="left"/>
        <w:rPr>
          <w:rFonts w:hAnsi="宋体"/>
          <w:color w:val="000000"/>
          <w:sz w:val="24"/>
        </w:rPr>
      </w:pPr>
      <w:r>
        <w:rPr>
          <w:rFonts w:hint="eastAsia" w:hAnsi="宋体"/>
          <w:color w:val="000000"/>
          <w:sz w:val="24"/>
        </w:rPr>
        <w:t>1.投标报价应按招标文件中相关附表格式填写。</w:t>
      </w:r>
    </w:p>
    <w:p>
      <w:pPr>
        <w:pStyle w:val="22"/>
        <w:snapToGrid w:val="0"/>
        <w:spacing w:line="360" w:lineRule="auto"/>
        <w:ind w:firstLine="480" w:firstLineChars="200"/>
        <w:jc w:val="left"/>
        <w:rPr>
          <w:rFonts w:hAnsi="宋体"/>
          <w:color w:val="000000"/>
          <w:sz w:val="24"/>
        </w:rPr>
      </w:pPr>
      <w:r>
        <w:rPr>
          <w:rFonts w:hint="eastAsia" w:hAnsi="宋体"/>
          <w:sz w:val="24"/>
        </w:rPr>
        <w:t>★</w:t>
      </w:r>
      <w:r>
        <w:rPr>
          <w:rFonts w:hint="eastAsia" w:hAnsi="宋体"/>
          <w:color w:val="000000"/>
          <w:sz w:val="24"/>
        </w:rPr>
        <w:t>2.投标报价应包含项目所需全部服务，不得缺漏，是履行合同的最终价格（含货款、标准附件、备品备件、专用工具、包装、运输、装卸、保险、税金、货到就位以及安装、调试、培训、保修等一切税金和费用）。</w:t>
      </w:r>
    </w:p>
    <w:p>
      <w:pPr>
        <w:tabs>
          <w:tab w:val="left" w:pos="525"/>
        </w:tabs>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3.投标文件只允许有一个报价，有选择性的报价将不予接受。投标报价应按招标文件中相关附表格式填报，该投标报价应与明细报价汇总相等，且不允许出现报价优惠等字样（明细出现“0”元，视同赠送）。</w:t>
      </w:r>
    </w:p>
    <w:p>
      <w:pPr>
        <w:numPr>
          <w:ilvl w:val="0"/>
          <w:numId w:val="6"/>
        </w:num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投标文件的有效期</w:t>
      </w:r>
    </w:p>
    <w:p>
      <w:pPr>
        <w:snapToGrid w:val="0"/>
        <w:spacing w:line="360" w:lineRule="auto"/>
        <w:jc w:val="left"/>
        <w:outlineLvl w:val="0"/>
        <w:rPr>
          <w:rFonts w:ascii="宋体" w:hAnsi="宋体"/>
          <w:color w:val="000000"/>
          <w:sz w:val="24"/>
        </w:rPr>
      </w:pPr>
      <w:r>
        <w:rPr>
          <w:rFonts w:hint="eastAsia" w:hAnsi="宋体"/>
        </w:rPr>
        <w:t xml:space="preserve">    </w:t>
      </w:r>
      <w:r>
        <w:rPr>
          <w:rFonts w:hint="eastAsia" w:ascii="宋体" w:hAnsi="宋体"/>
          <w:color w:val="000000"/>
          <w:sz w:val="24"/>
        </w:rPr>
        <w:t xml:space="preserve"> ★1.自投标截止日起90天投标书应保持有效。有效期短于这个规定期限的投标将被拒绝。</w:t>
      </w:r>
    </w:p>
    <w:p>
      <w:pPr>
        <w:snapToGrid w:val="0"/>
        <w:spacing w:line="360" w:lineRule="auto"/>
        <w:jc w:val="left"/>
        <w:outlineLvl w:val="0"/>
        <w:rPr>
          <w:rFonts w:ascii="宋体" w:hAnsi="宋体"/>
          <w:color w:val="000000"/>
          <w:sz w:val="24"/>
        </w:rPr>
      </w:pPr>
      <w:r>
        <w:rPr>
          <w:rFonts w:hint="eastAsia" w:ascii="宋体" w:hAnsi="宋体"/>
          <w:color w:val="000000"/>
          <w:sz w:val="24"/>
        </w:rPr>
        <w:t xml:space="preserve">     2.在特殊情况下，采购机构可与投标人协商延长投标书的有效期，这种要求和答复均以书面形式进行。</w:t>
      </w:r>
    </w:p>
    <w:p>
      <w:pPr>
        <w:snapToGrid w:val="0"/>
        <w:spacing w:line="360" w:lineRule="auto"/>
        <w:ind w:firstLine="480" w:firstLineChars="200"/>
        <w:jc w:val="left"/>
        <w:outlineLvl w:val="0"/>
        <w:rPr>
          <w:rFonts w:ascii="宋体" w:hAnsi="宋体"/>
          <w:b/>
          <w:color w:val="000000"/>
          <w:sz w:val="24"/>
        </w:rPr>
      </w:pPr>
      <w:bookmarkStart w:id="15" w:name="_Toc177824946"/>
      <w:bookmarkStart w:id="16" w:name="_Toc177824879"/>
      <w:bookmarkStart w:id="17" w:name="_Toc177870549"/>
      <w:bookmarkStart w:id="18" w:name="_Toc177825127"/>
      <w:r>
        <w:rPr>
          <w:rFonts w:hint="eastAsia" w:ascii="宋体" w:hAnsi="宋体"/>
          <w:color w:val="000000"/>
          <w:sz w:val="24"/>
        </w:rPr>
        <w:t>3.投标人可拒绝接受延期要求而不会导致投标保证金被没收。同意延长有效期的投标人需要相应延长投标保证金的有效期，但不能修改投标文件。</w:t>
      </w:r>
      <w:bookmarkEnd w:id="15"/>
      <w:bookmarkEnd w:id="16"/>
      <w:bookmarkEnd w:id="17"/>
      <w:bookmarkEnd w:id="18"/>
      <w:r>
        <w:rPr>
          <w:rFonts w:hint="eastAsia" w:ascii="宋体" w:hAnsi="宋体"/>
          <w:b/>
          <w:color w:val="000000"/>
          <w:sz w:val="24"/>
        </w:rPr>
        <w:t xml:space="preserve"> </w:t>
      </w:r>
    </w:p>
    <w:p>
      <w:pPr>
        <w:snapToGrid w:val="0"/>
        <w:spacing w:line="360" w:lineRule="auto"/>
        <w:ind w:firstLine="480" w:firstLineChars="200"/>
        <w:jc w:val="left"/>
        <w:outlineLvl w:val="0"/>
        <w:rPr>
          <w:rFonts w:ascii="宋体" w:hAnsi="宋体"/>
          <w:color w:val="000000"/>
          <w:sz w:val="24"/>
        </w:rPr>
      </w:pPr>
      <w:r>
        <w:rPr>
          <w:rFonts w:hint="eastAsia" w:ascii="宋体" w:hAnsi="宋体"/>
          <w:color w:val="000000"/>
          <w:sz w:val="24"/>
        </w:rPr>
        <w:t>4.中标人的投标文件自开标之日起至合同履行完毕止均应保持有效。</w:t>
      </w:r>
    </w:p>
    <w:p>
      <w:pPr>
        <w:snapToGrid w:val="0"/>
        <w:spacing w:line="360" w:lineRule="auto"/>
        <w:ind w:firstLine="482" w:firstLineChars="200"/>
        <w:jc w:val="left"/>
        <w:outlineLvl w:val="0"/>
        <w:rPr>
          <w:rFonts w:ascii="宋体" w:hAnsi="宋体"/>
          <w:b/>
          <w:color w:val="000000"/>
          <w:sz w:val="24"/>
        </w:rPr>
      </w:pPr>
      <w:r>
        <w:rPr>
          <w:rFonts w:hint="eastAsia" w:ascii="宋体" w:hAnsi="宋体"/>
          <w:b/>
          <w:color w:val="000000"/>
          <w:sz w:val="24"/>
        </w:rPr>
        <w:t>（五）投标保证金:无需缴纳投标保证金</w:t>
      </w:r>
    </w:p>
    <w:p>
      <w:pPr>
        <w:snapToGrid w:val="0"/>
        <w:spacing w:line="360" w:lineRule="auto"/>
        <w:ind w:firstLine="318" w:firstLineChars="132"/>
        <w:jc w:val="left"/>
        <w:outlineLvl w:val="0"/>
        <w:rPr>
          <w:rFonts w:ascii="宋体" w:hAnsi="宋体"/>
          <w:b/>
          <w:color w:val="000000"/>
          <w:sz w:val="24"/>
        </w:rPr>
      </w:pPr>
      <w:r>
        <w:rPr>
          <w:rFonts w:hint="eastAsia" w:ascii="宋体" w:hAnsi="宋体"/>
          <w:b/>
          <w:color w:val="000000"/>
          <w:sz w:val="24"/>
        </w:rPr>
        <w:t>（六）投标文件的签署和份数</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1.投标人应本招标文件规定的格式编制、装订投标文件，投标文件内容不完整、编排混乱导致投标文件被误读、漏读或者查找不到相关内容的，是投标人的责任。</w:t>
      </w:r>
    </w:p>
    <w:p>
      <w:pPr>
        <w:snapToGrid w:val="0"/>
        <w:spacing w:line="360" w:lineRule="auto"/>
        <w:ind w:firstLine="319" w:firstLineChars="133"/>
        <w:jc w:val="left"/>
        <w:rPr>
          <w:b/>
          <w:sz w:val="24"/>
        </w:rPr>
      </w:pPr>
      <w:r>
        <w:rPr>
          <w:rFonts w:hint="eastAsia" w:ascii="宋体" w:hAnsi="宋体"/>
          <w:color w:val="000000"/>
          <w:sz w:val="24"/>
        </w:rPr>
        <w:t>2.投标人应按</w:t>
      </w:r>
      <w:r>
        <w:rPr>
          <w:rFonts w:hint="eastAsia" w:ascii="宋体" w:hAnsi="宋体"/>
          <w:b/>
          <w:bCs/>
          <w:sz w:val="24"/>
        </w:rPr>
        <w:t>资信文件、技术及商务文件、报价文件</w:t>
      </w:r>
      <w:r>
        <w:rPr>
          <w:rFonts w:ascii="宋体" w:hAnsi="宋体"/>
          <w:sz w:val="24"/>
        </w:rPr>
        <w:t>正本</w:t>
      </w:r>
      <w:r>
        <w:rPr>
          <w:rFonts w:hint="eastAsia" w:ascii="宋体" w:hAnsi="宋体"/>
          <w:sz w:val="24"/>
        </w:rPr>
        <w:t>各1</w:t>
      </w:r>
      <w:r>
        <w:rPr>
          <w:rFonts w:ascii="宋体" w:hAnsi="宋体"/>
          <w:sz w:val="24"/>
        </w:rPr>
        <w:t>份</w:t>
      </w:r>
      <w:r>
        <w:rPr>
          <w:rFonts w:hint="eastAsia" w:ascii="宋体" w:hAnsi="宋体"/>
          <w:sz w:val="24"/>
        </w:rPr>
        <w:t>，</w:t>
      </w:r>
      <w:r>
        <w:rPr>
          <w:rFonts w:ascii="宋体" w:hAnsi="宋体"/>
          <w:sz w:val="24"/>
        </w:rPr>
        <w:t>副本</w:t>
      </w:r>
      <w:r>
        <w:rPr>
          <w:rFonts w:hint="eastAsia" w:ascii="宋体" w:hAnsi="宋体"/>
          <w:sz w:val="24"/>
        </w:rPr>
        <w:t>各</w:t>
      </w:r>
      <w:r>
        <w:rPr>
          <w:rFonts w:hint="eastAsia" w:ascii="宋体" w:hAnsi="宋体"/>
          <w:sz w:val="24"/>
          <w:u w:val="single"/>
        </w:rPr>
        <w:t>4</w:t>
      </w:r>
      <w:r>
        <w:rPr>
          <w:rFonts w:hint="eastAsia" w:ascii="宋体" w:hAnsi="宋体"/>
          <w:color w:val="000000"/>
          <w:sz w:val="24"/>
        </w:rPr>
        <w:t>份</w:t>
      </w:r>
      <w:r>
        <w:rPr>
          <w:rFonts w:hint="eastAsia" w:ascii="宋体" w:hAnsi="宋体"/>
          <w:sz w:val="24"/>
        </w:rPr>
        <w:t>分别编制并</w:t>
      </w:r>
      <w:r>
        <w:rPr>
          <w:rFonts w:hint="eastAsia" w:ascii="宋体" w:hAnsi="宋体"/>
          <w:color w:val="000000"/>
          <w:sz w:val="24"/>
        </w:rPr>
        <w:t>单独装订成册，投标文件的封面应注明“正本”、“副本”字样。</w:t>
      </w:r>
      <w:r>
        <w:rPr>
          <w:rFonts w:hint="eastAsia" w:ascii="宋体" w:hAnsi="宋体"/>
          <w:b/>
          <w:color w:val="000000"/>
          <w:sz w:val="24"/>
        </w:rPr>
        <w:t>推荐使用胶装订本</w:t>
      </w:r>
      <w:r>
        <w:rPr>
          <w:sz w:val="24"/>
        </w:rPr>
        <w:t>，</w:t>
      </w:r>
      <w:r>
        <w:rPr>
          <w:b/>
          <w:sz w:val="24"/>
        </w:rPr>
        <w:t>活页的投标文件将被拒绝</w:t>
      </w:r>
      <w:r>
        <w:rPr>
          <w:rFonts w:hint="eastAsia" w:ascii="宋体" w:hAnsi="宋体"/>
          <w:b/>
          <w:sz w:val="24"/>
          <w:lang w:val="zh-CN"/>
        </w:rPr>
        <w:t>（活页装订是指用卡条、抽杆夹、订书机等形式装订，使标书可以拆卸或者在翻动过程中易脱落的一种装订方式）</w:t>
      </w:r>
      <w:r>
        <w:rPr>
          <w:b/>
          <w:sz w:val="24"/>
        </w:rPr>
        <w:t xml:space="preserve">。 </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3.投标文件的正本需打印或用不褪色的墨水填写。正本与副本内容不一致的，以正本为准。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4.投标文件须由投标人在规定位置盖章并由法定代表人或其委托代理人签署，投标人应写全称。</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5.投标文件不得涂改，若有修改错漏处，须加盖单位公章或者法定代表人或其委托代理人签字或盖章。投标文件因字迹潦草或表达不清所引起的后果由投标人负责。</w:t>
      </w:r>
    </w:p>
    <w:p>
      <w:pPr>
        <w:snapToGrid w:val="0"/>
        <w:spacing w:line="360" w:lineRule="auto"/>
        <w:ind w:firstLine="318" w:firstLineChars="132"/>
        <w:jc w:val="left"/>
        <w:rPr>
          <w:rFonts w:ascii="宋体" w:hAnsi="宋体"/>
          <w:b/>
          <w:sz w:val="24"/>
        </w:rPr>
      </w:pPr>
      <w:r>
        <w:rPr>
          <w:rFonts w:hint="eastAsia" w:ascii="宋体" w:hAnsi="宋体"/>
          <w:b/>
          <w:sz w:val="24"/>
        </w:rPr>
        <w:t>（七）投标文件的包装、递交、修改和撤回</w:t>
      </w:r>
    </w:p>
    <w:p>
      <w:pPr>
        <w:pStyle w:val="6"/>
        <w:snapToGrid w:val="0"/>
        <w:spacing w:line="360" w:lineRule="auto"/>
        <w:ind w:firstLine="434" w:firstLineChars="181"/>
        <w:rPr>
          <w:rFonts w:ascii="宋体" w:hAnsi="宋体"/>
          <w:sz w:val="24"/>
        </w:rPr>
      </w:pPr>
      <w:r>
        <w:rPr>
          <w:rFonts w:hint="eastAsia" w:ascii="宋体" w:hAnsi="宋体"/>
          <w:sz w:val="24"/>
        </w:rPr>
        <w:t>1.投标人应按资信文件、技术及商务文件、报价文件三部分分别密封封装投标文件， [参照《</w:t>
      </w:r>
      <w:r>
        <w:rPr>
          <w:rFonts w:ascii="宋体" w:hAnsi="宋体"/>
          <w:b/>
          <w:sz w:val="24"/>
        </w:rPr>
        <w:t>投标文件</w:t>
      </w:r>
      <w:r>
        <w:rPr>
          <w:rFonts w:hint="eastAsia" w:ascii="宋体" w:hAnsi="宋体"/>
          <w:b/>
          <w:sz w:val="24"/>
        </w:rPr>
        <w:t>外层包装</w:t>
      </w:r>
      <w:r>
        <w:rPr>
          <w:rFonts w:ascii="宋体" w:hAnsi="宋体"/>
          <w:b/>
          <w:sz w:val="24"/>
        </w:rPr>
        <w:t>封面格式</w:t>
      </w:r>
      <w:r>
        <w:rPr>
          <w:rFonts w:hint="eastAsia" w:ascii="宋体" w:hAnsi="宋体"/>
          <w:b/>
          <w:sz w:val="24"/>
        </w:rPr>
        <w:t>》</w:t>
      </w:r>
      <w:r>
        <w:rPr>
          <w:rFonts w:hint="eastAsia" w:ascii="宋体" w:hAnsi="宋体"/>
          <w:sz w:val="24"/>
        </w:rPr>
        <w:t>（见附件）的要求]在包装封面上注明投标人名称、</w:t>
      </w:r>
      <w:r>
        <w:rPr>
          <w:rFonts w:ascii="宋体" w:hAnsi="宋体"/>
          <w:sz w:val="24"/>
        </w:rPr>
        <w:t>投标人地址</w:t>
      </w:r>
      <w:r>
        <w:rPr>
          <w:rFonts w:hint="eastAsia" w:ascii="宋体" w:hAnsi="宋体"/>
          <w:sz w:val="24"/>
        </w:rPr>
        <w:t>、投标文件名称（资信文件或者技术及商务文件、报价文件等）、投标项目名称、项目编号等内容，并加盖投标人公章。</w:t>
      </w:r>
    </w:p>
    <w:p>
      <w:pPr>
        <w:pStyle w:val="6"/>
        <w:snapToGrid w:val="0"/>
        <w:spacing w:line="360" w:lineRule="auto"/>
        <w:ind w:firstLine="434" w:firstLineChars="181"/>
        <w:rPr>
          <w:rFonts w:ascii="宋体" w:hAnsi="宋体"/>
          <w:bCs/>
          <w:sz w:val="24"/>
        </w:rPr>
      </w:pPr>
      <w:r>
        <w:rPr>
          <w:rFonts w:hint="eastAsia" w:ascii="宋体" w:hAnsi="宋体"/>
          <w:sz w:val="24"/>
        </w:rPr>
        <w:t>2.</w:t>
      </w:r>
      <w:r>
        <w:rPr>
          <w:rFonts w:hint="eastAsia" w:ascii="宋体" w:hAnsi="宋体"/>
          <w:bCs/>
          <w:sz w:val="24"/>
        </w:rPr>
        <w:t>未按规定密封或标记的投标文件将被拒绝。</w:t>
      </w:r>
    </w:p>
    <w:p>
      <w:pPr>
        <w:pStyle w:val="6"/>
        <w:snapToGrid w:val="0"/>
        <w:spacing w:line="360" w:lineRule="auto"/>
        <w:ind w:firstLine="434" w:firstLineChars="181"/>
        <w:rPr>
          <w:rFonts w:ascii="宋体" w:hAnsi="宋体"/>
          <w:bCs/>
          <w:sz w:val="24"/>
        </w:rPr>
      </w:pPr>
      <w:r>
        <w:rPr>
          <w:rFonts w:hint="eastAsia" w:ascii="宋体" w:hAnsi="宋体"/>
          <w:sz w:val="24"/>
        </w:rPr>
        <w:t>3.</w:t>
      </w:r>
      <w:r>
        <w:rPr>
          <w:rFonts w:hint="eastAsia" w:ascii="宋体" w:hAnsi="宋体"/>
          <w:bCs/>
          <w:sz w:val="24"/>
        </w:rPr>
        <w:t>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pPr>
        <w:snapToGrid w:val="0"/>
        <w:spacing w:line="360" w:lineRule="auto"/>
        <w:ind w:firstLine="482"/>
        <w:outlineLvl w:val="2"/>
        <w:rPr>
          <w:rFonts w:ascii="仿宋_GB2312" w:hAnsi="宋体"/>
          <w:b/>
          <w:sz w:val="24"/>
        </w:rPr>
      </w:pPr>
      <w:bookmarkStart w:id="19" w:name="_Toc177870552"/>
      <w:r>
        <w:rPr>
          <w:rFonts w:hint="eastAsia" w:ascii="仿宋_GB2312" w:hAnsi="宋体"/>
          <w:b/>
          <w:sz w:val="24"/>
        </w:rPr>
        <w:t>（八）投标无效的情形</w:t>
      </w:r>
      <w:bookmarkEnd w:id="19"/>
    </w:p>
    <w:p>
      <w:pPr>
        <w:snapToGrid w:val="0"/>
        <w:spacing w:line="360" w:lineRule="auto"/>
        <w:ind w:firstLine="480"/>
        <w:rPr>
          <w:rFonts w:ascii="仿宋_GB2312" w:hAnsi="宋体"/>
          <w:sz w:val="24"/>
        </w:rPr>
      </w:pPr>
      <w:r>
        <w:rPr>
          <w:rFonts w:hint="eastAsia" w:ascii="仿宋_GB2312" w:hAnsi="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val="0"/>
        <w:autoSpaceDN w:val="0"/>
        <w:adjustRightInd w:val="0"/>
        <w:spacing w:line="360" w:lineRule="auto"/>
        <w:ind w:firstLine="480"/>
        <w:rPr>
          <w:rFonts w:ascii="宋体"/>
          <w:sz w:val="24"/>
          <w:lang w:val="zh-CN"/>
        </w:rPr>
      </w:pPr>
      <w:r>
        <w:rPr>
          <w:rFonts w:ascii="宋体"/>
          <w:sz w:val="24"/>
          <w:lang w:val="zh-CN"/>
        </w:rPr>
        <w:t>1.</w:t>
      </w:r>
      <w:r>
        <w:rPr>
          <w:rFonts w:hint="eastAsia" w:ascii="宋体"/>
          <w:sz w:val="24"/>
          <w:lang w:val="zh-CN"/>
        </w:rPr>
        <w:t>在符合性审查和商务评议时，如发现下列情形之一的，投标文件将被视为无效投标：</w:t>
      </w:r>
    </w:p>
    <w:p>
      <w:pPr>
        <w:autoSpaceDE w:val="0"/>
        <w:autoSpaceDN w:val="0"/>
        <w:adjustRightInd w:val="0"/>
        <w:spacing w:line="360" w:lineRule="auto"/>
        <w:ind w:firstLine="480"/>
        <w:rPr>
          <w:rFonts w:hAnsi="宋体"/>
          <w:snapToGrid w:val="0"/>
          <w:sz w:val="24"/>
        </w:rPr>
      </w:pPr>
      <w:r>
        <w:rPr>
          <w:rFonts w:hint="eastAsia" w:ascii="宋体"/>
          <w:sz w:val="24"/>
          <w:lang w:val="zh-CN"/>
        </w:rPr>
        <w:t>（</w:t>
      </w:r>
      <w:r>
        <w:rPr>
          <w:rFonts w:hAnsi="宋体"/>
          <w:snapToGrid w:val="0"/>
          <w:sz w:val="24"/>
        </w:rPr>
        <w:t>1</w:t>
      </w:r>
      <w:r>
        <w:rPr>
          <w:rFonts w:hint="eastAsia" w:hAnsi="宋体"/>
          <w:snapToGrid w:val="0"/>
          <w:sz w:val="24"/>
        </w:rPr>
        <w:t>）投标文件超过投标截止时间送达的或未按规定地点送达的；</w:t>
      </w:r>
    </w:p>
    <w:p>
      <w:pPr>
        <w:autoSpaceDE w:val="0"/>
        <w:autoSpaceDN w:val="0"/>
        <w:adjustRightInd w:val="0"/>
        <w:spacing w:line="360" w:lineRule="auto"/>
        <w:ind w:firstLine="480"/>
        <w:rPr>
          <w:rFonts w:hAnsi="宋体"/>
          <w:snapToGrid w:val="0"/>
          <w:sz w:val="24"/>
        </w:rPr>
      </w:pPr>
      <w:r>
        <w:rPr>
          <w:rFonts w:hint="eastAsia" w:hAnsi="宋体"/>
          <w:snapToGrid w:val="0"/>
          <w:sz w:val="24"/>
        </w:rPr>
        <w:t>（2）未按规定密封、签字、签章、装订的；</w:t>
      </w:r>
    </w:p>
    <w:p>
      <w:pPr>
        <w:autoSpaceDE w:val="0"/>
        <w:autoSpaceDN w:val="0"/>
        <w:adjustRightInd w:val="0"/>
        <w:spacing w:line="360" w:lineRule="auto"/>
        <w:ind w:firstLine="480"/>
        <w:rPr>
          <w:rFonts w:hAnsi="宋体"/>
          <w:snapToGrid w:val="0"/>
          <w:sz w:val="24"/>
        </w:rPr>
      </w:pPr>
      <w:r>
        <w:rPr>
          <w:rFonts w:hint="eastAsia" w:hAnsi="宋体"/>
          <w:snapToGrid w:val="0"/>
          <w:sz w:val="24"/>
        </w:rPr>
        <w:t>（3）超出经营范围投标的；</w:t>
      </w:r>
    </w:p>
    <w:p>
      <w:pPr>
        <w:autoSpaceDE w:val="0"/>
        <w:autoSpaceDN w:val="0"/>
        <w:adjustRightInd w:val="0"/>
        <w:spacing w:line="360" w:lineRule="auto"/>
        <w:ind w:firstLine="480"/>
        <w:rPr>
          <w:rFonts w:hAnsi="宋体"/>
          <w:snapToGrid w:val="0"/>
          <w:sz w:val="24"/>
        </w:rPr>
      </w:pPr>
      <w:r>
        <w:rPr>
          <w:rFonts w:hint="eastAsia" w:hAnsi="宋体"/>
          <w:snapToGrid w:val="0"/>
          <w:sz w:val="24"/>
        </w:rPr>
        <w:t>（4）</w:t>
      </w:r>
      <w:r>
        <w:rPr>
          <w:rFonts w:hint="eastAsia" w:ascii="宋体" w:hAnsi="宋体"/>
          <w:b/>
          <w:sz w:val="24"/>
          <w:u w:val="single"/>
          <w:lang w:val="zh-CN"/>
        </w:rPr>
        <w:t>资格证明文件原件提供不全的，或者不符合招标文件标明的资格要求的</w:t>
      </w:r>
      <w:r>
        <w:rPr>
          <w:rFonts w:hint="eastAsia" w:ascii="宋体" w:hAnsi="宋体"/>
          <w:sz w:val="24"/>
        </w:rPr>
        <w:t>；</w:t>
      </w:r>
    </w:p>
    <w:p>
      <w:pPr>
        <w:autoSpaceDE w:val="0"/>
        <w:autoSpaceDN w:val="0"/>
        <w:adjustRightInd w:val="0"/>
        <w:spacing w:line="360" w:lineRule="auto"/>
        <w:ind w:firstLine="480"/>
        <w:rPr>
          <w:rFonts w:hAnsi="宋体"/>
          <w:snapToGrid w:val="0"/>
          <w:sz w:val="24"/>
        </w:rPr>
      </w:pPr>
      <w:r>
        <w:rPr>
          <w:rFonts w:hint="eastAsia" w:hAnsi="宋体"/>
          <w:snapToGrid w:val="0"/>
          <w:sz w:val="24"/>
        </w:rPr>
        <w:t>（5）投标文件无法定代表人或委托代理人签字</w:t>
      </w:r>
      <w:r>
        <w:rPr>
          <w:rFonts w:hAnsi="宋体"/>
          <w:snapToGrid w:val="0"/>
          <w:sz w:val="24"/>
        </w:rPr>
        <w:t>,</w:t>
      </w:r>
      <w:r>
        <w:rPr>
          <w:rFonts w:hint="eastAsia" w:hAnsi="宋体"/>
          <w:snapToGrid w:val="0"/>
          <w:sz w:val="24"/>
        </w:rPr>
        <w:t>委托代理的未提供法定代表人授权委托书或者委托书填写项目不齐全或者委托书无效的；</w:t>
      </w:r>
    </w:p>
    <w:p>
      <w:pPr>
        <w:autoSpaceDE w:val="0"/>
        <w:autoSpaceDN w:val="0"/>
        <w:adjustRightInd w:val="0"/>
        <w:spacing w:line="360" w:lineRule="auto"/>
        <w:ind w:firstLine="480"/>
        <w:rPr>
          <w:rFonts w:hAnsi="宋体"/>
          <w:snapToGrid w:val="0"/>
          <w:sz w:val="24"/>
        </w:rPr>
      </w:pPr>
      <w:r>
        <w:rPr>
          <w:rFonts w:hint="eastAsia" w:hAnsi="宋体"/>
          <w:snapToGrid w:val="0"/>
          <w:sz w:val="24"/>
        </w:rPr>
        <w:t>（6）投标代表人未能出具身份证明或与法定代表人、委托代理人身份不符的；</w:t>
      </w:r>
    </w:p>
    <w:p>
      <w:pPr>
        <w:autoSpaceDE w:val="0"/>
        <w:autoSpaceDN w:val="0"/>
        <w:adjustRightInd w:val="0"/>
        <w:spacing w:line="360" w:lineRule="auto"/>
        <w:ind w:firstLine="480"/>
        <w:rPr>
          <w:rFonts w:hAnsi="宋体"/>
          <w:snapToGrid w:val="0"/>
          <w:sz w:val="24"/>
        </w:rPr>
      </w:pPr>
      <w:r>
        <w:rPr>
          <w:rFonts w:hint="eastAsia" w:hAnsi="宋体"/>
          <w:snapToGrid w:val="0"/>
          <w:sz w:val="24"/>
        </w:rPr>
        <w:t>（7）投标文件内容虚假的；</w:t>
      </w:r>
    </w:p>
    <w:p>
      <w:pPr>
        <w:autoSpaceDE w:val="0"/>
        <w:autoSpaceDN w:val="0"/>
        <w:adjustRightInd w:val="0"/>
        <w:spacing w:line="360" w:lineRule="auto"/>
        <w:ind w:firstLine="480"/>
        <w:rPr>
          <w:rFonts w:hAnsi="宋体"/>
          <w:snapToGrid w:val="0"/>
          <w:sz w:val="24"/>
        </w:rPr>
      </w:pPr>
      <w:r>
        <w:rPr>
          <w:rFonts w:hint="eastAsia" w:hAnsi="宋体"/>
          <w:snapToGrid w:val="0"/>
          <w:sz w:val="24"/>
        </w:rPr>
        <w:t>（8）投标文件的实质性内容未使用中文表述、意思表述不明确、前后矛盾或者使用计量单位不符合招标文件要求的（经评标委员会认定允许其当场更正的笔误除外）；</w:t>
      </w:r>
    </w:p>
    <w:p>
      <w:pPr>
        <w:autoSpaceDE w:val="0"/>
        <w:autoSpaceDN w:val="0"/>
        <w:adjustRightInd w:val="0"/>
        <w:spacing w:line="360" w:lineRule="auto"/>
        <w:ind w:firstLine="480"/>
        <w:rPr>
          <w:rFonts w:ascii="宋体"/>
          <w:sz w:val="24"/>
          <w:lang w:val="zh-CN"/>
        </w:rPr>
      </w:pPr>
      <w:r>
        <w:rPr>
          <w:rFonts w:hint="eastAsia" w:hAnsi="宋体"/>
          <w:snapToGrid w:val="0"/>
          <w:sz w:val="24"/>
        </w:rPr>
        <w:t>（9）投标文件的关键内容字迹模糊、无法辨认的</w:t>
      </w:r>
      <w:r>
        <w:rPr>
          <w:rFonts w:hAnsi="宋体"/>
          <w:snapToGrid w:val="0"/>
          <w:sz w:val="24"/>
        </w:rPr>
        <w:t>,</w:t>
      </w:r>
      <w:r>
        <w:rPr>
          <w:rFonts w:hint="eastAsia" w:hAnsi="宋体"/>
          <w:snapToGrid w:val="0"/>
          <w:sz w:val="24"/>
        </w:rPr>
        <w:t>或者投标文件中经修正的内容字迹模糊难以</w:t>
      </w:r>
      <w:r>
        <w:rPr>
          <w:rFonts w:hint="eastAsia" w:ascii="宋体"/>
          <w:sz w:val="24"/>
          <w:lang w:val="zh-CN"/>
        </w:rPr>
        <w:t>辩认或者修改处未按规定签名盖章的；</w:t>
      </w:r>
      <w:r>
        <w:rPr>
          <w:rFonts w:ascii="宋体"/>
          <w:sz w:val="24"/>
          <w:lang w:val="zh-CN"/>
        </w:rPr>
        <w:t xml:space="preserve"> </w:t>
      </w:r>
    </w:p>
    <w:p>
      <w:pPr>
        <w:autoSpaceDE w:val="0"/>
        <w:autoSpaceDN w:val="0"/>
        <w:adjustRightInd w:val="0"/>
        <w:spacing w:line="360" w:lineRule="auto"/>
        <w:ind w:firstLine="480"/>
        <w:rPr>
          <w:rFonts w:hAnsi="宋体"/>
          <w:snapToGrid w:val="0"/>
          <w:sz w:val="24"/>
        </w:rPr>
      </w:pPr>
      <w:r>
        <w:rPr>
          <w:rFonts w:hint="eastAsia" w:hAnsi="宋体"/>
          <w:snapToGrid w:val="0"/>
          <w:sz w:val="24"/>
        </w:rPr>
        <w:t>（</w:t>
      </w:r>
      <w:r>
        <w:rPr>
          <w:rFonts w:hAnsi="宋体"/>
          <w:snapToGrid w:val="0"/>
          <w:sz w:val="24"/>
        </w:rPr>
        <w:t>1</w:t>
      </w:r>
      <w:r>
        <w:rPr>
          <w:rFonts w:hint="eastAsia" w:hAnsi="宋体"/>
          <w:snapToGrid w:val="0"/>
          <w:sz w:val="24"/>
        </w:rPr>
        <w:t>0）</w:t>
      </w:r>
      <w:r>
        <w:rPr>
          <w:rFonts w:hAnsi="宋体"/>
          <w:snapToGrid w:val="0"/>
          <w:sz w:val="24"/>
        </w:rPr>
        <w:t>投标有效期、</w:t>
      </w:r>
      <w:r>
        <w:rPr>
          <w:rFonts w:hint="eastAsia" w:hAnsi="宋体"/>
          <w:snapToGrid w:val="0"/>
          <w:sz w:val="24"/>
        </w:rPr>
        <w:t>交货期、</w:t>
      </w:r>
      <w:r>
        <w:rPr>
          <w:rFonts w:hint="eastAsia" w:hAnsi="宋体"/>
          <w:snapToGrid w:val="0"/>
          <w:sz w:val="24"/>
          <w:lang w:eastAsia="zh-CN"/>
        </w:rPr>
        <w:t>维护</w:t>
      </w:r>
      <w:r>
        <w:rPr>
          <w:rFonts w:hAnsi="宋体"/>
          <w:snapToGrid w:val="0"/>
          <w:sz w:val="24"/>
        </w:rPr>
        <w:t>期等商务条款不能满足招标文件要求的；</w:t>
      </w:r>
    </w:p>
    <w:p>
      <w:pPr>
        <w:snapToGrid w:val="0"/>
        <w:spacing w:line="360" w:lineRule="auto"/>
        <w:ind w:firstLine="501" w:firstLineChars="209"/>
        <w:rPr>
          <w:rFonts w:hAnsi="宋体"/>
          <w:snapToGrid w:val="0"/>
          <w:sz w:val="24"/>
        </w:rPr>
      </w:pPr>
      <w:r>
        <w:rPr>
          <w:rFonts w:hint="eastAsia" w:hAnsi="宋体"/>
          <w:snapToGrid w:val="0"/>
          <w:sz w:val="24"/>
        </w:rPr>
        <w:t>（</w:t>
      </w:r>
      <w:r>
        <w:rPr>
          <w:rFonts w:hAnsi="宋体"/>
          <w:snapToGrid w:val="0"/>
          <w:sz w:val="24"/>
        </w:rPr>
        <w:t>1</w:t>
      </w:r>
      <w:r>
        <w:rPr>
          <w:rFonts w:hint="eastAsia" w:hAnsi="宋体"/>
          <w:snapToGrid w:val="0"/>
          <w:sz w:val="24"/>
        </w:rPr>
        <w:t>1）未实质性</w:t>
      </w:r>
      <w:r>
        <w:rPr>
          <w:rFonts w:hAnsi="宋体"/>
          <w:snapToGrid w:val="0"/>
          <w:sz w:val="24"/>
        </w:rPr>
        <w:t>响应招标文件要求或者投标文件有招标方不能接受的附加条件的；</w:t>
      </w:r>
    </w:p>
    <w:p>
      <w:pPr>
        <w:snapToGrid w:val="0"/>
        <w:spacing w:line="360" w:lineRule="auto"/>
        <w:ind w:firstLine="475" w:firstLineChars="198"/>
        <w:rPr>
          <w:rFonts w:hAnsi="宋体"/>
          <w:snapToGrid w:val="0"/>
          <w:sz w:val="24"/>
        </w:rPr>
      </w:pPr>
      <w:r>
        <w:rPr>
          <w:rFonts w:hint="eastAsia" w:ascii="仿宋_GB2312" w:hAnsi="宋体"/>
          <w:color w:val="000000"/>
          <w:sz w:val="24"/>
        </w:rPr>
        <w:t>（12）投标人被视为串通投标的；</w:t>
      </w:r>
    </w:p>
    <w:p>
      <w:pPr>
        <w:snapToGrid w:val="0"/>
        <w:spacing w:line="360" w:lineRule="auto"/>
        <w:ind w:firstLine="501" w:firstLineChars="209"/>
        <w:rPr>
          <w:rFonts w:ascii="宋体" w:hAnsi="宋体"/>
          <w:b/>
          <w:sz w:val="24"/>
        </w:rPr>
      </w:pPr>
      <w:r>
        <w:rPr>
          <w:rFonts w:ascii="宋体"/>
          <w:sz w:val="24"/>
          <w:lang w:val="zh-CN"/>
        </w:rPr>
        <w:t>2.</w:t>
      </w:r>
      <w:r>
        <w:rPr>
          <w:rFonts w:hint="eastAsia" w:ascii="宋体"/>
          <w:sz w:val="24"/>
          <w:lang w:val="zh-CN"/>
        </w:rPr>
        <w:t>在技术评议时，如发现下列情形之一的，投标文件将被视为无效投标：</w:t>
      </w:r>
    </w:p>
    <w:p>
      <w:pPr>
        <w:autoSpaceDE w:val="0"/>
        <w:autoSpaceDN w:val="0"/>
        <w:adjustRightInd w:val="0"/>
        <w:spacing w:line="360" w:lineRule="auto"/>
        <w:ind w:firstLine="480"/>
        <w:rPr>
          <w:rFonts w:ascii="宋体"/>
          <w:sz w:val="24"/>
          <w:lang w:val="zh-CN"/>
        </w:rPr>
      </w:pPr>
      <w:r>
        <w:rPr>
          <w:rFonts w:ascii="宋体"/>
          <w:sz w:val="24"/>
          <w:lang w:val="zh-CN"/>
        </w:rPr>
        <w:t>（1）未提供或未如实提供投标</w:t>
      </w:r>
      <w:r>
        <w:rPr>
          <w:rFonts w:hint="eastAsia" w:ascii="宋体"/>
          <w:sz w:val="24"/>
          <w:lang w:val="zh-CN"/>
        </w:rPr>
        <w:t>项目</w:t>
      </w:r>
      <w:r>
        <w:rPr>
          <w:rFonts w:ascii="宋体"/>
          <w:sz w:val="24"/>
          <w:lang w:val="zh-CN"/>
        </w:rPr>
        <w:t>的技术参数，或者投标文件标明的响应或偏离与事实不符或虚假投标的；</w:t>
      </w:r>
    </w:p>
    <w:p>
      <w:pPr>
        <w:autoSpaceDE w:val="0"/>
        <w:autoSpaceDN w:val="0"/>
        <w:adjustRightInd w:val="0"/>
        <w:spacing w:line="360" w:lineRule="auto"/>
        <w:ind w:firstLine="480"/>
        <w:rPr>
          <w:rFonts w:ascii="宋体"/>
          <w:sz w:val="24"/>
          <w:lang w:val="zh-CN"/>
        </w:rPr>
      </w:pPr>
      <w:r>
        <w:rPr>
          <w:rFonts w:ascii="宋体"/>
          <w:sz w:val="24"/>
          <w:lang w:val="zh-CN"/>
        </w:rPr>
        <w:t>（2）明显不符合招标文件</w:t>
      </w:r>
      <w:r>
        <w:rPr>
          <w:rFonts w:hint="eastAsia" w:ascii="宋体"/>
          <w:sz w:val="24"/>
          <w:lang w:val="zh-CN"/>
        </w:rPr>
        <w:t>要求</w:t>
      </w:r>
      <w:r>
        <w:rPr>
          <w:rFonts w:ascii="宋体"/>
          <w:sz w:val="24"/>
          <w:lang w:val="zh-CN"/>
        </w:rPr>
        <w:t>的规格型号、质量标准；</w:t>
      </w:r>
    </w:p>
    <w:p>
      <w:pPr>
        <w:autoSpaceDE w:val="0"/>
        <w:autoSpaceDN w:val="0"/>
        <w:adjustRightInd w:val="0"/>
        <w:spacing w:line="360" w:lineRule="auto"/>
        <w:ind w:firstLine="480"/>
        <w:rPr>
          <w:rFonts w:ascii="宋体"/>
          <w:sz w:val="24"/>
          <w:lang w:val="zh-CN"/>
        </w:rPr>
      </w:pPr>
      <w:r>
        <w:rPr>
          <w:rFonts w:ascii="宋体"/>
          <w:sz w:val="24"/>
          <w:lang w:val="zh-CN"/>
        </w:rPr>
        <w:t>（3）</w:t>
      </w:r>
      <w:r>
        <w:rPr>
          <w:rFonts w:hint="eastAsia" w:ascii="宋体"/>
          <w:sz w:val="24"/>
          <w:lang w:val="zh-CN"/>
        </w:rPr>
        <w:t>与其他参加本次投标供应商的投标文件（技术商务资信文件）的文字表述内容相同连续20行以上或者差错相同2处以上的；</w:t>
      </w:r>
    </w:p>
    <w:p>
      <w:pPr>
        <w:autoSpaceDE w:val="0"/>
        <w:autoSpaceDN w:val="0"/>
        <w:adjustRightInd w:val="0"/>
        <w:spacing w:line="360" w:lineRule="auto"/>
        <w:ind w:firstLine="480"/>
        <w:rPr>
          <w:rFonts w:hAnsi="宋体"/>
          <w:sz w:val="24"/>
        </w:rPr>
      </w:pPr>
      <w:r>
        <w:rPr>
          <w:rFonts w:ascii="宋体"/>
          <w:sz w:val="24"/>
          <w:lang w:val="zh-CN"/>
        </w:rPr>
        <w:t>（4）投标技术方案不明确，存在一个或一个以上备选（替代）</w:t>
      </w:r>
      <w:r>
        <w:rPr>
          <w:rFonts w:hAnsi="宋体"/>
          <w:sz w:val="24"/>
        </w:rPr>
        <w:t>投标方案的；</w:t>
      </w:r>
    </w:p>
    <w:p>
      <w:pPr>
        <w:autoSpaceDE w:val="0"/>
        <w:autoSpaceDN w:val="0"/>
        <w:adjustRightInd w:val="0"/>
        <w:spacing w:line="360" w:lineRule="auto"/>
        <w:ind w:firstLine="480"/>
        <w:rPr>
          <w:rFonts w:ascii="宋体"/>
          <w:sz w:val="24"/>
          <w:lang w:val="zh-CN"/>
        </w:rPr>
      </w:pPr>
      <w:r>
        <w:rPr>
          <w:rFonts w:ascii="宋体"/>
          <w:sz w:val="24"/>
          <w:lang w:val="zh-CN"/>
        </w:rPr>
        <w:t>3.</w:t>
      </w:r>
      <w:r>
        <w:rPr>
          <w:rFonts w:hint="eastAsia" w:ascii="宋体"/>
          <w:sz w:val="24"/>
          <w:lang w:val="zh-CN"/>
        </w:rPr>
        <w:t>在报价评议时，如发现下列情形之一的，投标文件将被视为无效投标：</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）未采用人民币报价或者未按照招标文件标明的币种报价的；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2</w:t>
      </w:r>
      <w:r>
        <w:rPr>
          <w:rFonts w:hint="eastAsia" w:ascii="宋体"/>
          <w:sz w:val="24"/>
          <w:lang w:val="zh-CN"/>
        </w:rPr>
        <w:t>）投标报价超出招标文件规定的上限价的；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3</w:t>
      </w:r>
      <w:r>
        <w:rPr>
          <w:rFonts w:hint="eastAsia" w:ascii="宋体"/>
          <w:sz w:val="24"/>
          <w:lang w:val="zh-CN"/>
        </w:rPr>
        <w:t>）开标一览表中的投标报价合计与投标报价明细表的总价不一致的；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4</w:t>
      </w:r>
      <w:r>
        <w:rPr>
          <w:rFonts w:hint="eastAsia" w:ascii="宋体"/>
          <w:sz w:val="24"/>
          <w:lang w:val="zh-CN"/>
        </w:rPr>
        <w:t>）投标报价具有选择性，唱标价格与投标文件承诺的优惠</w:t>
      </w:r>
      <w:r>
        <w:rPr>
          <w:rFonts w:ascii="宋体"/>
          <w:sz w:val="24"/>
          <w:lang w:val="zh-CN"/>
        </w:rPr>
        <w:t>/</w:t>
      </w:r>
      <w:r>
        <w:rPr>
          <w:rFonts w:hint="eastAsia" w:ascii="宋体"/>
          <w:sz w:val="24"/>
          <w:lang w:val="zh-CN"/>
        </w:rPr>
        <w:t>折扣后价格不一致的；</w:t>
      </w:r>
    </w:p>
    <w:p>
      <w:pPr>
        <w:autoSpaceDE w:val="0"/>
        <w:autoSpaceDN w:val="0"/>
        <w:adjustRightInd w:val="0"/>
        <w:spacing w:line="360" w:lineRule="auto"/>
        <w:ind w:firstLine="480"/>
        <w:rPr>
          <w:rFonts w:ascii="宋体"/>
          <w:sz w:val="24"/>
          <w:lang w:val="zh-CN"/>
        </w:rPr>
      </w:pPr>
      <w:r>
        <w:rPr>
          <w:rFonts w:hint="eastAsia" w:ascii="宋体"/>
          <w:sz w:val="24"/>
          <w:lang w:val="zh-CN"/>
        </w:rPr>
        <w:t>★</w:t>
      </w:r>
      <w:r>
        <w:rPr>
          <w:rFonts w:ascii="宋体"/>
          <w:sz w:val="24"/>
          <w:lang w:val="zh-CN"/>
        </w:rPr>
        <w:t>4.</w:t>
      </w:r>
      <w:r>
        <w:rPr>
          <w:rFonts w:hint="eastAsia" w:ascii="宋体"/>
          <w:sz w:val="24"/>
          <w:lang w:val="zh-CN"/>
        </w:rPr>
        <w:t>符合招标文件明确规定的其他无效投标条款的。</w:t>
      </w:r>
    </w:p>
    <w:p>
      <w:pPr>
        <w:autoSpaceDE w:val="0"/>
        <w:autoSpaceDN w:val="0"/>
        <w:adjustRightInd w:val="0"/>
        <w:spacing w:line="360" w:lineRule="auto"/>
        <w:ind w:firstLine="480"/>
        <w:rPr>
          <w:rFonts w:ascii="宋体"/>
          <w:sz w:val="24"/>
          <w:lang w:val="zh-CN"/>
        </w:rPr>
      </w:pPr>
      <w:r>
        <w:rPr>
          <w:rFonts w:ascii="宋体"/>
          <w:sz w:val="24"/>
          <w:lang w:val="zh-CN"/>
        </w:rPr>
        <w:t>5.</w:t>
      </w:r>
      <w:r>
        <w:rPr>
          <w:rFonts w:hint="eastAsia" w:ascii="宋体"/>
          <w:sz w:val="24"/>
          <w:lang w:val="zh-CN"/>
        </w:rPr>
        <w:t>有下列情形之一的，投标无效且将投标文件、询标记录等报同级政府采购监管部门或有关职能部门查处：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）未如实提供产品质量、性能等方面的缺陷或停产淘汰、债权债务、违法记录信息，影响或者可能影响中标结果的；</w:t>
      </w:r>
    </w:p>
    <w:p>
      <w:pPr>
        <w:snapToGrid w:val="0"/>
        <w:spacing w:line="360" w:lineRule="auto"/>
        <w:ind w:firstLine="360" w:firstLineChars="150"/>
        <w:rPr>
          <w:rFonts w:ascii="宋体" w:hAnsi="宋体"/>
          <w:snapToGrid w:val="0"/>
          <w:sz w:val="24"/>
        </w:rPr>
      </w:pPr>
      <w:r>
        <w:rPr>
          <w:rFonts w:hint="eastAsia" w:ascii="宋体"/>
          <w:sz w:val="24"/>
          <w:lang w:val="zh-CN"/>
        </w:rPr>
        <w:t>（</w:t>
      </w:r>
      <w:r>
        <w:rPr>
          <w:rFonts w:ascii="宋体"/>
          <w:sz w:val="24"/>
          <w:lang w:val="zh-CN"/>
        </w:rPr>
        <w:t>2</w:t>
      </w:r>
      <w:r>
        <w:rPr>
          <w:rFonts w:hint="eastAsia" w:ascii="宋体"/>
          <w:sz w:val="24"/>
          <w:lang w:val="zh-CN"/>
        </w:rPr>
        <w:t>）政府采购活动中存在违法行为的；</w:t>
      </w:r>
    </w:p>
    <w:p>
      <w:pPr>
        <w:pStyle w:val="17"/>
        <w:snapToGrid w:val="0"/>
        <w:spacing w:after="0" w:line="360" w:lineRule="auto"/>
        <w:ind w:left="0" w:leftChars="0" w:firstLine="482" w:firstLineChars="200"/>
        <w:outlineLvl w:val="1"/>
        <w:rPr>
          <w:rFonts w:ascii="宋体" w:hAnsi="宋体"/>
          <w:b/>
          <w:sz w:val="24"/>
        </w:rPr>
      </w:pPr>
      <w:bookmarkStart w:id="20" w:name="_Toc177870553"/>
      <w:r>
        <w:rPr>
          <w:rFonts w:hint="eastAsia" w:ascii="宋体" w:hAnsi="宋体"/>
          <w:b/>
          <w:sz w:val="24"/>
        </w:rPr>
        <w:t>四、开标</w:t>
      </w:r>
      <w:bookmarkEnd w:id="20"/>
    </w:p>
    <w:p>
      <w:pPr>
        <w:pStyle w:val="17"/>
        <w:snapToGrid w:val="0"/>
        <w:spacing w:after="0" w:line="360" w:lineRule="auto"/>
        <w:ind w:left="0" w:leftChars="0" w:firstLine="354" w:firstLineChars="147"/>
        <w:outlineLvl w:val="1"/>
        <w:rPr>
          <w:rFonts w:ascii="宋体" w:hAnsi="宋体"/>
          <w:b/>
          <w:sz w:val="24"/>
        </w:rPr>
      </w:pPr>
      <w:r>
        <w:rPr>
          <w:rFonts w:hint="eastAsia" w:ascii="宋体" w:hAnsi="宋体"/>
          <w:b/>
          <w:sz w:val="24"/>
        </w:rPr>
        <w:t>（一）开标准备</w:t>
      </w:r>
    </w:p>
    <w:p>
      <w:pPr>
        <w:pStyle w:val="17"/>
        <w:snapToGrid w:val="0"/>
        <w:spacing w:after="0" w:line="360" w:lineRule="auto"/>
        <w:ind w:left="0" w:leftChars="0" w:firstLine="480" w:firstLineChars="200"/>
        <w:outlineLvl w:val="1"/>
        <w:rPr>
          <w:rFonts w:ascii="宋体" w:hAnsi="宋体"/>
          <w:sz w:val="24"/>
        </w:rPr>
      </w:pPr>
      <w:r>
        <w:rPr>
          <w:rFonts w:hint="eastAsia" w:ascii="宋体" w:hAnsi="宋体"/>
          <w:sz w:val="24"/>
        </w:rPr>
        <w:t>采购机构将在规定的时间和地点进行开标，投标人的法定代表人或其委托代理人参加开标会并签到。</w:t>
      </w:r>
    </w:p>
    <w:p>
      <w:pPr>
        <w:pStyle w:val="22"/>
        <w:snapToGrid w:val="0"/>
        <w:spacing w:line="360" w:lineRule="auto"/>
        <w:ind w:firstLine="354" w:firstLineChars="147"/>
        <w:rPr>
          <w:rFonts w:hAnsi="宋体"/>
          <w:b/>
          <w:color w:val="FF0000"/>
          <w:sz w:val="24"/>
        </w:rPr>
      </w:pPr>
      <w:r>
        <w:rPr>
          <w:rFonts w:hint="eastAsia" w:hAnsi="宋体"/>
          <w:b/>
          <w:sz w:val="24"/>
        </w:rPr>
        <w:t xml:space="preserve">（二） </w:t>
      </w:r>
      <w:r>
        <w:rPr>
          <w:rFonts w:hint="eastAsia" w:hAnsi="宋体"/>
          <w:b/>
          <w:color w:val="000000"/>
          <w:sz w:val="24"/>
        </w:rPr>
        <w:t>开标程序：</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1.开标会由采购机构主持，主持人宣布开标会议开始；</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 xml:space="preserve">2.介绍参加开标会的人员名单； </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3.对投标人的法定代表人或委托代理人的身份进行验证；</w:t>
      </w:r>
    </w:p>
    <w:p>
      <w:pPr>
        <w:autoSpaceDE w:val="0"/>
        <w:autoSpaceDN w:val="0"/>
        <w:adjustRightInd w:val="0"/>
        <w:spacing w:line="440" w:lineRule="exact"/>
        <w:ind w:firstLine="480"/>
        <w:rPr>
          <w:rFonts w:hint="eastAsia" w:ascii="宋体" w:hAnsi="宋体"/>
          <w:sz w:val="24"/>
          <w:lang w:val="zh-CN"/>
        </w:rPr>
      </w:pPr>
      <w:r>
        <w:rPr>
          <w:rFonts w:hint="eastAsia" w:ascii="宋体" w:hAnsi="宋体"/>
          <w:sz w:val="24"/>
          <w:lang w:val="zh-CN"/>
        </w:rPr>
        <w:t>4.打开资信、技术及商务文件外包装，清点正本、副本数量，符合招标文件要求的进行评审；不符合要求的，不予评审，并由投标人代表签字确认；</w:t>
      </w:r>
    </w:p>
    <w:p>
      <w:pPr>
        <w:autoSpaceDE w:val="0"/>
        <w:autoSpaceDN w:val="0"/>
        <w:adjustRightInd w:val="0"/>
        <w:spacing w:line="440" w:lineRule="exact"/>
        <w:ind w:firstLine="480"/>
        <w:rPr>
          <w:rFonts w:hint="eastAsia" w:ascii="宋体" w:hAnsi="宋体"/>
          <w:sz w:val="24"/>
          <w:lang w:val="zh-CN"/>
        </w:rPr>
      </w:pPr>
      <w:r>
        <w:rPr>
          <w:rFonts w:hint="eastAsia" w:ascii="宋体" w:hAnsi="宋体"/>
          <w:sz w:val="24"/>
          <w:lang w:val="zh-CN"/>
        </w:rPr>
        <w:t>5.资信、技术及商务文件评审结束后，由主持人公布评分结果；</w:t>
      </w:r>
    </w:p>
    <w:p>
      <w:pPr>
        <w:autoSpaceDE w:val="0"/>
        <w:autoSpaceDN w:val="0"/>
        <w:adjustRightInd w:val="0"/>
        <w:spacing w:line="440" w:lineRule="exact"/>
        <w:ind w:firstLine="480"/>
        <w:rPr>
          <w:rFonts w:hint="eastAsia" w:ascii="宋体" w:hAnsi="宋体"/>
          <w:sz w:val="24"/>
          <w:lang w:val="zh-CN"/>
        </w:rPr>
      </w:pPr>
      <w:r>
        <w:rPr>
          <w:rFonts w:hint="eastAsia" w:ascii="宋体" w:hAnsi="宋体"/>
          <w:sz w:val="24"/>
          <w:lang w:val="zh-CN"/>
        </w:rPr>
        <w:t>6.宣布有效投标人名单，并宣读有效投标人的投标报价；</w:t>
      </w:r>
    </w:p>
    <w:p>
      <w:pPr>
        <w:autoSpaceDE w:val="0"/>
        <w:autoSpaceDN w:val="0"/>
        <w:adjustRightInd w:val="0"/>
        <w:spacing w:line="440" w:lineRule="exact"/>
        <w:ind w:firstLine="480"/>
        <w:rPr>
          <w:rFonts w:hint="eastAsia" w:ascii="宋体" w:hAnsi="宋体"/>
          <w:sz w:val="24"/>
          <w:lang w:val="zh-CN"/>
        </w:rPr>
      </w:pPr>
      <w:r>
        <w:rPr>
          <w:rFonts w:hint="eastAsia" w:ascii="宋体" w:hAnsi="宋体"/>
          <w:sz w:val="24"/>
          <w:lang w:val="zh-CN"/>
        </w:rPr>
        <w:t>7.宣布本项目的拟中标候选人；</w:t>
      </w:r>
    </w:p>
    <w:p>
      <w:pPr>
        <w:autoSpaceDE w:val="0"/>
        <w:autoSpaceDN w:val="0"/>
        <w:adjustRightInd w:val="0"/>
        <w:spacing w:line="440" w:lineRule="exact"/>
        <w:ind w:firstLine="480"/>
        <w:rPr>
          <w:rFonts w:hint="eastAsia" w:ascii="宋体" w:hAnsi="宋体"/>
          <w:sz w:val="24"/>
          <w:lang w:val="zh-CN"/>
        </w:rPr>
      </w:pPr>
      <w:r>
        <w:rPr>
          <w:rFonts w:hint="eastAsia" w:ascii="宋体" w:hAnsi="宋体"/>
          <w:sz w:val="24"/>
          <w:lang w:val="zh-CN"/>
        </w:rPr>
        <w:t>8.开标会议结束。</w:t>
      </w:r>
    </w:p>
    <w:p>
      <w:pPr>
        <w:autoSpaceDE w:val="0"/>
        <w:autoSpaceDN w:val="0"/>
        <w:adjustRightInd w:val="0"/>
        <w:spacing w:line="360" w:lineRule="auto"/>
        <w:ind w:firstLine="482" w:firstLineChars="200"/>
        <w:rPr>
          <w:rFonts w:ascii="宋体" w:hAnsi="宋体"/>
          <w:b/>
          <w:sz w:val="24"/>
          <w:lang w:val="zh-CN"/>
        </w:rPr>
      </w:pPr>
      <w:r>
        <w:rPr>
          <w:rFonts w:hint="eastAsia" w:ascii="宋体" w:hAnsi="宋体"/>
          <w:b/>
          <w:sz w:val="24"/>
          <w:lang w:val="zh-CN"/>
        </w:rPr>
        <w:t>五、评标</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（一）组建评标委员会</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采购机构依法组建由</w:t>
      </w:r>
      <w:r>
        <w:rPr>
          <w:rFonts w:ascii="宋体" w:hAnsi="宋体"/>
          <w:sz w:val="24"/>
          <w:lang w:val="zh-CN"/>
        </w:rPr>
        <w:t>5</w:t>
      </w:r>
      <w:r>
        <w:rPr>
          <w:rFonts w:hint="eastAsia" w:ascii="宋体" w:hAnsi="宋体"/>
          <w:sz w:val="24"/>
          <w:lang w:val="zh-CN"/>
        </w:rPr>
        <w:t>人以上（含）奇数的人员组成的评标委员会，负责对投标文件进行审查、质询、评审和比较等。评标委员会由采购人代表和政府采购咨询专家组成，其中政府采购咨询专家人数不少于成员总数的三分之二。</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（二）评标的依据</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评标的依据为招标文件和投标文件。</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（三）</w:t>
      </w:r>
      <w:r>
        <w:rPr>
          <w:rFonts w:ascii="宋体" w:hAnsi="宋体"/>
          <w:b/>
          <w:sz w:val="24"/>
          <w:lang w:val="zh-CN"/>
        </w:rPr>
        <w:t xml:space="preserve"> </w:t>
      </w:r>
      <w:r>
        <w:rPr>
          <w:rFonts w:hint="eastAsia" w:ascii="宋体" w:hAnsi="宋体"/>
          <w:b/>
          <w:sz w:val="24"/>
          <w:lang w:val="zh-CN"/>
        </w:rPr>
        <w:t>评标程序</w:t>
      </w:r>
    </w:p>
    <w:p>
      <w:pPr>
        <w:autoSpaceDE w:val="0"/>
        <w:autoSpaceDN w:val="0"/>
        <w:adjustRightInd w:val="0"/>
        <w:spacing w:line="360"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形式审查</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评标委员会对投标人的资格和投标文件的完整性、合法性等进行审查。</w:t>
      </w:r>
    </w:p>
    <w:p>
      <w:pPr>
        <w:autoSpaceDE w:val="0"/>
        <w:autoSpaceDN w:val="0"/>
        <w:adjustRightInd w:val="0"/>
        <w:spacing w:line="360"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实质审查与比较</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1</w:t>
      </w:r>
      <w:r>
        <w:rPr>
          <w:rFonts w:hint="eastAsia" w:ascii="宋体" w:hAnsi="宋体"/>
          <w:sz w:val="24"/>
          <w:lang w:val="zh-CN"/>
        </w:rPr>
        <w:t>）评标委员会审查投标文件的实质性内容是否符合招标文件的实质性要求。</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2</w:t>
      </w:r>
      <w:r>
        <w:rPr>
          <w:rFonts w:hint="eastAsia" w:ascii="宋体" w:hAnsi="宋体"/>
          <w:sz w:val="24"/>
          <w:lang w:val="zh-CN"/>
        </w:rPr>
        <w:t>）评标委员会将根据投标人的投标文件进行审查、核对</w:t>
      </w:r>
      <w:r>
        <w:rPr>
          <w:rFonts w:ascii="宋体" w:hAnsi="宋体"/>
          <w:sz w:val="24"/>
          <w:lang w:val="zh-CN"/>
        </w:rPr>
        <w:t>,</w:t>
      </w:r>
      <w:r>
        <w:rPr>
          <w:rFonts w:hint="eastAsia" w:ascii="宋体" w:hAnsi="宋体"/>
          <w:sz w:val="24"/>
          <w:lang w:val="zh-CN"/>
        </w:rPr>
        <w:t>如有疑问</w:t>
      </w:r>
      <w:r>
        <w:rPr>
          <w:rFonts w:ascii="宋体" w:hAnsi="宋体"/>
          <w:sz w:val="24"/>
          <w:lang w:val="zh-CN"/>
        </w:rPr>
        <w:t>,</w:t>
      </w:r>
      <w:r>
        <w:rPr>
          <w:rFonts w:hint="eastAsia" w:ascii="宋体" w:hAnsi="宋体"/>
          <w:sz w:val="24"/>
          <w:lang w:val="zh-CN"/>
        </w:rPr>
        <w:t>将对投标人进行询标</w:t>
      </w:r>
      <w:r>
        <w:rPr>
          <w:rFonts w:ascii="宋体" w:hAnsi="宋体"/>
          <w:sz w:val="24"/>
          <w:lang w:val="zh-CN"/>
        </w:rPr>
        <w:t>,</w:t>
      </w:r>
      <w:r>
        <w:rPr>
          <w:rFonts w:hint="eastAsia" w:ascii="宋体" w:hAnsi="宋体"/>
          <w:sz w:val="24"/>
          <w:lang w:val="zh-CN"/>
        </w:rPr>
        <w:t>投标人要向评标委员会澄清有关问题</w:t>
      </w:r>
      <w:r>
        <w:rPr>
          <w:rFonts w:ascii="宋体" w:hAnsi="宋体"/>
          <w:sz w:val="24"/>
          <w:lang w:val="zh-CN"/>
        </w:rPr>
        <w:t>,</w:t>
      </w:r>
      <w:r>
        <w:rPr>
          <w:rFonts w:hint="eastAsia" w:ascii="宋体" w:hAnsi="宋体"/>
          <w:sz w:val="24"/>
          <w:lang w:val="zh-CN"/>
        </w:rPr>
        <w:t>并最终以书面形式进行答复。</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3</w:t>
      </w:r>
      <w:r>
        <w:rPr>
          <w:rFonts w:hint="eastAsia" w:ascii="宋体" w:hAnsi="宋体"/>
          <w:sz w:val="24"/>
          <w:lang w:val="zh-CN"/>
        </w:rPr>
        <w:t>）各投标人的</w:t>
      </w:r>
      <w:r>
        <w:rPr>
          <w:rFonts w:hint="eastAsia" w:ascii="宋体" w:hAnsi="宋体"/>
          <w:sz w:val="24"/>
        </w:rPr>
        <w:t>技术商务资信及其他分</w:t>
      </w:r>
      <w:r>
        <w:rPr>
          <w:rFonts w:hint="eastAsia" w:ascii="宋体" w:hAnsi="宋体"/>
          <w:sz w:val="24"/>
          <w:lang w:val="zh-CN"/>
        </w:rPr>
        <w:t>按照评标委员会成员的独立评分结果汇总后的算术平均分计算。</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4</w:t>
      </w:r>
      <w:r>
        <w:rPr>
          <w:rFonts w:hint="eastAsia" w:ascii="宋体" w:hAnsi="宋体"/>
          <w:sz w:val="24"/>
          <w:lang w:val="zh-CN"/>
        </w:rPr>
        <w:t>）评标委员会根据投标人的商务报价</w:t>
      </w:r>
      <w:r>
        <w:rPr>
          <w:rFonts w:ascii="宋体" w:hAnsi="宋体"/>
          <w:sz w:val="24"/>
          <w:lang w:val="zh-CN"/>
        </w:rPr>
        <w:t>,</w:t>
      </w:r>
      <w:r>
        <w:rPr>
          <w:rFonts w:hint="eastAsia" w:ascii="宋体" w:hAnsi="宋体"/>
          <w:sz w:val="24"/>
          <w:lang w:val="zh-CN"/>
        </w:rPr>
        <w:t>计算各投标人的价格分。</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5</w:t>
      </w:r>
      <w:r>
        <w:rPr>
          <w:rFonts w:hint="eastAsia" w:ascii="宋体" w:hAnsi="宋体"/>
          <w:sz w:val="24"/>
          <w:lang w:val="zh-CN"/>
        </w:rPr>
        <w:t>）评标委员会完成评标后</w:t>
      </w:r>
      <w:r>
        <w:rPr>
          <w:rFonts w:ascii="宋体" w:hAnsi="宋体"/>
          <w:sz w:val="24"/>
          <w:lang w:val="zh-CN"/>
        </w:rPr>
        <w:t>,</w:t>
      </w:r>
      <w:r>
        <w:rPr>
          <w:rFonts w:hint="eastAsia" w:ascii="宋体" w:hAnsi="宋体"/>
          <w:sz w:val="24"/>
          <w:lang w:val="zh-CN"/>
        </w:rPr>
        <w:t>评委对各部分得分汇总</w:t>
      </w:r>
      <w:r>
        <w:rPr>
          <w:rFonts w:ascii="宋体" w:hAnsi="宋体"/>
          <w:sz w:val="24"/>
          <w:lang w:val="zh-CN"/>
        </w:rPr>
        <w:t>,</w:t>
      </w:r>
      <w:r>
        <w:rPr>
          <w:rFonts w:hint="eastAsia" w:ascii="宋体" w:hAnsi="宋体"/>
          <w:sz w:val="24"/>
          <w:lang w:val="zh-CN"/>
        </w:rPr>
        <w:t>得出本项目最终得分</w:t>
      </w:r>
      <w:r>
        <w:rPr>
          <w:rFonts w:ascii="宋体" w:hAnsi="宋体"/>
          <w:sz w:val="24"/>
          <w:lang w:val="zh-CN"/>
        </w:rPr>
        <w:t>,</w:t>
      </w:r>
      <w:r>
        <w:rPr>
          <w:rFonts w:hint="eastAsia" w:ascii="宋体" w:hAnsi="宋体"/>
          <w:sz w:val="24"/>
          <w:lang w:val="zh-CN"/>
        </w:rPr>
        <w:t>评标委员会按评标原则推荐中标候选人同时起草评标报告。</w:t>
      </w:r>
    </w:p>
    <w:p>
      <w:pPr>
        <w:autoSpaceDE w:val="0"/>
        <w:autoSpaceDN w:val="0"/>
        <w:adjustRightInd w:val="0"/>
        <w:spacing w:line="360" w:lineRule="auto"/>
        <w:ind w:firstLine="480"/>
        <w:rPr>
          <w:rFonts w:ascii="宋体" w:hAnsi="宋体"/>
          <w:b/>
          <w:sz w:val="24"/>
          <w:lang w:val="zh-CN"/>
        </w:rPr>
      </w:pPr>
      <w:r>
        <w:rPr>
          <w:rFonts w:hint="eastAsia" w:ascii="宋体" w:hAnsi="宋体"/>
          <w:sz w:val="24"/>
          <w:lang w:val="zh-CN"/>
        </w:rPr>
        <w:t>（四）</w:t>
      </w:r>
      <w:r>
        <w:rPr>
          <w:rFonts w:hint="eastAsia" w:ascii="宋体" w:hAnsi="宋体"/>
          <w:b/>
          <w:sz w:val="24"/>
          <w:lang w:val="zh-CN"/>
        </w:rPr>
        <w:t>澄清问题的形式</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对投标文件中含义不明确、同类问题表述不一致或者有明显文字和计算错误的内容，评标委员会可要求投标人作出必要的澄清、说明或者纠正。投标人的澄清、说明或者补正应当采用书面形式，由其法人代表或授权代表签字或盖章确认，并不得超出投标文件的范围或者改变投标文件的实质性内容。</w:t>
      </w:r>
    </w:p>
    <w:p>
      <w:pPr>
        <w:autoSpaceDE w:val="0"/>
        <w:autoSpaceDN w:val="0"/>
        <w:adjustRightInd w:val="0"/>
        <w:spacing w:line="336" w:lineRule="auto"/>
        <w:ind w:firstLine="480"/>
        <w:rPr>
          <w:rFonts w:ascii="宋体" w:hAnsi="宋体"/>
          <w:b/>
          <w:sz w:val="24"/>
          <w:lang w:val="zh-CN"/>
        </w:rPr>
      </w:pPr>
      <w:r>
        <w:rPr>
          <w:rFonts w:hint="eastAsia" w:ascii="宋体" w:hAnsi="宋体"/>
          <w:sz w:val="24"/>
          <w:lang w:val="zh-CN"/>
        </w:rPr>
        <w:t>（五）</w:t>
      </w:r>
      <w:r>
        <w:rPr>
          <w:rFonts w:ascii="宋体" w:hAnsi="宋体"/>
          <w:b/>
          <w:sz w:val="24"/>
          <w:lang w:val="zh-CN"/>
        </w:rPr>
        <w:t xml:space="preserve"> </w:t>
      </w:r>
      <w:r>
        <w:rPr>
          <w:rFonts w:hint="eastAsia" w:ascii="宋体" w:hAnsi="宋体"/>
          <w:b/>
          <w:sz w:val="24"/>
          <w:lang w:val="zh-CN"/>
        </w:rPr>
        <w:t>错误修正</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投标文件如果出现计算或表达上的错误，修正错误的原则如下：</w:t>
      </w:r>
    </w:p>
    <w:p>
      <w:pPr>
        <w:autoSpaceDE w:val="0"/>
        <w:autoSpaceDN w:val="0"/>
        <w:adjustRightInd w:val="0"/>
        <w:spacing w:line="336"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投标文件的大写金额和小写金额不一致的，以大写金额为准；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总价金额与按单价汇总金额不一致的，以单价金额计算结果为准；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3.</w:t>
      </w:r>
      <w:r>
        <w:rPr>
          <w:rFonts w:hint="eastAsia" w:ascii="宋体" w:hAnsi="宋体"/>
          <w:sz w:val="24"/>
          <w:lang w:val="zh-CN"/>
        </w:rPr>
        <w:t>对不同文字文本投标文件的解释发生异议的，以中文文本为准。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4.</w:t>
      </w:r>
      <w:r>
        <w:rPr>
          <w:rFonts w:hint="eastAsia" w:ascii="宋体" w:hAnsi="宋体"/>
          <w:sz w:val="24"/>
          <w:lang w:val="zh-CN"/>
        </w:rPr>
        <w:t>按上述修正错误的原则及方法调整或修正投标文件的投标报价，投标人同意后，调整后的投标报价对投标人起约束作用。如果投标人不接受修正后的报价，则其投标将被拒绝。</w:t>
      </w:r>
    </w:p>
    <w:p>
      <w:pPr>
        <w:tabs>
          <w:tab w:val="left" w:pos="630"/>
        </w:tabs>
        <w:autoSpaceDE w:val="0"/>
        <w:autoSpaceDN w:val="0"/>
        <w:adjustRightInd w:val="0"/>
        <w:spacing w:line="336" w:lineRule="auto"/>
        <w:ind w:firstLine="482"/>
        <w:rPr>
          <w:rFonts w:ascii="宋体" w:hAnsi="宋体"/>
          <w:b/>
          <w:sz w:val="24"/>
          <w:lang w:val="zh-CN"/>
        </w:rPr>
      </w:pPr>
      <w:r>
        <w:rPr>
          <w:rFonts w:hint="eastAsia" w:ascii="宋体" w:hAnsi="宋体"/>
          <w:b/>
          <w:sz w:val="24"/>
          <w:lang w:val="zh-CN"/>
        </w:rPr>
        <w:t>（六）评标原则和评标办法</w:t>
      </w:r>
    </w:p>
    <w:p>
      <w:pPr>
        <w:autoSpaceDE w:val="0"/>
        <w:autoSpaceDN w:val="0"/>
        <w:adjustRightInd w:val="0"/>
        <w:spacing w:line="336"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val="0"/>
        <w:autoSpaceDN w:val="0"/>
        <w:adjustRightInd w:val="0"/>
        <w:spacing w:line="336"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评标办法。根据采购项目的实际情况采用综合评分法。本项目的具体评标办法详见《第四章：评标办法及评分标准》。</w:t>
      </w:r>
    </w:p>
    <w:p>
      <w:pPr>
        <w:autoSpaceDE w:val="0"/>
        <w:autoSpaceDN w:val="0"/>
        <w:adjustRightInd w:val="0"/>
        <w:spacing w:line="336" w:lineRule="auto"/>
        <w:ind w:firstLine="482"/>
        <w:rPr>
          <w:rFonts w:ascii="宋体" w:hAnsi="宋体"/>
          <w:b/>
          <w:sz w:val="24"/>
          <w:lang w:val="zh-CN"/>
        </w:rPr>
      </w:pPr>
      <w:r>
        <w:rPr>
          <w:rFonts w:hint="eastAsia" w:ascii="宋体" w:hAnsi="宋体"/>
          <w:b/>
          <w:sz w:val="24"/>
          <w:lang w:val="zh-CN"/>
        </w:rPr>
        <w:t>（七）评标过程的监控</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本项目评标过程实行全程录像监控，投标人在评标过程中所进行的力图影响评标结果的不公正活动，可能导致其投标被拒绝。</w:t>
      </w:r>
    </w:p>
    <w:p>
      <w:pPr>
        <w:pStyle w:val="22"/>
        <w:snapToGrid w:val="0"/>
        <w:spacing w:line="336" w:lineRule="auto"/>
        <w:ind w:firstLine="436" w:firstLineChars="181"/>
        <w:outlineLvl w:val="1"/>
        <w:rPr>
          <w:rFonts w:hAnsi="宋体"/>
          <w:b/>
          <w:sz w:val="24"/>
        </w:rPr>
      </w:pPr>
      <w:bookmarkStart w:id="21" w:name="_Toc177870555"/>
      <w:r>
        <w:rPr>
          <w:rFonts w:hint="eastAsia" w:hAnsi="宋体"/>
          <w:b/>
          <w:sz w:val="24"/>
        </w:rPr>
        <w:t>六、</w:t>
      </w:r>
      <w:bookmarkEnd w:id="21"/>
      <w:r>
        <w:rPr>
          <w:rFonts w:hint="eastAsia" w:hAnsi="宋体"/>
          <w:b/>
          <w:sz w:val="24"/>
        </w:rPr>
        <w:t>定标</w:t>
      </w:r>
    </w:p>
    <w:p>
      <w:pPr>
        <w:snapToGrid w:val="0"/>
        <w:spacing w:line="360" w:lineRule="auto"/>
        <w:ind w:firstLine="316" w:firstLineChars="132"/>
        <w:jc w:val="left"/>
        <w:outlineLvl w:val="0"/>
        <w:rPr>
          <w:rFonts w:ascii="宋体" w:hAnsi="宋体"/>
          <w:sz w:val="24"/>
        </w:rPr>
      </w:pPr>
      <w:r>
        <w:rPr>
          <w:rFonts w:hint="eastAsia" w:ascii="宋体" w:hAnsi="宋体"/>
          <w:sz w:val="24"/>
        </w:rPr>
        <w:t>1、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316" w:firstLineChars="132"/>
        <w:jc w:val="left"/>
        <w:outlineLvl w:val="0"/>
        <w:rPr>
          <w:rFonts w:ascii="宋体" w:hAnsi="宋体"/>
          <w:sz w:val="24"/>
        </w:rPr>
      </w:pPr>
      <w:r>
        <w:rPr>
          <w:rFonts w:hint="eastAsia" w:ascii="宋体" w:hAnsi="宋体"/>
          <w:sz w:val="24"/>
        </w:rPr>
        <w:t xml:space="preserve"> 2、采购结果经采购人确认后，招标方将于2个工作日内在浙江省政府采购网( http://www.zjzfcg.gov.cn) 、桐庐县公共资源招投标网（http://www.tlztb.com.cn/）发布中标公告，并向中标方签发书面《中标通知书》。</w:t>
      </w:r>
    </w:p>
    <w:p>
      <w:pPr>
        <w:autoSpaceDE w:val="0"/>
        <w:autoSpaceDN w:val="0"/>
        <w:adjustRightInd w:val="0"/>
        <w:spacing w:line="336" w:lineRule="auto"/>
        <w:ind w:firstLine="480"/>
        <w:rPr>
          <w:rFonts w:ascii="宋体" w:hAnsi="宋体"/>
          <w:b/>
          <w:sz w:val="24"/>
          <w:lang w:val="zh-CN"/>
        </w:rPr>
      </w:pPr>
      <w:r>
        <w:rPr>
          <w:rFonts w:hint="eastAsia" w:ascii="宋体" w:hAnsi="宋体"/>
          <w:b/>
          <w:sz w:val="24"/>
          <w:lang w:val="zh-CN"/>
        </w:rPr>
        <w:t>七、合同授予</w:t>
      </w:r>
    </w:p>
    <w:p>
      <w:pPr>
        <w:autoSpaceDE w:val="0"/>
        <w:autoSpaceDN w:val="0"/>
        <w:adjustRightInd w:val="0"/>
        <w:spacing w:line="336" w:lineRule="auto"/>
        <w:ind w:firstLine="480"/>
        <w:rPr>
          <w:rFonts w:ascii="宋体" w:hAnsi="宋体"/>
          <w:sz w:val="24"/>
        </w:rPr>
      </w:pPr>
      <w:r>
        <w:rPr>
          <w:rFonts w:ascii="宋体" w:hAnsi="宋体"/>
          <w:sz w:val="24"/>
          <w:lang w:val="zh-CN"/>
        </w:rPr>
        <w:t>1.</w:t>
      </w:r>
      <w:r>
        <w:rPr>
          <w:rFonts w:hint="eastAsia" w:ascii="宋体" w:hAnsi="宋体"/>
          <w:sz w:val="24"/>
          <w:lang w:val="zh-CN"/>
        </w:rPr>
        <w:t>中标人应在中标通知书发出后</w:t>
      </w:r>
      <w:r>
        <w:rPr>
          <w:rFonts w:hint="eastAsia" w:ascii="宋体" w:hAnsi="宋体"/>
          <w:sz w:val="24"/>
        </w:rPr>
        <w:t>30</w:t>
      </w:r>
      <w:r>
        <w:rPr>
          <w:rFonts w:hint="eastAsia" w:ascii="宋体" w:hAnsi="宋体"/>
          <w:sz w:val="24"/>
          <w:lang w:val="zh-CN"/>
        </w:rPr>
        <w:t>日内与采购人签订合同。</w:t>
      </w:r>
    </w:p>
    <w:p>
      <w:pPr>
        <w:snapToGrid w:val="0"/>
        <w:spacing w:line="336" w:lineRule="auto"/>
        <w:ind w:firstLine="436" w:firstLineChars="182"/>
        <w:rPr>
          <w:rFonts w:hAnsi="宋体"/>
          <w:b/>
          <w:sz w:val="32"/>
          <w:szCs w:val="32"/>
        </w:rPr>
      </w:pPr>
      <w:r>
        <w:rPr>
          <w:rFonts w:ascii="宋体" w:hAnsi="宋体"/>
          <w:sz w:val="24"/>
          <w:lang w:val="zh-CN"/>
        </w:rPr>
        <w:t>2.</w:t>
      </w:r>
      <w:r>
        <w:rPr>
          <w:rFonts w:hint="eastAsia" w:ascii="宋体" w:hAnsi="宋体"/>
          <w:sz w:val="24"/>
          <w:lang w:val="zh-CN"/>
        </w:rPr>
        <w:t>中标人拖延、拒签合同的</w:t>
      </w:r>
      <w:r>
        <w:rPr>
          <w:rFonts w:ascii="宋体" w:hAnsi="宋体"/>
          <w:sz w:val="24"/>
          <w:lang w:val="zh-CN"/>
        </w:rPr>
        <w:t>,</w:t>
      </w:r>
      <w:r>
        <w:rPr>
          <w:rFonts w:hint="eastAsia" w:ascii="宋体" w:hAnsi="宋体"/>
          <w:sz w:val="24"/>
          <w:lang w:val="zh-CN"/>
        </w:rPr>
        <w:t>将被取消中标资格。</w:t>
      </w:r>
    </w:p>
    <w:p>
      <w:pPr>
        <w:pStyle w:val="22"/>
        <w:snapToGrid w:val="0"/>
        <w:spacing w:before="120" w:after="120" w:line="360" w:lineRule="auto"/>
        <w:rPr>
          <w:rFonts w:hAnsi="宋体"/>
          <w:b/>
          <w:sz w:val="24"/>
        </w:rPr>
      </w:pPr>
    </w:p>
    <w:bookmarkEnd w:id="3"/>
    <w:p>
      <w:pPr>
        <w:snapToGrid w:val="0"/>
        <w:spacing w:line="360" w:lineRule="auto"/>
        <w:jc w:val="center"/>
        <w:rPr>
          <w:rFonts w:ascii="宋体" w:hAnsi="宋体"/>
          <w:b/>
          <w:sz w:val="32"/>
          <w:szCs w:val="32"/>
        </w:rPr>
      </w:pPr>
    </w:p>
    <w:p>
      <w:pPr>
        <w:snapToGrid w:val="0"/>
        <w:spacing w:line="360" w:lineRule="auto"/>
        <w:jc w:val="center"/>
        <w:rPr>
          <w:rFonts w:ascii="宋体" w:hAnsi="宋体"/>
          <w:b/>
          <w:sz w:val="32"/>
          <w:szCs w:val="32"/>
        </w:rPr>
      </w:pPr>
      <w:r>
        <w:rPr>
          <w:rFonts w:ascii="宋体" w:hAnsi="宋体"/>
          <w:b/>
          <w:sz w:val="32"/>
          <w:szCs w:val="32"/>
        </w:rPr>
        <w:t>第四章  评标办法及评分标准</w:t>
      </w:r>
    </w:p>
    <w:p>
      <w:pPr>
        <w:pStyle w:val="2"/>
      </w:pPr>
    </w:p>
    <w:p>
      <w:pPr>
        <w:keepNext w:val="0"/>
        <w:keepLines w:val="0"/>
        <w:pageBreakBefore w:val="0"/>
        <w:widowControl w:val="0"/>
        <w:kinsoku/>
        <w:wordWrap/>
        <w:overflowPunct/>
        <w:topLinePunct w:val="0"/>
        <w:autoSpaceDE/>
        <w:autoSpaceDN/>
        <w:bidi w:val="0"/>
        <w:adjustRightInd/>
        <w:snapToGrid w:val="0"/>
        <w:spacing w:line="360" w:lineRule="auto"/>
        <w:ind w:firstLine="148" w:firstLineChars="62"/>
        <w:jc w:val="left"/>
        <w:textAlignment w:val="auto"/>
        <w:outlineLvl w:val="9"/>
        <w:rPr>
          <w:rFonts w:ascii="宋体" w:hAnsi="宋体"/>
          <w:sz w:val="24"/>
        </w:rPr>
      </w:pPr>
      <w:r>
        <w:rPr>
          <w:rFonts w:hint="eastAsia" w:ascii="宋体" w:hAnsi="宋体"/>
          <w:sz w:val="24"/>
        </w:rPr>
        <w:t xml:space="preserve">    根据《中华人民共和国政府采购法》等有关法律法规，结合本项目的实际需求，制定本办法。</w:t>
      </w:r>
    </w:p>
    <w:p>
      <w:pPr>
        <w:keepNext w:val="0"/>
        <w:keepLines w:val="0"/>
        <w:pageBreakBefore w:val="0"/>
        <w:widowControl w:val="0"/>
        <w:kinsoku/>
        <w:wordWrap/>
        <w:overflowPunct/>
        <w:topLinePunct w:val="0"/>
        <w:autoSpaceDE/>
        <w:autoSpaceDN/>
        <w:bidi w:val="0"/>
        <w:adjustRightInd/>
        <w:spacing w:line="360" w:lineRule="auto"/>
        <w:ind w:firstLine="482"/>
        <w:textAlignment w:val="auto"/>
        <w:outlineLvl w:val="9"/>
        <w:rPr>
          <w:rFonts w:ascii="宋体" w:hAnsi="宋体"/>
          <w:b/>
          <w:sz w:val="24"/>
        </w:rPr>
      </w:pPr>
      <w:r>
        <w:rPr>
          <w:rFonts w:hint="eastAsia" w:ascii="宋体" w:hAnsi="宋体"/>
          <w:b/>
          <w:sz w:val="24"/>
        </w:rPr>
        <w:t>一、总则</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540" w:firstLineChars="225"/>
        <w:textAlignment w:val="auto"/>
        <w:outlineLvl w:val="9"/>
        <w:rPr>
          <w:rFonts w:ascii="宋体" w:hAnsi="宋体"/>
          <w:sz w:val="24"/>
        </w:rPr>
      </w:pPr>
      <w:r>
        <w:rPr>
          <w:rFonts w:hint="eastAsia" w:ascii="宋体" w:hAnsi="宋体"/>
          <w:sz w:val="24"/>
        </w:rPr>
        <w:t>本次评标采用综合评分法，总分为100分。合格投标人的评标得分为各项目汇总得分，中标候选资格按评标得分由高到低顺序排列，得分相同的，按投标报价由低到高顺序排列；得分且投标报价相同的，按技术商务资信得分由高到低顺序排列 。排名第一的的投标人为本项目的中标候选人。评分过程中采用四舍五入法，并保留小数2位。</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540" w:firstLineChars="225"/>
        <w:textAlignment w:val="auto"/>
        <w:outlineLvl w:val="9"/>
        <w:rPr>
          <w:rFonts w:ascii="宋体" w:hAnsi="宋体"/>
          <w:sz w:val="24"/>
        </w:rPr>
      </w:pPr>
      <w:r>
        <w:rPr>
          <w:rFonts w:hint="eastAsia" w:ascii="宋体" w:hAnsi="宋体"/>
          <w:sz w:val="24"/>
        </w:rPr>
        <w:t>投标人评标综合得分=价格分+技术商务资信分</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482" w:firstLineChars="200"/>
        <w:textAlignment w:val="auto"/>
        <w:outlineLvl w:val="9"/>
        <w:rPr>
          <w:rFonts w:ascii="宋体" w:hAnsi="宋体"/>
          <w:b/>
          <w:sz w:val="24"/>
        </w:rPr>
      </w:pPr>
      <w:r>
        <w:rPr>
          <w:rFonts w:hint="eastAsia" w:ascii="宋体" w:hAnsi="宋体"/>
          <w:b/>
          <w:sz w:val="24"/>
        </w:rPr>
        <w:t>二、评标内容及标准</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542" w:firstLineChars="225"/>
        <w:textAlignment w:val="auto"/>
        <w:outlineLvl w:val="9"/>
        <w:rPr>
          <w:rFonts w:ascii="宋体" w:hAnsi="宋体"/>
          <w:b/>
          <w:sz w:val="24"/>
        </w:rPr>
      </w:pPr>
      <w:r>
        <w:rPr>
          <w:rFonts w:hint="eastAsia" w:ascii="宋体" w:hAnsi="宋体"/>
          <w:b/>
          <w:sz w:val="24"/>
        </w:rPr>
        <w:t>（一）价格分（</w:t>
      </w:r>
      <w:r>
        <w:rPr>
          <w:rFonts w:hint="eastAsia" w:ascii="宋体" w:hAnsi="宋体"/>
          <w:b/>
          <w:sz w:val="24"/>
          <w:lang w:val="en-US" w:eastAsia="zh-CN"/>
        </w:rPr>
        <w:t>20</w:t>
      </w:r>
      <w:r>
        <w:rPr>
          <w:rFonts w:hint="eastAsia" w:ascii="宋体" w:hAnsi="宋体"/>
          <w:b/>
          <w:sz w:val="24"/>
        </w:rPr>
        <w:t>分）</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540" w:firstLineChars="225"/>
        <w:textAlignment w:val="auto"/>
        <w:outlineLvl w:val="9"/>
        <w:rPr>
          <w:rFonts w:ascii="宋体" w:hAnsi="宋体"/>
          <w:sz w:val="24"/>
        </w:rPr>
      </w:pPr>
      <w:r>
        <w:rPr>
          <w:rFonts w:hint="eastAsia" w:ascii="宋体" w:hAnsi="宋体"/>
          <w:sz w:val="24"/>
        </w:rPr>
        <w:t>1.价格分采用低价优先法计算，即满足招标文件要求最低的投标报价为评标基准价，其他投标人的价格分按照下列公式计算：</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540" w:firstLineChars="225"/>
        <w:textAlignment w:val="auto"/>
        <w:outlineLvl w:val="9"/>
        <w:rPr>
          <w:rFonts w:hint="default" w:ascii="宋体" w:hAnsi="宋体" w:eastAsia="宋体"/>
          <w:sz w:val="24"/>
          <w:lang w:val="en-US" w:eastAsia="zh-CN"/>
        </w:rPr>
      </w:pPr>
      <w:r>
        <w:rPr>
          <w:rFonts w:hint="eastAsia" w:ascii="宋体" w:hAnsi="宋体"/>
          <w:sz w:val="24"/>
        </w:rPr>
        <w:t>价格分=（评标基准价/投标报价）×</w:t>
      </w:r>
      <w:r>
        <w:rPr>
          <w:rFonts w:hint="eastAsia" w:ascii="宋体" w:hAnsi="宋体"/>
          <w:sz w:val="24"/>
          <w:lang w:val="en-US" w:eastAsia="zh-CN"/>
        </w:rPr>
        <w:t>20</w:t>
      </w:r>
    </w:p>
    <w:p>
      <w:pPr>
        <w:keepNext w:val="0"/>
        <w:keepLines w:val="0"/>
        <w:pageBreakBefore w:val="0"/>
        <w:widowControl w:val="0"/>
        <w:kinsoku/>
        <w:wordWrap/>
        <w:overflowPunct/>
        <w:topLinePunct w:val="0"/>
        <w:autoSpaceDE/>
        <w:autoSpaceDN/>
        <w:bidi w:val="0"/>
        <w:adjustRightInd/>
        <w:snapToGrid w:val="0"/>
        <w:spacing w:after="160" w:line="360" w:lineRule="auto"/>
        <w:ind w:firstLine="480" w:firstLineChars="200"/>
        <w:textAlignment w:val="auto"/>
        <w:outlineLvl w:val="9"/>
        <w:rPr>
          <w:rFonts w:ascii="宋体" w:hAnsi="宋体"/>
          <w:sz w:val="24"/>
        </w:rPr>
      </w:pPr>
      <w:r>
        <w:rPr>
          <w:rFonts w:hint="eastAsia" w:ascii="宋体" w:hAnsi="宋体"/>
          <w:sz w:val="24"/>
        </w:rPr>
        <w:t xml:space="preserve">对小型和微型企业的投标报价给予 </w:t>
      </w:r>
      <w:r>
        <w:rPr>
          <w:rFonts w:ascii="宋体" w:hAnsi="宋体"/>
          <w:sz w:val="24"/>
        </w:rPr>
        <w:t>6</w:t>
      </w:r>
      <w:r>
        <w:rPr>
          <w:rFonts w:hint="eastAsia" w:ascii="宋体" w:hAnsi="宋体"/>
          <w:sz w:val="24"/>
        </w:rPr>
        <w:t xml:space="preserve"> %的扣除，取扣除后的价格作为最终投标报价（此最终投标报价仅作为价格分计算）。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b/>
          <w:sz w:val="24"/>
        </w:rPr>
      </w:pPr>
      <w:r>
        <w:rPr>
          <w:rFonts w:hint="eastAsia" w:ascii="宋体" w:hAnsi="宋体"/>
          <w:sz w:val="24"/>
        </w:rPr>
        <w:t xml:space="preserve"> 2.投标人的投标报价超过设定的上限价，就作无效标处理。</w:t>
      </w:r>
      <w:r>
        <w:rPr>
          <w:rFonts w:hint="eastAsia" w:ascii="宋体" w:hAnsi="宋体"/>
          <w:b/>
          <w:bCs/>
          <w:sz w:val="24"/>
        </w:rPr>
        <w:t>本项目的上限价为人民币</w:t>
      </w:r>
      <w:r>
        <w:rPr>
          <w:rFonts w:hint="eastAsia" w:ascii="宋体" w:hAnsi="宋体"/>
          <w:b/>
          <w:bCs/>
          <w:sz w:val="24"/>
          <w:lang w:val="en-US" w:eastAsia="zh-CN"/>
        </w:rPr>
        <w:t>785</w:t>
      </w:r>
      <w:r>
        <w:rPr>
          <w:rFonts w:hint="eastAsia" w:ascii="宋体" w:hAnsi="宋体"/>
          <w:b/>
          <w:bCs/>
          <w:sz w:val="24"/>
        </w:rPr>
        <w:t>万元</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rFonts w:ascii="宋体" w:hAnsi="宋体"/>
          <w:sz w:val="24"/>
        </w:rPr>
      </w:pPr>
      <w:r>
        <w:rPr>
          <w:rFonts w:hint="eastAsia" w:ascii="宋体" w:hAnsi="宋体"/>
          <w:sz w:val="24"/>
        </w:rPr>
        <w:t xml:space="preserve"> 3.报价是中标的一个重要因素，但最低报价不是中标的唯一依据。</w:t>
      </w:r>
    </w:p>
    <w:p>
      <w:pPr>
        <w:tabs>
          <w:tab w:val="left" w:pos="0"/>
        </w:tabs>
        <w:spacing w:line="360" w:lineRule="auto"/>
        <w:ind w:firstLine="542" w:firstLineChars="225"/>
        <w:rPr>
          <w:rFonts w:ascii="宋体" w:hAnsi="宋体"/>
          <w:b/>
          <w:sz w:val="24"/>
        </w:rPr>
      </w:pPr>
      <w:r>
        <w:rPr>
          <w:rFonts w:hint="eastAsia" w:ascii="宋体" w:hAnsi="宋体"/>
          <w:b/>
          <w:sz w:val="24"/>
        </w:rPr>
        <w:t>（二）</w:t>
      </w:r>
      <w:r>
        <w:rPr>
          <w:rFonts w:hint="eastAsia"/>
          <w:b/>
          <w:color w:val="000000"/>
          <w:sz w:val="24"/>
        </w:rPr>
        <w:t>技术商务资信分（</w:t>
      </w:r>
      <w:r>
        <w:rPr>
          <w:rFonts w:hint="eastAsia"/>
          <w:b/>
          <w:color w:val="000000"/>
          <w:sz w:val="24"/>
          <w:lang w:val="en-US" w:eastAsia="zh-CN"/>
        </w:rPr>
        <w:t>8</w:t>
      </w:r>
      <w:r>
        <w:rPr>
          <w:rFonts w:hint="eastAsia"/>
          <w:b/>
          <w:color w:val="000000"/>
          <w:sz w:val="24"/>
        </w:rPr>
        <w:t>0分）</w:t>
      </w:r>
    </w:p>
    <w:tbl>
      <w:tblPr>
        <w:tblStyle w:val="46"/>
        <w:tblW w:w="1030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2"/>
        <w:gridCol w:w="2675"/>
        <w:gridCol w:w="5886"/>
        <w:gridCol w:w="9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9" w:hRule="atLeast"/>
          <w:jc w:val="center"/>
        </w:trPr>
        <w:tc>
          <w:tcPr>
            <w:tcW w:w="832" w:type="dxa"/>
            <w:noWrap w:val="0"/>
            <w:vAlign w:val="center"/>
          </w:tcPr>
          <w:p>
            <w:pPr>
              <w:jc w:val="center"/>
              <w:rPr>
                <w:sz w:val="24"/>
                <w:szCs w:val="24"/>
              </w:rPr>
            </w:pPr>
            <w:r>
              <w:rPr>
                <w:sz w:val="24"/>
                <w:szCs w:val="24"/>
              </w:rPr>
              <w:t>序号</w:t>
            </w:r>
          </w:p>
        </w:tc>
        <w:tc>
          <w:tcPr>
            <w:tcW w:w="2675" w:type="dxa"/>
            <w:noWrap w:val="0"/>
            <w:vAlign w:val="center"/>
          </w:tcPr>
          <w:p>
            <w:pPr>
              <w:jc w:val="center"/>
              <w:rPr>
                <w:sz w:val="24"/>
                <w:szCs w:val="24"/>
              </w:rPr>
            </w:pPr>
            <w:r>
              <w:rPr>
                <w:sz w:val="24"/>
                <w:szCs w:val="24"/>
              </w:rPr>
              <w:t>评审内容</w:t>
            </w:r>
          </w:p>
        </w:tc>
        <w:tc>
          <w:tcPr>
            <w:tcW w:w="5886" w:type="dxa"/>
            <w:noWrap w:val="0"/>
            <w:vAlign w:val="center"/>
          </w:tcPr>
          <w:p>
            <w:pPr>
              <w:jc w:val="center"/>
              <w:rPr>
                <w:sz w:val="24"/>
                <w:szCs w:val="24"/>
              </w:rPr>
            </w:pPr>
            <w:r>
              <w:rPr>
                <w:rFonts w:hint="eastAsia"/>
                <w:sz w:val="24"/>
                <w:szCs w:val="24"/>
              </w:rPr>
              <w:t>说明</w:t>
            </w:r>
          </w:p>
        </w:tc>
        <w:tc>
          <w:tcPr>
            <w:tcW w:w="907" w:type="dxa"/>
            <w:noWrap w:val="0"/>
            <w:vAlign w:val="center"/>
          </w:tcPr>
          <w:p>
            <w:pPr>
              <w:jc w:val="center"/>
              <w:rPr>
                <w:sz w:val="24"/>
                <w:szCs w:val="24"/>
              </w:rPr>
            </w:pPr>
            <w:r>
              <w:rPr>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39" w:hRule="atLeast"/>
          <w:jc w:val="center"/>
        </w:trPr>
        <w:tc>
          <w:tcPr>
            <w:tcW w:w="832" w:type="dxa"/>
            <w:noWrap w:val="0"/>
            <w:vAlign w:val="center"/>
          </w:tcPr>
          <w:p>
            <w:pPr>
              <w:jc w:val="center"/>
              <w:rPr>
                <w:rFonts w:hint="eastAsia"/>
                <w:sz w:val="24"/>
                <w:szCs w:val="24"/>
              </w:rPr>
            </w:pPr>
            <w:r>
              <w:rPr>
                <w:rFonts w:hint="eastAsia"/>
                <w:sz w:val="24"/>
                <w:szCs w:val="24"/>
              </w:rPr>
              <w:t>1</w:t>
            </w:r>
          </w:p>
        </w:tc>
        <w:tc>
          <w:tcPr>
            <w:tcW w:w="2675" w:type="dxa"/>
            <w:noWrap w:val="0"/>
            <w:vAlign w:val="center"/>
          </w:tcPr>
          <w:p>
            <w:pPr>
              <w:rPr>
                <w:sz w:val="24"/>
                <w:szCs w:val="24"/>
              </w:rPr>
            </w:pPr>
            <w:r>
              <w:rPr>
                <w:sz w:val="24"/>
                <w:szCs w:val="24"/>
              </w:rPr>
              <w:t>总体</w:t>
            </w:r>
            <w:r>
              <w:rPr>
                <w:rFonts w:hint="eastAsia"/>
                <w:sz w:val="24"/>
                <w:szCs w:val="24"/>
              </w:rPr>
              <w:t>服务</w:t>
            </w:r>
            <w:r>
              <w:rPr>
                <w:sz w:val="24"/>
                <w:szCs w:val="24"/>
              </w:rPr>
              <w:t>方案</w:t>
            </w:r>
            <w:r>
              <w:rPr>
                <w:rFonts w:hint="eastAsia"/>
                <w:sz w:val="24"/>
                <w:szCs w:val="24"/>
              </w:rPr>
              <w:t>的</w:t>
            </w:r>
            <w:r>
              <w:rPr>
                <w:sz w:val="24"/>
                <w:szCs w:val="24"/>
              </w:rPr>
              <w:t>评审</w:t>
            </w:r>
            <w:r>
              <w:rPr>
                <w:rFonts w:hint="eastAsia"/>
                <w:sz w:val="24"/>
                <w:szCs w:val="24"/>
              </w:rPr>
              <w:t>及</w:t>
            </w:r>
            <w:r>
              <w:rPr>
                <w:sz w:val="24"/>
                <w:szCs w:val="24"/>
              </w:rPr>
              <w:t>承担本</w:t>
            </w:r>
            <w:r>
              <w:rPr>
                <w:rFonts w:hint="eastAsia"/>
                <w:sz w:val="24"/>
                <w:szCs w:val="24"/>
                <w:lang w:eastAsia="zh-CN"/>
              </w:rPr>
              <w:t>亮灯维护</w:t>
            </w:r>
            <w:r>
              <w:rPr>
                <w:sz w:val="24"/>
                <w:szCs w:val="24"/>
              </w:rPr>
              <w:t>服务工作的</w:t>
            </w:r>
            <w:r>
              <w:rPr>
                <w:rFonts w:hint="eastAsia"/>
                <w:sz w:val="24"/>
                <w:szCs w:val="24"/>
              </w:rPr>
              <w:t>特点</w:t>
            </w:r>
            <w:r>
              <w:rPr>
                <w:sz w:val="24"/>
                <w:szCs w:val="24"/>
              </w:rPr>
              <w:t>和</w:t>
            </w:r>
            <w:r>
              <w:rPr>
                <w:rFonts w:hint="eastAsia"/>
                <w:sz w:val="24"/>
                <w:szCs w:val="24"/>
              </w:rPr>
              <w:t>服务亮点</w:t>
            </w:r>
          </w:p>
        </w:tc>
        <w:tc>
          <w:tcPr>
            <w:tcW w:w="5886" w:type="dxa"/>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80" w:lineRule="exact"/>
              <w:textAlignment w:val="auto"/>
              <w:outlineLvl w:val="9"/>
              <w:rPr>
                <w:rFonts w:hint="eastAsia"/>
                <w:sz w:val="24"/>
                <w:szCs w:val="24"/>
              </w:rPr>
            </w:pPr>
            <w:r>
              <w:rPr>
                <w:rFonts w:hint="eastAsia"/>
                <w:sz w:val="24"/>
                <w:szCs w:val="24"/>
              </w:rPr>
              <w:t>根据</w:t>
            </w:r>
            <w:r>
              <w:rPr>
                <w:sz w:val="24"/>
                <w:szCs w:val="24"/>
              </w:rPr>
              <w:t>总体</w:t>
            </w:r>
            <w:r>
              <w:rPr>
                <w:rFonts w:hint="eastAsia"/>
                <w:sz w:val="24"/>
                <w:szCs w:val="24"/>
              </w:rPr>
              <w:t>服务</w:t>
            </w:r>
            <w:r>
              <w:rPr>
                <w:sz w:val="24"/>
                <w:szCs w:val="24"/>
              </w:rPr>
              <w:t>方案对与项目内容和服务需求的吻合程度及其响应情况的合理性、可操作性、针对性、实施经验等</w:t>
            </w:r>
            <w:r>
              <w:rPr>
                <w:rFonts w:hint="eastAsia"/>
                <w:sz w:val="24"/>
                <w:szCs w:val="24"/>
              </w:rPr>
              <w:t>。</w:t>
            </w:r>
            <w:r>
              <w:rPr>
                <w:rFonts w:hint="eastAsia"/>
                <w:sz w:val="24"/>
                <w:szCs w:val="24"/>
                <w:lang w:eastAsia="zh-CN"/>
              </w:rPr>
              <w:t>（</w:t>
            </w:r>
            <w:r>
              <w:rPr>
                <w:rFonts w:hint="eastAsia"/>
                <w:sz w:val="24"/>
                <w:szCs w:val="24"/>
                <w:lang w:val="en-US" w:eastAsia="zh-CN"/>
              </w:rPr>
              <w:t>0-3分</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eastAsia="宋体"/>
                <w:sz w:val="24"/>
                <w:szCs w:val="24"/>
                <w:lang w:eastAsia="zh-CN"/>
              </w:rPr>
            </w:pPr>
            <w:r>
              <w:rPr>
                <w:rFonts w:hint="eastAsia"/>
                <w:sz w:val="24"/>
                <w:szCs w:val="24"/>
              </w:rPr>
              <w:t>2、对本项目的工作特点的了解程度</w:t>
            </w:r>
            <w:r>
              <w:rPr>
                <w:sz w:val="24"/>
                <w:szCs w:val="24"/>
              </w:rPr>
              <w:t>，</w:t>
            </w:r>
            <w:r>
              <w:rPr>
                <w:rFonts w:hint="eastAsia"/>
                <w:sz w:val="24"/>
                <w:szCs w:val="24"/>
              </w:rPr>
              <w:t>服务</w:t>
            </w:r>
            <w:r>
              <w:rPr>
                <w:sz w:val="24"/>
                <w:szCs w:val="24"/>
              </w:rPr>
              <w:t>思路</w:t>
            </w:r>
            <w:r>
              <w:rPr>
                <w:rFonts w:hint="eastAsia"/>
                <w:sz w:val="24"/>
                <w:szCs w:val="24"/>
              </w:rPr>
              <w:t>清晰程度</w:t>
            </w:r>
            <w:r>
              <w:rPr>
                <w:sz w:val="24"/>
                <w:szCs w:val="24"/>
              </w:rPr>
              <w:t>，</w:t>
            </w:r>
            <w:r>
              <w:rPr>
                <w:rFonts w:hint="eastAsia"/>
                <w:sz w:val="24"/>
                <w:szCs w:val="24"/>
              </w:rPr>
              <w:t>完成工作的可行性。</w:t>
            </w:r>
            <w:r>
              <w:rPr>
                <w:rFonts w:hint="eastAsia"/>
                <w:sz w:val="24"/>
                <w:szCs w:val="24"/>
                <w:lang w:eastAsia="zh-CN"/>
              </w:rPr>
              <w:t>（</w:t>
            </w:r>
            <w:r>
              <w:rPr>
                <w:rFonts w:hint="eastAsia"/>
                <w:sz w:val="24"/>
                <w:szCs w:val="24"/>
                <w:lang w:val="en-US" w:eastAsia="zh-CN"/>
              </w:rPr>
              <w:t>0-2分</w:t>
            </w:r>
            <w:r>
              <w:rPr>
                <w:rFonts w:hint="eastAsia"/>
                <w:sz w:val="24"/>
                <w:szCs w:val="24"/>
                <w:lang w:eastAsia="zh-CN"/>
              </w:rPr>
              <w:t>）</w:t>
            </w:r>
          </w:p>
        </w:tc>
        <w:tc>
          <w:tcPr>
            <w:tcW w:w="907" w:type="dxa"/>
            <w:noWrap w:val="0"/>
            <w:vAlign w:val="center"/>
          </w:tcPr>
          <w:p>
            <w:pPr>
              <w:jc w:val="center"/>
              <w:rPr>
                <w:rFonts w:hint="eastAsia" w:eastAsia="宋体"/>
                <w:sz w:val="24"/>
                <w:szCs w:val="24"/>
                <w:lang w:eastAsia="zh-CN"/>
              </w:rPr>
            </w:pPr>
            <w:r>
              <w:rPr>
                <w:rFonts w:hint="eastAsia"/>
                <w:sz w:val="24"/>
                <w:szCs w:val="24"/>
                <w:lang w:val="en-US" w:eastAsia="zh-CN"/>
              </w:rPr>
              <w:t>5</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jc w:val="center"/>
        </w:trPr>
        <w:tc>
          <w:tcPr>
            <w:tcW w:w="832" w:type="dxa"/>
            <w:noWrap w:val="0"/>
            <w:vAlign w:val="center"/>
          </w:tcPr>
          <w:p>
            <w:pPr>
              <w:jc w:val="center"/>
              <w:rPr>
                <w:rFonts w:hint="eastAsia"/>
                <w:sz w:val="24"/>
                <w:szCs w:val="24"/>
              </w:rPr>
            </w:pPr>
            <w:r>
              <w:rPr>
                <w:rFonts w:hint="eastAsia"/>
                <w:sz w:val="24"/>
                <w:szCs w:val="24"/>
              </w:rPr>
              <w:t>2</w:t>
            </w:r>
          </w:p>
        </w:tc>
        <w:tc>
          <w:tcPr>
            <w:tcW w:w="2675" w:type="dxa"/>
            <w:noWrap w:val="0"/>
            <w:vAlign w:val="center"/>
          </w:tcPr>
          <w:p>
            <w:pPr>
              <w:rPr>
                <w:sz w:val="24"/>
                <w:szCs w:val="24"/>
              </w:rPr>
            </w:pPr>
            <w:r>
              <w:rPr>
                <w:sz w:val="24"/>
                <w:szCs w:val="24"/>
              </w:rPr>
              <w:t>日常作业程序及应急处置方案设想</w:t>
            </w: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sz w:val="24"/>
                <w:szCs w:val="24"/>
                <w:lang w:eastAsia="zh-CN"/>
              </w:rPr>
            </w:pPr>
            <w:r>
              <w:rPr>
                <w:rFonts w:hint="eastAsia"/>
                <w:sz w:val="24"/>
                <w:szCs w:val="24"/>
              </w:rPr>
              <w:t>根据投标人的日常工作</w:t>
            </w:r>
            <w:r>
              <w:rPr>
                <w:sz w:val="24"/>
                <w:szCs w:val="24"/>
              </w:rPr>
              <w:t>程序内容全面</w:t>
            </w:r>
            <w:r>
              <w:rPr>
                <w:rFonts w:hint="eastAsia"/>
                <w:sz w:val="24"/>
                <w:szCs w:val="24"/>
              </w:rPr>
              <w:t>性</w:t>
            </w:r>
            <w:r>
              <w:rPr>
                <w:sz w:val="24"/>
                <w:szCs w:val="24"/>
              </w:rPr>
              <w:t>、</w:t>
            </w:r>
            <w:r>
              <w:rPr>
                <w:rFonts w:hint="eastAsia"/>
                <w:sz w:val="24"/>
                <w:szCs w:val="24"/>
              </w:rPr>
              <w:t>常态化管理对本项目实施的有利程度等。</w:t>
            </w:r>
            <w:r>
              <w:rPr>
                <w:rFonts w:hint="eastAsia"/>
                <w:sz w:val="24"/>
                <w:szCs w:val="24"/>
                <w:lang w:eastAsia="zh-CN"/>
              </w:rPr>
              <w:t>（</w:t>
            </w:r>
            <w:r>
              <w:rPr>
                <w:rFonts w:hint="eastAsia"/>
                <w:sz w:val="24"/>
                <w:szCs w:val="24"/>
                <w:lang w:val="en-US" w:eastAsia="zh-CN"/>
              </w:rPr>
              <w:t>0-3分</w:t>
            </w:r>
            <w:r>
              <w:rPr>
                <w:rFonts w:hint="eastAsia"/>
                <w:sz w:val="24"/>
                <w:szCs w:val="24"/>
                <w:lang w:eastAsia="zh-CN"/>
              </w:rPr>
              <w:t>）</w:t>
            </w:r>
          </w:p>
        </w:tc>
        <w:tc>
          <w:tcPr>
            <w:tcW w:w="907" w:type="dxa"/>
            <w:noWrap w:val="0"/>
            <w:vAlign w:val="center"/>
          </w:tcPr>
          <w:p>
            <w:pPr>
              <w:jc w:val="center"/>
              <w:rPr>
                <w:rFonts w:hint="eastAsia" w:eastAsia="宋体"/>
                <w:sz w:val="24"/>
                <w:szCs w:val="24"/>
                <w:lang w:eastAsia="zh-CN"/>
              </w:rPr>
            </w:pPr>
            <w:r>
              <w:rPr>
                <w:rFonts w:hint="eastAsia"/>
                <w:sz w:val="24"/>
                <w:szCs w:val="24"/>
                <w:lang w:val="en-US" w:eastAsia="zh-CN"/>
              </w:rPr>
              <w:t>3</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62" w:hRule="atLeast"/>
          <w:jc w:val="center"/>
        </w:trPr>
        <w:tc>
          <w:tcPr>
            <w:tcW w:w="832" w:type="dxa"/>
            <w:noWrap w:val="0"/>
            <w:vAlign w:val="center"/>
          </w:tcPr>
          <w:p>
            <w:pPr>
              <w:jc w:val="center"/>
              <w:rPr>
                <w:rFonts w:hint="eastAsia"/>
                <w:sz w:val="24"/>
                <w:szCs w:val="24"/>
              </w:rPr>
            </w:pPr>
            <w:r>
              <w:rPr>
                <w:rFonts w:hint="eastAsia"/>
                <w:sz w:val="24"/>
                <w:szCs w:val="24"/>
              </w:rPr>
              <w:t>3</w:t>
            </w:r>
          </w:p>
        </w:tc>
        <w:tc>
          <w:tcPr>
            <w:tcW w:w="2675" w:type="dxa"/>
            <w:noWrap w:val="0"/>
            <w:vAlign w:val="center"/>
          </w:tcPr>
          <w:p>
            <w:pPr>
              <w:rPr>
                <w:rFonts w:hint="eastAsia"/>
                <w:sz w:val="24"/>
                <w:szCs w:val="24"/>
              </w:rPr>
            </w:pPr>
            <w:r>
              <w:rPr>
                <w:rFonts w:hint="eastAsia"/>
                <w:sz w:val="24"/>
                <w:szCs w:val="24"/>
              </w:rPr>
              <w:t>装备器材</w:t>
            </w:r>
          </w:p>
        </w:tc>
        <w:tc>
          <w:tcPr>
            <w:tcW w:w="5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sz w:val="24"/>
                <w:szCs w:val="24"/>
                <w:lang w:eastAsia="zh-CN"/>
              </w:rPr>
            </w:pPr>
            <w:r>
              <w:rPr>
                <w:rFonts w:hint="eastAsia"/>
                <w:sz w:val="24"/>
                <w:szCs w:val="24"/>
                <w:lang w:eastAsia="zh-CN"/>
              </w:rPr>
              <w:t>投标人自有一台1</w:t>
            </w:r>
            <w:r>
              <w:rPr>
                <w:rFonts w:hint="eastAsia"/>
                <w:sz w:val="24"/>
                <w:szCs w:val="24"/>
                <w:lang w:val="en-US" w:eastAsia="zh-CN"/>
              </w:rPr>
              <w:t>2</w:t>
            </w:r>
            <w:r>
              <w:rPr>
                <w:rFonts w:hint="eastAsia"/>
                <w:sz w:val="24"/>
                <w:szCs w:val="24"/>
                <w:lang w:eastAsia="zh-CN"/>
              </w:rPr>
              <w:t>米以上的中型专项作业车（路灯维修）的得</w:t>
            </w:r>
            <w:r>
              <w:rPr>
                <w:rFonts w:hint="default"/>
                <w:sz w:val="24"/>
                <w:szCs w:val="24"/>
                <w:lang w:val="en-US" w:eastAsia="zh-CN"/>
              </w:rPr>
              <w:t xml:space="preserve"> </w:t>
            </w:r>
            <w:r>
              <w:rPr>
                <w:rFonts w:hint="eastAsia"/>
                <w:sz w:val="24"/>
                <w:szCs w:val="24"/>
                <w:lang w:val="en-US" w:eastAsia="zh-CN"/>
              </w:rPr>
              <w:t>5</w:t>
            </w:r>
            <w:r>
              <w:rPr>
                <w:rFonts w:hint="eastAsia"/>
                <w:sz w:val="24"/>
                <w:szCs w:val="24"/>
                <w:lang w:eastAsia="zh-CN"/>
              </w:rPr>
              <w:t>分，每增加一台得</w:t>
            </w:r>
            <w:r>
              <w:rPr>
                <w:rFonts w:hint="eastAsia"/>
                <w:sz w:val="24"/>
                <w:szCs w:val="24"/>
                <w:lang w:val="en-US" w:eastAsia="zh-CN"/>
              </w:rPr>
              <w:t>5分，</w:t>
            </w:r>
            <w:r>
              <w:rPr>
                <w:rFonts w:hint="eastAsia"/>
                <w:sz w:val="24"/>
                <w:szCs w:val="24"/>
                <w:lang w:eastAsia="zh-CN"/>
              </w:rPr>
              <w:t>最高为</w:t>
            </w:r>
            <w:r>
              <w:rPr>
                <w:rFonts w:hint="eastAsia"/>
                <w:sz w:val="24"/>
                <w:szCs w:val="24"/>
                <w:lang w:val="en-US" w:eastAsia="zh-CN"/>
              </w:rPr>
              <w:t>10</w:t>
            </w:r>
            <w:r>
              <w:rPr>
                <w:rFonts w:hint="eastAsia"/>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sz w:val="24"/>
                <w:szCs w:val="24"/>
                <w:lang w:eastAsia="zh-CN"/>
              </w:rPr>
            </w:pPr>
            <w:r>
              <w:rPr>
                <w:rFonts w:hint="eastAsia"/>
                <w:sz w:val="24"/>
                <w:szCs w:val="24"/>
                <w:lang w:eastAsia="zh-CN"/>
              </w:rPr>
              <w:t>（以上车辆须提供车辆作业高度的证明材料、企业车辆行驶证,以上资料的单位名称必须为投标人公司名称）</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sz w:val="24"/>
                <w:szCs w:val="24"/>
                <w:lang w:eastAsia="zh-CN"/>
              </w:rPr>
            </w:pPr>
            <w:r>
              <w:rPr>
                <w:rFonts w:hint="eastAsia" w:hAnsi="宋体"/>
                <w:kern w:val="0"/>
                <w:sz w:val="24"/>
                <w:szCs w:val="24"/>
                <w:lang w:eastAsia="zh-CN"/>
              </w:rPr>
              <w:t>投标人</w:t>
            </w:r>
            <w:r>
              <w:rPr>
                <w:rFonts w:hint="eastAsia"/>
                <w:sz w:val="24"/>
                <w:szCs w:val="24"/>
                <w:lang w:val="en-US" w:eastAsia="zh-CN"/>
              </w:rPr>
              <w:t>租赁</w:t>
            </w:r>
            <w:r>
              <w:rPr>
                <w:rFonts w:hint="eastAsia" w:hAnsi="宋体"/>
                <w:kern w:val="0"/>
                <w:sz w:val="24"/>
                <w:szCs w:val="24"/>
                <w:lang w:eastAsia="zh-CN"/>
              </w:rPr>
              <w:t>一台1</w:t>
            </w:r>
            <w:r>
              <w:rPr>
                <w:rFonts w:hint="eastAsia" w:hAnsi="宋体"/>
                <w:kern w:val="0"/>
                <w:sz w:val="24"/>
                <w:szCs w:val="24"/>
                <w:lang w:val="en-US" w:eastAsia="zh-CN"/>
              </w:rPr>
              <w:t>2</w:t>
            </w:r>
            <w:r>
              <w:rPr>
                <w:rFonts w:hint="eastAsia" w:hAnsi="宋体"/>
                <w:kern w:val="0"/>
                <w:sz w:val="24"/>
                <w:szCs w:val="24"/>
                <w:lang w:eastAsia="zh-CN"/>
              </w:rPr>
              <w:t>米以上的中型专项作业车（路灯维修）的得</w:t>
            </w:r>
            <w:r>
              <w:rPr>
                <w:rFonts w:hint="default" w:hAnsi="宋体"/>
                <w:kern w:val="0"/>
                <w:sz w:val="24"/>
                <w:szCs w:val="24"/>
                <w:lang w:val="en-US" w:eastAsia="zh-CN"/>
              </w:rPr>
              <w:t xml:space="preserve"> </w:t>
            </w:r>
            <w:r>
              <w:rPr>
                <w:rFonts w:hint="eastAsia" w:hAnsi="宋体"/>
                <w:kern w:val="0"/>
                <w:sz w:val="24"/>
                <w:szCs w:val="24"/>
                <w:lang w:val="en-US" w:eastAsia="zh-CN"/>
              </w:rPr>
              <w:t>2.5</w:t>
            </w:r>
            <w:r>
              <w:rPr>
                <w:rFonts w:hint="eastAsia" w:hAnsi="宋体"/>
                <w:kern w:val="0"/>
                <w:sz w:val="24"/>
                <w:szCs w:val="24"/>
                <w:lang w:eastAsia="zh-CN"/>
              </w:rPr>
              <w:t>分，每增加一台得</w:t>
            </w:r>
            <w:r>
              <w:rPr>
                <w:rFonts w:hint="eastAsia" w:hAnsi="宋体"/>
                <w:kern w:val="0"/>
                <w:sz w:val="24"/>
                <w:szCs w:val="24"/>
                <w:lang w:val="en-US" w:eastAsia="zh-CN"/>
              </w:rPr>
              <w:t>2.5分，</w:t>
            </w:r>
            <w:r>
              <w:rPr>
                <w:rFonts w:hint="eastAsia" w:hAnsi="宋体"/>
                <w:kern w:val="0"/>
                <w:sz w:val="24"/>
                <w:szCs w:val="24"/>
                <w:lang w:eastAsia="zh-CN"/>
              </w:rPr>
              <w:t>最高为</w:t>
            </w:r>
            <w:r>
              <w:rPr>
                <w:rFonts w:hint="eastAsia" w:hAnsi="宋体"/>
                <w:kern w:val="0"/>
                <w:sz w:val="24"/>
                <w:szCs w:val="24"/>
                <w:lang w:val="en-US" w:eastAsia="zh-CN"/>
              </w:rPr>
              <w:t>5</w:t>
            </w:r>
            <w:r>
              <w:rPr>
                <w:rFonts w:hint="eastAsia" w:hAnsi="宋体"/>
                <w:kern w:val="0"/>
                <w:sz w:val="24"/>
                <w:szCs w:val="24"/>
                <w:lang w:eastAsia="zh-CN"/>
              </w:rPr>
              <w:t>分。</w:t>
            </w:r>
            <w:r>
              <w:rPr>
                <w:rFonts w:hint="eastAsia"/>
                <w:sz w:val="24"/>
                <w:szCs w:val="24"/>
                <w:lang w:val="en-US" w:eastAsia="zh-CN"/>
              </w:rPr>
              <w:t>（开标前</w:t>
            </w:r>
            <w:r>
              <w:rPr>
                <w:rFonts w:hint="eastAsia"/>
                <w:sz w:val="24"/>
                <w:szCs w:val="24"/>
                <w:lang w:eastAsia="zh-CN"/>
              </w:rPr>
              <w:t>1</w:t>
            </w:r>
            <w:r>
              <w:rPr>
                <w:rFonts w:hint="eastAsia"/>
                <w:sz w:val="24"/>
                <w:szCs w:val="24"/>
                <w:lang w:val="en-US" w:eastAsia="zh-CN"/>
              </w:rPr>
              <w:t>2</w:t>
            </w:r>
            <w:r>
              <w:rPr>
                <w:rFonts w:hint="eastAsia"/>
                <w:sz w:val="24"/>
                <w:szCs w:val="24"/>
                <w:lang w:eastAsia="zh-CN"/>
              </w:rPr>
              <w:t>米以上的中型专项作业车（路灯维修）</w:t>
            </w:r>
            <w:r>
              <w:rPr>
                <w:rFonts w:hint="eastAsia"/>
                <w:sz w:val="24"/>
                <w:szCs w:val="24"/>
                <w:lang w:val="en-US" w:eastAsia="zh-CN"/>
              </w:rPr>
              <w:t>租赁的须提供租赁承诺书，中标后一个月内向业主单位提供租赁合同复印件加盖公章）</w:t>
            </w:r>
          </w:p>
        </w:tc>
        <w:tc>
          <w:tcPr>
            <w:tcW w:w="907" w:type="dxa"/>
            <w:noWrap w:val="0"/>
            <w:vAlign w:val="center"/>
          </w:tcPr>
          <w:p>
            <w:pPr>
              <w:jc w:val="center"/>
              <w:rPr>
                <w:rFonts w:hint="eastAsia" w:eastAsia="宋体"/>
                <w:sz w:val="24"/>
                <w:szCs w:val="24"/>
                <w:lang w:eastAsia="zh-CN"/>
              </w:rPr>
            </w:pPr>
            <w:r>
              <w:rPr>
                <w:rFonts w:hint="eastAsia"/>
                <w:sz w:val="24"/>
                <w:szCs w:val="24"/>
                <w:lang w:val="en-US" w:eastAsia="zh-CN"/>
              </w:rPr>
              <w:t>10</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4" w:hRule="atLeast"/>
          <w:jc w:val="center"/>
        </w:trPr>
        <w:tc>
          <w:tcPr>
            <w:tcW w:w="832" w:type="dxa"/>
            <w:noWrap w:val="0"/>
            <w:vAlign w:val="center"/>
          </w:tcPr>
          <w:p>
            <w:pPr>
              <w:jc w:val="center"/>
              <w:rPr>
                <w:rFonts w:hint="eastAsia"/>
                <w:sz w:val="24"/>
                <w:szCs w:val="24"/>
              </w:rPr>
            </w:pPr>
            <w:r>
              <w:rPr>
                <w:rFonts w:hint="eastAsia"/>
                <w:sz w:val="24"/>
                <w:szCs w:val="24"/>
              </w:rPr>
              <w:t>4</w:t>
            </w:r>
          </w:p>
        </w:tc>
        <w:tc>
          <w:tcPr>
            <w:tcW w:w="2675" w:type="dxa"/>
            <w:noWrap w:val="0"/>
            <w:vAlign w:val="center"/>
          </w:tcPr>
          <w:p>
            <w:pPr>
              <w:rPr>
                <w:sz w:val="24"/>
                <w:szCs w:val="24"/>
              </w:rPr>
            </w:pPr>
            <w:r>
              <w:rPr>
                <w:rFonts w:hint="eastAsia"/>
                <w:sz w:val="24"/>
                <w:szCs w:val="24"/>
              </w:rPr>
              <w:t>考核规章制度</w:t>
            </w: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eastAsia="宋体"/>
                <w:sz w:val="24"/>
                <w:szCs w:val="24"/>
                <w:lang w:eastAsia="zh-CN"/>
              </w:rPr>
            </w:pPr>
            <w:r>
              <w:rPr>
                <w:rFonts w:hint="eastAsia" w:hAnsi="宋体"/>
                <w:kern w:val="0"/>
                <w:sz w:val="24"/>
                <w:szCs w:val="24"/>
                <w:lang w:eastAsia="zh-CN"/>
              </w:rPr>
              <w:t>投标人按招投标维护合同的相关维护要求进行维护，以达到《桐庐县城市公共照明设施维护管理标准》的维护要求，根据考核规章制度是否完整，能否体现制度约束力。（</w:t>
            </w:r>
            <w:r>
              <w:rPr>
                <w:rFonts w:hint="eastAsia" w:hAnsi="宋体"/>
                <w:kern w:val="0"/>
                <w:sz w:val="24"/>
                <w:szCs w:val="24"/>
                <w:lang w:val="en-US" w:eastAsia="zh-CN"/>
              </w:rPr>
              <w:t>0-2分</w:t>
            </w:r>
            <w:r>
              <w:rPr>
                <w:rFonts w:hint="eastAsia" w:hAnsi="宋体"/>
                <w:kern w:val="0"/>
                <w:sz w:val="24"/>
                <w:szCs w:val="24"/>
                <w:lang w:eastAsia="zh-CN"/>
              </w:rPr>
              <w:t>）</w:t>
            </w:r>
          </w:p>
        </w:tc>
        <w:tc>
          <w:tcPr>
            <w:tcW w:w="907" w:type="dxa"/>
            <w:noWrap w:val="0"/>
            <w:vAlign w:val="center"/>
          </w:tcPr>
          <w:p>
            <w:pPr>
              <w:jc w:val="center"/>
              <w:rPr>
                <w:rFonts w:hint="eastAsia" w:eastAsia="宋体"/>
                <w:sz w:val="24"/>
                <w:szCs w:val="24"/>
                <w:lang w:eastAsia="zh-CN"/>
              </w:rPr>
            </w:pPr>
            <w:r>
              <w:rPr>
                <w:rFonts w:hint="eastAsia"/>
                <w:sz w:val="24"/>
                <w:szCs w:val="24"/>
                <w:lang w:val="en-US" w:eastAsia="zh-CN"/>
              </w:rPr>
              <w:t>2</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4" w:hRule="atLeast"/>
          <w:jc w:val="center"/>
        </w:trPr>
        <w:tc>
          <w:tcPr>
            <w:tcW w:w="832" w:type="dxa"/>
            <w:vMerge w:val="restart"/>
            <w:noWrap w:val="0"/>
            <w:vAlign w:val="center"/>
          </w:tcPr>
          <w:p>
            <w:pPr>
              <w:jc w:val="center"/>
              <w:rPr>
                <w:rFonts w:hint="eastAsia"/>
                <w:sz w:val="24"/>
                <w:szCs w:val="24"/>
              </w:rPr>
            </w:pPr>
            <w:r>
              <w:rPr>
                <w:rFonts w:hint="eastAsia"/>
                <w:sz w:val="24"/>
                <w:szCs w:val="24"/>
              </w:rPr>
              <w:t>5</w:t>
            </w:r>
          </w:p>
        </w:tc>
        <w:tc>
          <w:tcPr>
            <w:tcW w:w="2675" w:type="dxa"/>
            <w:vMerge w:val="restart"/>
            <w:noWrap w:val="0"/>
            <w:vAlign w:val="center"/>
          </w:tcPr>
          <w:p>
            <w:pPr>
              <w:rPr>
                <w:sz w:val="24"/>
                <w:szCs w:val="24"/>
              </w:rPr>
            </w:pPr>
            <w:r>
              <w:rPr>
                <w:sz w:val="24"/>
                <w:szCs w:val="24"/>
              </w:rPr>
              <w:t>项目</w:t>
            </w:r>
            <w:r>
              <w:rPr>
                <w:rFonts w:hint="eastAsia"/>
                <w:sz w:val="24"/>
                <w:szCs w:val="24"/>
              </w:rPr>
              <w:t>专职管理</w:t>
            </w:r>
            <w:r>
              <w:rPr>
                <w:sz w:val="24"/>
                <w:szCs w:val="24"/>
              </w:rPr>
              <w:t>人员</w:t>
            </w: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hAnsi="宋体"/>
                <w:b/>
                <w:bCs/>
                <w:color w:val="0070C0"/>
                <w:kern w:val="0"/>
                <w:sz w:val="24"/>
                <w:szCs w:val="24"/>
                <w:lang w:val="en-US" w:eastAsia="zh-CN"/>
              </w:rPr>
            </w:pPr>
            <w:r>
              <w:rPr>
                <w:rFonts w:hint="eastAsia" w:hAnsi="宋体"/>
                <w:b/>
                <w:bCs/>
                <w:color w:val="0070C0"/>
                <w:kern w:val="0"/>
                <w:sz w:val="24"/>
                <w:szCs w:val="24"/>
                <w:lang w:eastAsia="zh-CN"/>
              </w:rPr>
              <w:t>具有建筑施工特种作业操作资格证（建筑电工）上岗证的</w:t>
            </w:r>
            <w:r>
              <w:rPr>
                <w:rFonts w:hint="eastAsia" w:hAnsi="宋体"/>
                <w:b/>
                <w:bCs/>
                <w:color w:val="0070C0"/>
                <w:kern w:val="0"/>
                <w:sz w:val="32"/>
                <w:szCs w:val="32"/>
                <w:lang w:val="en-US" w:eastAsia="zh-CN"/>
              </w:rPr>
              <w:t>2</w:t>
            </w:r>
            <w:r>
              <w:rPr>
                <w:rFonts w:hint="eastAsia" w:hAnsi="宋体"/>
                <w:b/>
                <w:bCs/>
                <w:color w:val="0070C0"/>
                <w:kern w:val="0"/>
                <w:sz w:val="24"/>
                <w:szCs w:val="24"/>
                <w:lang w:eastAsia="zh-CN"/>
              </w:rPr>
              <w:t>位得</w:t>
            </w:r>
            <w:r>
              <w:rPr>
                <w:rFonts w:hint="eastAsia" w:hAnsi="宋体"/>
                <w:b/>
                <w:bCs/>
                <w:color w:val="0070C0"/>
                <w:kern w:val="0"/>
                <w:sz w:val="24"/>
                <w:szCs w:val="24"/>
                <w:lang w:val="en-US" w:eastAsia="zh-CN"/>
              </w:rPr>
              <w:t>3分，每增加1位得1分，最高不超过5分；</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eastAsia="宋体"/>
                <w:sz w:val="24"/>
                <w:szCs w:val="24"/>
                <w:lang w:val="en-US" w:eastAsia="zh-CN"/>
              </w:rPr>
            </w:pPr>
            <w:r>
              <w:rPr>
                <w:rFonts w:hint="eastAsia" w:hAnsi="宋体" w:cs="宋体"/>
                <w:b/>
                <w:bCs/>
                <w:color w:val="0070C0"/>
                <w:sz w:val="24"/>
                <w:szCs w:val="24"/>
                <w:lang w:val="en-US" w:eastAsia="zh-CN"/>
              </w:rPr>
              <w:t>提供本单位缴纳社保证明和证书复印件加盖公章。</w:t>
            </w:r>
          </w:p>
        </w:tc>
        <w:tc>
          <w:tcPr>
            <w:tcW w:w="907" w:type="dxa"/>
            <w:noWrap w:val="0"/>
            <w:vAlign w:val="center"/>
          </w:tcPr>
          <w:p>
            <w:pPr>
              <w:jc w:val="center"/>
              <w:rPr>
                <w:rFonts w:hint="eastAsia" w:eastAsia="宋体"/>
                <w:sz w:val="24"/>
                <w:szCs w:val="24"/>
                <w:lang w:eastAsia="zh-CN"/>
              </w:rPr>
            </w:pPr>
            <w:r>
              <w:rPr>
                <w:rFonts w:hint="eastAsia"/>
                <w:sz w:val="24"/>
                <w:szCs w:val="24"/>
                <w:lang w:val="en-US" w:eastAsia="zh-CN"/>
              </w:rPr>
              <w:t>5</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9" w:hRule="atLeast"/>
          <w:jc w:val="center"/>
        </w:trPr>
        <w:tc>
          <w:tcPr>
            <w:tcW w:w="832" w:type="dxa"/>
            <w:vMerge w:val="continue"/>
            <w:noWrap w:val="0"/>
            <w:vAlign w:val="center"/>
          </w:tcPr>
          <w:p>
            <w:pPr>
              <w:jc w:val="center"/>
              <w:rPr>
                <w:sz w:val="24"/>
                <w:szCs w:val="24"/>
              </w:rPr>
            </w:pPr>
          </w:p>
        </w:tc>
        <w:tc>
          <w:tcPr>
            <w:tcW w:w="2675" w:type="dxa"/>
            <w:vMerge w:val="continue"/>
            <w:noWrap w:val="0"/>
            <w:vAlign w:val="center"/>
          </w:tcPr>
          <w:p>
            <w:pPr>
              <w:rPr>
                <w:sz w:val="24"/>
                <w:szCs w:val="24"/>
              </w:rPr>
            </w:pP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b/>
                <w:bCs/>
                <w:color w:val="4F81BD" w:themeColor="accent1"/>
                <w:sz w:val="24"/>
                <w:szCs w:val="24"/>
                <w:lang w:val="en-US" w:eastAsia="zh-CN"/>
                <w14:textFill>
                  <w14:solidFill>
                    <w14:schemeClr w14:val="accent1"/>
                  </w14:solidFill>
                </w14:textFill>
              </w:rPr>
            </w:pPr>
            <w:r>
              <w:rPr>
                <w:rFonts w:hint="eastAsia"/>
                <w:b/>
                <w:bCs/>
                <w:color w:val="4F81BD" w:themeColor="accent1"/>
                <w:sz w:val="24"/>
                <w:szCs w:val="24"/>
                <w:lang w:eastAsia="zh-CN"/>
                <w14:textFill>
                  <w14:solidFill>
                    <w14:schemeClr w14:val="accent1"/>
                  </w14:solidFill>
                </w14:textFill>
              </w:rPr>
              <w:t>具有驾驶证</w:t>
            </w:r>
            <w:r>
              <w:rPr>
                <w:rFonts w:hint="eastAsia"/>
                <w:b/>
                <w:bCs/>
                <w:color w:val="4F81BD" w:themeColor="accent1"/>
                <w:sz w:val="24"/>
                <w:szCs w:val="24"/>
                <w:lang w:val="en-US" w:eastAsia="zh-CN"/>
                <w14:textFill>
                  <w14:solidFill>
                    <w14:schemeClr w14:val="accent1"/>
                  </w14:solidFill>
                </w14:textFill>
              </w:rPr>
              <w:t>B证及以上的</w:t>
            </w:r>
            <w:r>
              <w:rPr>
                <w:rFonts w:hint="eastAsia"/>
                <w:b/>
                <w:bCs/>
                <w:color w:val="4F81BD" w:themeColor="accent1"/>
                <w:sz w:val="24"/>
                <w:szCs w:val="24"/>
                <w:lang w:eastAsia="zh-CN"/>
                <w14:textFill>
                  <w14:solidFill>
                    <w14:schemeClr w14:val="accent1"/>
                  </w14:solidFill>
                </w14:textFill>
              </w:rPr>
              <w:t>两位得</w:t>
            </w:r>
            <w:r>
              <w:rPr>
                <w:rFonts w:hint="eastAsia"/>
                <w:b/>
                <w:bCs/>
                <w:color w:val="4F81BD" w:themeColor="accent1"/>
                <w:sz w:val="24"/>
                <w:szCs w:val="24"/>
                <w:lang w:val="en-US" w:eastAsia="zh-CN"/>
                <w14:textFill>
                  <w14:solidFill>
                    <w14:schemeClr w14:val="accent1"/>
                  </w14:solidFill>
                </w14:textFill>
              </w:rPr>
              <w:t>3分，每增加一位得1分，最高不超过5分；</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sz w:val="24"/>
                <w:szCs w:val="24"/>
                <w:lang w:val="en-US" w:eastAsia="zh-CN"/>
              </w:rPr>
            </w:pPr>
            <w:r>
              <w:rPr>
                <w:rFonts w:hint="eastAsia" w:hAnsi="宋体" w:cs="宋体"/>
                <w:b/>
                <w:bCs/>
                <w:color w:val="4F81BD" w:themeColor="accent1"/>
                <w:sz w:val="24"/>
                <w:szCs w:val="24"/>
                <w:lang w:val="en-US" w:eastAsia="zh-CN"/>
                <w14:textFill>
                  <w14:solidFill>
                    <w14:schemeClr w14:val="accent1"/>
                  </w14:solidFill>
                </w14:textFill>
              </w:rPr>
              <w:t>提供本单位缴纳社保证明和证书复印件加盖公章。</w:t>
            </w:r>
          </w:p>
        </w:tc>
        <w:tc>
          <w:tcPr>
            <w:tcW w:w="907" w:type="dxa"/>
            <w:noWrap w:val="0"/>
            <w:vAlign w:val="center"/>
          </w:tcPr>
          <w:p>
            <w:pPr>
              <w:jc w:val="center"/>
              <w:rPr>
                <w:rFonts w:hint="eastAsia" w:eastAsia="宋体"/>
                <w:sz w:val="24"/>
                <w:szCs w:val="24"/>
                <w:lang w:eastAsia="zh-CN"/>
              </w:rPr>
            </w:pPr>
            <w:r>
              <w:rPr>
                <w:rFonts w:hint="eastAsia"/>
                <w:sz w:val="24"/>
                <w:szCs w:val="24"/>
                <w:lang w:val="en-US" w:eastAsia="zh-CN"/>
              </w:rPr>
              <w:t>5</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19" w:hRule="atLeast"/>
          <w:jc w:val="center"/>
        </w:trPr>
        <w:tc>
          <w:tcPr>
            <w:tcW w:w="832" w:type="dxa"/>
            <w:noWrap w:val="0"/>
            <w:vAlign w:val="center"/>
          </w:tcPr>
          <w:p>
            <w:pPr>
              <w:jc w:val="center"/>
              <w:rPr>
                <w:sz w:val="24"/>
                <w:szCs w:val="24"/>
              </w:rPr>
            </w:pPr>
            <w:r>
              <w:rPr>
                <w:rFonts w:hint="eastAsia"/>
                <w:sz w:val="24"/>
                <w:szCs w:val="24"/>
              </w:rPr>
              <w:t>6</w:t>
            </w:r>
          </w:p>
        </w:tc>
        <w:tc>
          <w:tcPr>
            <w:tcW w:w="2675" w:type="dxa"/>
            <w:noWrap w:val="0"/>
            <w:vAlign w:val="center"/>
          </w:tcPr>
          <w:p>
            <w:pPr>
              <w:rPr>
                <w:rFonts w:hint="eastAsia" w:eastAsia="宋体"/>
                <w:sz w:val="24"/>
                <w:szCs w:val="24"/>
                <w:lang w:eastAsia="zh-CN"/>
              </w:rPr>
            </w:pPr>
            <w:r>
              <w:rPr>
                <w:rFonts w:hint="eastAsia"/>
                <w:sz w:val="24"/>
                <w:szCs w:val="24"/>
              </w:rPr>
              <w:t>投标人</w:t>
            </w:r>
            <w:r>
              <w:rPr>
                <w:rFonts w:hint="eastAsia"/>
                <w:sz w:val="24"/>
                <w:szCs w:val="24"/>
                <w:lang w:eastAsia="zh-CN"/>
              </w:rPr>
              <w:t>管理用房</w:t>
            </w: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b/>
                <w:bCs/>
                <w:color w:val="0070C0"/>
                <w:sz w:val="24"/>
                <w:szCs w:val="24"/>
                <w:lang w:val="en-US" w:eastAsia="zh-CN"/>
              </w:rPr>
            </w:pPr>
            <w:r>
              <w:rPr>
                <w:rFonts w:hint="eastAsia"/>
                <w:b/>
                <w:bCs/>
                <w:color w:val="0070C0"/>
                <w:sz w:val="24"/>
                <w:szCs w:val="24"/>
                <w:lang w:eastAsia="zh-CN"/>
              </w:rPr>
              <w:t>投标人在桐自有仓储用房</w:t>
            </w:r>
            <w:r>
              <w:rPr>
                <w:rFonts w:hint="eastAsia"/>
                <w:b/>
                <w:bCs/>
                <w:color w:val="0070C0"/>
                <w:sz w:val="24"/>
                <w:szCs w:val="24"/>
                <w:lang w:val="en-US" w:eastAsia="zh-CN"/>
              </w:rPr>
              <w:t>500平方至800平方得5分；800平方至1200平方得10分；1200平方以上得15分。</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b/>
                <w:bCs/>
                <w:color w:val="0070C0"/>
                <w:sz w:val="24"/>
                <w:szCs w:val="24"/>
                <w:lang w:val="en-US" w:eastAsia="zh-CN"/>
              </w:rPr>
            </w:pPr>
            <w:r>
              <w:rPr>
                <w:rFonts w:hint="eastAsia"/>
                <w:b/>
                <w:bCs/>
                <w:color w:val="0070C0"/>
                <w:sz w:val="24"/>
                <w:szCs w:val="24"/>
                <w:lang w:val="en-US" w:eastAsia="zh-CN"/>
              </w:rPr>
              <w:t>（仓储用房自有的须提供房产证、土地证复印件加盖公章）</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sz w:val="24"/>
                <w:szCs w:val="24"/>
                <w:lang w:val="en-US" w:eastAsia="zh-CN"/>
              </w:rPr>
            </w:pPr>
            <w:r>
              <w:rPr>
                <w:rFonts w:hint="eastAsia"/>
                <w:b/>
                <w:bCs/>
                <w:color w:val="0070C0"/>
                <w:sz w:val="24"/>
                <w:szCs w:val="24"/>
                <w:lang w:eastAsia="zh-CN"/>
              </w:rPr>
              <w:t>投标人在桐</w:t>
            </w:r>
            <w:r>
              <w:rPr>
                <w:rFonts w:hint="eastAsia"/>
                <w:b/>
                <w:bCs/>
                <w:color w:val="0070C0"/>
                <w:sz w:val="24"/>
                <w:szCs w:val="24"/>
                <w:lang w:val="en-US" w:eastAsia="zh-CN"/>
              </w:rPr>
              <w:t>租赁</w:t>
            </w:r>
            <w:r>
              <w:rPr>
                <w:rFonts w:hint="eastAsia"/>
                <w:b/>
                <w:bCs/>
                <w:color w:val="0070C0"/>
                <w:sz w:val="24"/>
                <w:szCs w:val="24"/>
                <w:lang w:eastAsia="zh-CN"/>
              </w:rPr>
              <w:t>仓储用房</w:t>
            </w:r>
            <w:r>
              <w:rPr>
                <w:rFonts w:hint="eastAsia"/>
                <w:b/>
                <w:bCs/>
                <w:color w:val="0070C0"/>
                <w:sz w:val="24"/>
                <w:szCs w:val="24"/>
                <w:lang w:val="en-US" w:eastAsia="zh-CN"/>
              </w:rPr>
              <w:t>500平方至800平方得2分；800平方至1200平方得4分；1200平方以上得6分。（开标前仓储用房租赁的须提供租赁承诺书，中标后一个月内向业主单位提供租赁合同、房产证、土地证复印件加盖公章）</w:t>
            </w:r>
          </w:p>
        </w:tc>
        <w:tc>
          <w:tcPr>
            <w:tcW w:w="907" w:type="dxa"/>
            <w:noWrap w:val="0"/>
            <w:vAlign w:val="center"/>
          </w:tcPr>
          <w:p>
            <w:pPr>
              <w:jc w:val="center"/>
              <w:rPr>
                <w:rFonts w:hint="default" w:eastAsia="宋体"/>
                <w:sz w:val="24"/>
                <w:szCs w:val="24"/>
                <w:lang w:val="en-US" w:eastAsia="zh-CN"/>
              </w:rPr>
            </w:pPr>
            <w:r>
              <w:rPr>
                <w:rFonts w:hint="eastAsia"/>
                <w:sz w:val="24"/>
                <w:szCs w:val="24"/>
                <w:lang w:val="en-US" w:eastAsia="zh-CN"/>
              </w:rPr>
              <w:t>15</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9" w:hRule="atLeast"/>
          <w:jc w:val="center"/>
        </w:trPr>
        <w:tc>
          <w:tcPr>
            <w:tcW w:w="832" w:type="dxa"/>
            <w:vMerge w:val="restart"/>
            <w:noWrap w:val="0"/>
            <w:vAlign w:val="center"/>
          </w:tcPr>
          <w:p>
            <w:pPr>
              <w:jc w:val="center"/>
              <w:rPr>
                <w:sz w:val="24"/>
                <w:szCs w:val="24"/>
              </w:rPr>
            </w:pPr>
            <w:r>
              <w:rPr>
                <w:rFonts w:hint="eastAsia"/>
                <w:sz w:val="24"/>
                <w:szCs w:val="24"/>
              </w:rPr>
              <w:t>7</w:t>
            </w:r>
          </w:p>
        </w:tc>
        <w:tc>
          <w:tcPr>
            <w:tcW w:w="2675" w:type="dxa"/>
            <w:vMerge w:val="restart"/>
            <w:noWrap w:val="0"/>
            <w:vAlign w:val="center"/>
          </w:tcPr>
          <w:p>
            <w:pPr>
              <w:jc w:val="left"/>
              <w:rPr>
                <w:sz w:val="24"/>
                <w:szCs w:val="24"/>
              </w:rPr>
            </w:pPr>
            <w:r>
              <w:rPr>
                <w:rFonts w:hint="eastAsia"/>
                <w:sz w:val="24"/>
                <w:szCs w:val="24"/>
              </w:rPr>
              <w:t>投标人业绩</w:t>
            </w: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hAnsi="宋体" w:cs="宋体"/>
                <w:sz w:val="24"/>
                <w:szCs w:val="24"/>
              </w:rPr>
            </w:pPr>
            <w:r>
              <w:rPr>
                <w:rFonts w:hint="eastAsia" w:hAnsi="宋体" w:cs="宋体"/>
                <w:sz w:val="24"/>
                <w:szCs w:val="24"/>
                <w:lang w:eastAsia="zh-CN"/>
              </w:rPr>
              <w:t>201</w:t>
            </w:r>
            <w:r>
              <w:rPr>
                <w:rFonts w:hint="eastAsia" w:hAnsi="宋体" w:cs="宋体"/>
                <w:sz w:val="24"/>
                <w:szCs w:val="24"/>
                <w:lang w:val="en-US" w:eastAsia="zh-CN"/>
              </w:rPr>
              <w:t>4</w:t>
            </w:r>
            <w:r>
              <w:rPr>
                <w:rFonts w:hint="eastAsia" w:hAnsi="宋体" w:cs="宋体"/>
                <w:sz w:val="24"/>
                <w:szCs w:val="24"/>
                <w:lang w:eastAsia="zh-CN"/>
              </w:rPr>
              <w:t>年</w:t>
            </w:r>
            <w:r>
              <w:rPr>
                <w:rFonts w:hint="eastAsia" w:hAnsi="宋体" w:cs="宋体"/>
                <w:sz w:val="24"/>
                <w:szCs w:val="24"/>
                <w:lang w:val="en-US" w:eastAsia="zh-CN"/>
              </w:rPr>
              <w:t>7</w:t>
            </w:r>
            <w:r>
              <w:rPr>
                <w:rFonts w:hint="eastAsia" w:hAnsi="宋体" w:cs="宋体"/>
                <w:sz w:val="24"/>
                <w:szCs w:val="24"/>
                <w:lang w:eastAsia="zh-CN"/>
              </w:rPr>
              <w:t>月1日后中标过政府投资的路灯或景观照明维护工程的每个得</w:t>
            </w:r>
            <w:r>
              <w:rPr>
                <w:rFonts w:hint="eastAsia" w:hAnsi="宋体" w:cs="宋体"/>
                <w:sz w:val="24"/>
                <w:szCs w:val="24"/>
                <w:lang w:val="en-US" w:eastAsia="zh-CN"/>
              </w:rPr>
              <w:t>3</w:t>
            </w:r>
            <w:r>
              <w:rPr>
                <w:rFonts w:hint="eastAsia" w:hAnsi="宋体" w:cs="宋体"/>
                <w:sz w:val="24"/>
                <w:szCs w:val="24"/>
              </w:rPr>
              <w:t>分，最高得</w:t>
            </w:r>
            <w:r>
              <w:rPr>
                <w:rFonts w:hint="eastAsia" w:hAnsi="宋体" w:cs="宋体"/>
                <w:sz w:val="24"/>
                <w:szCs w:val="24"/>
                <w:lang w:val="en-US" w:eastAsia="zh-CN"/>
              </w:rPr>
              <w:t>15</w:t>
            </w:r>
            <w:r>
              <w:rPr>
                <w:rFonts w:hint="eastAsia" w:hAnsi="宋体" w:cs="宋体"/>
                <w:sz w:val="24"/>
                <w:szCs w:val="24"/>
              </w:rPr>
              <w:t>分。</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eastAsia="宋体"/>
                <w:sz w:val="24"/>
                <w:szCs w:val="24"/>
                <w:lang w:eastAsia="zh-CN"/>
              </w:rPr>
            </w:pPr>
            <w:r>
              <w:rPr>
                <w:rFonts w:hint="eastAsia" w:hAnsi="宋体" w:cs="宋体"/>
                <w:sz w:val="24"/>
                <w:szCs w:val="24"/>
                <w:lang w:eastAsia="zh-CN"/>
              </w:rPr>
              <w:t>（提供施工</w:t>
            </w:r>
            <w:r>
              <w:rPr>
                <w:rFonts w:hint="eastAsia" w:hAnsi="宋体" w:cs="宋体"/>
                <w:sz w:val="24"/>
                <w:szCs w:val="24"/>
              </w:rPr>
              <w:t>合同、</w:t>
            </w:r>
            <w:r>
              <w:rPr>
                <w:rFonts w:hint="eastAsia" w:hAnsi="宋体" w:cs="宋体"/>
                <w:sz w:val="24"/>
                <w:szCs w:val="24"/>
                <w:lang w:eastAsia="zh-CN"/>
              </w:rPr>
              <w:t>中标通知书或相关证明材料）</w:t>
            </w:r>
          </w:p>
        </w:tc>
        <w:tc>
          <w:tcPr>
            <w:tcW w:w="907" w:type="dxa"/>
            <w:noWrap w:val="0"/>
            <w:vAlign w:val="center"/>
          </w:tcPr>
          <w:p>
            <w:pPr>
              <w:jc w:val="center"/>
              <w:rPr>
                <w:rFonts w:hint="eastAsia"/>
                <w:sz w:val="24"/>
                <w:szCs w:val="24"/>
              </w:rPr>
            </w:pPr>
            <w:r>
              <w:rPr>
                <w:rFonts w:hint="eastAsia"/>
                <w:sz w:val="24"/>
                <w:szCs w:val="24"/>
                <w:lang w:val="en-US" w:eastAsia="zh-CN"/>
              </w:rPr>
              <w:t>15</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24" w:hRule="atLeast"/>
          <w:jc w:val="center"/>
        </w:trPr>
        <w:tc>
          <w:tcPr>
            <w:tcW w:w="832" w:type="dxa"/>
            <w:vMerge w:val="continue"/>
            <w:noWrap w:val="0"/>
            <w:vAlign w:val="center"/>
          </w:tcPr>
          <w:p>
            <w:pPr>
              <w:jc w:val="center"/>
              <w:rPr>
                <w:rFonts w:hint="eastAsia"/>
                <w:sz w:val="24"/>
                <w:szCs w:val="24"/>
              </w:rPr>
            </w:pPr>
          </w:p>
        </w:tc>
        <w:tc>
          <w:tcPr>
            <w:tcW w:w="2675" w:type="dxa"/>
            <w:vMerge w:val="continue"/>
            <w:noWrap w:val="0"/>
            <w:vAlign w:val="center"/>
          </w:tcPr>
          <w:p>
            <w:pPr>
              <w:jc w:val="left"/>
              <w:rPr>
                <w:rFonts w:hint="eastAsia"/>
                <w:sz w:val="24"/>
                <w:szCs w:val="24"/>
              </w:rPr>
            </w:pP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hAnsi="宋体" w:eastAsia="宋体" w:cs="宋体"/>
                <w:sz w:val="24"/>
                <w:szCs w:val="24"/>
                <w:lang w:val="en-US" w:eastAsia="zh-CN"/>
              </w:rPr>
            </w:pPr>
            <w:r>
              <w:rPr>
                <w:rFonts w:hint="eastAsia" w:hAnsi="宋体" w:cs="宋体"/>
                <w:b/>
                <w:bCs/>
                <w:color w:val="0070C0"/>
                <w:sz w:val="24"/>
                <w:szCs w:val="24"/>
                <w:lang w:eastAsia="zh-CN"/>
              </w:rPr>
              <w:t>201</w:t>
            </w:r>
            <w:r>
              <w:rPr>
                <w:rFonts w:hint="eastAsia" w:hAnsi="宋体" w:cs="宋体"/>
                <w:b/>
                <w:bCs/>
                <w:color w:val="0070C0"/>
                <w:sz w:val="24"/>
                <w:szCs w:val="24"/>
                <w:lang w:val="en-US" w:eastAsia="zh-CN"/>
              </w:rPr>
              <w:t>4</w:t>
            </w:r>
            <w:r>
              <w:rPr>
                <w:rFonts w:hint="eastAsia" w:hAnsi="宋体" w:cs="宋体"/>
                <w:b/>
                <w:bCs/>
                <w:color w:val="0070C0"/>
                <w:sz w:val="24"/>
                <w:szCs w:val="24"/>
                <w:lang w:eastAsia="zh-CN"/>
              </w:rPr>
              <w:t>年</w:t>
            </w:r>
            <w:r>
              <w:rPr>
                <w:rFonts w:hint="eastAsia" w:hAnsi="宋体" w:cs="宋体"/>
                <w:b/>
                <w:bCs/>
                <w:color w:val="0070C0"/>
                <w:sz w:val="24"/>
                <w:szCs w:val="24"/>
                <w:lang w:val="en-US" w:eastAsia="zh-CN"/>
              </w:rPr>
              <w:t>7</w:t>
            </w:r>
            <w:r>
              <w:rPr>
                <w:rFonts w:hint="eastAsia" w:hAnsi="宋体" w:cs="宋体"/>
                <w:b/>
                <w:bCs/>
                <w:color w:val="0070C0"/>
                <w:sz w:val="24"/>
                <w:szCs w:val="24"/>
                <w:lang w:eastAsia="zh-CN"/>
              </w:rPr>
              <w:t>月1日后签订过政府投资的路灯或景观照明维护工程远程总机房数字化管理协议的每个得</w:t>
            </w:r>
            <w:r>
              <w:rPr>
                <w:rFonts w:hint="eastAsia" w:hAnsi="宋体" w:cs="宋体"/>
                <w:b/>
                <w:bCs/>
                <w:color w:val="0070C0"/>
                <w:sz w:val="24"/>
                <w:szCs w:val="24"/>
                <w:lang w:val="en-US" w:eastAsia="zh-CN"/>
              </w:rPr>
              <w:t>3</w:t>
            </w:r>
            <w:r>
              <w:rPr>
                <w:rFonts w:hint="eastAsia" w:hAnsi="宋体" w:cs="宋体"/>
                <w:b/>
                <w:bCs/>
                <w:color w:val="0070C0"/>
                <w:sz w:val="24"/>
                <w:szCs w:val="24"/>
              </w:rPr>
              <w:t>分，最高得</w:t>
            </w:r>
            <w:r>
              <w:rPr>
                <w:rFonts w:hint="eastAsia" w:hAnsi="宋体" w:cs="宋体"/>
                <w:b/>
                <w:bCs/>
                <w:color w:val="0070C0"/>
                <w:sz w:val="24"/>
                <w:szCs w:val="24"/>
                <w:lang w:val="en-US" w:eastAsia="zh-CN"/>
              </w:rPr>
              <w:t>15</w:t>
            </w:r>
            <w:r>
              <w:rPr>
                <w:rFonts w:hint="eastAsia" w:hAnsi="宋体" w:cs="宋体"/>
                <w:b/>
                <w:bCs/>
                <w:color w:val="0070C0"/>
                <w:sz w:val="24"/>
                <w:szCs w:val="24"/>
              </w:rPr>
              <w:t>分</w:t>
            </w:r>
            <w:r>
              <w:rPr>
                <w:rFonts w:hint="eastAsia" w:hAnsi="宋体" w:cs="宋体"/>
                <w:b/>
                <w:bCs/>
                <w:color w:val="0070C0"/>
                <w:sz w:val="24"/>
                <w:szCs w:val="24"/>
                <w:lang w:val="en-US" w:eastAsia="zh-CN"/>
              </w:rPr>
              <w:t>。（提供</w:t>
            </w:r>
            <w:r>
              <w:rPr>
                <w:rFonts w:hint="eastAsia" w:hAnsi="宋体" w:cs="宋体"/>
                <w:b/>
                <w:bCs/>
                <w:color w:val="0070C0"/>
                <w:sz w:val="24"/>
                <w:szCs w:val="24"/>
                <w:lang w:eastAsia="zh-CN"/>
              </w:rPr>
              <w:t>远程总机房数字化管理协议；该维护工程的施工合同、中标通知书复</w:t>
            </w:r>
            <w:r>
              <w:rPr>
                <w:rFonts w:hint="eastAsia" w:hAnsi="宋体" w:cs="宋体"/>
                <w:b/>
                <w:bCs/>
                <w:color w:val="0070C0"/>
                <w:sz w:val="24"/>
                <w:szCs w:val="24"/>
              </w:rPr>
              <w:t>印件加盖公章</w:t>
            </w:r>
            <w:r>
              <w:rPr>
                <w:rFonts w:hint="eastAsia" w:hAnsi="宋体" w:cs="宋体"/>
                <w:b/>
                <w:bCs/>
                <w:color w:val="0070C0"/>
                <w:sz w:val="24"/>
                <w:szCs w:val="24"/>
                <w:lang w:val="en-US" w:eastAsia="zh-CN"/>
              </w:rPr>
              <w:t>）</w:t>
            </w:r>
          </w:p>
        </w:tc>
        <w:tc>
          <w:tcPr>
            <w:tcW w:w="907" w:type="dxa"/>
            <w:noWrap w:val="0"/>
            <w:vAlign w:val="center"/>
          </w:tcPr>
          <w:p>
            <w:pPr>
              <w:jc w:val="center"/>
              <w:rPr>
                <w:rFonts w:hint="default"/>
                <w:sz w:val="24"/>
                <w:szCs w:val="24"/>
                <w:lang w:val="en-US" w:eastAsia="zh-CN"/>
              </w:rPr>
            </w:pPr>
            <w:r>
              <w:rPr>
                <w:rFonts w:hint="eastAsia"/>
                <w:sz w:val="24"/>
                <w:szCs w:val="24"/>
                <w:lang w:val="en-US" w:eastAsia="zh-CN"/>
              </w:rPr>
              <w:t>15</w:t>
            </w:r>
            <w:r>
              <w:rPr>
                <w:rFonts w:hint="eastAsia"/>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54" w:hRule="atLeast"/>
          <w:jc w:val="center"/>
        </w:trPr>
        <w:tc>
          <w:tcPr>
            <w:tcW w:w="832" w:type="dxa"/>
            <w:noWrap w:val="0"/>
            <w:vAlign w:val="center"/>
          </w:tcPr>
          <w:p>
            <w:pPr>
              <w:jc w:val="center"/>
              <w:rPr>
                <w:rFonts w:hint="eastAsia" w:eastAsia="宋体"/>
                <w:sz w:val="24"/>
                <w:szCs w:val="24"/>
                <w:lang w:eastAsia="zh-CN"/>
              </w:rPr>
            </w:pPr>
            <w:r>
              <w:rPr>
                <w:rFonts w:hint="eastAsia"/>
                <w:sz w:val="24"/>
                <w:szCs w:val="24"/>
                <w:lang w:val="en-US" w:eastAsia="zh-CN"/>
              </w:rPr>
              <w:t>8</w:t>
            </w:r>
          </w:p>
        </w:tc>
        <w:tc>
          <w:tcPr>
            <w:tcW w:w="2675" w:type="dxa"/>
            <w:noWrap w:val="0"/>
            <w:vAlign w:val="center"/>
          </w:tcPr>
          <w:p>
            <w:pPr>
              <w:jc w:val="left"/>
              <w:rPr>
                <w:sz w:val="24"/>
                <w:szCs w:val="24"/>
              </w:rPr>
            </w:pPr>
            <w:r>
              <w:rPr>
                <w:rFonts w:hint="eastAsia"/>
                <w:sz w:val="24"/>
                <w:szCs w:val="24"/>
              </w:rPr>
              <w:t>合理化建议</w:t>
            </w:r>
          </w:p>
        </w:tc>
        <w:tc>
          <w:tcPr>
            <w:tcW w:w="5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sz w:val="24"/>
                <w:szCs w:val="24"/>
              </w:rPr>
            </w:pPr>
            <w:r>
              <w:rPr>
                <w:rFonts w:hint="eastAsia"/>
                <w:sz w:val="24"/>
                <w:szCs w:val="24"/>
              </w:rPr>
              <w:t>投标人提出的合理化建议（如管理制度的优化及考核，</w:t>
            </w:r>
            <w:r>
              <w:rPr>
                <w:rFonts w:hint="eastAsia"/>
                <w:sz w:val="24"/>
                <w:szCs w:val="24"/>
                <w:lang w:eastAsia="zh-CN"/>
              </w:rPr>
              <w:t>亮灯维护</w:t>
            </w:r>
            <w:r>
              <w:rPr>
                <w:rFonts w:hint="eastAsia"/>
                <w:sz w:val="24"/>
                <w:szCs w:val="24"/>
              </w:rPr>
              <w:t>岗位的设置，</w:t>
            </w:r>
            <w:r>
              <w:rPr>
                <w:rFonts w:hint="eastAsia"/>
                <w:sz w:val="24"/>
                <w:szCs w:val="24"/>
                <w:lang w:eastAsia="zh-CN"/>
              </w:rPr>
              <w:t>日常巡查安排，应急方案</w:t>
            </w:r>
            <w:r>
              <w:rPr>
                <w:rFonts w:hint="eastAsia"/>
                <w:sz w:val="24"/>
                <w:szCs w:val="24"/>
              </w:rPr>
              <w:t>等），合理化建议对项目实施有积极意义，具有可行性，并有相应的保证措施的每项得</w:t>
            </w:r>
            <w:r>
              <w:rPr>
                <w:rFonts w:hint="eastAsia"/>
                <w:sz w:val="24"/>
                <w:szCs w:val="24"/>
                <w:lang w:val="en-US" w:eastAsia="zh-CN"/>
              </w:rPr>
              <w:t>1</w:t>
            </w:r>
            <w:r>
              <w:rPr>
                <w:rFonts w:hint="eastAsia"/>
                <w:sz w:val="24"/>
                <w:szCs w:val="24"/>
              </w:rPr>
              <w:t>分，最高得</w:t>
            </w:r>
            <w:r>
              <w:rPr>
                <w:rFonts w:hint="eastAsia"/>
                <w:sz w:val="24"/>
                <w:szCs w:val="24"/>
                <w:lang w:val="en-US" w:eastAsia="zh-CN"/>
              </w:rPr>
              <w:t>5</w:t>
            </w:r>
            <w:r>
              <w:rPr>
                <w:rFonts w:hint="eastAsia"/>
                <w:sz w:val="24"/>
                <w:szCs w:val="24"/>
              </w:rPr>
              <w:t>分。</w:t>
            </w:r>
          </w:p>
        </w:tc>
        <w:tc>
          <w:tcPr>
            <w:tcW w:w="907" w:type="dxa"/>
            <w:noWrap w:val="0"/>
            <w:vAlign w:val="center"/>
          </w:tcPr>
          <w:p>
            <w:pPr>
              <w:jc w:val="center"/>
              <w:rPr>
                <w:rFonts w:hint="eastAsia" w:eastAsia="宋体"/>
                <w:sz w:val="24"/>
                <w:szCs w:val="24"/>
                <w:lang w:eastAsia="zh-CN"/>
              </w:rPr>
            </w:pPr>
            <w:r>
              <w:rPr>
                <w:rFonts w:hint="eastAsia"/>
                <w:sz w:val="24"/>
                <w:szCs w:val="24"/>
                <w:lang w:val="en-US" w:eastAsia="zh-CN"/>
              </w:rPr>
              <w:t>5</w:t>
            </w:r>
            <w:r>
              <w:rPr>
                <w:rFonts w:hint="eastAsia"/>
                <w:sz w:val="24"/>
                <w:szCs w:val="24"/>
              </w:rPr>
              <w:t>分</w:t>
            </w:r>
          </w:p>
        </w:tc>
      </w:tr>
    </w:tbl>
    <w:p>
      <w:pPr>
        <w:tabs>
          <w:tab w:val="left" w:pos="0"/>
        </w:tabs>
        <w:spacing w:line="360" w:lineRule="auto"/>
        <w:rPr>
          <w:rFonts w:ascii="宋体" w:hAnsi="宋体"/>
          <w:b/>
          <w:sz w:val="24"/>
        </w:rPr>
      </w:pPr>
      <w:r>
        <w:rPr>
          <w:rFonts w:hint="eastAsia" w:ascii="宋体" w:hAnsi="宋体"/>
          <w:b/>
          <w:sz w:val="24"/>
        </w:rPr>
        <w:t>（三）技术商务资信及其他分的计算</w:t>
      </w:r>
    </w:p>
    <w:p>
      <w:pPr>
        <w:tabs>
          <w:tab w:val="left" w:pos="0"/>
        </w:tabs>
        <w:spacing w:line="360" w:lineRule="auto"/>
        <w:ind w:firstLine="540" w:firstLineChars="225"/>
        <w:rPr>
          <w:rFonts w:ascii="宋体" w:hAnsi="宋体"/>
          <w:sz w:val="24"/>
        </w:rPr>
      </w:pPr>
      <w:r>
        <w:rPr>
          <w:rFonts w:hint="eastAsia" w:ascii="宋体" w:hAnsi="宋体"/>
          <w:sz w:val="24"/>
        </w:rPr>
        <w:t>技术商务资信及其他分按照评标委员会成员的独立评分汇总的算术平均分计算，计算公式为：</w:t>
      </w:r>
    </w:p>
    <w:p>
      <w:pPr>
        <w:tabs>
          <w:tab w:val="left" w:pos="0"/>
        </w:tabs>
        <w:spacing w:line="360" w:lineRule="auto"/>
        <w:ind w:firstLine="540" w:firstLineChars="225"/>
        <w:rPr>
          <w:rFonts w:hAnsi="宋体"/>
          <w:b/>
          <w:sz w:val="32"/>
          <w:szCs w:val="32"/>
        </w:rPr>
      </w:pPr>
      <w:r>
        <w:rPr>
          <w:rFonts w:hint="eastAsia" w:ascii="宋体" w:hAnsi="宋体"/>
          <w:sz w:val="24"/>
        </w:rPr>
        <w:t>技术商务资信及其他分=（评标委员会所有成员的评分合计数）/（评标委员会组成人员数）</w:t>
      </w:r>
    </w:p>
    <w:p>
      <w:pPr>
        <w:numPr>
          <w:ilvl w:val="0"/>
          <w:numId w:val="8"/>
        </w:numPr>
        <w:tabs>
          <w:tab w:val="left" w:pos="0"/>
        </w:tabs>
        <w:spacing w:line="360" w:lineRule="auto"/>
        <w:ind w:firstLine="723" w:firstLineChars="225"/>
        <w:jc w:val="center"/>
        <w:rPr>
          <w:rFonts w:ascii="宋体" w:hAnsi="宋体"/>
          <w:b/>
          <w:sz w:val="32"/>
          <w:szCs w:val="32"/>
        </w:rPr>
      </w:pPr>
      <w:r>
        <w:rPr>
          <w:rFonts w:hint="eastAsia" w:ascii="宋体" w:hAnsi="宋体"/>
          <w:b/>
          <w:sz w:val="32"/>
          <w:szCs w:val="32"/>
        </w:rPr>
        <w:t xml:space="preserve"> 政府采购合同范本</w:t>
      </w:r>
    </w:p>
    <w:p>
      <w:pPr>
        <w:tabs>
          <w:tab w:val="left" w:pos="0"/>
        </w:tabs>
        <w:ind w:firstLine="4200" w:firstLineChars="2000"/>
        <w:rPr>
          <w:rFonts w:ascii="宋体" w:hAnsi="宋体"/>
          <w:sz w:val="24"/>
        </w:rPr>
      </w:pPr>
      <w:r>
        <w:rPr>
          <w:rFonts w:hint="eastAsia" w:ascii="宋体" w:hAnsi="宋体"/>
        </w:rPr>
        <w:t xml:space="preserve">（具体文本以实际签署的为准）       </w:t>
      </w:r>
    </w:p>
    <w:p>
      <w:pPr>
        <w:pStyle w:val="22"/>
        <w:keepNext w:val="0"/>
        <w:keepLines w:val="0"/>
        <w:pageBreakBefore w:val="0"/>
        <w:widowControl w:val="0"/>
        <w:kinsoku/>
        <w:wordWrap/>
        <w:overflowPunct/>
        <w:topLinePunct w:val="0"/>
        <w:autoSpaceDE/>
        <w:autoSpaceDN/>
        <w:bidi w:val="0"/>
        <w:adjustRightInd/>
        <w:snapToGrid w:val="0"/>
        <w:spacing w:before="120" w:after="120" w:line="480" w:lineRule="auto"/>
        <w:textAlignment w:val="auto"/>
        <w:rPr>
          <w:rFonts w:hint="eastAsia" w:hAnsi="宋体"/>
          <w:sz w:val="24"/>
        </w:rPr>
      </w:pPr>
    </w:p>
    <w:p>
      <w:pPr>
        <w:pStyle w:val="22"/>
        <w:keepNext w:val="0"/>
        <w:keepLines w:val="0"/>
        <w:pageBreakBefore w:val="0"/>
        <w:widowControl w:val="0"/>
        <w:kinsoku/>
        <w:wordWrap/>
        <w:overflowPunct/>
        <w:topLinePunct w:val="0"/>
        <w:autoSpaceDE/>
        <w:autoSpaceDN/>
        <w:bidi w:val="0"/>
        <w:adjustRightInd/>
        <w:snapToGrid w:val="0"/>
        <w:spacing w:before="120" w:after="120" w:line="480" w:lineRule="auto"/>
        <w:textAlignment w:val="auto"/>
        <w:rPr>
          <w:rFonts w:hint="eastAsia" w:hAnsi="宋体"/>
          <w:sz w:val="24"/>
        </w:rPr>
      </w:pPr>
    </w:p>
    <w:p>
      <w:pPr>
        <w:pStyle w:val="22"/>
        <w:keepNext w:val="0"/>
        <w:keepLines w:val="0"/>
        <w:pageBreakBefore w:val="0"/>
        <w:widowControl w:val="0"/>
        <w:kinsoku/>
        <w:wordWrap/>
        <w:overflowPunct/>
        <w:topLinePunct w:val="0"/>
        <w:autoSpaceDE/>
        <w:autoSpaceDN/>
        <w:bidi w:val="0"/>
        <w:adjustRightInd/>
        <w:snapToGrid w:val="0"/>
        <w:spacing w:before="120" w:after="120" w:line="480" w:lineRule="auto"/>
        <w:textAlignment w:val="auto"/>
        <w:rPr>
          <w:rFonts w:hint="eastAsia" w:hAnsi="宋体"/>
          <w:sz w:val="24"/>
        </w:rPr>
      </w:pPr>
    </w:p>
    <w:p>
      <w:pPr>
        <w:pStyle w:val="22"/>
        <w:keepNext w:val="0"/>
        <w:keepLines w:val="0"/>
        <w:pageBreakBefore w:val="0"/>
        <w:widowControl w:val="0"/>
        <w:kinsoku/>
        <w:wordWrap/>
        <w:overflowPunct/>
        <w:topLinePunct w:val="0"/>
        <w:autoSpaceDE/>
        <w:autoSpaceDN/>
        <w:bidi w:val="0"/>
        <w:adjustRightInd/>
        <w:snapToGrid w:val="0"/>
        <w:spacing w:before="120" w:after="120" w:line="480" w:lineRule="auto"/>
        <w:textAlignment w:val="auto"/>
        <w:rPr>
          <w:rFonts w:hint="eastAsia" w:hAnsi="宋体"/>
          <w:sz w:val="24"/>
        </w:rPr>
      </w:pPr>
    </w:p>
    <w:p>
      <w:pPr>
        <w:pStyle w:val="22"/>
        <w:keepNext w:val="0"/>
        <w:keepLines w:val="0"/>
        <w:pageBreakBefore w:val="0"/>
        <w:widowControl w:val="0"/>
        <w:kinsoku/>
        <w:wordWrap/>
        <w:overflowPunct/>
        <w:topLinePunct w:val="0"/>
        <w:autoSpaceDE/>
        <w:autoSpaceDN/>
        <w:bidi w:val="0"/>
        <w:adjustRightInd/>
        <w:snapToGrid w:val="0"/>
        <w:spacing w:before="120" w:after="120" w:line="480" w:lineRule="auto"/>
        <w:textAlignment w:val="auto"/>
        <w:rPr>
          <w:rFonts w:hint="eastAsia" w:hAnsi="宋体"/>
          <w:sz w:val="24"/>
        </w:rPr>
      </w:pPr>
    </w:p>
    <w:p>
      <w:pPr>
        <w:pStyle w:val="3"/>
        <w:jc w:val="center"/>
        <w:rPr>
          <w:rFonts w:hAnsi="宋体"/>
          <w:b w:val="0"/>
          <w:sz w:val="24"/>
        </w:rPr>
      </w:pPr>
      <w:r>
        <w:rPr>
          <w:rFonts w:hint="eastAsia" w:hAnsi="宋体" w:eastAsia="宋体"/>
          <w:kern w:val="2"/>
          <w:sz w:val="32"/>
          <w:szCs w:val="32"/>
        </w:rPr>
        <w:t>第六章    投标文件格式</w:t>
      </w:r>
    </w:p>
    <w:p>
      <w:pPr>
        <w:snapToGrid w:val="0"/>
        <w:spacing w:beforeLines="50" w:after="50"/>
        <w:rPr>
          <w:rFonts w:ascii="宋体" w:hAnsi="宋体"/>
          <w:b/>
          <w:sz w:val="24"/>
        </w:rPr>
      </w:pPr>
      <w:r>
        <w:rPr>
          <w:rFonts w:hint="eastAsia" w:ascii="宋体" w:hAnsi="宋体"/>
          <w:b/>
          <w:sz w:val="24"/>
        </w:rPr>
        <w:t>1.所有投标文件的外包装封面格式：</w:t>
      </w:r>
    </w:p>
    <w:p>
      <w:pPr>
        <w:snapToGrid w:val="0"/>
        <w:spacing w:beforeLines="50" w:after="50" w:line="380" w:lineRule="exact"/>
        <w:jc w:val="center"/>
        <w:rPr>
          <w:rFonts w:ascii="宋体" w:hAnsi="宋体"/>
          <w:bCs/>
          <w:sz w:val="24"/>
        </w:rPr>
      </w:pPr>
      <w:r>
        <w:rPr>
          <w:rFonts w:hint="eastAsia" w:ascii="宋体" w:hAnsi="宋体"/>
          <w:bCs/>
          <w:sz w:val="24"/>
        </w:rPr>
        <w:t>×××（投标人名称）</w:t>
      </w:r>
    </w:p>
    <w:p>
      <w:pPr>
        <w:snapToGrid w:val="0"/>
        <w:spacing w:beforeLines="50" w:after="50" w:line="380" w:lineRule="exact"/>
        <w:jc w:val="center"/>
        <w:rPr>
          <w:rFonts w:ascii="宋体" w:hAnsi="宋体"/>
          <w:bCs/>
          <w:sz w:val="24"/>
        </w:rPr>
      </w:pPr>
      <w:r>
        <w:rPr>
          <w:rFonts w:hint="eastAsia" w:ascii="宋体" w:hAnsi="宋体"/>
          <w:bCs/>
          <w:sz w:val="24"/>
        </w:rPr>
        <w:t>投 标 文 件</w:t>
      </w:r>
    </w:p>
    <w:p>
      <w:pPr>
        <w:snapToGrid w:val="0"/>
        <w:spacing w:beforeLines="50" w:after="50" w:line="380" w:lineRule="exact"/>
        <w:ind w:firstLine="1068" w:firstLineChars="445"/>
        <w:rPr>
          <w:rFonts w:ascii="宋体" w:hAnsi="宋体"/>
          <w:bCs/>
          <w:sz w:val="24"/>
        </w:rPr>
      </w:pPr>
      <w:r>
        <w:rPr>
          <w:rFonts w:hint="eastAsia" w:ascii="宋体" w:hAnsi="宋体"/>
          <w:bCs/>
          <w:sz w:val="24"/>
        </w:rPr>
        <w:t>项目名称：</w:t>
      </w:r>
    </w:p>
    <w:p>
      <w:pPr>
        <w:snapToGrid w:val="0"/>
        <w:spacing w:beforeLines="50" w:after="50" w:line="38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pStyle w:val="6"/>
        <w:snapToGrid w:val="0"/>
        <w:spacing w:before="50" w:after="50" w:line="380" w:lineRule="exact"/>
        <w:ind w:firstLine="1020" w:firstLineChars="425"/>
        <w:rPr>
          <w:rFonts w:ascii="宋体" w:hAnsi="宋体"/>
          <w:bCs/>
          <w:sz w:val="24"/>
        </w:rPr>
      </w:pPr>
      <w:r>
        <w:rPr>
          <w:rFonts w:ascii="宋体" w:hAnsi="宋体"/>
          <w:bCs/>
          <w:sz w:val="24"/>
        </w:rPr>
        <w:t>投标文件名称：</w:t>
      </w:r>
      <w:r>
        <w:rPr>
          <w:rFonts w:hint="eastAsia" w:ascii="宋体" w:hAnsi="宋体"/>
          <w:bCs/>
          <w:sz w:val="24"/>
        </w:rPr>
        <w:t>（资信文件）（技术及商务文件）（报价文件）</w:t>
      </w:r>
    </w:p>
    <w:p>
      <w:pPr>
        <w:pStyle w:val="6"/>
        <w:snapToGrid w:val="0"/>
        <w:spacing w:before="50" w:after="50" w:line="380" w:lineRule="exact"/>
        <w:ind w:firstLine="998" w:firstLineChars="416"/>
        <w:rPr>
          <w:rFonts w:ascii="宋体" w:hAnsi="宋体"/>
          <w:bCs/>
          <w:sz w:val="24"/>
        </w:rPr>
      </w:pPr>
      <w:r>
        <w:rPr>
          <w:rFonts w:ascii="宋体" w:hAnsi="宋体"/>
          <w:bCs/>
          <w:sz w:val="24"/>
        </w:rPr>
        <w:t>投标人名称（盖章）：</w:t>
      </w:r>
    </w:p>
    <w:p>
      <w:pPr>
        <w:pStyle w:val="6"/>
        <w:snapToGrid w:val="0"/>
        <w:spacing w:before="50" w:after="50" w:line="380" w:lineRule="exact"/>
        <w:ind w:firstLine="998" w:firstLineChars="416"/>
        <w:rPr>
          <w:rFonts w:ascii="宋体" w:hAnsi="宋体"/>
          <w:bCs/>
          <w:sz w:val="24"/>
        </w:rPr>
      </w:pPr>
      <w:r>
        <w:rPr>
          <w:rFonts w:ascii="宋体" w:hAnsi="宋体"/>
          <w:bCs/>
          <w:sz w:val="24"/>
        </w:rPr>
        <w:t>投标人地址：</w:t>
      </w:r>
    </w:p>
    <w:p>
      <w:pPr>
        <w:pStyle w:val="6"/>
        <w:snapToGrid w:val="0"/>
        <w:spacing w:before="50" w:after="50" w:line="380" w:lineRule="exact"/>
        <w:ind w:firstLine="960" w:firstLineChars="400"/>
        <w:rPr>
          <w:rFonts w:ascii="宋体" w:hAnsi="宋体"/>
          <w:bCs/>
          <w:sz w:val="24"/>
        </w:rPr>
      </w:pPr>
      <w:r>
        <w:rPr>
          <w:rFonts w:ascii="宋体" w:hAnsi="宋体"/>
          <w:bCs/>
          <w:sz w:val="24"/>
        </w:rPr>
        <w:t>在  年  月  日  时  分之前不得启封</w:t>
      </w:r>
    </w:p>
    <w:p>
      <w:pPr>
        <w:snapToGrid w:val="0"/>
        <w:spacing w:beforeLines="50" w:after="50" w:line="380" w:lineRule="exact"/>
        <w:ind w:firstLine="4080" w:firstLineChars="1700"/>
        <w:rPr>
          <w:rFonts w:ascii="宋体" w:hAnsi="宋体"/>
          <w:bCs/>
          <w:sz w:val="24"/>
        </w:rPr>
      </w:pPr>
      <w:r>
        <w:rPr>
          <w:rFonts w:hint="eastAsia" w:ascii="宋体" w:hAnsi="宋体"/>
          <w:bCs/>
          <w:sz w:val="24"/>
        </w:rPr>
        <w:t>法定代表人签字或盖章：</w:t>
      </w:r>
    </w:p>
    <w:p>
      <w:pPr>
        <w:snapToGrid w:val="0"/>
        <w:spacing w:beforeLines="50" w:after="50" w:line="380" w:lineRule="exact"/>
        <w:ind w:firstLine="645"/>
        <w:jc w:val="center"/>
        <w:rPr>
          <w:rFonts w:ascii="宋体" w:hAnsi="宋体"/>
          <w:bCs/>
          <w:sz w:val="24"/>
        </w:rPr>
      </w:pP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beforeLines="50" w:after="50"/>
        <w:rPr>
          <w:rFonts w:ascii="宋体" w:hAnsi="宋体"/>
          <w:b/>
          <w:sz w:val="24"/>
        </w:rPr>
      </w:pPr>
      <w:r>
        <w:rPr>
          <w:rFonts w:hint="eastAsia" w:ascii="宋体" w:hAnsi="宋体"/>
          <w:b/>
          <w:sz w:val="24"/>
        </w:rPr>
        <w:t>2.</w:t>
      </w:r>
      <w:r>
        <w:rPr>
          <w:rFonts w:hint="eastAsia" w:ascii="宋体" w:hAnsi="宋体"/>
          <w:b/>
          <w:bCs/>
          <w:sz w:val="24"/>
        </w:rPr>
        <w:t>资信（技术及商务、报价）</w:t>
      </w:r>
      <w:r>
        <w:rPr>
          <w:rFonts w:hint="eastAsia" w:ascii="宋体" w:hAnsi="宋体"/>
          <w:b/>
          <w:sz w:val="24"/>
        </w:rPr>
        <w:t xml:space="preserve">文件封面格式： </w:t>
      </w:r>
    </w:p>
    <w:p>
      <w:pPr>
        <w:snapToGrid w:val="0"/>
        <w:spacing w:beforeLines="50" w:after="50"/>
        <w:rPr>
          <w:rFonts w:ascii="宋体" w:hAnsi="宋体"/>
          <w:b/>
          <w:bCs/>
          <w:sz w:val="24"/>
        </w:rPr>
      </w:pPr>
      <w:r>
        <w:rPr>
          <w:rFonts w:hint="eastAsia" w:ascii="宋体" w:hAnsi="宋体"/>
          <w:sz w:val="24"/>
        </w:rPr>
        <w:t xml:space="preserve">                                                    </w:t>
      </w:r>
      <w:r>
        <w:rPr>
          <w:rFonts w:hint="eastAsia" w:ascii="宋体" w:hAnsi="宋体"/>
          <w:b/>
          <w:bCs/>
          <w:sz w:val="24"/>
        </w:rPr>
        <w:t>正本/或副本</w:t>
      </w:r>
    </w:p>
    <w:p>
      <w:pPr>
        <w:snapToGrid w:val="0"/>
        <w:spacing w:beforeLines="50" w:after="50" w:line="360" w:lineRule="exact"/>
        <w:jc w:val="center"/>
        <w:rPr>
          <w:rFonts w:ascii="宋体" w:hAnsi="宋体"/>
          <w:bCs/>
          <w:sz w:val="24"/>
        </w:rPr>
      </w:pPr>
      <w:r>
        <w:rPr>
          <w:rFonts w:hint="eastAsia" w:ascii="宋体" w:hAnsi="宋体"/>
          <w:bCs/>
          <w:sz w:val="24"/>
        </w:rPr>
        <w:t>×××（投标人名称）</w:t>
      </w:r>
    </w:p>
    <w:p>
      <w:pPr>
        <w:snapToGrid w:val="0"/>
        <w:spacing w:beforeLines="50" w:after="50" w:line="360" w:lineRule="exact"/>
        <w:jc w:val="center"/>
        <w:rPr>
          <w:rFonts w:ascii="宋体" w:hAnsi="宋体"/>
          <w:bCs/>
          <w:sz w:val="24"/>
        </w:rPr>
      </w:pPr>
      <w:r>
        <w:rPr>
          <w:rFonts w:hint="eastAsia" w:ascii="宋体" w:hAnsi="宋体"/>
          <w:bCs/>
          <w:sz w:val="24"/>
        </w:rPr>
        <w:t>资信（技术及商务 、报价）文 件</w:t>
      </w:r>
    </w:p>
    <w:p>
      <w:pPr>
        <w:snapToGrid w:val="0"/>
        <w:spacing w:beforeLines="50" w:after="50" w:line="360" w:lineRule="exact"/>
        <w:ind w:firstLine="1068" w:firstLineChars="445"/>
        <w:rPr>
          <w:rFonts w:ascii="宋体" w:hAnsi="宋体"/>
          <w:bCs/>
          <w:sz w:val="24"/>
        </w:rPr>
      </w:pPr>
      <w:r>
        <w:rPr>
          <w:rFonts w:hint="eastAsia" w:ascii="宋体" w:hAnsi="宋体"/>
          <w:bCs/>
          <w:sz w:val="24"/>
        </w:rPr>
        <w:t>项目名称：</w:t>
      </w:r>
    </w:p>
    <w:p>
      <w:pPr>
        <w:snapToGrid w:val="0"/>
        <w:spacing w:beforeLines="50" w:after="50" w:line="36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snapToGrid w:val="0"/>
        <w:spacing w:beforeLines="50" w:after="50" w:line="360" w:lineRule="exact"/>
        <w:ind w:firstLine="480" w:firstLineChars="200"/>
        <w:rPr>
          <w:rFonts w:ascii="宋体" w:hAnsi="宋体"/>
          <w:bCs/>
          <w:sz w:val="24"/>
        </w:rPr>
      </w:pPr>
      <w:r>
        <w:rPr>
          <w:rFonts w:hint="eastAsia" w:ascii="宋体" w:hAnsi="宋体"/>
          <w:bCs/>
          <w:sz w:val="24"/>
        </w:rPr>
        <w:t xml:space="preserve">     </w:t>
      </w:r>
      <w:r>
        <w:rPr>
          <w:rFonts w:ascii="宋体" w:hAnsi="宋体"/>
          <w:bCs/>
          <w:sz w:val="24"/>
        </w:rPr>
        <w:t>投标人名称（盖章）：</w:t>
      </w:r>
    </w:p>
    <w:p>
      <w:pPr>
        <w:pStyle w:val="6"/>
        <w:snapToGrid w:val="0"/>
        <w:spacing w:before="50" w:after="50" w:line="360" w:lineRule="exact"/>
        <w:ind w:firstLine="998" w:firstLineChars="416"/>
        <w:rPr>
          <w:rFonts w:ascii="宋体" w:hAnsi="宋体"/>
          <w:bCs/>
          <w:sz w:val="24"/>
        </w:rPr>
      </w:pPr>
      <w:r>
        <w:rPr>
          <w:rFonts w:ascii="宋体" w:hAnsi="宋体"/>
          <w:bCs/>
          <w:sz w:val="24"/>
        </w:rPr>
        <w:t>投标人地址：</w:t>
      </w:r>
    </w:p>
    <w:p>
      <w:pPr>
        <w:snapToGrid w:val="0"/>
        <w:spacing w:beforeLines="50" w:after="50" w:line="360" w:lineRule="exact"/>
        <w:jc w:val="center"/>
        <w:rPr>
          <w:rFonts w:ascii="宋体" w:hAnsi="宋体"/>
          <w:sz w:val="24"/>
        </w:rPr>
      </w:pPr>
      <w:r>
        <w:rPr>
          <w:rFonts w:hint="eastAsia" w:ascii="宋体" w:hAnsi="宋体"/>
          <w:sz w:val="24"/>
        </w:rPr>
        <w:t>法定代表人签字或盖章：</w:t>
      </w:r>
    </w:p>
    <w:p>
      <w:pPr>
        <w:snapToGrid w:val="0"/>
        <w:spacing w:beforeLines="50" w:after="50" w:line="360" w:lineRule="exact"/>
        <w:ind w:firstLine="645"/>
        <w:jc w:val="center"/>
        <w:rPr>
          <w:rFonts w:ascii="宋体" w:hAnsi="宋体"/>
          <w:bCs/>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Lines="50" w:after="50" w:line="380" w:lineRule="exact"/>
        <w:ind w:firstLine="645"/>
        <w:rPr>
          <w:rFonts w:ascii="宋体" w:hAnsi="宋体"/>
          <w:b/>
          <w:bCs/>
          <w:szCs w:val="21"/>
        </w:rPr>
      </w:pPr>
      <w:r>
        <w:rPr>
          <w:rFonts w:hint="eastAsia" w:ascii="宋体" w:hAnsi="宋体"/>
          <w:b/>
          <w:bCs/>
          <w:szCs w:val="21"/>
        </w:rPr>
        <w:t>注：投标人应按资信文件、技术及商务文件、报价文件分别进行编制、装订、封装投标文件。</w:t>
      </w:r>
    </w:p>
    <w:p>
      <w:pPr>
        <w:snapToGrid w:val="0"/>
        <w:spacing w:before="50" w:after="50"/>
        <w:rPr>
          <w:rFonts w:ascii="宋体" w:hAnsi="宋体"/>
          <w:sz w:val="24"/>
        </w:rPr>
      </w:pPr>
      <w:r>
        <w:rPr>
          <w:rFonts w:hint="eastAsia" w:ascii="宋体" w:hAnsi="宋体"/>
          <w:sz w:val="24"/>
        </w:rPr>
        <w:br w:type="page"/>
      </w:r>
      <w:bookmarkStart w:id="22" w:name="_Toc194217895"/>
    </w:p>
    <w:p>
      <w:pPr>
        <w:snapToGrid w:val="0"/>
        <w:spacing w:before="50" w:after="50"/>
        <w:rPr>
          <w:rFonts w:ascii="宋体" w:hAnsi="宋体"/>
          <w:sz w:val="24"/>
        </w:rPr>
      </w:pPr>
    </w:p>
    <w:p>
      <w:pPr>
        <w:snapToGrid w:val="0"/>
        <w:spacing w:before="50" w:after="50"/>
        <w:rPr>
          <w:rFonts w:hint="eastAsia" w:ascii="宋体" w:hAnsi="宋体"/>
          <w:b/>
          <w:bCs/>
          <w:sz w:val="30"/>
          <w:szCs w:val="30"/>
        </w:rPr>
      </w:pPr>
    </w:p>
    <w:p>
      <w:pPr>
        <w:numPr>
          <w:ilvl w:val="0"/>
          <w:numId w:val="9"/>
        </w:numPr>
        <w:snapToGrid w:val="0"/>
        <w:spacing w:before="50" w:after="50"/>
        <w:rPr>
          <w:rFonts w:hint="eastAsia" w:ascii="宋体" w:hAnsi="宋体"/>
          <w:b/>
          <w:bCs/>
          <w:sz w:val="30"/>
          <w:szCs w:val="30"/>
        </w:rPr>
      </w:pPr>
      <w:r>
        <w:rPr>
          <w:rFonts w:hint="eastAsia" w:ascii="宋体" w:hAnsi="宋体"/>
          <w:b/>
          <w:bCs/>
          <w:sz w:val="30"/>
          <w:szCs w:val="30"/>
        </w:rPr>
        <w:t>资信文件目录</w:t>
      </w:r>
    </w:p>
    <w:p>
      <w:pPr>
        <w:numPr>
          <w:ilvl w:val="0"/>
          <w:numId w:val="0"/>
        </w:numPr>
        <w:snapToGrid w:val="0"/>
        <w:spacing w:before="50" w:after="50"/>
        <w:rPr>
          <w:rFonts w:hint="eastAsia" w:ascii="宋体" w:hAnsi="宋体"/>
          <w:b/>
          <w:bCs/>
          <w:sz w:val="30"/>
          <w:szCs w:val="30"/>
        </w:rPr>
      </w:pPr>
    </w:p>
    <w:p>
      <w:pPr>
        <w:snapToGrid w:val="0"/>
        <w:spacing w:line="360" w:lineRule="auto"/>
        <w:ind w:firstLine="597" w:firstLineChars="249"/>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597" w:firstLineChars="249"/>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597" w:firstLineChars="249"/>
        <w:jc w:val="left"/>
        <w:rPr>
          <w:rFonts w:ascii="宋体" w:hAnsi="宋体"/>
          <w:sz w:val="24"/>
        </w:rPr>
      </w:pPr>
      <w:r>
        <w:rPr>
          <w:rFonts w:hint="eastAsia" w:ascii="宋体" w:hAnsi="宋体"/>
          <w:sz w:val="24"/>
        </w:rPr>
        <w:t>（3）法定代表人授权委托书(格式见附件)；</w:t>
      </w:r>
    </w:p>
    <w:p>
      <w:pPr>
        <w:snapToGrid w:val="0"/>
        <w:spacing w:line="360" w:lineRule="auto"/>
        <w:ind w:firstLine="597" w:firstLineChars="249"/>
        <w:jc w:val="left"/>
        <w:rPr>
          <w:rFonts w:hint="eastAsia" w:ascii="宋体" w:hAnsi="宋体"/>
          <w:sz w:val="24"/>
        </w:rPr>
      </w:pPr>
      <w:r>
        <w:rPr>
          <w:rFonts w:hint="eastAsia" w:ascii="宋体" w:hAnsi="宋体"/>
          <w:sz w:val="24"/>
        </w:rPr>
        <w:t>（4）提供有效的营业执照</w:t>
      </w:r>
      <w:r>
        <w:rPr>
          <w:rFonts w:hint="eastAsia" w:ascii="宋体" w:hAnsi="宋体"/>
          <w:sz w:val="24"/>
          <w:lang w:eastAsia="zh-CN"/>
        </w:rPr>
        <w:t>、资质证书</w:t>
      </w:r>
      <w:r>
        <w:rPr>
          <w:rFonts w:hint="eastAsia" w:ascii="宋体" w:hAnsi="宋体"/>
          <w:sz w:val="24"/>
        </w:rPr>
        <w:t>复印件并加盖公司公章；</w:t>
      </w:r>
    </w:p>
    <w:p>
      <w:pPr>
        <w:snapToGrid w:val="0"/>
        <w:spacing w:line="360" w:lineRule="auto"/>
        <w:ind w:firstLine="597" w:firstLineChars="249"/>
        <w:jc w:val="left"/>
        <w:rPr>
          <w:rFonts w:hint="eastAsia" w:ascii="宋体" w:hAnsi="宋体"/>
          <w:sz w:val="24"/>
          <w:lang w:val="en-US" w:eastAsia="zh-CN"/>
        </w:rPr>
      </w:pPr>
      <w:r>
        <w:rPr>
          <w:rFonts w:hint="eastAsia" w:ascii="宋体" w:hAnsi="宋体"/>
          <w:sz w:val="24"/>
        </w:rPr>
        <w:t>（5）提供有效的依法缴纳税收证明（完税凭证或税务部门出具的证明）</w:t>
      </w:r>
      <w:r>
        <w:rPr>
          <w:rFonts w:hint="eastAsia" w:ascii="宋体" w:hAnsi="宋体"/>
          <w:sz w:val="24"/>
          <w:lang w:val="en-US" w:eastAsia="zh-CN"/>
        </w:rPr>
        <w:t>；</w:t>
      </w:r>
    </w:p>
    <w:p>
      <w:pPr>
        <w:snapToGrid w:val="0"/>
        <w:spacing w:line="360" w:lineRule="auto"/>
        <w:ind w:firstLine="597" w:firstLineChars="249"/>
        <w:jc w:val="left"/>
        <w:rPr>
          <w:rFonts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）投标人认为需要提供的其他资料。</w:t>
      </w:r>
    </w:p>
    <w:p>
      <w:pPr>
        <w:pStyle w:val="24"/>
        <w:snapToGrid w:val="0"/>
        <w:spacing w:line="460" w:lineRule="exact"/>
        <w:ind w:left="5250" w:firstLine="480" w:firstLineChars="200"/>
        <w:rPr>
          <w:rFonts w:ascii="宋体" w:hAnsi="宋体"/>
          <w:sz w:val="24"/>
          <w:szCs w:val="24"/>
        </w:rPr>
      </w:pPr>
      <w:r>
        <w:rPr>
          <w:rFonts w:hint="eastAsia" w:ascii="宋体" w:hAnsi="宋体"/>
          <w:sz w:val="24"/>
        </w:rPr>
        <w:t xml:space="preserve"> </w:t>
      </w:r>
      <w:r>
        <w:rPr>
          <w:rFonts w:hint="eastAsia" w:ascii="宋体" w:hAnsi="宋体"/>
          <w:sz w:val="24"/>
          <w:szCs w:val="24"/>
        </w:rPr>
        <w:t xml:space="preserve"> </w:t>
      </w:r>
    </w:p>
    <w:p>
      <w:pPr>
        <w:snapToGrid w:val="0"/>
        <w:spacing w:line="460" w:lineRule="exact"/>
        <w:ind w:firstLine="470" w:firstLineChars="196"/>
        <w:jc w:val="left"/>
        <w:rPr>
          <w:rFonts w:ascii="宋体" w:hAnsi="宋体"/>
          <w:sz w:val="24"/>
        </w:rPr>
      </w:pPr>
      <w:r>
        <w:rPr>
          <w:rFonts w:hint="eastAsia" w:ascii="宋体" w:hAnsi="宋体"/>
          <w:sz w:val="24"/>
        </w:rPr>
        <w:t xml:space="preserve"> </w:t>
      </w:r>
    </w:p>
    <w:p>
      <w:pPr>
        <w:snapToGrid w:val="0"/>
        <w:spacing w:before="50" w:afterLines="50" w:line="460" w:lineRule="exact"/>
        <w:jc w:val="left"/>
        <w:rPr>
          <w:rFonts w:ascii="宋体" w:hAnsi="宋体"/>
          <w:sz w:val="24"/>
        </w:rPr>
      </w:pPr>
      <w:r>
        <w:rPr>
          <w:rFonts w:hint="eastAsia" w:ascii="宋体" w:hAnsi="宋体"/>
          <w:sz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snapToGrid w:val="0"/>
        <w:spacing w:before="50" w:afterLines="50"/>
        <w:jc w:val="left"/>
        <w:rPr>
          <w:rFonts w:ascii="宋体" w:hAnsi="宋体"/>
          <w:sz w:val="24"/>
        </w:rPr>
      </w:pPr>
    </w:p>
    <w:p>
      <w:pPr>
        <w:snapToGrid w:val="0"/>
        <w:spacing w:before="50" w:afterLines="50"/>
        <w:jc w:val="left"/>
        <w:rPr>
          <w:rFonts w:ascii="宋体" w:hAnsi="宋体"/>
          <w:b/>
          <w:sz w:val="24"/>
        </w:rPr>
      </w:pPr>
      <w:r>
        <w:rPr>
          <w:rFonts w:hint="eastAsia" w:ascii="宋体" w:hAnsi="宋体"/>
          <w:b/>
          <w:sz w:val="24"/>
        </w:rPr>
        <w:t>（1）声明书</w:t>
      </w:r>
    </w:p>
    <w:p>
      <w:pPr>
        <w:snapToGrid w:val="0"/>
        <w:spacing w:before="50" w:after="50"/>
        <w:jc w:val="center"/>
        <w:rPr>
          <w:rFonts w:ascii="宋体" w:hAnsi="宋体"/>
          <w:b/>
          <w:bCs/>
          <w:sz w:val="24"/>
        </w:rPr>
      </w:pPr>
      <w:r>
        <w:rPr>
          <w:rFonts w:hint="eastAsia" w:ascii="宋体" w:hAnsi="宋体"/>
          <w:b/>
          <w:bCs/>
          <w:sz w:val="24"/>
        </w:rPr>
        <w:t>声 明 书</w:t>
      </w:r>
    </w:p>
    <w:p>
      <w:pPr>
        <w:snapToGrid w:val="0"/>
        <w:spacing w:beforeLines="50" w:after="50" w:line="460" w:lineRule="exact"/>
        <w:rPr>
          <w:rFonts w:ascii="宋体" w:hAnsi="宋体"/>
          <w:sz w:val="24"/>
        </w:rPr>
      </w:pPr>
      <w:r>
        <w:rPr>
          <w:rFonts w:hint="eastAsia" w:ascii="宋体" w:hAnsi="宋体"/>
          <w:sz w:val="24"/>
        </w:rPr>
        <w:t>致杭州桐庐正宏建设管理有限公司：</w:t>
      </w:r>
    </w:p>
    <w:p>
      <w:pPr>
        <w:snapToGrid w:val="0"/>
        <w:spacing w:beforeLines="50" w:after="50" w:line="460" w:lineRule="exact"/>
        <w:ind w:firstLine="480" w:firstLineChars="200"/>
        <w:rPr>
          <w:rFonts w:ascii="宋体" w:hAnsi="宋体"/>
          <w:sz w:val="24"/>
        </w:rPr>
      </w:pPr>
      <w:r>
        <w:rPr>
          <w:rFonts w:hint="eastAsia" w:ascii="宋体" w:hAnsi="宋体"/>
          <w:sz w:val="24"/>
          <w:u w:val="single"/>
        </w:rPr>
        <w:t>（投标人名称）</w:t>
      </w:r>
      <w:r>
        <w:rPr>
          <w:rFonts w:hint="eastAsia" w:ascii="宋体" w:hAnsi="宋体"/>
          <w:sz w:val="24"/>
        </w:rPr>
        <w:t>系中华人民共和国合法企业，经营地址</w:t>
      </w:r>
      <w:r>
        <w:rPr>
          <w:rFonts w:hint="eastAsia" w:ascii="宋体" w:hAnsi="宋体"/>
          <w:sz w:val="24"/>
          <w:u w:val="single"/>
        </w:rPr>
        <w:t xml:space="preserve">                            </w:t>
      </w:r>
      <w:r>
        <w:rPr>
          <w:rFonts w:hint="eastAsia" w:ascii="宋体" w:hAnsi="宋体"/>
          <w:sz w:val="24"/>
        </w:rPr>
        <w:t>。</w:t>
      </w:r>
    </w:p>
    <w:p>
      <w:pPr>
        <w:snapToGrid w:val="0"/>
        <w:spacing w:beforeLines="50" w:after="50" w:line="4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（姓名）</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的法定代表人，我方愿意参加贵方组织的</w:t>
      </w:r>
      <w:r>
        <w:rPr>
          <w:rFonts w:hint="eastAsia" w:ascii="宋体" w:hAnsi="宋体"/>
          <w:sz w:val="24"/>
          <w:u w:val="single"/>
        </w:rPr>
        <w:t>（项目名称）（编号为          ）</w:t>
      </w:r>
      <w:r>
        <w:rPr>
          <w:rFonts w:hint="eastAsia" w:ascii="宋体" w:hAnsi="宋体"/>
          <w:sz w:val="24"/>
        </w:rPr>
        <w:t>的投标，为此，我方就本次投标有关事项郑重声明如下：</w:t>
      </w:r>
    </w:p>
    <w:p>
      <w:pPr>
        <w:snapToGrid w:val="0"/>
        <w:spacing w:beforeLines="50" w:after="50" w:line="460" w:lineRule="exact"/>
        <w:ind w:firstLine="480" w:firstLineChars="200"/>
        <w:rPr>
          <w:rFonts w:ascii="宋体" w:hAnsi="宋体"/>
          <w:sz w:val="24"/>
        </w:rPr>
      </w:pPr>
      <w:r>
        <w:rPr>
          <w:rFonts w:hint="eastAsia" w:ascii="宋体" w:hAnsi="宋体"/>
          <w:sz w:val="24"/>
        </w:rPr>
        <w:t>1、我方已详细审查全部招标文件，同意招标文件的各项要求。</w:t>
      </w:r>
    </w:p>
    <w:p>
      <w:pPr>
        <w:snapToGrid w:val="0"/>
        <w:spacing w:beforeLines="50" w:after="50" w:line="460" w:lineRule="exact"/>
        <w:ind w:firstLine="480" w:firstLineChars="200"/>
        <w:rPr>
          <w:rFonts w:ascii="宋体" w:hAnsi="宋体"/>
          <w:sz w:val="24"/>
        </w:rPr>
      </w:pPr>
      <w:r>
        <w:rPr>
          <w:rFonts w:hint="eastAsia" w:ascii="宋体" w:hAnsi="宋体"/>
          <w:sz w:val="24"/>
        </w:rPr>
        <w:t>2、我方向贵方提交的所有投标文件、资料都是准确的和真实的。</w:t>
      </w:r>
    </w:p>
    <w:p>
      <w:pPr>
        <w:snapToGrid w:val="0"/>
        <w:spacing w:beforeLines="50" w:after="50" w:line="460" w:lineRule="exact"/>
        <w:ind w:firstLine="480" w:firstLineChars="200"/>
        <w:rPr>
          <w:rFonts w:ascii="宋体" w:hAnsi="宋体"/>
          <w:sz w:val="24"/>
        </w:rPr>
      </w:pPr>
      <w:r>
        <w:rPr>
          <w:rFonts w:hint="eastAsia" w:ascii="宋体" w:hAnsi="宋体"/>
          <w:sz w:val="24"/>
        </w:rPr>
        <w:t>3、若中标，我方将按招标文件规定履行合同责任和义务。</w:t>
      </w:r>
    </w:p>
    <w:p>
      <w:pPr>
        <w:snapToGrid w:val="0"/>
        <w:spacing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480" w:firstLineChars="200"/>
        <w:rPr>
          <w:rFonts w:ascii="宋体" w:hAnsi="宋体"/>
          <w:sz w:val="24"/>
        </w:rPr>
      </w:pPr>
      <w:r>
        <w:rPr>
          <w:rFonts w:hint="eastAsia" w:ascii="宋体" w:hAnsi="宋体"/>
          <w:sz w:val="24"/>
        </w:rPr>
        <w:t>5、投标文件自开标日起有效期为90天。</w:t>
      </w:r>
    </w:p>
    <w:p>
      <w:pPr>
        <w:snapToGrid w:val="0"/>
        <w:spacing w:line="460" w:lineRule="exact"/>
        <w:ind w:firstLine="472" w:firstLineChars="196"/>
        <w:jc w:val="left"/>
        <w:rPr>
          <w:rFonts w:ascii="宋体" w:hAnsi="宋体"/>
          <w:b/>
          <w:bCs/>
          <w:sz w:val="24"/>
        </w:rPr>
      </w:pPr>
      <w:r>
        <w:rPr>
          <w:rFonts w:hint="eastAsia" w:ascii="宋体" w:hAnsi="宋体"/>
          <w:b/>
          <w:bCs/>
          <w:sz w:val="24"/>
        </w:rPr>
        <w:t>6、我方参与本项目前3年内的经营活动中没有重大违法记录；</w:t>
      </w:r>
    </w:p>
    <w:p>
      <w:pPr>
        <w:snapToGrid w:val="0"/>
        <w:spacing w:beforeLines="50" w:after="50" w:line="460" w:lineRule="exact"/>
        <w:ind w:firstLine="480" w:firstLineChars="200"/>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Lines="50" w:after="50" w:line="460" w:lineRule="exact"/>
        <w:ind w:right="600" w:firstLine="120" w:firstLineChars="50"/>
        <w:rPr>
          <w:rFonts w:ascii="宋体" w:hAnsi="宋体"/>
          <w:sz w:val="24"/>
          <w:u w:val="single"/>
        </w:rPr>
      </w:pPr>
      <w:r>
        <w:rPr>
          <w:rFonts w:hint="eastAsia" w:ascii="宋体" w:hAnsi="宋体"/>
          <w:sz w:val="24"/>
        </w:rPr>
        <w:t>法定代表人签名（或签名章）：</w:t>
      </w:r>
      <w:r>
        <w:rPr>
          <w:rFonts w:hint="eastAsia" w:ascii="宋体" w:hAnsi="宋体"/>
          <w:sz w:val="24"/>
          <w:u w:val="single"/>
        </w:rPr>
        <w:t xml:space="preserve">          </w:t>
      </w:r>
      <w:r>
        <w:rPr>
          <w:rFonts w:hint="eastAsia" w:ascii="宋体" w:hAnsi="宋体"/>
          <w:sz w:val="24"/>
        </w:rPr>
        <w:t xml:space="preserve">  日 期：</w:t>
      </w:r>
      <w:r>
        <w:rPr>
          <w:rFonts w:hint="eastAsia" w:ascii="宋体" w:hAnsi="宋体"/>
          <w:sz w:val="24"/>
          <w:u w:val="single"/>
        </w:rPr>
        <w:t xml:space="preserve">          </w:t>
      </w:r>
    </w:p>
    <w:p>
      <w:pPr>
        <w:snapToGrid w:val="0"/>
        <w:spacing w:beforeLines="50" w:after="50" w:line="460" w:lineRule="exact"/>
        <w:ind w:firstLine="120" w:firstLineChars="50"/>
        <w:rPr>
          <w:rFonts w:ascii="宋体" w:hAnsi="宋体"/>
          <w:sz w:val="24"/>
          <w:u w:val="single"/>
        </w:rPr>
      </w:pPr>
      <w:r>
        <w:rPr>
          <w:rFonts w:hint="eastAsia" w:ascii="宋体" w:hAnsi="宋体"/>
          <w:sz w:val="24"/>
        </w:rPr>
        <w:t>投标人全称（公章）：</w:t>
      </w:r>
      <w:r>
        <w:rPr>
          <w:rFonts w:hint="eastAsia" w:ascii="宋体" w:hAnsi="宋体"/>
          <w:sz w:val="24"/>
          <w:u w:val="single"/>
        </w:rPr>
        <w:t xml:space="preserve">          </w:t>
      </w:r>
    </w:p>
    <w:p>
      <w:pPr>
        <w:snapToGrid w:val="0"/>
        <w:spacing w:beforeLines="50" w:after="50" w:line="460" w:lineRule="exact"/>
        <w:ind w:firstLine="120" w:firstLineChars="50"/>
        <w:rPr>
          <w:rFonts w:ascii="宋体" w:hAnsi="宋体"/>
          <w:b/>
          <w:sz w:val="24"/>
        </w:rPr>
      </w:pPr>
    </w:p>
    <w:p>
      <w:pPr>
        <w:snapToGrid w:val="0"/>
        <w:spacing w:beforeLines="50" w:after="50" w:line="460" w:lineRule="exact"/>
        <w:ind w:firstLine="120" w:firstLineChars="50"/>
        <w:rPr>
          <w:rFonts w:ascii="宋体" w:hAnsi="宋体"/>
          <w:b/>
          <w:sz w:val="24"/>
        </w:rPr>
      </w:pPr>
    </w:p>
    <w:p>
      <w:pPr>
        <w:snapToGrid w:val="0"/>
        <w:spacing w:beforeLines="50" w:after="50" w:line="460" w:lineRule="exact"/>
        <w:ind w:firstLine="120" w:firstLineChars="50"/>
        <w:rPr>
          <w:rFonts w:ascii="宋体" w:hAnsi="宋体"/>
          <w:b/>
          <w:sz w:val="24"/>
        </w:rPr>
      </w:pPr>
    </w:p>
    <w:p>
      <w:pPr>
        <w:snapToGrid w:val="0"/>
        <w:spacing w:beforeLines="50" w:after="50" w:line="460" w:lineRule="exact"/>
        <w:ind w:firstLine="120" w:firstLineChars="50"/>
        <w:rPr>
          <w:rFonts w:ascii="宋体" w:hAnsi="宋体"/>
          <w:b/>
          <w:sz w:val="24"/>
        </w:rPr>
      </w:pPr>
    </w:p>
    <w:p>
      <w:pPr>
        <w:snapToGrid w:val="0"/>
        <w:spacing w:beforeLines="50" w:after="50" w:line="460" w:lineRule="exact"/>
        <w:ind w:firstLine="120" w:firstLineChars="50"/>
        <w:rPr>
          <w:rFonts w:ascii="宋体" w:hAnsi="宋体"/>
          <w:b/>
          <w:sz w:val="24"/>
        </w:rPr>
      </w:pPr>
    </w:p>
    <w:p>
      <w:pPr>
        <w:snapToGrid w:val="0"/>
        <w:spacing w:beforeLines="50" w:after="50" w:line="460" w:lineRule="exact"/>
        <w:ind w:firstLine="120" w:firstLineChars="50"/>
        <w:rPr>
          <w:rFonts w:ascii="宋体" w:hAnsi="宋体"/>
          <w:b/>
          <w:sz w:val="24"/>
        </w:rPr>
      </w:pPr>
    </w:p>
    <w:p>
      <w:pPr>
        <w:snapToGrid w:val="0"/>
        <w:spacing w:beforeLines="50" w:after="50" w:line="460" w:lineRule="exact"/>
        <w:ind w:firstLine="120" w:firstLineChars="50"/>
        <w:rPr>
          <w:rFonts w:ascii="宋体" w:hAnsi="宋体"/>
          <w:sz w:val="24"/>
        </w:rPr>
      </w:pPr>
      <w:r>
        <w:rPr>
          <w:rFonts w:hint="eastAsia" w:ascii="宋体" w:hAnsi="宋体"/>
          <w:b/>
          <w:sz w:val="24"/>
        </w:rPr>
        <w:t>（2）法定代表人授权书</w:t>
      </w:r>
    </w:p>
    <w:p>
      <w:pPr>
        <w:snapToGrid w:val="0"/>
        <w:spacing w:beforeLines="50" w:after="50" w:line="360" w:lineRule="auto"/>
        <w:rPr>
          <w:rFonts w:ascii="宋体" w:hAnsi="宋体"/>
          <w:b/>
          <w:bCs/>
          <w:sz w:val="24"/>
        </w:rPr>
      </w:pPr>
      <w:r>
        <w:rPr>
          <w:rFonts w:hint="eastAsia" w:ascii="宋体" w:hAnsi="宋体"/>
          <w:bCs/>
          <w:sz w:val="24"/>
        </w:rPr>
        <w:t>致：</w:t>
      </w:r>
      <w:r>
        <w:rPr>
          <w:rFonts w:ascii="宋体" w:hAnsi="宋体"/>
          <w:sz w:val="24"/>
          <w:u w:val="single"/>
        </w:rPr>
        <w:t>_______</w:t>
      </w:r>
      <w:r>
        <w:rPr>
          <w:rFonts w:hint="eastAsia" w:ascii="宋体" w:hAnsi="宋体"/>
          <w:sz w:val="24"/>
          <w:u w:val="single"/>
        </w:rPr>
        <w:t xml:space="preserve">     </w:t>
      </w:r>
      <w:r>
        <w:rPr>
          <w:rFonts w:ascii="宋体" w:hAnsi="宋体"/>
          <w:sz w:val="24"/>
          <w:u w:val="single"/>
        </w:rPr>
        <w:t>__</w:t>
      </w:r>
      <w:r>
        <w:rPr>
          <w:rFonts w:hint="eastAsia" w:ascii="宋体" w:hAnsi="宋体"/>
          <w:sz w:val="24"/>
        </w:rPr>
        <w:t>（采购机构名称）</w:t>
      </w:r>
      <w:r>
        <w:rPr>
          <w:rFonts w:hint="eastAsia" w:ascii="宋体" w:hAnsi="宋体"/>
          <w:b/>
          <w:bCs/>
          <w:sz w:val="24"/>
        </w:rPr>
        <w:t xml:space="preserve"> </w:t>
      </w:r>
      <w:r>
        <w:rPr>
          <w:rFonts w:ascii="宋体" w:hAnsi="宋体"/>
          <w:sz w:val="24"/>
        </w:rPr>
        <w:t>：</w:t>
      </w:r>
    </w:p>
    <w:p>
      <w:pPr>
        <w:snapToGrid w:val="0"/>
        <w:spacing w:beforeLines="50" w:after="50" w:line="360" w:lineRule="auto"/>
        <w:ind w:firstLine="720" w:firstLineChars="300"/>
        <w:rPr>
          <w:rFonts w:ascii="宋体" w:hAnsi="宋体"/>
          <w:sz w:val="24"/>
        </w:rPr>
      </w:pPr>
      <w:r>
        <w:rPr>
          <w:rFonts w:hint="eastAsia" w:ascii="宋体" w:hAnsi="宋体"/>
          <w:sz w:val="24"/>
        </w:rPr>
        <w:t>我</w:t>
      </w:r>
      <w:r>
        <w:rPr>
          <w:rFonts w:ascii="宋体" w:hAnsi="宋体"/>
          <w:sz w:val="24"/>
        </w:rPr>
        <w:t>______</w:t>
      </w:r>
      <w:r>
        <w:rPr>
          <w:rFonts w:ascii="宋体" w:hAnsi="宋体"/>
          <w:sz w:val="24"/>
          <w:u w:val="single"/>
        </w:rPr>
        <w:t>_</w:t>
      </w:r>
      <w:r>
        <w:rPr>
          <w:rFonts w:hint="eastAsia" w:ascii="宋体" w:hAnsi="宋体"/>
          <w:sz w:val="24"/>
          <w:u w:val="single"/>
        </w:rPr>
        <w:t xml:space="preserve">     </w:t>
      </w:r>
      <w:r>
        <w:rPr>
          <w:rFonts w:ascii="宋体" w:hAnsi="宋体"/>
          <w:sz w:val="24"/>
          <w:u w:val="single"/>
        </w:rPr>
        <w:t>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w:t>
      </w:r>
      <w:r>
        <w:rPr>
          <w:rFonts w:hint="eastAsia" w:ascii="宋体" w:hAnsi="宋体"/>
          <w:sz w:val="24"/>
          <w:u w:val="single"/>
        </w:rPr>
        <w:t xml:space="preserve">     </w:t>
      </w:r>
      <w:r>
        <w:rPr>
          <w:rFonts w:ascii="宋体" w:hAnsi="宋体"/>
          <w:sz w:val="24"/>
          <w:u w:val="single"/>
        </w:rPr>
        <w:t>_</w:t>
      </w:r>
      <w:r>
        <w:rPr>
          <w:rFonts w:ascii="宋体" w:hAnsi="宋体"/>
          <w:sz w:val="24"/>
        </w:rPr>
        <w:t>_</w:t>
      </w:r>
      <w:r>
        <w:rPr>
          <w:rFonts w:hint="eastAsia" w:ascii="宋体" w:hAnsi="宋体"/>
          <w:sz w:val="24"/>
        </w:rPr>
        <w:t xml:space="preserve">（投标人名称）的法定代表人，现授权委托本单位在职职工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Lines="50" w:after="50"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我方对被授权人的签名负全部责任。</w:t>
      </w:r>
    </w:p>
    <w:p>
      <w:pPr>
        <w:snapToGrid w:val="0"/>
        <w:spacing w:beforeLines="50" w:after="50" w:line="360" w:lineRule="auto"/>
        <w:ind w:firstLine="480"/>
        <w:rPr>
          <w:rFonts w:ascii="宋体" w:hAnsi="宋体"/>
          <w:sz w:val="24"/>
        </w:rPr>
      </w:pPr>
      <w:r>
        <w:rPr>
          <w:rFonts w:hint="eastAsia" w:ascii="宋体" w:hAnsi="宋体"/>
          <w:sz w:val="24"/>
        </w:rPr>
        <w:t>在撤销授权的书面通知以前，本授权书一直有效。被授权人在授权书有效期内签署的所有文件不因授权的撤销而失效。</w:t>
      </w:r>
    </w:p>
    <w:p>
      <w:pPr>
        <w:snapToGrid w:val="0"/>
        <w:spacing w:beforeLines="50" w:after="50" w:line="360" w:lineRule="auto"/>
        <w:ind w:firstLine="480"/>
        <w:rPr>
          <w:rFonts w:ascii="宋体" w:hAnsi="宋体"/>
          <w:sz w:val="24"/>
        </w:rPr>
      </w:pPr>
      <w:r>
        <w:rPr>
          <w:rFonts w:hint="eastAsia" w:ascii="宋体" w:hAnsi="宋体"/>
          <w:sz w:val="24"/>
        </w:rPr>
        <w:t>被授权人无转委托权，特此委托。</w:t>
      </w:r>
    </w:p>
    <w:p>
      <w:pPr>
        <w:snapToGrid w:val="0"/>
        <w:spacing w:beforeLines="50" w:after="50" w:line="360" w:lineRule="auto"/>
        <w:rPr>
          <w:rFonts w:ascii="宋体" w:hAnsi="宋体"/>
          <w:sz w:val="24"/>
        </w:rPr>
      </w:pPr>
    </w:p>
    <w:p>
      <w:pPr>
        <w:snapToGrid w:val="0"/>
        <w:spacing w:beforeLines="50" w:after="50" w:line="360" w:lineRule="auto"/>
        <w:rPr>
          <w:rFonts w:ascii="宋体" w:hAnsi="宋体"/>
          <w:sz w:val="24"/>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法定代表人签字或盖章</w:t>
      </w:r>
      <w:r>
        <w:rPr>
          <w:rFonts w:ascii="宋体" w:hAnsi="宋体"/>
          <w:sz w:val="24"/>
        </w:rPr>
        <w:t>：</w:t>
      </w:r>
      <w:r>
        <w:rPr>
          <w:rFonts w:ascii="宋体" w:hAnsi="宋体"/>
          <w:sz w:val="24"/>
          <w:u w:val="single"/>
        </w:rPr>
        <w:t xml:space="preserve">          </w:t>
      </w:r>
    </w:p>
    <w:p>
      <w:pPr>
        <w:snapToGrid w:val="0"/>
        <w:spacing w:beforeLines="50" w:after="50" w:line="360" w:lineRule="auto"/>
        <w:ind w:firstLine="960" w:firstLineChars="400"/>
        <w:rPr>
          <w:rFonts w:ascii="宋体" w:hAnsi="宋体"/>
          <w:sz w:val="24"/>
        </w:rPr>
      </w:pPr>
      <w:r>
        <w:rPr>
          <w:rFonts w:hint="eastAsia" w:ascii="宋体" w:hAnsi="宋体"/>
          <w:sz w:val="24"/>
        </w:rPr>
        <w:t>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职务：</w:t>
      </w:r>
      <w:r>
        <w:rPr>
          <w:rFonts w:ascii="宋体" w:hAnsi="宋体"/>
          <w:sz w:val="24"/>
          <w:u w:val="single"/>
        </w:rPr>
        <w:t xml:space="preserve">           </w:t>
      </w:r>
    </w:p>
    <w:p>
      <w:pPr>
        <w:snapToGrid w:val="0"/>
        <w:spacing w:beforeLines="50" w:after="50" w:line="360" w:lineRule="auto"/>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snapToGrid w:val="0"/>
        <w:spacing w:beforeLines="50" w:after="50" w:line="360" w:lineRule="auto"/>
        <w:rPr>
          <w:rFonts w:ascii="宋体" w:hAnsi="宋体"/>
          <w:sz w:val="24"/>
        </w:rPr>
      </w:pPr>
      <w:r>
        <w:rPr>
          <w:rFonts w:hint="eastAsia" w:ascii="宋体" w:hAnsi="宋体"/>
          <w:sz w:val="24"/>
        </w:rPr>
        <w:t xml:space="preserve">                                     投标人盖章：</w:t>
      </w:r>
    </w:p>
    <w:p>
      <w:pPr>
        <w:snapToGrid w:val="0"/>
        <w:spacing w:beforeLines="50" w:after="50" w:line="360" w:lineRule="auto"/>
        <w:jc w:val="center"/>
        <w:rPr>
          <w:rFonts w:ascii="宋体" w:hAnsi="宋体"/>
          <w:sz w:val="24"/>
        </w:rPr>
      </w:pPr>
      <w:r>
        <w:rPr>
          <w:rFonts w:ascii="宋体" w:hAnsi="宋体"/>
          <w:sz w:val="24"/>
        </w:rPr>
        <w:t xml:space="preserve">     </w:t>
      </w:r>
      <w:r>
        <w:rPr>
          <w:rFonts w:hint="eastAsia" w:ascii="宋体" w:hAnsi="宋体"/>
          <w:sz w:val="24"/>
        </w:rPr>
        <w:t xml:space="preserve">                                   年    月    日</w:t>
      </w: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hint="eastAsia" w:ascii="宋体" w:hAnsi="宋体"/>
          <w:sz w:val="30"/>
          <w:szCs w:val="30"/>
        </w:rPr>
      </w:pPr>
    </w:p>
    <w:p>
      <w:pPr>
        <w:numPr>
          <w:ilvl w:val="0"/>
          <w:numId w:val="9"/>
        </w:numPr>
        <w:snapToGrid w:val="0"/>
        <w:spacing w:before="50" w:after="50"/>
        <w:ind w:left="0" w:leftChars="0" w:firstLine="0" w:firstLineChars="0"/>
        <w:rPr>
          <w:rFonts w:hint="eastAsia" w:ascii="宋体" w:hAnsi="宋体"/>
          <w:b/>
          <w:bCs/>
          <w:sz w:val="30"/>
          <w:szCs w:val="30"/>
        </w:rPr>
      </w:pPr>
      <w:r>
        <w:rPr>
          <w:rFonts w:hint="eastAsia" w:ascii="宋体" w:hAnsi="宋体"/>
          <w:b/>
          <w:bCs/>
          <w:sz w:val="30"/>
          <w:szCs w:val="30"/>
        </w:rPr>
        <w:t>技术及商务文件目录</w:t>
      </w:r>
    </w:p>
    <w:p>
      <w:pPr>
        <w:numPr>
          <w:ilvl w:val="0"/>
          <w:numId w:val="0"/>
        </w:numPr>
        <w:snapToGrid w:val="0"/>
        <w:spacing w:before="50" w:after="50"/>
        <w:ind w:leftChars="0"/>
        <w:rPr>
          <w:rFonts w:hint="eastAsia" w:ascii="宋体" w:hAnsi="宋体"/>
          <w:b/>
          <w:bCs/>
          <w:sz w:val="30"/>
          <w:szCs w:val="30"/>
        </w:rPr>
      </w:pP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（1）评分对应表（格式见附件，主要用于评委对应评分内容）</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2</w:t>
      </w:r>
      <w:r>
        <w:rPr>
          <w:rFonts w:hint="eastAsia" w:ascii="宋体" w:hAnsi="宋体"/>
          <w:color w:val="000000"/>
          <w:sz w:val="24"/>
        </w:rPr>
        <w:t>）</w:t>
      </w:r>
      <w:r>
        <w:rPr>
          <w:rFonts w:hint="eastAsia" w:ascii="宋体" w:hAnsi="宋体"/>
          <w:color w:val="000000"/>
          <w:sz w:val="24"/>
          <w:lang w:eastAsia="zh-CN"/>
        </w:rPr>
        <w:t>供应商服务承诺</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）项目总体解决方案</w:t>
      </w:r>
      <w:r>
        <w:rPr>
          <w:rFonts w:hint="eastAsia" w:ascii="宋体" w:hAnsi="宋体"/>
          <w:color w:val="000000"/>
          <w:sz w:val="24"/>
          <w:lang w:val="en-US" w:eastAsia="zh-CN"/>
        </w:rPr>
        <w:t xml:space="preserve"> （包括总体服务方案及承担本亮灯维护服务工作的特点和服务亮点、日常作业程序及应急处置方案设想等内容）</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4</w:t>
      </w:r>
      <w:r>
        <w:rPr>
          <w:rFonts w:hint="eastAsia" w:ascii="宋体" w:hAnsi="宋体"/>
          <w:color w:val="000000"/>
          <w:sz w:val="24"/>
        </w:rPr>
        <w:t>）项目实施计划（可包含且不限于保证工期的施工组织方案及人力资源安排、项目组人员清单等）；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5</w:t>
      </w:r>
      <w:r>
        <w:rPr>
          <w:rFonts w:hint="eastAsia" w:ascii="宋体" w:hAnsi="宋体"/>
          <w:color w:val="000000"/>
          <w:sz w:val="24"/>
        </w:rPr>
        <w:t>）列入政府采购节能环保清单的证明资料（若有）；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6</w:t>
      </w:r>
      <w:r>
        <w:rPr>
          <w:rFonts w:hint="eastAsia" w:ascii="宋体" w:hAnsi="宋体"/>
          <w:color w:val="000000"/>
          <w:sz w:val="24"/>
        </w:rPr>
        <w:t>）商务响应表（格式见附件）；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7</w:t>
      </w:r>
      <w:r>
        <w:rPr>
          <w:rFonts w:hint="eastAsia" w:ascii="宋体" w:hAnsi="宋体"/>
          <w:color w:val="000000"/>
          <w:sz w:val="24"/>
        </w:rPr>
        <w:t>）售后服务计划（可包含且不限于对用户故障的响应、处理、定期巡检、常用耗材提供、驻点人员情况等）；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8</w:t>
      </w:r>
      <w:r>
        <w:rPr>
          <w:rFonts w:hint="eastAsia" w:ascii="宋体" w:hAnsi="宋体"/>
          <w:color w:val="000000"/>
          <w:sz w:val="24"/>
        </w:rPr>
        <w:t>）技术培训计划（若有）；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9</w:t>
      </w:r>
      <w:r>
        <w:rPr>
          <w:rFonts w:hint="eastAsia" w:ascii="宋体" w:hAnsi="宋体"/>
          <w:color w:val="000000"/>
          <w:sz w:val="24"/>
        </w:rPr>
        <w:t>）投标人履约能力（可包含且不限于技术力量情况、投标人各项能力证书</w:t>
      </w:r>
      <w:r>
        <w:rPr>
          <w:rFonts w:hint="eastAsia" w:ascii="宋体" w:hAnsi="宋体"/>
          <w:color w:val="000000"/>
          <w:sz w:val="24"/>
          <w:lang w:eastAsia="zh-CN"/>
        </w:rPr>
        <w:t>、考核规章制度、装备器材等</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0</w:t>
      </w:r>
      <w:r>
        <w:rPr>
          <w:rFonts w:hint="eastAsia" w:ascii="宋体" w:hAnsi="宋体"/>
          <w:color w:val="000000"/>
          <w:sz w:val="24"/>
        </w:rPr>
        <w:t>）案例的业绩证明（投标人业绩情况一览表、合同复印件等）</w:t>
      </w:r>
      <w:r>
        <w:rPr>
          <w:rFonts w:hint="eastAsia" w:ascii="宋体" w:hAnsi="宋体"/>
          <w:color w:val="000000"/>
          <w:sz w:val="24"/>
          <w:lang w:eastAsia="zh-CN"/>
        </w:rPr>
        <w:t>及投标人管理用房证明材料</w:t>
      </w:r>
      <w:r>
        <w:rPr>
          <w:rFonts w:hint="eastAsia" w:ascii="宋体" w:hAnsi="宋体"/>
          <w:color w:val="000000"/>
          <w:sz w:val="24"/>
        </w:rPr>
        <w:t>；</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1</w:t>
      </w:r>
      <w:r>
        <w:rPr>
          <w:rFonts w:hint="eastAsia" w:ascii="宋体" w:hAnsi="宋体"/>
          <w:color w:val="000000"/>
          <w:sz w:val="24"/>
        </w:rPr>
        <w:t xml:space="preserve">）优惠措施：投标单位承诺给予的各种优惠条件，包括售后服务、专用耗材等方面的优惠； </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）投标人对本项目的合理化建议和改进措施；</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）投标方认为需要的其他文件资料。</w:t>
      </w: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pStyle w:val="27"/>
        <w:rPr>
          <w:rFonts w:ascii="宋体" w:hAnsi="宋体"/>
          <w:sz w:val="24"/>
        </w:rPr>
      </w:pPr>
    </w:p>
    <w:p>
      <w:pPr>
        <w:pStyle w:val="27"/>
        <w:rPr>
          <w:rFonts w:ascii="宋体" w:hAnsi="宋体"/>
          <w:sz w:val="24"/>
        </w:rPr>
      </w:pPr>
    </w:p>
    <w:p>
      <w:pPr>
        <w:spacing w:line="580" w:lineRule="exact"/>
        <w:rPr>
          <w:rFonts w:ascii="宋体" w:hAnsi="宋体"/>
          <w:sz w:val="24"/>
        </w:rPr>
      </w:pPr>
    </w:p>
    <w:p>
      <w:pPr>
        <w:spacing w:line="580" w:lineRule="exact"/>
        <w:rPr>
          <w:rFonts w:ascii="宋体" w:hAnsi="宋体"/>
          <w:b/>
          <w:bCs/>
          <w:sz w:val="24"/>
        </w:rPr>
      </w:pPr>
      <w:r>
        <w:rPr>
          <w:rFonts w:hint="eastAsia" w:ascii="宋体" w:hAnsi="宋体"/>
          <w:b/>
          <w:bCs/>
          <w:sz w:val="24"/>
        </w:rPr>
        <w:t>（1）评分对应表</w:t>
      </w:r>
    </w:p>
    <w:p>
      <w:pPr>
        <w:snapToGrid w:val="0"/>
        <w:spacing w:before="50" w:after="50"/>
        <w:jc w:val="center"/>
        <w:rPr>
          <w:rFonts w:ascii="宋体" w:hAnsi="宋体"/>
          <w:b/>
          <w:bCs/>
          <w:sz w:val="24"/>
        </w:rPr>
      </w:pPr>
      <w:r>
        <w:rPr>
          <w:rFonts w:hint="eastAsia" w:ascii="宋体" w:hAnsi="宋体"/>
          <w:b/>
          <w:bCs/>
          <w:sz w:val="24"/>
        </w:rPr>
        <w:t>评分对应表</w:t>
      </w:r>
    </w:p>
    <w:p>
      <w:pPr>
        <w:spacing w:line="580" w:lineRule="exact"/>
        <w:rPr>
          <w:rFonts w:ascii="宋体" w:hAnsi="宋体"/>
          <w:b/>
          <w:bCs/>
          <w:sz w:val="24"/>
        </w:rPr>
      </w:pPr>
    </w:p>
    <w:p>
      <w:pPr>
        <w:spacing w:line="580" w:lineRule="exact"/>
        <w:rPr>
          <w:rFonts w:ascii="宋体" w:hAnsi="宋体"/>
          <w:sz w:val="24"/>
          <w:u w:val="single"/>
        </w:rPr>
      </w:pPr>
      <w:r>
        <w:rPr>
          <w:rFonts w:hint="eastAsia" w:ascii="宋体" w:hAnsi="宋体"/>
          <w:sz w:val="24"/>
        </w:rPr>
        <w:t>投标人全称（公章）：</w:t>
      </w:r>
      <w:r>
        <w:rPr>
          <w:rFonts w:hint="eastAsia" w:ascii="宋体" w:hAnsi="宋体"/>
          <w:sz w:val="24"/>
          <w:u w:val="single"/>
        </w:rPr>
        <w:t xml:space="preserve">           </w:t>
      </w:r>
      <w:r>
        <w:rPr>
          <w:rFonts w:hint="eastAsia" w:ascii="宋体" w:hAnsi="宋体"/>
          <w:sz w:val="24"/>
        </w:rPr>
        <w:t xml:space="preserve">              标项：</w:t>
      </w:r>
      <w:r>
        <w:rPr>
          <w:rFonts w:hint="eastAsia" w:ascii="宋体" w:hAnsi="宋体"/>
          <w:sz w:val="24"/>
          <w:u w:val="single"/>
        </w:rPr>
        <w:t xml:space="preserve">          </w:t>
      </w:r>
    </w:p>
    <w:tbl>
      <w:tblPr>
        <w:tblStyle w:val="46"/>
        <w:tblW w:w="10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415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评分项目</w:t>
            </w:r>
          </w:p>
        </w:tc>
        <w:tc>
          <w:tcPr>
            <w:tcW w:w="4158" w:type="dxa"/>
            <w:tcBorders>
              <w:top w:val="single" w:color="auto" w:sz="4" w:space="0"/>
              <w:left w:val="nil"/>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投标文件对应资料</w:t>
            </w:r>
          </w:p>
        </w:tc>
        <w:tc>
          <w:tcPr>
            <w:tcW w:w="1985" w:type="dxa"/>
            <w:tcBorders>
              <w:top w:val="single" w:color="auto" w:sz="4" w:space="0"/>
              <w:left w:val="nil"/>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r>
              <w:rPr>
                <w:rFonts w:hint="eastAsia" w:ascii="宋体" w:hAnsi="宋体"/>
                <w:sz w:val="24"/>
              </w:rPr>
              <w:t>对应第</w:t>
            </w:r>
            <w:r>
              <w:rPr>
                <w:rFonts w:hint="eastAsia" w:ascii="宋体" w:hAnsi="宋体"/>
                <w:sz w:val="24"/>
                <w:lang w:eastAsia="zh-CN"/>
              </w:rPr>
              <w:t>四</w:t>
            </w:r>
            <w:r>
              <w:rPr>
                <w:rFonts w:hint="eastAsia" w:ascii="宋体" w:hAnsi="宋体"/>
                <w:sz w:val="24"/>
              </w:rPr>
              <w:t>章评分办法及评分标准（报价除外）</w:t>
            </w: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r>
              <w:rPr>
                <w:rFonts w:hint="eastAsia" w:ascii="宋体" w:hAnsi="宋体"/>
                <w:sz w:val="24"/>
              </w:rPr>
              <w:t>……</w:t>
            </w: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bl>
    <w:p>
      <w:pPr>
        <w:snapToGrid w:val="0"/>
        <w:spacing w:beforeLines="50" w:after="50" w:line="360" w:lineRule="auto"/>
        <w:rPr>
          <w:rFonts w:ascii="宋体" w:hAnsi="宋体"/>
          <w:sz w:val="24"/>
        </w:rPr>
      </w:pPr>
    </w:p>
    <w:p>
      <w:pPr>
        <w:snapToGrid w:val="0"/>
        <w:spacing w:beforeLines="50" w:after="50" w:line="360" w:lineRule="auto"/>
        <w:rPr>
          <w:rFonts w:ascii="宋体" w:hAnsi="宋体"/>
          <w:sz w:val="24"/>
        </w:rPr>
      </w:pPr>
    </w:p>
    <w:p>
      <w:pPr>
        <w:spacing w:beforeLines="5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Lines="5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z w:val="24"/>
        </w:rPr>
      </w:pPr>
      <w:r>
        <w:rPr>
          <w:rFonts w:hint="eastAsia" w:ascii="宋体" w:hAnsi="宋体"/>
          <w:sz w:val="24"/>
        </w:rPr>
        <w:t xml:space="preserve"> </w:t>
      </w:r>
    </w:p>
    <w:p>
      <w:pPr>
        <w:snapToGrid w:val="0"/>
        <w:spacing w:before="50" w:afterLines="50"/>
        <w:jc w:val="left"/>
        <w:rPr>
          <w:rFonts w:hint="eastAsia" w:ascii="宋体" w:hAnsi="宋体"/>
          <w:sz w:val="24"/>
        </w:rPr>
      </w:pPr>
      <w:r>
        <w:rPr>
          <w:rFonts w:hint="eastAsia" w:ascii="宋体" w:hAnsi="宋体"/>
          <w:sz w:val="24"/>
        </w:rPr>
        <w:br w:type="page"/>
      </w:r>
    </w:p>
    <w:p>
      <w:pPr>
        <w:snapToGrid w:val="0"/>
        <w:spacing w:before="50" w:afterLines="50"/>
        <w:jc w:val="left"/>
        <w:rPr>
          <w:rFonts w:hint="eastAsia" w:ascii="宋体" w:hAnsi="宋体"/>
          <w:sz w:val="24"/>
        </w:rPr>
      </w:pPr>
    </w:p>
    <w:p>
      <w:pPr>
        <w:spacing w:beforeLines="50" w:afterLines="50" w:line="480" w:lineRule="exact"/>
        <w:ind w:left="105" w:leftChars="50" w:right="105" w:rightChars="50"/>
        <w:rPr>
          <w:rFonts w:ascii="宋体" w:hAnsi="宋体"/>
          <w:b/>
          <w:color w:val="000000"/>
          <w:spacing w:val="20"/>
          <w:position w:val="2"/>
          <w:sz w:val="24"/>
        </w:rPr>
      </w:pPr>
      <w:r>
        <w:rPr>
          <w:rFonts w:hint="eastAsia" w:ascii="宋体" w:hAnsi="宋体"/>
          <w:b/>
          <w:color w:val="000000"/>
          <w:spacing w:val="20"/>
          <w:position w:val="2"/>
          <w:sz w:val="24"/>
        </w:rPr>
        <w:t>（</w:t>
      </w:r>
      <w:r>
        <w:rPr>
          <w:rFonts w:hint="eastAsia" w:ascii="宋体" w:hAnsi="宋体"/>
          <w:b/>
          <w:color w:val="000000"/>
          <w:spacing w:val="20"/>
          <w:position w:val="2"/>
          <w:sz w:val="24"/>
          <w:lang w:val="en-US" w:eastAsia="zh-CN"/>
        </w:rPr>
        <w:t>2</w:t>
      </w:r>
      <w:r>
        <w:rPr>
          <w:rFonts w:hint="eastAsia" w:ascii="宋体" w:hAnsi="宋体"/>
          <w:b/>
          <w:color w:val="000000"/>
          <w:spacing w:val="20"/>
          <w:position w:val="2"/>
          <w:sz w:val="24"/>
        </w:rPr>
        <w:t>）</w:t>
      </w:r>
      <w:r>
        <w:rPr>
          <w:rFonts w:hint="eastAsia" w:ascii="宋体" w:hAnsi="宋体"/>
          <w:b/>
          <w:color w:val="000000"/>
          <w:spacing w:val="20"/>
          <w:position w:val="2"/>
          <w:sz w:val="24"/>
          <w:lang w:eastAsia="zh-CN"/>
        </w:rPr>
        <w:t>供应商服务承诺</w:t>
      </w:r>
    </w:p>
    <w:tbl>
      <w:tblPr>
        <w:tblStyle w:val="46"/>
        <w:tblW w:w="982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807"/>
        <w:gridCol w:w="3023"/>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75" w:type="dxa"/>
          </w:tcPr>
          <w:p>
            <w:pPr>
              <w:spacing w:beforeLines="50" w:afterLines="50" w:line="480" w:lineRule="exact"/>
              <w:ind w:right="105" w:rightChars="50"/>
              <w:jc w:val="center"/>
              <w:rPr>
                <w:rFonts w:hint="eastAsia" w:ascii="宋体" w:hAnsi="宋体" w:eastAsia="宋体"/>
                <w:b/>
                <w:color w:val="000000"/>
                <w:spacing w:val="20"/>
                <w:position w:val="2"/>
                <w:sz w:val="24"/>
                <w:lang w:eastAsia="zh-CN"/>
              </w:rPr>
            </w:pPr>
            <w:r>
              <w:rPr>
                <w:rFonts w:hint="eastAsia" w:ascii="宋体" w:hAnsi="宋体"/>
                <w:b/>
                <w:color w:val="000000"/>
                <w:spacing w:val="20"/>
                <w:position w:val="2"/>
                <w:sz w:val="24"/>
                <w:lang w:eastAsia="zh-CN"/>
              </w:rPr>
              <w:t>序号</w:t>
            </w:r>
          </w:p>
        </w:tc>
        <w:tc>
          <w:tcPr>
            <w:tcW w:w="2807" w:type="dxa"/>
          </w:tcPr>
          <w:p>
            <w:pPr>
              <w:spacing w:beforeLines="50" w:afterLines="50" w:line="480" w:lineRule="exact"/>
              <w:ind w:right="105" w:rightChars="50"/>
              <w:jc w:val="center"/>
              <w:rPr>
                <w:rFonts w:hint="eastAsia" w:ascii="宋体" w:hAnsi="宋体" w:eastAsia="宋体"/>
                <w:b/>
                <w:color w:val="000000"/>
                <w:spacing w:val="20"/>
                <w:position w:val="2"/>
                <w:sz w:val="24"/>
                <w:lang w:eastAsia="zh-CN"/>
              </w:rPr>
            </w:pPr>
            <w:r>
              <w:rPr>
                <w:rFonts w:hint="eastAsia" w:ascii="宋体" w:hAnsi="宋体"/>
                <w:b/>
                <w:color w:val="000000"/>
                <w:spacing w:val="20"/>
                <w:position w:val="2"/>
                <w:sz w:val="24"/>
                <w:lang w:val="en-US" w:eastAsia="zh-CN"/>
              </w:rPr>
              <w:t xml:space="preserve">招标文件承诺内容 </w:t>
            </w:r>
          </w:p>
        </w:tc>
        <w:tc>
          <w:tcPr>
            <w:tcW w:w="3023" w:type="dxa"/>
          </w:tcPr>
          <w:p>
            <w:pPr>
              <w:spacing w:beforeLines="50" w:afterLines="50" w:line="480" w:lineRule="exact"/>
              <w:ind w:right="105" w:rightChars="50"/>
              <w:jc w:val="center"/>
              <w:rPr>
                <w:rFonts w:hint="eastAsia" w:ascii="宋体" w:hAnsi="宋体" w:eastAsia="宋体"/>
                <w:b/>
                <w:color w:val="000000"/>
                <w:spacing w:val="20"/>
                <w:position w:val="2"/>
                <w:sz w:val="24"/>
                <w:lang w:val="en-US" w:eastAsia="zh-CN"/>
              </w:rPr>
            </w:pPr>
            <w:r>
              <w:rPr>
                <w:rFonts w:hint="eastAsia" w:ascii="宋体" w:hAnsi="宋体"/>
                <w:b/>
                <w:color w:val="000000"/>
                <w:spacing w:val="20"/>
                <w:position w:val="2"/>
                <w:sz w:val="24"/>
                <w:lang w:val="en-US" w:eastAsia="zh-CN"/>
              </w:rPr>
              <w:t xml:space="preserve">投标文件承诺内容 </w:t>
            </w:r>
          </w:p>
        </w:tc>
        <w:tc>
          <w:tcPr>
            <w:tcW w:w="3020" w:type="dxa"/>
          </w:tcPr>
          <w:p>
            <w:pPr>
              <w:spacing w:beforeLines="50" w:afterLines="50" w:line="480" w:lineRule="exact"/>
              <w:ind w:right="105" w:rightChars="50"/>
              <w:jc w:val="center"/>
              <w:rPr>
                <w:rFonts w:hint="eastAsia" w:ascii="宋体" w:hAnsi="宋体" w:eastAsia="宋体"/>
                <w:b/>
                <w:color w:val="000000"/>
                <w:spacing w:val="20"/>
                <w:position w:val="2"/>
                <w:sz w:val="24"/>
                <w:lang w:val="en-US" w:eastAsia="zh-CN"/>
              </w:rPr>
            </w:pPr>
            <w:r>
              <w:rPr>
                <w:rFonts w:hint="eastAsia" w:ascii="宋体" w:hAnsi="宋体"/>
                <w:b/>
                <w:color w:val="000000"/>
                <w:spacing w:val="20"/>
                <w:position w:val="2"/>
                <w:sz w:val="24"/>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975" w:type="dxa"/>
          </w:tcPr>
          <w:p>
            <w:pPr>
              <w:spacing w:beforeLines="50" w:afterLines="50" w:line="480" w:lineRule="exact"/>
              <w:ind w:right="105" w:rightChars="50"/>
              <w:rPr>
                <w:rFonts w:ascii="宋体" w:hAnsi="宋体"/>
                <w:b/>
                <w:color w:val="000000"/>
                <w:spacing w:val="20"/>
                <w:position w:val="2"/>
                <w:sz w:val="24"/>
              </w:rPr>
            </w:pPr>
          </w:p>
        </w:tc>
        <w:tc>
          <w:tcPr>
            <w:tcW w:w="2807" w:type="dxa"/>
          </w:tcPr>
          <w:p>
            <w:pPr>
              <w:spacing w:beforeLines="50" w:afterLines="50" w:line="480" w:lineRule="exact"/>
              <w:ind w:right="105" w:rightChars="50"/>
              <w:rPr>
                <w:rFonts w:ascii="宋体" w:hAnsi="宋体"/>
                <w:b/>
                <w:color w:val="000000"/>
                <w:spacing w:val="20"/>
                <w:position w:val="2"/>
                <w:sz w:val="24"/>
              </w:rPr>
            </w:pPr>
          </w:p>
        </w:tc>
        <w:tc>
          <w:tcPr>
            <w:tcW w:w="3023" w:type="dxa"/>
          </w:tcPr>
          <w:p>
            <w:pPr>
              <w:spacing w:beforeLines="50" w:afterLines="50" w:line="480" w:lineRule="exact"/>
              <w:ind w:right="105" w:rightChars="50"/>
              <w:rPr>
                <w:rFonts w:ascii="宋体" w:hAnsi="宋体"/>
                <w:b/>
                <w:color w:val="000000"/>
                <w:spacing w:val="20"/>
                <w:position w:val="2"/>
                <w:sz w:val="24"/>
              </w:rPr>
            </w:pPr>
          </w:p>
        </w:tc>
        <w:tc>
          <w:tcPr>
            <w:tcW w:w="3020" w:type="dxa"/>
          </w:tcPr>
          <w:p>
            <w:pPr>
              <w:spacing w:beforeLines="50" w:afterLines="50" w:line="480" w:lineRule="exact"/>
              <w:ind w:right="105" w:rightChars="50"/>
              <w:rPr>
                <w:rFonts w:ascii="宋体" w:hAnsi="宋体"/>
                <w:b/>
                <w:color w:val="000000"/>
                <w:spacing w:val="20"/>
                <w:position w:val="2"/>
                <w:sz w:val="24"/>
              </w:rPr>
            </w:pPr>
          </w:p>
        </w:tc>
      </w:tr>
    </w:tbl>
    <w:p>
      <w:pPr>
        <w:spacing w:beforeLines="50" w:afterLines="50" w:line="480" w:lineRule="exact"/>
        <w:ind w:right="105" w:rightChars="50" w:firstLine="2891" w:firstLineChars="1029"/>
        <w:rPr>
          <w:rFonts w:ascii="宋体" w:hAnsi="宋体"/>
          <w:b/>
          <w:color w:val="000000"/>
          <w:spacing w:val="20"/>
          <w:position w:val="2"/>
          <w:sz w:val="24"/>
        </w:rPr>
      </w:pPr>
    </w:p>
    <w:p>
      <w:pPr>
        <w:spacing w:beforeLines="5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Lines="5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pacing w:val="20"/>
          <w:sz w:val="24"/>
        </w:rPr>
      </w:pPr>
      <w:r>
        <w:rPr>
          <w:rFonts w:ascii="宋体" w:hAnsi="宋体"/>
          <w:b/>
          <w:color w:val="000000"/>
          <w:spacing w:val="20"/>
          <w:position w:val="2"/>
          <w:sz w:val="24"/>
        </w:rPr>
        <w:br w:type="page"/>
      </w:r>
    </w:p>
    <w:p>
      <w:pPr>
        <w:spacing w:line="580" w:lineRule="exact"/>
        <w:rPr>
          <w:rFonts w:ascii="宋体" w:hAnsi="宋体"/>
          <w:b/>
          <w:bCs/>
          <w:spacing w:val="20"/>
          <w:sz w:val="24"/>
        </w:rPr>
      </w:pPr>
      <w:r>
        <w:rPr>
          <w:rFonts w:hint="eastAsia" w:ascii="宋体" w:hAnsi="宋体"/>
          <w:b/>
          <w:bCs/>
          <w:spacing w:val="20"/>
          <w:sz w:val="24"/>
        </w:rPr>
        <w:t>（</w:t>
      </w:r>
      <w:r>
        <w:rPr>
          <w:rFonts w:hint="eastAsia" w:ascii="宋体" w:hAnsi="宋体"/>
          <w:b/>
          <w:bCs/>
          <w:spacing w:val="20"/>
          <w:sz w:val="24"/>
          <w:lang w:val="en-US" w:eastAsia="zh-CN"/>
        </w:rPr>
        <w:t>3</w:t>
      </w:r>
      <w:r>
        <w:rPr>
          <w:rFonts w:hint="eastAsia" w:ascii="宋体" w:hAnsi="宋体"/>
          <w:b/>
          <w:bCs/>
          <w:spacing w:val="20"/>
          <w:sz w:val="24"/>
        </w:rPr>
        <w:t>）项目组人员清单</w:t>
      </w:r>
    </w:p>
    <w:p>
      <w:pPr>
        <w:spacing w:line="580" w:lineRule="exact"/>
        <w:rPr>
          <w:rFonts w:ascii="宋体" w:hAnsi="宋体"/>
          <w:b/>
          <w:bCs/>
          <w:spacing w:val="20"/>
          <w:sz w:val="24"/>
        </w:rPr>
      </w:pPr>
      <w:r>
        <w:rPr>
          <w:rFonts w:hint="eastAsia" w:ascii="宋体" w:hAnsi="宋体"/>
          <w:b/>
          <w:bCs/>
          <w:spacing w:val="20"/>
          <w:sz w:val="24"/>
        </w:rPr>
        <w:t xml:space="preserve"> </w:t>
      </w:r>
    </w:p>
    <w:p>
      <w:pPr>
        <w:spacing w:line="580" w:lineRule="exact"/>
        <w:rPr>
          <w:rFonts w:ascii="宋体" w:hAnsi="宋体"/>
          <w:spacing w:val="20"/>
          <w:sz w:val="24"/>
          <w:u w:val="single"/>
        </w:rPr>
      </w:pPr>
      <w:r>
        <w:rPr>
          <w:rFonts w:hint="eastAsia" w:ascii="宋体" w:hAnsi="宋体"/>
          <w:spacing w:val="20"/>
          <w:sz w:val="24"/>
        </w:rPr>
        <w:t>投标人全称（公章）：</w:t>
      </w:r>
      <w:r>
        <w:rPr>
          <w:rFonts w:hint="eastAsia" w:ascii="宋体" w:hAnsi="宋体"/>
          <w:spacing w:val="20"/>
          <w:sz w:val="24"/>
          <w:u w:val="single"/>
        </w:rPr>
        <w:t xml:space="preserve">          </w:t>
      </w:r>
      <w:r>
        <w:rPr>
          <w:rFonts w:hint="eastAsia" w:ascii="宋体" w:hAnsi="宋体"/>
          <w:spacing w:val="20"/>
          <w:sz w:val="24"/>
        </w:rPr>
        <w:t xml:space="preserve">              标项：</w:t>
      </w:r>
      <w:r>
        <w:rPr>
          <w:rFonts w:hint="eastAsia" w:ascii="宋体" w:hAnsi="宋体"/>
          <w:spacing w:val="20"/>
          <w:sz w:val="24"/>
          <w:u w:val="single"/>
        </w:rPr>
        <w:t xml:space="preserve">       </w:t>
      </w:r>
    </w:p>
    <w:tbl>
      <w:tblPr>
        <w:tblStyle w:val="46"/>
        <w:tblW w:w="9749"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41"/>
        <w:gridCol w:w="2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姓名</w:t>
            </w:r>
          </w:p>
        </w:tc>
        <w:tc>
          <w:tcPr>
            <w:tcW w:w="1004"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职务</w:t>
            </w:r>
          </w:p>
        </w:tc>
        <w:tc>
          <w:tcPr>
            <w:tcW w:w="1663"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专业技</w:t>
            </w:r>
          </w:p>
          <w:p>
            <w:pPr>
              <w:spacing w:line="580" w:lineRule="exact"/>
              <w:rPr>
                <w:rFonts w:ascii="宋体" w:hAnsi="宋体"/>
                <w:spacing w:val="20"/>
                <w:sz w:val="24"/>
              </w:rPr>
            </w:pPr>
            <w:r>
              <w:rPr>
                <w:rFonts w:hint="eastAsia" w:ascii="宋体" w:hAnsi="宋体"/>
                <w:spacing w:val="20"/>
                <w:sz w:val="24"/>
              </w:rPr>
              <w:t>术资格</w:t>
            </w:r>
          </w:p>
        </w:tc>
        <w:tc>
          <w:tcPr>
            <w:tcW w:w="1260"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证书</w:t>
            </w:r>
          </w:p>
          <w:p>
            <w:pPr>
              <w:spacing w:line="580" w:lineRule="exact"/>
              <w:rPr>
                <w:rFonts w:ascii="宋体" w:hAnsi="宋体"/>
                <w:spacing w:val="20"/>
                <w:sz w:val="24"/>
              </w:rPr>
            </w:pPr>
            <w:r>
              <w:rPr>
                <w:rFonts w:hint="eastAsia" w:ascii="宋体" w:hAnsi="宋体"/>
                <w:spacing w:val="20"/>
                <w:sz w:val="24"/>
              </w:rPr>
              <w:t>编号</w:t>
            </w:r>
          </w:p>
        </w:tc>
        <w:tc>
          <w:tcPr>
            <w:tcW w:w="1841"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参加本单位工作时间</w:t>
            </w:r>
          </w:p>
        </w:tc>
        <w:tc>
          <w:tcPr>
            <w:tcW w:w="2977"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劳动合</w:t>
            </w:r>
          </w:p>
          <w:p>
            <w:pPr>
              <w:spacing w:line="580" w:lineRule="exact"/>
              <w:rPr>
                <w:rFonts w:ascii="宋体" w:hAnsi="宋体"/>
                <w:spacing w:val="20"/>
                <w:sz w:val="24"/>
              </w:rPr>
            </w:pPr>
            <w:r>
              <w:rPr>
                <w:rFonts w:hint="eastAsia" w:ascii="宋体" w:hAnsi="宋体"/>
                <w:spacing w:val="20"/>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bl>
    <w:p>
      <w:pPr>
        <w:spacing w:line="580" w:lineRule="exact"/>
        <w:rPr>
          <w:rFonts w:ascii="宋体" w:hAnsi="宋体"/>
          <w:spacing w:val="20"/>
          <w:sz w:val="24"/>
        </w:rPr>
      </w:pPr>
      <w:r>
        <w:rPr>
          <w:rFonts w:hint="eastAsia" w:ascii="宋体" w:hAnsi="宋体"/>
          <w:spacing w:val="20"/>
          <w:sz w:val="24"/>
        </w:rPr>
        <w:t xml:space="preserve">注：在填写时，如本表格不适合投标单位的实际情况，可根据本表格式自行划表填写。 </w:t>
      </w:r>
    </w:p>
    <w:p>
      <w:pPr>
        <w:spacing w:line="580" w:lineRule="exact"/>
        <w:rPr>
          <w:rFonts w:ascii="宋体" w:hAnsi="宋体"/>
          <w:spacing w:val="20"/>
          <w:sz w:val="24"/>
        </w:rPr>
      </w:pPr>
      <w:r>
        <w:rPr>
          <w:rFonts w:hint="eastAsia" w:ascii="宋体" w:hAnsi="宋体"/>
          <w:spacing w:val="20"/>
          <w:sz w:val="24"/>
        </w:rPr>
        <w:t xml:space="preserve"> </w:t>
      </w:r>
    </w:p>
    <w:p>
      <w:pPr>
        <w:spacing w:beforeLines="5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Lines="5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r>
        <w:rPr>
          <w:rFonts w:hint="eastAsia" w:ascii="宋体" w:hAnsi="宋体"/>
          <w:b/>
          <w:color w:val="000000"/>
          <w:spacing w:val="20"/>
          <w:position w:val="2"/>
          <w:sz w:val="24"/>
        </w:rPr>
        <w:t>（</w:t>
      </w:r>
      <w:r>
        <w:rPr>
          <w:rFonts w:hint="eastAsia" w:ascii="宋体" w:hAnsi="宋体"/>
          <w:b/>
          <w:color w:val="000000"/>
          <w:spacing w:val="20"/>
          <w:position w:val="2"/>
          <w:sz w:val="24"/>
          <w:lang w:val="en-US" w:eastAsia="zh-CN"/>
        </w:rPr>
        <w:t>4</w:t>
      </w:r>
      <w:r>
        <w:rPr>
          <w:rFonts w:hint="eastAsia" w:ascii="宋体" w:hAnsi="宋体"/>
          <w:b/>
          <w:color w:val="000000"/>
          <w:spacing w:val="20"/>
          <w:position w:val="2"/>
          <w:sz w:val="24"/>
        </w:rPr>
        <w:t>）商务响应表</w:t>
      </w:r>
    </w:p>
    <w:p>
      <w:pPr>
        <w:snapToGrid w:val="0"/>
        <w:spacing w:before="50"/>
        <w:jc w:val="left"/>
        <w:rPr>
          <w:rFonts w:ascii="宋体" w:hAnsi="宋体"/>
          <w:sz w:val="24"/>
        </w:rPr>
      </w:pPr>
    </w:p>
    <w:p>
      <w:pPr>
        <w:snapToGrid w:val="0"/>
        <w:spacing w:before="50" w:after="50"/>
        <w:jc w:val="center"/>
        <w:rPr>
          <w:rFonts w:ascii="宋体" w:hAnsi="宋体"/>
          <w:b/>
          <w:bCs/>
          <w:sz w:val="24"/>
        </w:rPr>
      </w:pPr>
      <w:r>
        <w:rPr>
          <w:rFonts w:hint="eastAsia" w:ascii="宋体" w:hAnsi="宋体"/>
          <w:b/>
          <w:bCs/>
          <w:sz w:val="24"/>
        </w:rPr>
        <w:t>商务响应表</w:t>
      </w:r>
    </w:p>
    <w:p>
      <w:pPr>
        <w:snapToGrid w:val="0"/>
        <w:spacing w:before="50"/>
        <w:jc w:val="center"/>
        <w:rPr>
          <w:rFonts w:ascii="宋体" w:hAnsi="宋体"/>
          <w:b/>
          <w:bCs/>
          <w:sz w:val="24"/>
        </w:rPr>
      </w:pPr>
      <w:r>
        <w:rPr>
          <w:rFonts w:hint="eastAsia" w:ascii="宋体" w:hAnsi="宋体"/>
          <w:b/>
          <w:bCs/>
          <w:sz w:val="24"/>
        </w:rPr>
        <w:t xml:space="preserve"> </w:t>
      </w:r>
    </w:p>
    <w:p>
      <w:pPr>
        <w:pStyle w:val="14"/>
        <w:snapToGrid w:val="0"/>
        <w:rPr>
          <w:rFonts w:ascii="宋体" w:hAnsi="宋体" w:eastAsia="宋体"/>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标项：</w:t>
      </w:r>
      <w:r>
        <w:rPr>
          <w:rFonts w:hint="eastAsia" w:ascii="宋体" w:hAnsi="宋体" w:eastAsia="宋体"/>
          <w:sz w:val="24"/>
          <w:szCs w:val="24"/>
          <w:u w:val="single"/>
        </w:rPr>
        <w:t xml:space="preserve">       </w:t>
      </w:r>
    </w:p>
    <w:tbl>
      <w:tblPr>
        <w:tblStyle w:val="46"/>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578"/>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s="宋体"/>
                <w:sz w:val="24"/>
              </w:rPr>
            </w:pPr>
            <w:r>
              <w:rPr>
                <w:rFonts w:hint="eastAsia" w:ascii="宋体" w:hAnsi="宋体"/>
                <w:sz w:val="24"/>
              </w:rPr>
              <w:t>项目</w:t>
            </w:r>
          </w:p>
        </w:tc>
        <w:tc>
          <w:tcPr>
            <w:tcW w:w="2700"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cs="宋体"/>
                <w:sz w:val="24"/>
              </w:rPr>
            </w:pPr>
            <w:r>
              <w:rPr>
                <w:rFonts w:hint="eastAsia" w:ascii="宋体" w:hAnsi="宋体"/>
                <w:sz w:val="24"/>
              </w:rPr>
              <w:t>招标文件要求</w:t>
            </w:r>
          </w:p>
        </w:tc>
        <w:tc>
          <w:tcPr>
            <w:tcW w:w="157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cs="宋体"/>
                <w:sz w:val="24"/>
              </w:rPr>
            </w:pPr>
            <w:r>
              <w:rPr>
                <w:rFonts w:hint="eastAsia" w:ascii="宋体" w:hAnsi="宋体"/>
                <w:sz w:val="24"/>
              </w:rPr>
              <w:t>是否</w:t>
            </w:r>
          </w:p>
          <w:p>
            <w:pPr>
              <w:snapToGrid w:val="0"/>
              <w:spacing w:beforeLines="50"/>
              <w:jc w:val="center"/>
              <w:rPr>
                <w:rFonts w:ascii="宋体" w:hAnsi="宋体" w:cs="宋体"/>
                <w:sz w:val="24"/>
              </w:rPr>
            </w:pPr>
            <w:r>
              <w:rPr>
                <w:rFonts w:hint="eastAsia" w:ascii="宋体" w:hAnsi="宋体"/>
                <w:sz w:val="24"/>
              </w:rPr>
              <w:t>响应</w:t>
            </w:r>
          </w:p>
        </w:tc>
        <w:tc>
          <w:tcPr>
            <w:tcW w:w="3685"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cs="宋体"/>
                <w:sz w:val="24"/>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供货时间（项目工期）及地点</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付款条件</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响应情况</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本地化服务要求</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技术培训</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公司技术力量情况</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经验或业绩要求</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cs="宋体"/>
                <w:color w:val="000000"/>
                <w:sz w:val="24"/>
              </w:rPr>
            </w:pPr>
            <w:r>
              <w:rPr>
                <w:rFonts w:hint="eastAsia" w:ascii="宋体" w:hAnsi="宋体"/>
                <w:sz w:val="24"/>
              </w:rPr>
              <w:t>……</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2700"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Lines="50"/>
              <w:rPr>
                <w:rFonts w:ascii="宋体" w:hAnsi="宋体" w:cs="宋体"/>
                <w:sz w:val="24"/>
              </w:rPr>
            </w:pPr>
          </w:p>
        </w:tc>
      </w:tr>
    </w:tbl>
    <w:p>
      <w:pPr>
        <w:spacing w:beforeLines="5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Lines="5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napToGrid w:val="0"/>
        <w:spacing w:before="50" w:afterLines="50"/>
        <w:jc w:val="left"/>
        <w:rPr>
          <w:rFonts w:ascii="宋体" w:hAnsi="宋体"/>
          <w:sz w:val="24"/>
        </w:rPr>
      </w:pPr>
      <w:r>
        <w:rPr>
          <w:rFonts w:hint="eastAsia" w:ascii="宋体" w:hAnsi="宋体"/>
          <w:sz w:val="24"/>
        </w:rPr>
        <w:t xml:space="preserve"> </w:t>
      </w:r>
    </w:p>
    <w:p>
      <w:pPr>
        <w:snapToGrid w:val="0"/>
        <w:spacing w:before="50" w:afterLines="50"/>
        <w:jc w:val="left"/>
        <w:rPr>
          <w:rFonts w:ascii="宋体" w:hAnsi="宋体"/>
          <w:sz w:val="24"/>
        </w:rPr>
      </w:pPr>
      <w:r>
        <w:rPr>
          <w:rFonts w:hint="eastAsia" w:ascii="宋体" w:hAnsi="宋体"/>
          <w:sz w:val="24"/>
        </w:rPr>
        <w:t xml:space="preserve"> </w:t>
      </w:r>
    </w:p>
    <w:p>
      <w:pPr>
        <w:snapToGrid w:val="0"/>
        <w:spacing w:before="50" w:afterLines="50"/>
        <w:jc w:val="left"/>
        <w:rPr>
          <w:rFonts w:ascii="宋体" w:hAnsi="宋体"/>
          <w:sz w:val="24"/>
        </w:rPr>
        <w:sectPr>
          <w:pgSz w:w="11906" w:h="16838"/>
          <w:pgMar w:top="1134" w:right="1134" w:bottom="1134" w:left="1134" w:header="720" w:footer="720" w:gutter="0"/>
          <w:cols w:space="0" w:num="1"/>
          <w:rtlGutter w:val="0"/>
          <w:docGrid w:linePitch="286" w:charSpace="0"/>
        </w:sectPr>
      </w:pPr>
    </w:p>
    <w:p>
      <w:pPr>
        <w:snapToGrid w:val="0"/>
        <w:spacing w:before="50" w:afterLines="50"/>
        <w:jc w:val="left"/>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p>
    <w:p>
      <w:pPr>
        <w:snapToGrid w:val="0"/>
        <w:spacing w:before="50" w:after="50"/>
        <w:jc w:val="center"/>
        <w:rPr>
          <w:rFonts w:ascii="宋体" w:hAnsi="宋体"/>
          <w:b/>
          <w:bCs/>
          <w:sz w:val="24"/>
        </w:rPr>
      </w:pPr>
      <w:r>
        <w:rPr>
          <w:rFonts w:hint="eastAsia" w:ascii="宋体" w:hAnsi="宋体"/>
          <w:b/>
          <w:bCs/>
          <w:sz w:val="24"/>
        </w:rPr>
        <w:t>投标人业绩情况一览表</w:t>
      </w:r>
    </w:p>
    <w:p>
      <w:pPr>
        <w:pStyle w:val="14"/>
        <w:snapToGrid w:val="0"/>
        <w:rPr>
          <w:rFonts w:ascii="宋体" w:hAnsi="宋体" w:eastAsia="宋体"/>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p>
    <w:tbl>
      <w:tblPr>
        <w:tblStyle w:val="46"/>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1559"/>
        <w:gridCol w:w="992"/>
        <w:gridCol w:w="709"/>
        <w:gridCol w:w="1134"/>
        <w:gridCol w:w="850"/>
        <w:gridCol w:w="993"/>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6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采购单位名称</w:t>
            </w:r>
          </w:p>
        </w:tc>
        <w:tc>
          <w:tcPr>
            <w:tcW w:w="1559"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设备或项目名称</w:t>
            </w:r>
          </w:p>
        </w:tc>
        <w:tc>
          <w:tcPr>
            <w:tcW w:w="992"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w:t>
            </w:r>
          </w:p>
          <w:p>
            <w:pPr>
              <w:snapToGrid w:val="0"/>
              <w:jc w:val="center"/>
              <w:rPr>
                <w:rFonts w:ascii="宋体" w:hAnsi="宋体" w:cs="宋体"/>
                <w:sz w:val="24"/>
              </w:rPr>
            </w:pPr>
            <w:r>
              <w:rPr>
                <w:rFonts w:hint="eastAsia" w:ascii="宋体" w:hAnsi="宋体"/>
                <w:sz w:val="24"/>
              </w:rPr>
              <w:t>数量</w:t>
            </w:r>
          </w:p>
        </w:tc>
        <w:tc>
          <w:tcPr>
            <w:tcW w:w="709"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单价</w:t>
            </w:r>
          </w:p>
        </w:tc>
        <w:tc>
          <w:tcPr>
            <w:tcW w:w="1134"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cs="宋体"/>
                <w:sz w:val="24"/>
              </w:rPr>
            </w:pPr>
            <w:r>
              <w:rPr>
                <w:rFonts w:hint="eastAsia" w:ascii="宋体" w:hAnsi="宋体"/>
                <w:sz w:val="24"/>
              </w:rPr>
              <w:t>（万元）</w:t>
            </w:r>
          </w:p>
        </w:tc>
        <w:tc>
          <w:tcPr>
            <w:tcW w:w="184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附件页码</w:t>
            </w:r>
          </w:p>
        </w:tc>
        <w:tc>
          <w:tcPr>
            <w:tcW w:w="1842"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采购单位联系人及</w:t>
            </w:r>
          </w:p>
          <w:p>
            <w:pPr>
              <w:snapToGrid w:val="0"/>
              <w:jc w:val="center"/>
              <w:rPr>
                <w:rFonts w:ascii="宋体" w:hAnsi="宋体" w:cs="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113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合</w:t>
            </w:r>
          </w:p>
          <w:p>
            <w:pPr>
              <w:snapToGrid w:val="0"/>
              <w:jc w:val="center"/>
              <w:rPr>
                <w:rFonts w:ascii="宋体" w:hAnsi="宋体" w:cs="宋体"/>
                <w:sz w:val="24"/>
              </w:rPr>
            </w:pPr>
            <w:r>
              <w:rPr>
                <w:rFonts w:hint="eastAsia" w:ascii="宋体" w:hAnsi="宋体"/>
                <w:sz w:val="24"/>
              </w:rPr>
              <w:t>同</w:t>
            </w:r>
          </w:p>
        </w:tc>
        <w:tc>
          <w:tcPr>
            <w:tcW w:w="99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验收</w:t>
            </w:r>
          </w:p>
          <w:p>
            <w:pPr>
              <w:snapToGrid w:val="0"/>
              <w:jc w:val="center"/>
              <w:rPr>
                <w:rFonts w:ascii="宋体" w:hAnsi="宋体" w:cs="宋体"/>
                <w:sz w:val="24"/>
              </w:rPr>
            </w:pPr>
            <w:r>
              <w:rPr>
                <w:rFonts w:hint="eastAsia" w:ascii="宋体" w:hAnsi="宋体"/>
                <w:sz w:val="24"/>
              </w:rPr>
              <w:t>报告</w:t>
            </w:r>
          </w:p>
        </w:tc>
        <w:tc>
          <w:tcPr>
            <w:tcW w:w="184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宋体" w:hAnsi="宋体" w:cs="宋体"/>
                <w:sz w:val="24"/>
              </w:rPr>
            </w:pPr>
            <w:r>
              <w:rPr>
                <w:rFonts w:hint="eastAsia" w:ascii="宋体" w:hAnsi="宋体"/>
                <w:sz w:val="24"/>
              </w:rPr>
              <w:t>备注</w:t>
            </w:r>
          </w:p>
        </w:tc>
        <w:tc>
          <w:tcPr>
            <w:tcW w:w="8079" w:type="dxa"/>
            <w:gridSpan w:val="7"/>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宋体" w:hAnsi="宋体" w:cs="宋体"/>
                <w:sz w:val="24"/>
              </w:rPr>
            </w:pPr>
            <w:r>
              <w:rPr>
                <w:rFonts w:hint="eastAsia" w:ascii="宋体" w:hAnsi="宋体"/>
                <w:sz w:val="24"/>
              </w:rPr>
              <w:t>提供投标人同类项目合同复印件、用户验收报告（如有）。</w:t>
            </w:r>
          </w:p>
        </w:tc>
      </w:tr>
    </w:tbl>
    <w:p>
      <w:pPr>
        <w:spacing w:beforeLines="5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Lines="5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pStyle w:val="24"/>
        <w:snapToGrid w:val="0"/>
        <w:ind w:left="0"/>
        <w:rPr>
          <w:rFonts w:ascii="宋体" w:hAnsi="宋体"/>
          <w:sz w:val="30"/>
          <w:szCs w:val="30"/>
        </w:rPr>
      </w:pPr>
    </w:p>
    <w:p>
      <w:pPr>
        <w:pStyle w:val="24"/>
        <w:snapToGrid w:val="0"/>
        <w:ind w:left="0"/>
        <w:rPr>
          <w:rFonts w:ascii="宋体" w:hAnsi="宋体"/>
          <w:b/>
          <w:bCs/>
          <w:sz w:val="30"/>
          <w:szCs w:val="30"/>
        </w:rPr>
      </w:pPr>
      <w:r>
        <w:rPr>
          <w:rFonts w:hint="eastAsia" w:ascii="宋体" w:hAnsi="宋体"/>
          <w:sz w:val="30"/>
          <w:szCs w:val="30"/>
        </w:rPr>
        <w:t>3、</w:t>
      </w:r>
      <w:r>
        <w:rPr>
          <w:rFonts w:hint="eastAsia" w:ascii="宋体" w:hAnsi="宋体"/>
          <w:b/>
          <w:bCs/>
          <w:sz w:val="30"/>
          <w:szCs w:val="30"/>
        </w:rPr>
        <w:t>报价文件目录</w:t>
      </w:r>
    </w:p>
    <w:p>
      <w:pPr>
        <w:rPr>
          <w:rFonts w:ascii="宋体" w:hAnsi="宋体"/>
          <w:sz w:val="24"/>
        </w:rPr>
      </w:pPr>
      <w:r>
        <w:rPr>
          <w:rFonts w:hint="eastAsia" w:ascii="宋体" w:hAnsi="宋体"/>
          <w:sz w:val="24"/>
        </w:rPr>
        <w:t xml:space="preserve"> </w:t>
      </w:r>
    </w:p>
    <w:p>
      <w:pPr>
        <w:snapToGrid w:val="0"/>
        <w:spacing w:line="360" w:lineRule="auto"/>
        <w:ind w:firstLine="360" w:firstLineChars="150"/>
        <w:jc w:val="left"/>
        <w:rPr>
          <w:rFonts w:ascii="宋体" w:hAnsi="宋体"/>
          <w:color w:val="000000"/>
          <w:sz w:val="24"/>
        </w:rPr>
      </w:pPr>
      <w:r>
        <w:rPr>
          <w:rFonts w:hint="eastAsia" w:ascii="宋体" w:hAnsi="宋体"/>
          <w:color w:val="000000"/>
          <w:sz w:val="24"/>
        </w:rPr>
        <w:t xml:space="preserve">（1）投标函（格式见附件）。 </w:t>
      </w:r>
    </w:p>
    <w:p>
      <w:pPr>
        <w:snapToGrid w:val="0"/>
        <w:spacing w:line="360" w:lineRule="auto"/>
        <w:ind w:firstLine="360" w:firstLineChars="150"/>
        <w:jc w:val="left"/>
        <w:rPr>
          <w:rFonts w:ascii="宋体" w:hAnsi="宋体"/>
          <w:sz w:val="24"/>
        </w:rPr>
      </w:pPr>
      <w:r>
        <w:rPr>
          <w:rFonts w:hint="eastAsia" w:ascii="宋体" w:hAnsi="宋体"/>
          <w:sz w:val="24"/>
        </w:rPr>
        <w:t>（2）开标一览表（格式见附件）。</w:t>
      </w:r>
    </w:p>
    <w:p>
      <w:pPr>
        <w:snapToGrid w:val="0"/>
        <w:spacing w:line="360" w:lineRule="auto"/>
        <w:ind w:firstLine="360" w:firstLineChars="150"/>
        <w:jc w:val="left"/>
        <w:rPr>
          <w:rFonts w:ascii="宋体" w:hAnsi="宋体"/>
          <w:sz w:val="24"/>
        </w:rPr>
      </w:pPr>
      <w:r>
        <w:rPr>
          <w:rFonts w:hint="eastAsia" w:ascii="宋体" w:hAnsi="宋体"/>
          <w:sz w:val="24"/>
        </w:rPr>
        <w:t>（3）投标报价明细表（格式见附件）。</w:t>
      </w:r>
    </w:p>
    <w:p>
      <w:pPr>
        <w:snapToGrid w:val="0"/>
        <w:spacing w:line="360" w:lineRule="auto"/>
        <w:ind w:firstLine="422" w:firstLineChars="176"/>
        <w:jc w:val="left"/>
        <w:rPr>
          <w:rFonts w:ascii="宋体" w:hAnsi="宋体"/>
          <w:sz w:val="24"/>
        </w:rPr>
      </w:pPr>
      <w:r>
        <w:rPr>
          <w:rFonts w:hint="eastAsia" w:ascii="宋体" w:hAnsi="宋体"/>
          <w:sz w:val="24"/>
        </w:rPr>
        <w:t>（4）小微企业声明函及相关资料、残疾人福利性单位相关资料（如有）</w:t>
      </w:r>
    </w:p>
    <w:p>
      <w:pPr>
        <w:snapToGrid w:val="0"/>
        <w:spacing w:line="360" w:lineRule="auto"/>
        <w:ind w:firstLine="422" w:firstLineChars="176"/>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）投标人需要说明的其他文件和说明。（格式自拟）</w:t>
      </w: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b/>
          <w:bCs/>
          <w:sz w:val="24"/>
        </w:rPr>
      </w:pPr>
      <w:r>
        <w:rPr>
          <w:rFonts w:hint="eastAsia" w:ascii="宋体" w:hAnsi="宋体"/>
          <w:sz w:val="24"/>
        </w:rPr>
        <w:t>（1）</w:t>
      </w:r>
      <w:r>
        <w:rPr>
          <w:rFonts w:hint="eastAsia" w:ascii="宋体" w:hAnsi="宋体"/>
          <w:b/>
          <w:sz w:val="24"/>
        </w:rPr>
        <w:t>投 标 函</w:t>
      </w:r>
    </w:p>
    <w:p>
      <w:pPr>
        <w:snapToGrid w:val="0"/>
        <w:spacing w:line="360" w:lineRule="auto"/>
        <w:rPr>
          <w:rFonts w:ascii="宋体" w:hAnsi="宋体"/>
          <w:sz w:val="24"/>
        </w:rPr>
      </w:pPr>
      <w:r>
        <w:rPr>
          <w:rFonts w:hint="eastAsia" w:ascii="宋体" w:hAnsi="宋体"/>
          <w:sz w:val="24"/>
        </w:rPr>
        <w:t>致：杭州桐庐正宏建设管理有限公司</w:t>
      </w:r>
    </w:p>
    <w:p>
      <w:pPr>
        <w:snapToGrid w:val="0"/>
        <w:spacing w:line="360" w:lineRule="auto"/>
        <w:ind w:firstLine="540"/>
        <w:rPr>
          <w:rFonts w:ascii="宋体" w:hAnsi="宋体"/>
          <w:sz w:val="24"/>
        </w:rPr>
      </w:pPr>
      <w:r>
        <w:rPr>
          <w:rFonts w:hint="eastAsia" w:ascii="宋体" w:hAnsi="宋体"/>
          <w:sz w:val="24"/>
        </w:rPr>
        <w:t>根据贵方招标文件的要求，正式授权下述签字人</w:t>
      </w:r>
      <w:r>
        <w:rPr>
          <w:rFonts w:hint="eastAsia" w:ascii="宋体" w:hAnsi="宋体"/>
          <w:sz w:val="24"/>
          <w:u w:val="single"/>
        </w:rPr>
        <w:t xml:space="preserve"> (姓名) </w:t>
      </w:r>
      <w:r>
        <w:rPr>
          <w:rFonts w:hint="eastAsia" w:ascii="宋体" w:hAnsi="宋体"/>
          <w:sz w:val="24"/>
        </w:rPr>
        <w:t xml:space="preserve">代表投标人 </w:t>
      </w:r>
      <w:r>
        <w:rPr>
          <w:rFonts w:hint="eastAsia" w:ascii="宋体" w:hAnsi="宋体"/>
          <w:sz w:val="24"/>
          <w:u w:val="single"/>
        </w:rPr>
        <w:t xml:space="preserve">（投标人名称） </w:t>
      </w:r>
      <w:r>
        <w:rPr>
          <w:rFonts w:hint="eastAsia" w:ascii="宋体" w:hAnsi="宋体"/>
          <w:sz w:val="24"/>
        </w:rPr>
        <w:t>，提交下述文件。据此函，签字人兹宣布同意如下：</w:t>
      </w:r>
    </w:p>
    <w:p>
      <w:pPr>
        <w:snapToGrid w:val="0"/>
        <w:spacing w:line="360" w:lineRule="auto"/>
        <w:ind w:firstLine="540"/>
        <w:rPr>
          <w:rFonts w:ascii="宋体" w:hAnsi="宋体"/>
          <w:sz w:val="24"/>
        </w:rPr>
      </w:pPr>
      <w:r>
        <w:rPr>
          <w:rFonts w:hint="eastAsia" w:ascii="宋体" w:hAnsi="宋体"/>
          <w:sz w:val="24"/>
        </w:rPr>
        <w:t>1.我方已仔细研究了______________(项目名称) 的招标文件的全部内容，愿意以承诺以下内容：</w:t>
      </w:r>
    </w:p>
    <w:p>
      <w:pPr>
        <w:snapToGrid w:val="0"/>
        <w:spacing w:line="360" w:lineRule="auto"/>
        <w:ind w:firstLine="540"/>
        <w:rPr>
          <w:rFonts w:ascii="宋体" w:hAnsi="宋体"/>
          <w:sz w:val="24"/>
        </w:rPr>
      </w:pP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元）的投标总报价，交货期为</w:t>
      </w:r>
      <w:r>
        <w:rPr>
          <w:rFonts w:hint="eastAsia" w:ascii="宋体" w:hAnsi="宋体"/>
          <w:sz w:val="24"/>
          <w:u w:val="single"/>
        </w:rPr>
        <w:t xml:space="preserve">      </w:t>
      </w:r>
      <w:r>
        <w:rPr>
          <w:rFonts w:hint="eastAsia" w:ascii="宋体" w:hAnsi="宋体"/>
          <w:sz w:val="24"/>
        </w:rPr>
        <w:t>，质量目标达到</w:t>
      </w:r>
      <w:r>
        <w:rPr>
          <w:rFonts w:hint="eastAsia" w:ascii="宋体" w:hAnsi="宋体"/>
          <w:sz w:val="24"/>
          <w:u w:val="single"/>
        </w:rPr>
        <w:t xml:space="preserve">          </w:t>
      </w:r>
      <w:r>
        <w:rPr>
          <w:rFonts w:hint="eastAsia" w:ascii="宋体" w:hAnsi="宋体"/>
          <w:sz w:val="24"/>
        </w:rPr>
        <w:t>。</w:t>
      </w:r>
    </w:p>
    <w:p>
      <w:pPr>
        <w:snapToGrid w:val="0"/>
        <w:spacing w:line="360" w:lineRule="auto"/>
        <w:ind w:firstLine="540"/>
        <w:rPr>
          <w:rFonts w:ascii="宋体" w:hAnsi="宋体"/>
          <w:sz w:val="24"/>
        </w:rPr>
      </w:pPr>
      <w:r>
        <w:rPr>
          <w:rFonts w:hint="eastAsia" w:ascii="宋体" w:hAnsi="宋体"/>
          <w:sz w:val="24"/>
        </w:rPr>
        <w:t>2.我方在投标之前已经与贵方进行了充分的沟通，完全理解并接受招标文件的各项规定和要求，对招标文件的合理性、合法性不再有异议。（包括修改文件）</w:t>
      </w:r>
    </w:p>
    <w:p>
      <w:pPr>
        <w:snapToGrid w:val="0"/>
        <w:spacing w:line="360" w:lineRule="auto"/>
        <w:ind w:firstLine="540"/>
        <w:rPr>
          <w:rFonts w:ascii="宋体" w:hAnsi="宋体"/>
          <w:sz w:val="24"/>
        </w:rPr>
      </w:pPr>
      <w:r>
        <w:rPr>
          <w:rFonts w:hint="eastAsia" w:ascii="宋体" w:hAnsi="宋体"/>
          <w:sz w:val="24"/>
        </w:rPr>
        <w:t>3.我方承诺在投标有效期内（从开标之日起</w:t>
      </w:r>
      <w:r>
        <w:rPr>
          <w:rFonts w:hint="eastAsia" w:ascii="宋体" w:hAnsi="宋体"/>
          <w:sz w:val="24"/>
          <w:u w:val="single"/>
        </w:rPr>
        <w:t>90</w:t>
      </w:r>
      <w:r>
        <w:rPr>
          <w:rFonts w:hint="eastAsia" w:ascii="宋体" w:hAnsi="宋体"/>
          <w:sz w:val="24"/>
        </w:rPr>
        <w:t>天），其投标文件中的所有内容对我方具有约束力。如在此有效期内，我方出现下列行为之一者，同意无条件没收我方的投标保证金。</w:t>
      </w:r>
    </w:p>
    <w:p>
      <w:pPr>
        <w:spacing w:line="360" w:lineRule="auto"/>
        <w:ind w:firstLine="480" w:firstLineChars="200"/>
        <w:jc w:val="left"/>
        <w:rPr>
          <w:rFonts w:ascii="宋体" w:hAnsi="宋体"/>
          <w:kern w:val="0"/>
          <w:sz w:val="24"/>
        </w:rPr>
      </w:pPr>
      <w:r>
        <w:rPr>
          <w:rFonts w:hint="eastAsia" w:ascii="宋体" w:hAnsi="宋体"/>
          <w:kern w:val="0"/>
          <w:sz w:val="24"/>
        </w:rPr>
        <w:t>1）在投标有效期内撤回投标文件；</w:t>
      </w:r>
    </w:p>
    <w:p>
      <w:pPr>
        <w:spacing w:line="360" w:lineRule="auto"/>
        <w:ind w:firstLine="480"/>
        <w:jc w:val="left"/>
        <w:rPr>
          <w:rFonts w:ascii="宋体" w:hAnsi="宋体"/>
          <w:kern w:val="0"/>
          <w:sz w:val="24"/>
        </w:rPr>
      </w:pPr>
      <w:r>
        <w:rPr>
          <w:rFonts w:hint="eastAsia" w:ascii="宋体" w:hAnsi="宋体"/>
          <w:kern w:val="0"/>
          <w:sz w:val="24"/>
        </w:rPr>
        <w:t>2）在投标过程中弄虚作假、提供虚假材料的；</w:t>
      </w:r>
    </w:p>
    <w:p>
      <w:pPr>
        <w:spacing w:line="360" w:lineRule="auto"/>
        <w:ind w:firstLine="480"/>
        <w:jc w:val="left"/>
        <w:rPr>
          <w:rFonts w:ascii="宋体" w:hAnsi="宋体"/>
          <w:kern w:val="0"/>
          <w:sz w:val="24"/>
        </w:rPr>
      </w:pPr>
      <w:r>
        <w:rPr>
          <w:rFonts w:hint="eastAsia" w:ascii="宋体" w:hAnsi="宋体"/>
          <w:kern w:val="0"/>
          <w:sz w:val="24"/>
        </w:rPr>
        <w:t>3）如果中标不与采购人签订合同的；</w:t>
      </w:r>
    </w:p>
    <w:p>
      <w:pPr>
        <w:spacing w:line="360" w:lineRule="auto"/>
        <w:ind w:firstLine="480"/>
        <w:jc w:val="left"/>
        <w:rPr>
          <w:rFonts w:ascii="宋体" w:hAnsi="宋体"/>
          <w:kern w:val="0"/>
          <w:sz w:val="24"/>
        </w:rPr>
      </w:pPr>
      <w:r>
        <w:rPr>
          <w:rFonts w:hint="eastAsia" w:ascii="宋体" w:hAnsi="宋体"/>
          <w:kern w:val="0"/>
          <w:sz w:val="24"/>
        </w:rPr>
        <w:t>4）有其他严重扰乱招投标程序的。</w:t>
      </w:r>
    </w:p>
    <w:p>
      <w:pPr>
        <w:snapToGrid w:val="0"/>
        <w:spacing w:line="360" w:lineRule="auto"/>
        <w:ind w:firstLine="540"/>
        <w:rPr>
          <w:rFonts w:ascii="宋体" w:hAnsi="宋体"/>
          <w:sz w:val="24"/>
        </w:rPr>
      </w:pPr>
      <w:r>
        <w:rPr>
          <w:rFonts w:hint="eastAsia" w:ascii="宋体" w:hAnsi="宋体"/>
          <w:sz w:val="24"/>
        </w:rPr>
        <w:t>4.如我方中标，我方承诺：</w:t>
      </w:r>
    </w:p>
    <w:p>
      <w:pPr>
        <w:snapToGrid w:val="0"/>
        <w:spacing w:line="360" w:lineRule="auto"/>
        <w:ind w:firstLine="540"/>
        <w:rPr>
          <w:rFonts w:ascii="宋体" w:hAnsi="宋体"/>
          <w:sz w:val="24"/>
        </w:rPr>
      </w:pPr>
      <w:r>
        <w:rPr>
          <w:rFonts w:hint="eastAsia" w:ascii="宋体" w:hAnsi="宋体"/>
          <w:sz w:val="24"/>
        </w:rPr>
        <w:t>1）收到中标通知书后，在中标通知书规定的期限内与采购人签订合同。</w:t>
      </w:r>
    </w:p>
    <w:p>
      <w:pPr>
        <w:snapToGrid w:val="0"/>
        <w:spacing w:line="360" w:lineRule="auto"/>
        <w:ind w:firstLine="540"/>
        <w:rPr>
          <w:rFonts w:ascii="宋体" w:hAnsi="宋体"/>
          <w:sz w:val="24"/>
        </w:rPr>
      </w:pPr>
      <w:r>
        <w:rPr>
          <w:rFonts w:hint="eastAsia" w:ascii="宋体" w:hAnsi="宋体"/>
          <w:sz w:val="24"/>
        </w:rPr>
        <w:t>2）在合同约定的期限内完成并移交全部合同工程。</w:t>
      </w:r>
    </w:p>
    <w:p>
      <w:pPr>
        <w:snapToGrid w:val="0"/>
        <w:spacing w:line="360" w:lineRule="auto"/>
        <w:ind w:firstLine="540"/>
        <w:rPr>
          <w:rFonts w:ascii="宋体" w:hAnsi="宋体"/>
          <w:sz w:val="24"/>
        </w:rPr>
      </w:pPr>
      <w:r>
        <w:rPr>
          <w:rFonts w:hint="eastAsia" w:ascii="宋体" w:hAnsi="宋体"/>
          <w:sz w:val="24"/>
        </w:rPr>
        <w:t>5.我方在此声明，所递交的投标文件及有关资料内容完整、真实和准确。</w:t>
      </w:r>
    </w:p>
    <w:p>
      <w:pPr>
        <w:snapToGrid w:val="0"/>
        <w:spacing w:line="360" w:lineRule="auto"/>
        <w:ind w:firstLine="540"/>
        <w:rPr>
          <w:rFonts w:ascii="宋体" w:hAnsi="宋体"/>
          <w:sz w:val="24"/>
        </w:rPr>
      </w:pPr>
      <w:r>
        <w:rPr>
          <w:rFonts w:hint="eastAsia" w:ascii="宋体" w:hAnsi="宋体"/>
          <w:sz w:val="24"/>
        </w:rPr>
        <w:t>6.我方理解贵方不一定接受最低报价的投标人，且对招标文件中规定的付款方式无异议。</w:t>
      </w:r>
    </w:p>
    <w:p>
      <w:pPr>
        <w:snapToGrid w:val="0"/>
        <w:spacing w:line="360" w:lineRule="auto"/>
        <w:ind w:left="2940" w:leftChars="257" w:hanging="2400" w:hangingChars="1000"/>
        <w:rPr>
          <w:rFonts w:ascii="宋体" w:hAnsi="宋体"/>
          <w:sz w:val="24"/>
        </w:rPr>
      </w:pPr>
      <w:r>
        <w:rPr>
          <w:rFonts w:hint="eastAsia" w:ascii="宋体" w:hAnsi="宋体"/>
          <w:sz w:val="24"/>
        </w:rPr>
        <w:t xml:space="preserve">7.__________________________________（投标人认为需要的其他补充说明）。                    </w:t>
      </w:r>
    </w:p>
    <w:p>
      <w:pPr>
        <w:snapToGrid w:val="0"/>
        <w:spacing w:line="360" w:lineRule="auto"/>
        <w:ind w:left="2934" w:leftChars="1397"/>
        <w:rPr>
          <w:rFonts w:ascii="宋体" w:hAnsi="宋体"/>
          <w:sz w:val="24"/>
        </w:rPr>
      </w:pPr>
    </w:p>
    <w:p>
      <w:pPr>
        <w:snapToGrid w:val="0"/>
        <w:spacing w:line="360" w:lineRule="auto"/>
        <w:ind w:left="2934" w:leftChars="1397"/>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 xml:space="preserve">（盖章）  </w:t>
      </w:r>
    </w:p>
    <w:p>
      <w:pPr>
        <w:snapToGrid w:val="0"/>
        <w:spacing w:line="360" w:lineRule="auto"/>
        <w:ind w:firstLine="2872" w:firstLineChars="1197"/>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napToGrid w:val="0"/>
        <w:spacing w:line="360" w:lineRule="auto"/>
        <w:ind w:firstLine="2868" w:firstLineChars="1195"/>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2872" w:firstLineChars="1197"/>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 xml:space="preserve"> </w:t>
      </w:r>
    </w:p>
    <w:p>
      <w:pPr>
        <w:spacing w:beforeLines="50" w:afterLines="50" w:line="480" w:lineRule="exact"/>
        <w:ind w:left="105" w:leftChars="50" w:right="105" w:rightChars="50"/>
        <w:rPr>
          <w:rFonts w:ascii="宋体" w:hAnsi="宋体"/>
          <w:b/>
          <w:spacing w:val="20"/>
          <w:position w:val="2"/>
          <w:sz w:val="24"/>
        </w:rPr>
      </w:pPr>
      <w:r>
        <w:rPr>
          <w:rFonts w:ascii="宋体" w:hAnsi="宋体"/>
          <w:b/>
          <w:spacing w:val="20"/>
          <w:position w:val="2"/>
          <w:sz w:val="24"/>
        </w:rPr>
        <w:br w:type="page"/>
      </w:r>
      <w:r>
        <w:rPr>
          <w:rFonts w:hint="eastAsia" w:ascii="宋体" w:hAnsi="宋体"/>
          <w:b/>
          <w:spacing w:val="20"/>
          <w:position w:val="2"/>
          <w:sz w:val="24"/>
        </w:rPr>
        <w:t>（2）开标一览表</w:t>
      </w:r>
    </w:p>
    <w:p>
      <w:pPr>
        <w:spacing w:line="500" w:lineRule="exact"/>
        <w:rPr>
          <w:rFonts w:ascii="宋体" w:hAnsi="宋体"/>
          <w:sz w:val="24"/>
        </w:rPr>
      </w:pPr>
    </w:p>
    <w:p>
      <w:pPr>
        <w:snapToGrid w:val="0"/>
        <w:spacing w:before="50" w:after="50"/>
        <w:rPr>
          <w:rFonts w:ascii="宋体" w:hAnsi="宋体"/>
          <w:sz w:val="24"/>
          <w:u w:val="single"/>
        </w:rPr>
      </w:pPr>
      <w:r>
        <w:rPr>
          <w:rFonts w:hint="eastAsia" w:ascii="宋体" w:hAnsi="宋体"/>
          <w:sz w:val="24"/>
        </w:rPr>
        <w:t>招标编号：</w:t>
      </w:r>
      <w:r>
        <w:rPr>
          <w:rFonts w:ascii="宋体" w:hAnsi="宋体"/>
          <w:sz w:val="24"/>
          <w:u w:val="single"/>
        </w:rPr>
        <w:t xml:space="preserve">            </w:t>
      </w:r>
    </w:p>
    <w:p>
      <w:pPr>
        <w:snapToGrid w:val="0"/>
        <w:spacing w:before="50" w:after="50"/>
        <w:rPr>
          <w:rFonts w:ascii="宋体" w:hAnsi="宋体"/>
          <w:sz w:val="24"/>
        </w:rPr>
      </w:pPr>
      <w:r>
        <w:rPr>
          <w:rFonts w:hint="eastAsia" w:ascii="宋体" w:hAnsi="宋体"/>
          <w:sz w:val="24"/>
        </w:rPr>
        <w:t>投标人名称：</w:t>
      </w:r>
      <w:r>
        <w:rPr>
          <w:rFonts w:ascii="宋体" w:hAnsi="宋体"/>
          <w:sz w:val="24"/>
          <w:u w:val="single"/>
        </w:rPr>
        <w:t xml:space="preserve">                     </w:t>
      </w:r>
      <w:r>
        <w:rPr>
          <w:rFonts w:ascii="宋体" w:hAnsi="宋体"/>
          <w:sz w:val="24"/>
        </w:rPr>
        <w:t xml:space="preserve">                           </w:t>
      </w:r>
      <w:r>
        <w:rPr>
          <w:rFonts w:hint="eastAsia" w:ascii="宋体" w:hAnsi="宋体"/>
          <w:sz w:val="24"/>
        </w:rPr>
        <w:t>单位：元</w:t>
      </w:r>
    </w:p>
    <w:p>
      <w:pPr>
        <w:snapToGrid w:val="0"/>
        <w:spacing w:before="50" w:after="50"/>
        <w:rPr>
          <w:rFonts w:ascii="宋体" w:hAnsi="宋体"/>
          <w:sz w:val="24"/>
        </w:rPr>
      </w:pPr>
    </w:p>
    <w:tbl>
      <w:tblPr>
        <w:tblStyle w:val="46"/>
        <w:tblW w:w="909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6256"/>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序号</w:t>
            </w:r>
          </w:p>
        </w:tc>
        <w:tc>
          <w:tcPr>
            <w:tcW w:w="62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项目名称</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1</w:t>
            </w:r>
          </w:p>
        </w:tc>
        <w:tc>
          <w:tcPr>
            <w:tcW w:w="62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b/>
                <w:bCs/>
                <w:sz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909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u w:val="single"/>
              </w:rPr>
            </w:pPr>
            <w:r>
              <w:rPr>
                <w:rFonts w:hint="eastAsia" w:ascii="宋体" w:hAnsi="宋体"/>
                <w:sz w:val="24"/>
              </w:rPr>
              <w:t>合计金额大写：</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c>
      </w:tr>
    </w:tbl>
    <w:p>
      <w:pPr>
        <w:snapToGrid w:val="0"/>
        <w:spacing w:before="50" w:after="50"/>
        <w:jc w:val="left"/>
        <w:rPr>
          <w:rFonts w:ascii="宋体" w:hAnsi="宋体"/>
          <w:sz w:val="24"/>
        </w:rPr>
      </w:pPr>
    </w:p>
    <w:p>
      <w:pPr>
        <w:snapToGrid w:val="0"/>
        <w:spacing w:before="50" w:after="50"/>
        <w:jc w:val="left"/>
        <w:rPr>
          <w:rFonts w:ascii="宋体" w:hAns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报价一经涂改，应在涂改处加盖单位公章或由法定代表人或委托代理人签字或盖章，否则其投标作无效标处理。</w:t>
      </w:r>
    </w:p>
    <w:p>
      <w:pPr>
        <w:snapToGrid w:val="0"/>
        <w:spacing w:before="50" w:after="50"/>
        <w:ind w:firstLine="480" w:firstLineChars="200"/>
        <w:jc w:val="left"/>
        <w:rPr>
          <w:rFonts w:ascii="宋体" w:hAnsi="宋体"/>
          <w:sz w:val="24"/>
        </w:rPr>
      </w:pPr>
      <w:r>
        <w:rPr>
          <w:rFonts w:hint="eastAsia" w:ascii="宋体" w:hAnsi="宋体"/>
          <w:sz w:val="24"/>
        </w:rPr>
        <w:t>2.以上报价应与“投标报价明细表”中的“投标总价”相一致。</w:t>
      </w:r>
    </w:p>
    <w:p>
      <w:pPr>
        <w:snapToGrid w:val="0"/>
        <w:spacing w:before="50" w:after="50"/>
        <w:ind w:left="-3" w:leftChars="-72" w:right="-817" w:rightChars="-389" w:hanging="148" w:hangingChars="62"/>
        <w:rPr>
          <w:rFonts w:ascii="宋体" w:hAnsi="宋体"/>
          <w:sz w:val="24"/>
        </w:rPr>
      </w:pPr>
      <w:r>
        <w:rPr>
          <w:rFonts w:hint="eastAsia" w:ascii="宋体" w:hAnsi="宋体"/>
          <w:sz w:val="24"/>
        </w:rPr>
        <w:t xml:space="preserve">      3.</w:t>
      </w:r>
      <w:r>
        <w:rPr>
          <w:rFonts w:hint="eastAsia" w:ascii="宋体" w:hAnsi="宋体"/>
          <w:b/>
          <w:color w:val="FF0000"/>
          <w:sz w:val="24"/>
        </w:rPr>
        <w:t xml:space="preserve"> 投标报价总价金额到元为止，如投标报价总价出现角、分，将被抹除。</w:t>
      </w:r>
    </w:p>
    <w:p>
      <w:pPr>
        <w:snapToGrid w:val="0"/>
        <w:spacing w:before="50" w:after="50"/>
        <w:ind w:left="-3" w:leftChars="-72" w:right="-817" w:rightChars="-389" w:hanging="148" w:hangingChars="62"/>
        <w:rPr>
          <w:rFonts w:ascii="宋体" w:hAnsi="宋体"/>
          <w:sz w:val="24"/>
        </w:rPr>
      </w:pPr>
    </w:p>
    <w:p>
      <w:pPr>
        <w:snapToGrid w:val="0"/>
        <w:spacing w:before="50" w:after="50"/>
        <w:ind w:left="-3" w:leftChars="-72" w:right="-817" w:rightChars="-389" w:hanging="148" w:hangingChars="62"/>
        <w:rPr>
          <w:rFonts w:ascii="宋体" w:hAnsi="宋体"/>
          <w:sz w:val="24"/>
        </w:rPr>
      </w:pPr>
      <w:r>
        <w:rPr>
          <w:rFonts w:hint="eastAsia" w:ascii="宋体" w:hAnsi="宋体"/>
          <w:sz w:val="24"/>
        </w:rPr>
        <w:t>法定代表人或委托代理人（签字或盖章）：</w:t>
      </w:r>
      <w:r>
        <w:rPr>
          <w:rFonts w:ascii="宋体" w:hAnsi="宋体"/>
          <w:sz w:val="24"/>
        </w:rPr>
        <w:t xml:space="preserve">                    </w:t>
      </w:r>
    </w:p>
    <w:p>
      <w:pPr>
        <w:snapToGrid w:val="0"/>
        <w:spacing w:before="50" w:after="50"/>
        <w:ind w:left="-3" w:leftChars="-72" w:right="-817" w:rightChars="-389" w:hanging="148" w:hangingChars="62"/>
        <w:rPr>
          <w:rFonts w:ascii="宋体" w:hAnsi="宋体"/>
          <w:sz w:val="24"/>
        </w:rPr>
      </w:pPr>
      <w:r>
        <w:rPr>
          <w:rFonts w:hint="eastAsia" w:ascii="宋体" w:hAnsi="宋体"/>
          <w:sz w:val="24"/>
        </w:rPr>
        <w:t>投标人名称（盖章）：</w:t>
      </w: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580" w:lineRule="exact"/>
        <w:rPr>
          <w:rFonts w:hint="eastAsia" w:hAnsi="宋体"/>
          <w:b/>
          <w:spacing w:val="20"/>
          <w:position w:val="2"/>
          <w:sz w:val="24"/>
          <w:szCs w:val="24"/>
          <w:highlight w:val="none"/>
        </w:rPr>
        <w:sectPr>
          <w:headerReference r:id="rId4" w:type="default"/>
          <w:footerReference r:id="rId5" w:type="default"/>
          <w:pgSz w:w="11906" w:h="16838"/>
          <w:pgMar w:top="1021" w:right="1134" w:bottom="1021" w:left="1134" w:header="851" w:footer="992" w:gutter="0"/>
          <w:cols w:space="720" w:num="1"/>
          <w:titlePg/>
          <w:docGrid w:linePitch="312" w:charSpace="0"/>
        </w:sectPr>
      </w:pPr>
      <w:r>
        <w:rPr>
          <w:rFonts w:ascii="宋体" w:hAnsi="宋体"/>
          <w:sz w:val="24"/>
        </w:rPr>
        <w:br w:type="page"/>
      </w:r>
    </w:p>
    <w:p>
      <w:pPr>
        <w:pStyle w:val="22"/>
        <w:snapToGrid w:val="0"/>
        <w:spacing w:before="120" w:after="120"/>
        <w:jc w:val="left"/>
        <w:rPr>
          <w:rFonts w:hAnsi="宋体"/>
          <w:b/>
          <w:spacing w:val="20"/>
          <w:position w:val="2"/>
          <w:sz w:val="24"/>
          <w:szCs w:val="24"/>
          <w:highlight w:val="none"/>
        </w:rPr>
      </w:pPr>
      <w:r>
        <w:rPr>
          <w:rFonts w:hint="eastAsia" w:hAnsi="宋体"/>
          <w:b/>
          <w:spacing w:val="20"/>
          <w:position w:val="2"/>
          <w:sz w:val="24"/>
          <w:szCs w:val="24"/>
          <w:highlight w:val="none"/>
        </w:rPr>
        <w:t>（3）投标报价明细表</w:t>
      </w:r>
    </w:p>
    <w:p>
      <w:pPr>
        <w:pStyle w:val="22"/>
        <w:snapToGrid w:val="0"/>
        <w:spacing w:before="120" w:after="120"/>
        <w:ind w:firstLine="723" w:firstLineChars="300"/>
        <w:jc w:val="center"/>
        <w:rPr>
          <w:rFonts w:hAnsi="宋体"/>
          <w:b/>
          <w:bCs/>
          <w:sz w:val="24"/>
          <w:szCs w:val="24"/>
          <w:highlight w:val="none"/>
        </w:rPr>
      </w:pPr>
      <w:r>
        <w:rPr>
          <w:rFonts w:hint="eastAsia" w:hAnsi="宋体"/>
          <w:b/>
          <w:bCs/>
          <w:sz w:val="24"/>
          <w:szCs w:val="24"/>
          <w:highlight w:val="none"/>
        </w:rPr>
        <w:t xml:space="preserve">投 标 报 价 明 细 表 </w:t>
      </w:r>
    </w:p>
    <w:p>
      <w:pPr>
        <w:snapToGrid w:val="0"/>
        <w:rPr>
          <w:rFonts w:ascii="宋体" w:hAnsi="宋体"/>
          <w:sz w:val="24"/>
          <w:highlight w:val="none"/>
        </w:rPr>
      </w:pPr>
      <w:r>
        <w:rPr>
          <w:rFonts w:hint="eastAsia" w:ascii="宋体" w:hAnsi="宋体"/>
          <w:sz w:val="24"/>
          <w:highlight w:val="none"/>
        </w:rPr>
        <w:t>投标人全称（公章）：</w:t>
      </w:r>
      <w:r>
        <w:rPr>
          <w:rFonts w:hint="eastAsia" w:ascii="宋体" w:hAnsi="宋体"/>
          <w:sz w:val="24"/>
          <w:highlight w:val="none"/>
          <w:u w:val="single"/>
        </w:rPr>
        <w:t xml:space="preserve">                       </w:t>
      </w:r>
      <w:r>
        <w:rPr>
          <w:rFonts w:hint="eastAsia" w:ascii="宋体" w:hAnsi="宋体"/>
          <w:sz w:val="24"/>
          <w:highlight w:val="none"/>
        </w:rPr>
        <w:t xml:space="preserve"> </w:t>
      </w:r>
    </w:p>
    <w:p>
      <w:pPr>
        <w:snapToGrid w:val="0"/>
        <w:rPr>
          <w:rFonts w:ascii="宋体" w:hAnsi="宋体"/>
          <w:sz w:val="24"/>
          <w:highlight w:val="none"/>
        </w:rPr>
      </w:pPr>
      <w:r>
        <w:rPr>
          <w:rFonts w:hint="eastAsia" w:ascii="宋体" w:hAnsi="宋体"/>
          <w:sz w:val="24"/>
          <w:highlight w:val="none"/>
        </w:rPr>
        <w:t xml:space="preserve"> </w:t>
      </w:r>
    </w:p>
    <w:p>
      <w:pPr>
        <w:snapToGrid w:val="0"/>
        <w:rPr>
          <w:rFonts w:hint="eastAsia" w:ascii="宋体" w:hAnsi="宋体"/>
          <w:b/>
          <w:bCs/>
          <w:sz w:val="24"/>
          <w:highlight w:val="none"/>
          <w:u w:val="single"/>
        </w:rPr>
      </w:pPr>
      <w:r>
        <w:rPr>
          <w:rFonts w:hint="eastAsia" w:ascii="宋体" w:hAnsi="宋体"/>
          <w:sz w:val="24"/>
          <w:highlight w:val="none"/>
        </w:rPr>
        <w:t>招标编号及标项：</w:t>
      </w:r>
      <w:r>
        <w:rPr>
          <w:rFonts w:hint="eastAsia" w:ascii="宋体" w:hAnsi="宋体"/>
          <w:b/>
          <w:bCs/>
          <w:sz w:val="24"/>
          <w:highlight w:val="none"/>
          <w:u w:val="single"/>
        </w:rPr>
        <w:t xml:space="preserve">                          </w:t>
      </w:r>
    </w:p>
    <w:tbl>
      <w:tblPr>
        <w:tblStyle w:val="46"/>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7"/>
        <w:gridCol w:w="1579"/>
        <w:gridCol w:w="2813"/>
        <w:gridCol w:w="3464"/>
        <w:gridCol w:w="943"/>
        <w:gridCol w:w="1171"/>
        <w:gridCol w:w="1301"/>
        <w:gridCol w:w="1171"/>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3"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28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描述</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计量</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综合单价</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(元)</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合价</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(元)</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28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2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2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2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2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2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2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18"/>
                <w:szCs w:val="18"/>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1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维护期1年合计</w:t>
            </w:r>
            <w:r>
              <w:rPr>
                <w:rFonts w:hint="eastAsia" w:ascii="宋体" w:hAnsi="宋体" w:eastAsia="宋体" w:cs="宋体"/>
                <w:b w:val="0"/>
                <w:bCs/>
                <w:i w:val="0"/>
                <w:color w:val="000000"/>
                <w:kern w:val="0"/>
                <w:sz w:val="18"/>
                <w:szCs w:val="18"/>
                <w:u w:val="none"/>
                <w:lang w:val="en-US" w:eastAsia="zh-CN" w:bidi="ar"/>
              </w:rPr>
              <w:tab/>
            </w:r>
            <w:r>
              <w:rPr>
                <w:rFonts w:hint="eastAsia" w:ascii="宋体" w:hAnsi="宋体" w:eastAsia="宋体" w:cs="宋体"/>
                <w:b w:val="0"/>
                <w:bCs/>
                <w:i w:val="0"/>
                <w:color w:val="000000"/>
                <w:kern w:val="0"/>
                <w:sz w:val="18"/>
                <w:szCs w:val="18"/>
                <w:u w:val="none"/>
                <w:lang w:val="en-US" w:eastAsia="zh-CN" w:bidi="ar"/>
              </w:rPr>
              <w:tab/>
            </w:r>
            <w:r>
              <w:rPr>
                <w:rFonts w:hint="eastAsia" w:ascii="宋体" w:hAnsi="宋体" w:eastAsia="宋体" w:cs="宋体"/>
                <w:b w:val="0"/>
                <w:bCs/>
                <w:i w:val="0"/>
                <w:color w:val="000000"/>
                <w:kern w:val="0"/>
                <w:sz w:val="18"/>
                <w:szCs w:val="18"/>
                <w:u w:val="none"/>
                <w:lang w:val="en-US" w:eastAsia="zh-CN" w:bidi="ar"/>
              </w:rPr>
              <w:tab/>
            </w:r>
            <w:r>
              <w:rPr>
                <w:rFonts w:hint="eastAsia" w:ascii="宋体" w:hAnsi="宋体" w:eastAsia="宋体" w:cs="宋体"/>
                <w:b w:val="0"/>
                <w:bCs/>
                <w:i w:val="0"/>
                <w:color w:val="000000"/>
                <w:kern w:val="0"/>
                <w:sz w:val="18"/>
                <w:szCs w:val="18"/>
                <w:u w:val="none"/>
                <w:lang w:val="en-US" w:eastAsia="zh-CN" w:bidi="ar"/>
              </w:rPr>
              <w:tab/>
            </w:r>
            <w:r>
              <w:rPr>
                <w:rFonts w:hint="eastAsia" w:ascii="宋体" w:hAnsi="宋体" w:eastAsia="宋体" w:cs="宋体"/>
                <w:b w:val="0"/>
                <w:bCs/>
                <w:i w:val="0"/>
                <w:color w:val="000000"/>
                <w:kern w:val="0"/>
                <w:sz w:val="18"/>
                <w:szCs w:val="18"/>
                <w:u w:val="none"/>
                <w:lang w:val="en-US" w:eastAsia="zh-CN" w:bidi="ar"/>
              </w:rPr>
              <w:tab/>
            </w:r>
            <w:r>
              <w:rPr>
                <w:rFonts w:hint="eastAsia" w:ascii="宋体" w:hAnsi="宋体" w:eastAsia="宋体" w:cs="宋体"/>
                <w:b w:val="0"/>
                <w:bCs/>
                <w:i w:val="0"/>
                <w:color w:val="000000"/>
                <w:kern w:val="0"/>
                <w:sz w:val="18"/>
                <w:szCs w:val="18"/>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1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2019-</w:t>
            </w:r>
            <w:r>
              <w:rPr>
                <w:rFonts w:hint="eastAsia" w:ascii="宋体" w:hAnsi="宋体" w:cs="宋体"/>
                <w:b w:val="0"/>
                <w:bCs/>
                <w:i w:val="0"/>
                <w:color w:val="000000"/>
                <w:kern w:val="0"/>
                <w:sz w:val="18"/>
                <w:szCs w:val="18"/>
                <w:u w:val="none"/>
                <w:lang w:val="en-US" w:eastAsia="zh-CN" w:bidi="ar"/>
              </w:rPr>
              <w:t>2021</w:t>
            </w:r>
            <w:r>
              <w:rPr>
                <w:rFonts w:hint="eastAsia" w:ascii="宋体" w:hAnsi="宋体" w:eastAsia="宋体" w:cs="宋体"/>
                <w:b w:val="0"/>
                <w:bCs/>
                <w:i w:val="0"/>
                <w:color w:val="000000"/>
                <w:kern w:val="0"/>
                <w:sz w:val="18"/>
                <w:szCs w:val="18"/>
                <w:u w:val="none"/>
                <w:lang w:val="en-US" w:eastAsia="zh-CN" w:bidi="ar"/>
              </w:rPr>
              <w:t>年度桐庐县城公用照明设施维护工程维护费用合计（2年）</w:t>
            </w:r>
          </w:p>
        </w:tc>
      </w:tr>
    </w:tbl>
    <w:p>
      <w:pPr>
        <w:pStyle w:val="2"/>
        <w:rPr>
          <w:rFonts w:hint="eastAsia" w:ascii="宋体" w:hAnsi="宋体"/>
          <w:b/>
          <w:bCs/>
          <w:sz w:val="24"/>
          <w:highlight w:val="none"/>
          <w:u w:val="single"/>
        </w:rPr>
      </w:pPr>
    </w:p>
    <w:bookmarkEnd w:id="22"/>
    <w:p>
      <w:pPr>
        <w:spacing w:beforeLines="50" w:afterLines="50" w:line="480" w:lineRule="exact"/>
        <w:ind w:right="105" w:rightChars="50" w:firstLine="843" w:firstLineChars="300"/>
        <w:rPr>
          <w:rFonts w:ascii="宋体" w:hAnsi="宋体"/>
          <w:b/>
          <w:color w:val="000000"/>
          <w:spacing w:val="20"/>
          <w:position w:val="2"/>
          <w:sz w:val="24"/>
          <w:highlight w:val="none"/>
        </w:rPr>
      </w:pPr>
      <w:r>
        <w:rPr>
          <w:rFonts w:hint="eastAsia" w:ascii="宋体" w:hAnsi="宋体"/>
          <w:b/>
          <w:color w:val="000000"/>
          <w:spacing w:val="20"/>
          <w:position w:val="2"/>
          <w:sz w:val="24"/>
          <w:highlight w:val="none"/>
        </w:rPr>
        <w:t>投标人：                     （盖章）</w:t>
      </w:r>
    </w:p>
    <w:p>
      <w:pPr>
        <w:spacing w:beforeLines="50" w:afterLines="50" w:line="480" w:lineRule="exact"/>
        <w:ind w:right="105" w:rightChars="50" w:firstLine="723" w:firstLineChars="300"/>
        <w:rPr>
          <w:rFonts w:ascii="宋体" w:hAnsi="宋体"/>
          <w:b/>
          <w:color w:val="000000"/>
          <w:sz w:val="24"/>
          <w:highlight w:val="none"/>
        </w:rPr>
      </w:pPr>
      <w:r>
        <w:rPr>
          <w:rFonts w:hint="eastAsia" w:ascii="宋体" w:hAnsi="宋体"/>
          <w:b/>
          <w:color w:val="000000"/>
          <w:sz w:val="24"/>
          <w:highlight w:val="none"/>
        </w:rPr>
        <w:t>法定代表人或委托代理人：                （签字或盖章）</w:t>
      </w:r>
    </w:p>
    <w:p>
      <w:pPr>
        <w:spacing w:line="360" w:lineRule="auto"/>
        <w:ind w:firstLine="2248" w:firstLineChars="800"/>
        <w:rPr>
          <w:rFonts w:ascii="宋体" w:hAnsi="宋体"/>
          <w:b/>
          <w:color w:val="000000"/>
          <w:spacing w:val="20"/>
          <w:position w:val="2"/>
          <w:sz w:val="24"/>
          <w:highlight w:val="none"/>
        </w:rPr>
      </w:pPr>
      <w:r>
        <w:rPr>
          <w:rFonts w:hint="eastAsia" w:ascii="宋体" w:hAnsi="宋体"/>
          <w:b/>
          <w:color w:val="000000"/>
          <w:spacing w:val="20"/>
          <w:position w:val="2"/>
          <w:sz w:val="24"/>
          <w:highlight w:val="none"/>
        </w:rPr>
        <w:t xml:space="preserve">日 期：                    </w:t>
      </w:r>
    </w:p>
    <w:p>
      <w:pPr>
        <w:spacing w:line="588" w:lineRule="exact"/>
        <w:rPr>
          <w:rFonts w:ascii="宋体" w:hAnsi="宋体"/>
          <w:spacing w:val="6"/>
          <w:sz w:val="24"/>
          <w:highlight w:val="none"/>
        </w:rPr>
        <w:sectPr>
          <w:pgSz w:w="16838" w:h="11906" w:orient="landscape"/>
          <w:pgMar w:top="1134" w:right="1021" w:bottom="1134" w:left="1021" w:header="851" w:footer="992" w:gutter="0"/>
          <w:cols w:space="0" w:num="1"/>
          <w:titlePg/>
          <w:rtlGutter w:val="0"/>
          <w:docGrid w:linePitch="312" w:charSpace="0"/>
        </w:sectPr>
      </w:pPr>
    </w:p>
    <w:p>
      <w:pPr>
        <w:pStyle w:val="27"/>
      </w:pPr>
    </w:p>
    <w:p>
      <w:pPr>
        <w:spacing w:line="588" w:lineRule="exact"/>
        <w:rPr>
          <w:rFonts w:hint="eastAsia" w:ascii="宋体" w:hAnsi="宋体" w:eastAsia="宋体"/>
          <w:spacing w:val="6"/>
          <w:sz w:val="28"/>
          <w:szCs w:val="28"/>
          <w:lang w:eastAsia="zh-CN"/>
        </w:rPr>
      </w:pPr>
      <w:r>
        <w:rPr>
          <w:rFonts w:hint="eastAsia" w:ascii="宋体" w:hAnsi="宋体"/>
          <w:spacing w:val="6"/>
          <w:sz w:val="28"/>
          <w:szCs w:val="28"/>
        </w:rPr>
        <w:t>附件</w:t>
      </w:r>
      <w:r>
        <w:rPr>
          <w:rFonts w:hint="eastAsia" w:ascii="宋体" w:hAnsi="宋体"/>
          <w:spacing w:val="6"/>
          <w:sz w:val="28"/>
          <w:szCs w:val="28"/>
          <w:lang w:eastAsia="zh-CN"/>
        </w:rPr>
        <w:t>一</w:t>
      </w:r>
    </w:p>
    <w:p>
      <w:pPr>
        <w:spacing w:after="120"/>
        <w:jc w:val="center"/>
        <w:rPr>
          <w:rFonts w:ascii="宋体" w:hAnsi="宋体"/>
          <w:b/>
          <w:spacing w:val="6"/>
          <w:sz w:val="28"/>
          <w:szCs w:val="28"/>
        </w:rPr>
      </w:pPr>
      <w:r>
        <w:rPr>
          <w:rFonts w:hint="eastAsia" w:ascii="宋体" w:hAnsi="宋体"/>
          <w:b/>
          <w:spacing w:val="6"/>
          <w:sz w:val="28"/>
          <w:szCs w:val="28"/>
        </w:rPr>
        <w:t>中小企业声明函</w:t>
      </w:r>
    </w:p>
    <w:p>
      <w:pPr>
        <w:spacing w:after="120"/>
        <w:jc w:val="center"/>
        <w:rPr>
          <w:rFonts w:ascii="宋体" w:hAnsi="宋体"/>
          <w:spacing w:val="6"/>
          <w:sz w:val="28"/>
          <w:szCs w:val="28"/>
        </w:rPr>
      </w:pPr>
    </w:p>
    <w:p>
      <w:pPr>
        <w:keepNext w:val="0"/>
        <w:keepLines w:val="0"/>
        <w:pageBreakBefore w:val="0"/>
        <w:widowControl w:val="0"/>
        <w:kinsoku/>
        <w:wordWrap/>
        <w:overflowPunct/>
        <w:topLinePunct w:val="0"/>
        <w:autoSpaceDE/>
        <w:autoSpaceDN/>
        <w:bidi w:val="0"/>
        <w:adjustRightInd/>
        <w:snapToGrid/>
        <w:spacing w:after="120" w:line="360" w:lineRule="auto"/>
        <w:ind w:firstLine="504" w:firstLineChars="200"/>
        <w:textAlignment w:val="auto"/>
        <w:rPr>
          <w:rFonts w:ascii="宋体" w:hAnsi="宋体"/>
          <w:spacing w:val="6"/>
          <w:sz w:val="24"/>
        </w:rPr>
      </w:pPr>
      <w:r>
        <w:rPr>
          <w:rFonts w:hint="eastAsia" w:ascii="宋体" w:hAnsi="宋体"/>
          <w:spacing w:val="6"/>
          <w:sz w:val="24"/>
        </w:rPr>
        <w:t xml:space="preserve">本公司郑重声明,根据《政府采购促进中小企业发展暂行办法》(财库[2011]181号)的规定,本公司为_微型(请填写中型、小型、微型)企业。即,本公司同时满足以下条件: </w:t>
      </w:r>
    </w:p>
    <w:p>
      <w:pPr>
        <w:keepNext w:val="0"/>
        <w:keepLines w:val="0"/>
        <w:pageBreakBefore w:val="0"/>
        <w:widowControl w:val="0"/>
        <w:kinsoku/>
        <w:wordWrap/>
        <w:overflowPunct/>
        <w:topLinePunct w:val="0"/>
        <w:autoSpaceDE/>
        <w:autoSpaceDN/>
        <w:bidi w:val="0"/>
        <w:adjustRightInd/>
        <w:snapToGrid/>
        <w:spacing w:after="120" w:line="360" w:lineRule="auto"/>
        <w:ind w:firstLine="504" w:firstLineChars="200"/>
        <w:textAlignment w:val="auto"/>
        <w:rPr>
          <w:rFonts w:ascii="宋体" w:hAnsi="宋体"/>
          <w:spacing w:val="6"/>
          <w:sz w:val="24"/>
        </w:rPr>
      </w:pPr>
      <w:r>
        <w:rPr>
          <w:rFonts w:hint="eastAsia" w:ascii="宋体" w:hAnsi="宋体"/>
          <w:spacing w:val="6"/>
          <w:sz w:val="24"/>
        </w:rPr>
        <w:t xml:space="preserve">根据《工业和信息化部、国家统计局、国家发展和改革委员会、财政部关于印发中小企业划型标准规定的通知》(工信部联企业[2011]300号)规定的划分标准,本公司为_微型_(请填写中型、小型、微型)企业。 </w:t>
      </w:r>
    </w:p>
    <w:p>
      <w:pPr>
        <w:keepNext w:val="0"/>
        <w:keepLines w:val="0"/>
        <w:pageBreakBefore w:val="0"/>
        <w:widowControl w:val="0"/>
        <w:kinsoku/>
        <w:wordWrap/>
        <w:overflowPunct/>
        <w:topLinePunct w:val="0"/>
        <w:autoSpaceDE/>
        <w:autoSpaceDN/>
        <w:bidi w:val="0"/>
        <w:adjustRightInd/>
        <w:snapToGrid/>
        <w:spacing w:after="120" w:line="360" w:lineRule="auto"/>
        <w:ind w:firstLine="504" w:firstLineChars="200"/>
        <w:textAlignment w:val="auto"/>
        <w:rPr>
          <w:rFonts w:ascii="宋体" w:hAnsi="宋体"/>
          <w:spacing w:val="6"/>
          <w:sz w:val="24"/>
        </w:rPr>
      </w:pPr>
      <w:r>
        <w:rPr>
          <w:rFonts w:hint="eastAsia" w:ascii="宋体" w:hAnsi="宋体"/>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after="120"/>
        <w:ind w:firstLine="504" w:firstLineChars="200"/>
        <w:rPr>
          <w:rFonts w:ascii="宋体" w:hAnsi="宋体"/>
          <w:spacing w:val="6"/>
          <w:sz w:val="24"/>
        </w:rPr>
      </w:pPr>
    </w:p>
    <w:p>
      <w:pPr>
        <w:spacing w:after="120"/>
        <w:ind w:firstLine="504" w:firstLineChars="200"/>
        <w:rPr>
          <w:rFonts w:ascii="宋体" w:hAnsi="宋体"/>
          <w:spacing w:val="6"/>
          <w:sz w:val="24"/>
        </w:rPr>
      </w:pPr>
      <w:r>
        <w:rPr>
          <w:rFonts w:hint="eastAsia" w:ascii="宋体" w:hAnsi="宋体"/>
          <w:spacing w:val="6"/>
          <w:sz w:val="24"/>
        </w:rPr>
        <w:t xml:space="preserve"> </w:t>
      </w:r>
    </w:p>
    <w:p>
      <w:pPr>
        <w:spacing w:after="120"/>
        <w:ind w:firstLine="504" w:firstLineChars="200"/>
        <w:rPr>
          <w:rFonts w:ascii="宋体" w:hAnsi="宋体"/>
          <w:spacing w:val="6"/>
          <w:sz w:val="24"/>
        </w:rPr>
      </w:pPr>
      <w:r>
        <w:rPr>
          <w:rFonts w:hint="eastAsia" w:ascii="宋体" w:hAnsi="宋体"/>
          <w:spacing w:val="6"/>
          <w:sz w:val="24"/>
        </w:rPr>
        <w:t xml:space="preserve">本公司对上述声明的真实性负责。如有虚假，将依法承担相应责任。  </w:t>
      </w: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r>
        <w:rPr>
          <w:rFonts w:hint="eastAsia" w:ascii="宋体" w:hAnsi="宋体"/>
          <w:spacing w:val="6"/>
          <w:sz w:val="24"/>
        </w:rPr>
        <w:t xml:space="preserve">企业名称(盖章):     </w:t>
      </w:r>
    </w:p>
    <w:p>
      <w:pPr>
        <w:spacing w:after="120"/>
        <w:ind w:firstLine="5544" w:firstLineChars="2200"/>
        <w:rPr>
          <w:rFonts w:ascii="宋体" w:hAnsi="宋体"/>
          <w:spacing w:val="6"/>
          <w:sz w:val="24"/>
        </w:rPr>
      </w:pPr>
      <w:r>
        <w:rPr>
          <w:rFonts w:hint="eastAsia" w:ascii="宋体" w:hAnsi="宋体"/>
          <w:spacing w:val="6"/>
          <w:sz w:val="24"/>
        </w:rPr>
        <w:t>日期:</w:t>
      </w:r>
    </w:p>
    <w:p>
      <w:pPr>
        <w:spacing w:after="120"/>
        <w:ind w:firstLine="5280" w:firstLineChars="2200"/>
        <w:rPr>
          <w:rFonts w:ascii="宋体" w:hAnsi="宋体"/>
          <w:sz w:val="24"/>
        </w:rPr>
      </w:pPr>
    </w:p>
    <w:p>
      <w:pPr>
        <w:spacing w:after="120"/>
        <w:ind w:firstLine="5280" w:firstLineChars="2200"/>
        <w:rPr>
          <w:rFonts w:ascii="宋体" w:hAnsi="宋体"/>
          <w:sz w:val="24"/>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line="588" w:lineRule="exact"/>
        <w:rPr>
          <w:rFonts w:ascii="宋体" w:hAnsi="宋体"/>
          <w:sz w:val="28"/>
          <w:szCs w:val="28"/>
        </w:rPr>
      </w:pPr>
    </w:p>
    <w:p>
      <w:pPr>
        <w:spacing w:line="588" w:lineRule="exact"/>
        <w:rPr>
          <w:rFonts w:ascii="宋体" w:hAnsi="宋体"/>
          <w:sz w:val="28"/>
          <w:szCs w:val="28"/>
        </w:rPr>
      </w:pPr>
    </w:p>
    <w:p>
      <w:pPr>
        <w:pStyle w:val="2"/>
        <w:rPr>
          <w:rFonts w:ascii="宋体" w:hAnsi="宋体"/>
          <w:sz w:val="28"/>
          <w:szCs w:val="28"/>
        </w:rPr>
      </w:pPr>
    </w:p>
    <w:p>
      <w:pPr>
        <w:spacing w:line="588" w:lineRule="exact"/>
        <w:rPr>
          <w:rFonts w:hint="eastAsia" w:ascii="宋体" w:hAnsi="宋体" w:eastAsia="宋体"/>
          <w:spacing w:val="6"/>
          <w:sz w:val="28"/>
          <w:szCs w:val="28"/>
          <w:lang w:eastAsia="zh-CN"/>
        </w:rPr>
      </w:pPr>
      <w:r>
        <w:rPr>
          <w:rFonts w:hint="eastAsia" w:ascii="宋体" w:hAnsi="宋体"/>
          <w:spacing w:val="6"/>
          <w:sz w:val="28"/>
          <w:szCs w:val="28"/>
        </w:rPr>
        <w:t>附件</w:t>
      </w:r>
      <w:r>
        <w:rPr>
          <w:rFonts w:hint="eastAsia" w:ascii="宋体" w:hAnsi="宋体"/>
          <w:spacing w:val="6"/>
          <w:sz w:val="28"/>
          <w:szCs w:val="28"/>
          <w:lang w:eastAsia="zh-CN"/>
        </w:rPr>
        <w:t>二</w:t>
      </w:r>
    </w:p>
    <w:p>
      <w:pPr>
        <w:spacing w:line="588" w:lineRule="exact"/>
        <w:jc w:val="center"/>
        <w:rPr>
          <w:rFonts w:ascii="宋体" w:hAnsi="宋体"/>
          <w:b/>
          <w:spacing w:val="6"/>
          <w:sz w:val="28"/>
          <w:szCs w:val="28"/>
        </w:rPr>
      </w:pPr>
      <w:bookmarkStart w:id="23" w:name="OLE_LINK13"/>
      <w:bookmarkStart w:id="24" w:name="OLE_LINK14"/>
      <w:r>
        <w:rPr>
          <w:rFonts w:hint="eastAsia" w:ascii="宋体" w:hAnsi="宋体"/>
          <w:b/>
          <w:spacing w:val="6"/>
          <w:sz w:val="28"/>
          <w:szCs w:val="28"/>
        </w:rPr>
        <w:t>残疾人福利性单位声明函</w:t>
      </w:r>
    </w:p>
    <w:bookmarkEnd w:id="23"/>
    <w:bookmarkEnd w:id="24"/>
    <w:p>
      <w:pPr>
        <w:spacing w:line="588" w:lineRule="exact"/>
        <w:rPr>
          <w:rFonts w:ascii="宋体" w:hAnsi="宋体"/>
          <w:b/>
          <w:spacing w:val="6"/>
          <w:sz w:val="28"/>
          <w:szCs w:val="28"/>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after="120"/>
        <w:ind w:firstLine="5280" w:firstLineChars="2200"/>
        <w:rPr>
          <w:rFonts w:ascii="宋体" w:hAnsi="宋体"/>
          <w:sz w:val="24"/>
        </w:rPr>
      </w:pPr>
    </w:p>
    <w:p>
      <w:pPr>
        <w:spacing w:line="360" w:lineRule="auto"/>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spacing w:line="588" w:lineRule="exact"/>
        <w:rPr>
          <w:rFonts w:hint="eastAsia" w:ascii="宋体" w:hAnsi="宋体"/>
          <w:spacing w:val="6"/>
          <w:sz w:val="28"/>
          <w:szCs w:val="28"/>
          <w:lang w:eastAsia="zh-CN"/>
        </w:rPr>
      </w:pPr>
      <w:r>
        <w:rPr>
          <w:rFonts w:hint="eastAsia" w:ascii="宋体" w:hAnsi="宋体"/>
          <w:spacing w:val="6"/>
          <w:sz w:val="28"/>
          <w:szCs w:val="28"/>
        </w:rPr>
        <w:t>附件</w:t>
      </w:r>
      <w:r>
        <w:rPr>
          <w:rFonts w:hint="eastAsia" w:ascii="宋体" w:hAnsi="宋体"/>
          <w:spacing w:val="6"/>
          <w:sz w:val="28"/>
          <w:szCs w:val="28"/>
          <w:lang w:eastAsia="zh-CN"/>
        </w:rPr>
        <w:t>三</w:t>
      </w:r>
    </w:p>
    <w:p>
      <w:pPr>
        <w:spacing w:line="588" w:lineRule="exact"/>
        <w:jc w:val="center"/>
        <w:rPr>
          <w:rFonts w:hint="eastAsia" w:ascii="宋体" w:hAnsi="宋体"/>
          <w:b/>
          <w:bCs/>
          <w:color w:val="000000"/>
          <w:sz w:val="32"/>
          <w:szCs w:val="32"/>
          <w:highlight w:val="none"/>
        </w:rPr>
      </w:pPr>
      <w:r>
        <w:rPr>
          <w:rFonts w:hint="eastAsia" w:ascii="宋体" w:hAnsi="宋体"/>
          <w:sz w:val="36"/>
          <w:szCs w:val="36"/>
          <w:lang w:eastAsia="zh-CN"/>
        </w:rPr>
        <w:t>维护</w:t>
      </w:r>
      <w:r>
        <w:rPr>
          <w:rFonts w:hint="eastAsia" w:ascii="宋体" w:hAnsi="宋体"/>
          <w:sz w:val="36"/>
          <w:szCs w:val="36"/>
        </w:rPr>
        <w:t>管理及考核办法</w:t>
      </w:r>
    </w:p>
    <w:p>
      <w:pPr>
        <w:keepNext w:val="0"/>
        <w:keepLines w:val="0"/>
        <w:pageBreakBefore w:val="0"/>
        <w:kinsoku/>
        <w:wordWrap/>
        <w:overflowPunct/>
        <w:topLinePunct w:val="0"/>
        <w:autoSpaceDE/>
        <w:autoSpaceDN/>
        <w:bidi w:val="0"/>
        <w:adjustRightInd/>
        <w:snapToGrid/>
        <w:spacing w:line="360" w:lineRule="auto"/>
        <w:ind w:left="-256" w:leftChars="-122" w:firstLine="236" w:firstLineChars="98"/>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一、指导思想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为适应</w:t>
      </w:r>
      <w:r>
        <w:rPr>
          <w:rFonts w:hint="eastAsia" w:ascii="宋体" w:hAnsi="宋体" w:eastAsia="宋体" w:cs="宋体"/>
          <w:color w:val="000000"/>
          <w:sz w:val="24"/>
          <w:szCs w:val="24"/>
          <w:highlight w:val="none"/>
          <w:lang w:eastAsia="zh-CN"/>
        </w:rPr>
        <w:t>桐庐县路灯设施维护</w:t>
      </w:r>
      <w:r>
        <w:rPr>
          <w:rFonts w:hint="eastAsia" w:ascii="宋体" w:hAnsi="宋体" w:eastAsia="宋体" w:cs="宋体"/>
          <w:color w:val="000000"/>
          <w:sz w:val="24"/>
          <w:szCs w:val="24"/>
          <w:highlight w:val="none"/>
        </w:rPr>
        <w:t>管理的需要，增强</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维护管理的科学化、规范化意识，合理使用养护管理经费，提高</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管理水平，创造优美的城市环境，结合</w:t>
      </w:r>
      <w:r>
        <w:rPr>
          <w:rFonts w:hint="eastAsia" w:ascii="宋体" w:hAnsi="宋体" w:eastAsia="宋体" w:cs="宋体"/>
          <w:color w:val="000000"/>
          <w:sz w:val="24"/>
          <w:szCs w:val="24"/>
          <w:highlight w:val="none"/>
          <w:lang w:eastAsia="zh-CN"/>
        </w:rPr>
        <w:t>桐庐县路灯设施维护</w:t>
      </w:r>
      <w:r>
        <w:rPr>
          <w:rFonts w:hint="eastAsia" w:ascii="宋体" w:hAnsi="宋体" w:eastAsia="宋体" w:cs="宋体"/>
          <w:color w:val="000000"/>
          <w:sz w:val="24"/>
          <w:szCs w:val="24"/>
          <w:highlight w:val="none"/>
        </w:rPr>
        <w:t>管理的实际情况，特制订本办法</w:t>
      </w:r>
      <w:r>
        <w:rPr>
          <w:rFonts w:hint="eastAsia" w:ascii="宋体" w:hAnsi="宋体" w:eastAsia="宋体" w:cs="宋体"/>
          <w:color w:val="00000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二、考核要求</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1、按招投标、维护合同的相关维护要求进行维护。</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2、以达到《</w:t>
      </w:r>
      <w:r>
        <w:rPr>
          <w:rFonts w:hint="eastAsia" w:ascii="宋体" w:hAnsi="宋体" w:eastAsia="宋体" w:cs="宋体"/>
          <w:color w:val="000000"/>
          <w:sz w:val="24"/>
          <w:szCs w:val="24"/>
          <w:highlight w:val="none"/>
          <w:lang w:eastAsia="zh-CN"/>
        </w:rPr>
        <w:t>桐庐县城市公共照明设施维护管理标准</w:t>
      </w:r>
      <w:r>
        <w:rPr>
          <w:rFonts w:hint="eastAsia" w:ascii="宋体" w:hAnsi="宋体" w:eastAsia="宋体" w:cs="宋体"/>
          <w:color w:val="000000"/>
          <w:sz w:val="24"/>
          <w:szCs w:val="24"/>
          <w:highlight w:val="none"/>
        </w:rPr>
        <w:t>》的维护要求进行维护。</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3、维护单位在维护过程中要求做到安全施工，文明作业，如发生安全事故问题，须及时上报。</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eastAsia="zh-CN"/>
        </w:rPr>
        <w:t>桐庐县路灯设施维护</w:t>
      </w:r>
      <w:r>
        <w:rPr>
          <w:rFonts w:hint="eastAsia" w:ascii="宋体" w:hAnsi="宋体" w:eastAsia="宋体" w:cs="宋体"/>
          <w:color w:val="000000"/>
          <w:sz w:val="24"/>
          <w:szCs w:val="24"/>
          <w:highlight w:val="none"/>
        </w:rPr>
        <w:t>考核检查分定期检查（每月末）、不定期抽查和专项检查三种。</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5.对</w:t>
      </w:r>
      <w:r>
        <w:rPr>
          <w:rFonts w:hint="eastAsia" w:ascii="宋体" w:hAnsi="宋体" w:eastAsia="宋体" w:cs="宋体"/>
          <w:color w:val="000000"/>
          <w:sz w:val="24"/>
          <w:szCs w:val="24"/>
          <w:highlight w:val="none"/>
          <w:lang w:eastAsia="zh-CN"/>
        </w:rPr>
        <w:t>桐庐县路灯设施维护</w:t>
      </w:r>
      <w:r>
        <w:rPr>
          <w:rFonts w:hint="eastAsia" w:ascii="宋体" w:hAnsi="宋体" w:eastAsia="宋体" w:cs="宋体"/>
          <w:color w:val="000000"/>
          <w:sz w:val="24"/>
          <w:szCs w:val="24"/>
          <w:highlight w:val="none"/>
        </w:rPr>
        <w:t>考核每月总结一次，每月应扣款在维护费或质保金中扣除。</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三、考核范围</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本办法适用于县城由桐庐城市</w:t>
      </w:r>
      <w:r>
        <w:rPr>
          <w:rFonts w:hint="eastAsia" w:ascii="宋体" w:hAnsi="宋体" w:eastAsia="宋体" w:cs="宋体"/>
          <w:color w:val="000000"/>
          <w:sz w:val="24"/>
          <w:szCs w:val="24"/>
          <w:highlight w:val="none"/>
          <w:lang w:eastAsia="zh-CN"/>
        </w:rPr>
        <w:t>基础建设</w:t>
      </w:r>
      <w:r>
        <w:rPr>
          <w:rFonts w:hint="eastAsia" w:ascii="宋体" w:hAnsi="宋体" w:eastAsia="宋体" w:cs="宋体"/>
          <w:color w:val="000000"/>
          <w:sz w:val="24"/>
          <w:szCs w:val="24"/>
          <w:highlight w:val="none"/>
        </w:rPr>
        <w:t>有限公司负责建设的</w:t>
      </w:r>
      <w:r>
        <w:rPr>
          <w:rFonts w:hint="eastAsia" w:ascii="宋体" w:hAnsi="宋体" w:eastAsia="宋体" w:cs="宋体"/>
          <w:color w:val="000000"/>
          <w:sz w:val="24"/>
          <w:szCs w:val="24"/>
          <w:highlight w:val="none"/>
          <w:lang w:eastAsia="zh-CN"/>
        </w:rPr>
        <w:t>路灯维修</w:t>
      </w:r>
      <w:r>
        <w:rPr>
          <w:rFonts w:hint="eastAsia" w:ascii="宋体" w:hAnsi="宋体" w:eastAsia="宋体" w:cs="宋体"/>
          <w:color w:val="000000"/>
          <w:sz w:val="24"/>
          <w:szCs w:val="24"/>
          <w:highlight w:val="none"/>
        </w:rPr>
        <w:t>工程，以及桐庐县市政园林建设管理处负责管理的</w:t>
      </w:r>
      <w:r>
        <w:rPr>
          <w:rFonts w:hint="eastAsia" w:ascii="宋体" w:hAnsi="宋体" w:eastAsia="宋体" w:cs="宋体"/>
          <w:color w:val="000000"/>
          <w:sz w:val="24"/>
          <w:szCs w:val="24"/>
          <w:highlight w:val="none"/>
          <w:lang w:eastAsia="zh-CN"/>
        </w:rPr>
        <w:t>路灯维修</w:t>
      </w:r>
      <w:r>
        <w:rPr>
          <w:rFonts w:hint="eastAsia" w:ascii="宋体" w:hAnsi="宋体" w:eastAsia="宋体" w:cs="宋体"/>
          <w:color w:val="000000"/>
          <w:sz w:val="24"/>
          <w:szCs w:val="24"/>
          <w:highlight w:val="none"/>
        </w:rPr>
        <w:t>工程，其他公共照明设施管理考核可参照执行。</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四．维护要求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1、根据《桐庐县县城城市照明设施维护考核评分标准》建立</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养护基础台帐资料、管理档案；做好养护、巡查、维修、抢修记录，报修处理率100%；对检查发现问题的整改通知单及工作联系单等第一时间整改落实并回复，并确保在国家、省、市各类创建检查中不失责任分。</w:t>
      </w:r>
    </w:p>
    <w:p>
      <w:pPr>
        <w:pStyle w:val="36"/>
        <w:keepNext w:val="0"/>
        <w:keepLines w:val="0"/>
        <w:pageBreakBefore w:val="0"/>
        <w:shd w:val="clear" w:color="auto" w:fill="FFFFFF"/>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灯罩完好，透明罩或玻璃灯罩无破碎和裂纹。灯杆（臂）完好，无变形、转向、损坏。灯罩内反光器要保持其光亮。每次修灯或时隔半年对灯具清扫一次。对于亮灯率根据维护要求，</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亮灯率98%以上，设施完好率95%以上。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的灯具完好，无变形、转向、损坏等现象。</w:t>
      </w:r>
    </w:p>
    <w:p>
      <w:pPr>
        <w:keepNext w:val="0"/>
        <w:keepLines w:val="0"/>
        <w:pageBreakBefore w:val="0"/>
        <w:kinsoku/>
        <w:wordWrap/>
        <w:overflowPunct/>
        <w:topLinePunct w:val="0"/>
        <w:autoSpaceDE/>
        <w:autoSpaceDN/>
        <w:bidi w:val="0"/>
        <w:adjustRightInd/>
        <w:snapToGrid/>
        <w:spacing w:line="360" w:lineRule="auto"/>
        <w:ind w:firstLine="501" w:firstLineChars="209"/>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保持配电箱体完整无缺、基座无损坏、不渗水、无锈蚀、门锁完好，箱内仪表、元部件完好、固定无松动、无损坏、无烧热变色、无异响，门警功能完好。定期对箱内元器件进行检查和清扫，并收集资料，做好记录备查。</w:t>
      </w:r>
    </w:p>
    <w:p>
      <w:pPr>
        <w:pStyle w:val="36"/>
        <w:keepNext w:val="0"/>
        <w:keepLines w:val="0"/>
        <w:pageBreakBefore w:val="0"/>
        <w:shd w:val="clear" w:color="auto" w:fill="FFFFFF"/>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5.保持变压器完整无缺，无噪声及异响，变压器周边保持清洁，同时每年对变压器接地电阻测试一次，接地电阻不得大于 4Ω。并收集资料，做好记录备查。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、地下线路每月巡视一次，确保设施完好率在95％以上，确保电缆无裸露。加强日常巡查，对偷盗、损坏的</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照明设施第一时间内修复。维修所用的元器件应达到原设计要求，同品牌、同规格的合格产品。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、建立巡查、维护、抢修管理台帐，将体系、人员名单、资料报采购方备案。维修人员必须具备相关资质，电工必须有供电部门入网操作资格，同时维修、抢修过程中必须放置警示标志，对所有责任事故负全责。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、确保架空线路设施完好率在95％以上，确保架空电线无悬挂脱落、导线弧垂度合理，及时调整导线，保证线间安全距离。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9、做好突发事件处理及防汛、抗台、抗雪应急抢险工作。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10、建立24小时值班制度，及时处理“三来件”事项，保证办结率和回复率达到100%，满意率98%以上。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11、其他要求实施的工作。</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五．维护管理考核要求。</w:t>
      </w:r>
    </w:p>
    <w:p>
      <w:pPr>
        <w:keepNext w:val="0"/>
        <w:keepLines w:val="0"/>
        <w:pageBreakBefore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养护管理实行百分制考评，得分在90分（含90分）以上，可计取当月度养护费；得分在90分—85分（含85分），按90分（不含90分）计每下降1分扣除当月0.5%养护费以此类推。得分在85分（不含85分）以下，扣除当月养护经费的10%，并通报批评。</w:t>
      </w:r>
    </w:p>
    <w:p>
      <w:pPr>
        <w:keepNext w:val="0"/>
        <w:keepLines w:val="0"/>
        <w:pageBreakBefore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对养护检查中发现的问题要在3日内进行整改。逾期不改的对养护管理单位给予通报批评，并视情扣除养护经费；情节严重的，中止养护合同、同时没收履约保证金，并取消参加桐庐县城市路灯维护管理投标资格壹年。</w:t>
      </w:r>
    </w:p>
    <w:p>
      <w:pPr>
        <w:keepNext w:val="0"/>
        <w:keepLines w:val="0"/>
        <w:pageBreakBefore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3、上级有关部门发出整改通知书且不整改或整改不力的，第一次扣1000元，第二次扣5000元，第三次扣20000元，同一问题3次不整改或整改不力的，甲方有权予以解除合同，履约保证金不予归还。</w:t>
      </w:r>
    </w:p>
    <w:p>
      <w:pPr>
        <w:pStyle w:val="9"/>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4、养护管理月度考核中不合格的（综合成绩85分以下的），对养护管理单位给予通报批评，并扣除该月10%养护经费。在季度考核中出现两次不合格的，终止养护合同、同时没收履约保证金，并取消参加桐庐县城市路灯维护管理投标资格贰年。</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eastAsia="zh-CN"/>
        </w:rPr>
        <w:t>六</w:t>
      </w:r>
      <w:r>
        <w:rPr>
          <w:rFonts w:hint="eastAsia" w:ascii="宋体" w:hAnsi="宋体" w:eastAsia="宋体" w:cs="宋体"/>
          <w:b/>
          <w:color w:val="000000"/>
          <w:sz w:val="24"/>
          <w:szCs w:val="24"/>
          <w:highlight w:val="none"/>
        </w:rPr>
        <w:t>、考核内容</w:t>
      </w:r>
    </w:p>
    <w:p>
      <w:pPr>
        <w:keepNext w:val="0"/>
        <w:keepLines w:val="0"/>
        <w:pageBreakBefore w:val="0"/>
        <w:kinsoku/>
        <w:wordWrap/>
        <w:overflowPunct/>
        <w:topLinePunct w:val="0"/>
        <w:autoSpaceDE/>
        <w:autoSpaceDN/>
        <w:bidi w:val="0"/>
        <w:adjustRightInd/>
        <w:snapToGrid/>
        <w:spacing w:line="360" w:lineRule="auto"/>
        <w:ind w:left="1"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1、严格遵守建设部门的安全管理条例，服从安检人员的稽查，对违章行为按电力部门有关规定进行处罚。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照明设施维护和质保期内管理须服从</w:t>
      </w:r>
      <w:r>
        <w:rPr>
          <w:rFonts w:hint="eastAsia" w:ascii="宋体" w:hAnsi="宋体" w:eastAsia="宋体" w:cs="宋体"/>
          <w:color w:val="000000"/>
          <w:sz w:val="24"/>
          <w:szCs w:val="24"/>
          <w:highlight w:val="none"/>
          <w:lang w:eastAsia="zh-CN"/>
        </w:rPr>
        <w:t>桐庐县市政园林建设管理处的</w:t>
      </w:r>
      <w:r>
        <w:rPr>
          <w:rFonts w:hint="eastAsia" w:ascii="宋体" w:hAnsi="宋体" w:eastAsia="宋体" w:cs="宋体"/>
          <w:color w:val="000000"/>
          <w:sz w:val="24"/>
          <w:szCs w:val="24"/>
          <w:highlight w:val="none"/>
        </w:rPr>
        <w:t>管理人员的合理调度和指挥，不配合管理每次扣3分。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亮灯率必须达到98%以上，月度总考核达不到亮灯率98%，每降低一个百分点扣5分</w:t>
      </w:r>
      <w:r>
        <w:rPr>
          <w:rFonts w:hint="eastAsia" w:ascii="宋体" w:hAnsi="宋体" w:eastAsia="宋体" w:cs="宋体"/>
          <w:color w:val="00000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4.发现外形不完好，有破损、漏电、脱落现象，单盏</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不亮、缺亮、跳闪。发出整改通知书须在24小时内修复。发出整改通知书后，维护单位需在规定时间之内整改完成，跟踪检查发现逾期未整改每超一天扣0.5分。</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5.负责</w:t>
      </w:r>
      <w:r>
        <w:rPr>
          <w:rFonts w:hint="eastAsia" w:ascii="宋体" w:hAnsi="宋体" w:eastAsia="宋体" w:cs="宋体"/>
          <w:color w:val="000000"/>
          <w:sz w:val="24"/>
          <w:szCs w:val="24"/>
          <w:highlight w:val="none"/>
          <w:lang w:eastAsia="zh-CN"/>
        </w:rPr>
        <w:t>桐庐县路灯</w:t>
      </w:r>
      <w:r>
        <w:rPr>
          <w:rFonts w:hint="eastAsia" w:ascii="宋体" w:hAnsi="宋体" w:eastAsia="宋体" w:cs="宋体"/>
          <w:color w:val="000000"/>
          <w:sz w:val="24"/>
          <w:szCs w:val="24"/>
          <w:highlight w:val="none"/>
        </w:rPr>
        <w:t>的启闭灯管理工作，在启闭灯时段内，未做好亮灯保障或未及时关闭灯，每发生一次扣0.5分，当月每增加一次再增扣1分。如发生一般事故每次扣2分。</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、未按合同要求完成工作，每一项扣0.4分。因工作失误而导致上级批评、新闻曝光，每次扣2分。</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、建立健全</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设施维护的台帐资料，次月5日将上月的日常巡查维修台帐统一上报到</w:t>
      </w:r>
      <w:r>
        <w:rPr>
          <w:rFonts w:hint="eastAsia" w:ascii="宋体" w:hAnsi="宋体" w:eastAsia="宋体" w:cs="宋体"/>
          <w:color w:val="000000"/>
          <w:sz w:val="24"/>
          <w:szCs w:val="24"/>
          <w:highlight w:val="none"/>
          <w:lang w:eastAsia="zh-CN"/>
        </w:rPr>
        <w:t>桐庐县市政园林建设管理处</w:t>
      </w:r>
      <w:r>
        <w:rPr>
          <w:rFonts w:hint="eastAsia" w:ascii="宋体" w:hAnsi="宋体" w:eastAsia="宋体" w:cs="宋体"/>
          <w:color w:val="000000"/>
          <w:sz w:val="24"/>
          <w:szCs w:val="24"/>
          <w:highlight w:val="none"/>
        </w:rPr>
        <w:t>。逾期不报，每次扣0.4分。</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、认真对待市民来信来电的处理意见。及时处理“三来件”事项以及“数字城管”反映件，保证办结率和回复率达到100%，满意率100%以上。如答件达不到满意要求，每件扣1分。</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b/>
          <w:bCs/>
          <w:color w:val="FF0000"/>
          <w:sz w:val="24"/>
          <w:szCs w:val="24"/>
          <w:highlight w:val="none"/>
        </w:rPr>
        <w:t xml:space="preserve">  </w:t>
      </w:r>
      <w:r>
        <w:rPr>
          <w:rFonts w:hint="eastAsia" w:ascii="宋体" w:hAnsi="宋体" w:eastAsia="宋体" w:cs="宋体"/>
          <w:b/>
          <w:bCs/>
          <w:color w:val="FF0000"/>
          <w:sz w:val="24"/>
          <w:szCs w:val="24"/>
          <w:highlight w:val="none"/>
          <w:lang w:val="en-US" w:eastAsia="zh-CN"/>
        </w:rPr>
        <w:t>9</w:t>
      </w:r>
      <w:r>
        <w:rPr>
          <w:rFonts w:hint="eastAsia" w:ascii="宋体" w:hAnsi="宋体" w:eastAsia="宋体" w:cs="宋体"/>
          <w:b/>
          <w:bCs/>
          <w:color w:val="FF0000"/>
          <w:sz w:val="24"/>
          <w:szCs w:val="24"/>
          <w:highlight w:val="none"/>
        </w:rPr>
        <w:t>、做好各类规格型号电缆维护：因线路被盗、年久老化（无安全保障）等，由维护单位及时负责调换（恢复费用由维护单位承担），仍不实施恢复的，造成区块</w:t>
      </w:r>
      <w:r>
        <w:rPr>
          <w:rFonts w:hint="eastAsia" w:ascii="宋体" w:hAnsi="宋体" w:eastAsia="宋体" w:cs="宋体"/>
          <w:b/>
          <w:bCs/>
          <w:color w:val="FF0000"/>
          <w:sz w:val="24"/>
          <w:szCs w:val="24"/>
          <w:highlight w:val="none"/>
          <w:lang w:eastAsia="zh-CN"/>
        </w:rPr>
        <w:t>路灯</w:t>
      </w:r>
      <w:r>
        <w:rPr>
          <w:rFonts w:hint="eastAsia" w:ascii="宋体" w:hAnsi="宋体" w:eastAsia="宋体" w:cs="宋体"/>
          <w:b/>
          <w:bCs/>
          <w:color w:val="FF0000"/>
          <w:sz w:val="24"/>
          <w:szCs w:val="24"/>
          <w:highlight w:val="none"/>
        </w:rPr>
        <w:t>不亮。每超一天扣3分，直到修复亮灯为止。</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、确保设备完好率：灯具设施无明显污物、遮盖、破损、乱贴乱挂的为合格。使用的维修材料符合要求。每发现一处问题，发出整改通知书后，维护单位未在规定时间之内整改完成，每次扣1分。</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、如遇突发抢修时，应立即组织人员赶赴现场进行抢修，保证</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正常运转。如不及时处理按责任事故对维护单位进行处罚，每次扣5分。</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、严格按要求使用优质的维修材料。维护期间对无法使用的灯具、光源、电器、更换时品牌的选择应与原使用的品牌相同。如发现品牌不同，而且质量不过关的，每发现一处问题，每处扣0.2分。</w:t>
      </w:r>
    </w:p>
    <w:p>
      <w:pPr>
        <w:keepNext w:val="0"/>
        <w:keepLines w:val="0"/>
        <w:pageBreakBefore w:val="0"/>
        <w:tabs>
          <w:tab w:val="left" w:pos="900"/>
          <w:tab w:val="left" w:pos="1800"/>
        </w:tabs>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13</w:t>
      </w:r>
      <w:r>
        <w:rPr>
          <w:rFonts w:hint="eastAsia" w:ascii="宋体" w:hAnsi="宋体" w:eastAsia="宋体" w:cs="宋体"/>
          <w:color w:val="000000"/>
          <w:sz w:val="24"/>
          <w:szCs w:val="24"/>
          <w:highlight w:val="none"/>
        </w:rPr>
        <w:t>、负责辖区内照明及相配套设施的维护运行，确保所有运行设备的可靠、安全。承担因维护不力引起设备、人身事故的全部安全责任。</w:t>
      </w:r>
    </w:p>
    <w:p>
      <w:pPr>
        <w:keepNext w:val="0"/>
        <w:keepLines w:val="0"/>
        <w:pageBreakBefore w:val="0"/>
        <w:tabs>
          <w:tab w:val="left" w:pos="900"/>
          <w:tab w:val="left" w:pos="1800"/>
        </w:tabs>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rPr>
        <w:t>、因维护不当造成的事故，如每发生一次重大责任事故和重大安全事故，每次扣10分；每发生一次一般责任事故和一般安全事故，每次扣考核分5分。</w:t>
      </w:r>
    </w:p>
    <w:p>
      <w:pPr>
        <w:keepNext w:val="0"/>
        <w:keepLines w:val="0"/>
        <w:pageBreakBefore w:val="0"/>
        <w:tabs>
          <w:tab w:val="left" w:pos="900"/>
          <w:tab w:val="left" w:pos="1800"/>
        </w:tabs>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15</w:t>
      </w:r>
      <w:r>
        <w:rPr>
          <w:rFonts w:hint="eastAsia" w:ascii="宋体" w:hAnsi="宋体" w:eastAsia="宋体" w:cs="宋体"/>
          <w:color w:val="000000"/>
          <w:sz w:val="24"/>
          <w:szCs w:val="24"/>
          <w:highlight w:val="none"/>
        </w:rPr>
        <w:t>、如因控制室工作人员责任心不强，造成</w:t>
      </w:r>
      <w:r>
        <w:rPr>
          <w:rFonts w:hint="eastAsia" w:ascii="宋体" w:hAnsi="宋体" w:eastAsia="宋体" w:cs="宋体"/>
          <w:color w:val="000000"/>
          <w:sz w:val="24"/>
          <w:szCs w:val="24"/>
          <w:highlight w:val="none"/>
          <w:lang w:eastAsia="zh-CN"/>
        </w:rPr>
        <w:t>路灯</w:t>
      </w:r>
      <w:r>
        <w:rPr>
          <w:rFonts w:hint="eastAsia" w:ascii="宋体" w:hAnsi="宋体" w:eastAsia="宋体" w:cs="宋体"/>
          <w:color w:val="000000"/>
          <w:sz w:val="24"/>
          <w:szCs w:val="24"/>
          <w:highlight w:val="none"/>
        </w:rPr>
        <w:t>不亮或常开（或阴雨天气没有按要求开关）乙方应负一切责任事故，并承担由此造成的一切经济赔偿责任。再处以每次扣考核分5分（或取消控制室管理权并扣除控制室所有维护费）。</w:t>
      </w:r>
    </w:p>
    <w:p>
      <w:pPr>
        <w:keepNext w:val="0"/>
        <w:keepLines w:val="0"/>
        <w:pageBreakBefore w:val="0"/>
        <w:tabs>
          <w:tab w:val="left" w:pos="900"/>
          <w:tab w:val="left" w:pos="1800"/>
        </w:tabs>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注：每月考核达到95%以上不扣维护费，考核分在90%至95%中每扣一分扣当月维护费500元。</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eastAsia="zh-CN"/>
        </w:rPr>
        <w:t>七、</w:t>
      </w:r>
      <w:r>
        <w:rPr>
          <w:rFonts w:hint="eastAsia" w:ascii="宋体" w:hAnsi="宋体" w:eastAsia="宋体" w:cs="宋体"/>
          <w:b/>
          <w:color w:val="000000"/>
          <w:sz w:val="24"/>
          <w:szCs w:val="24"/>
          <w:highlight w:val="none"/>
        </w:rPr>
        <w:t>考核</w:t>
      </w:r>
      <w:r>
        <w:rPr>
          <w:rFonts w:hint="eastAsia" w:ascii="宋体" w:hAnsi="宋体" w:eastAsia="宋体" w:cs="宋体"/>
          <w:b/>
          <w:color w:val="000000"/>
          <w:sz w:val="24"/>
          <w:szCs w:val="24"/>
          <w:highlight w:val="none"/>
          <w:lang w:eastAsia="zh-CN"/>
        </w:rPr>
        <w:t>单位</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桐庐县市政园林建设管理处</w:t>
      </w:r>
    </w:p>
    <w:p>
      <w:pPr>
        <w:bidi w:val="0"/>
        <w:jc w:val="both"/>
        <w:rPr>
          <w:rFonts w:hint="eastAsia"/>
          <w:lang w:val="en-US" w:eastAsia="zh-CN"/>
        </w:rPr>
      </w:pPr>
    </w:p>
    <w:p>
      <w:pPr>
        <w:pStyle w:val="2"/>
        <w:rPr>
          <w:rFonts w:ascii="宋体" w:hAnsi="宋体"/>
          <w:sz w:val="24"/>
        </w:rPr>
      </w:pPr>
    </w:p>
    <w:p>
      <w:pPr>
        <w:pStyle w:val="2"/>
        <w:ind w:left="0" w:leftChars="0" w:firstLine="0" w:firstLineChars="0"/>
        <w:rPr>
          <w:rFonts w:hint="eastAsia" w:ascii="宋体" w:hAnsi="宋体" w:eastAsia="宋体"/>
          <w:sz w:val="32"/>
          <w:szCs w:val="32"/>
          <w:lang w:val="en-US" w:eastAsia="zh-CN"/>
        </w:rPr>
      </w:pPr>
    </w:p>
    <w:sectPr>
      <w:pgSz w:w="11906" w:h="16838"/>
      <w:pgMar w:top="1021" w:right="1134" w:bottom="1021"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UniversalMath1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altName w:val="微软雅黑"/>
    <w:panose1 w:val="00000000000000000000"/>
    <w:charset w:val="00"/>
    <w:family w:val="auto"/>
    <w:pitch w:val="default"/>
    <w:sig w:usb0="00000000" w:usb1="00000000" w:usb2="00000000" w:usb3="00000000" w:csb0="00000000" w:csb1="00000000"/>
  </w:font>
  <w:font w:name="楷体_GB2312">
    <w:altName w:val="微软雅黑"/>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Comic Sans MS">
    <w:altName w:val="RomanS"/>
    <w:panose1 w:val="030F0702030302020204"/>
    <w:charset w:val="00"/>
    <w:family w:val="script"/>
    <w:pitch w:val="default"/>
    <w:sig w:usb0="00000000"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Optima">
    <w:altName w:val="NumberOnly"/>
    <w:panose1 w:val="020B0502050508020304"/>
    <w:charset w:val="00"/>
    <w:family w:val="swiss"/>
    <w:pitch w:val="default"/>
    <w:sig w:usb0="00000000" w:usb1="00000000" w:usb2="00000000" w:usb3="00000000" w:csb0="00000000" w:csb1="00000000"/>
  </w:font>
  <w:font w:name="Romantic">
    <w:panose1 w:val="00000400000000000000"/>
    <w:charset w:val="02"/>
    <w:family w:val="auto"/>
    <w:pitch w:val="default"/>
    <w:sig w:usb0="00000000" w:usb1="00000000" w:usb2="00000000" w:usb3="00000000" w:csb0="00000000" w:csb1="00000000"/>
  </w:font>
  <w:font w:name="微软大黑体">
    <w:altName w:val="宋体"/>
    <w:panose1 w:val="00000000000000000000"/>
    <w:charset w:val="86"/>
    <w:family w:val="modern"/>
    <w:pitch w:val="default"/>
    <w:sig w:usb0="00000000" w:usb1="00000000" w:usb2="00000010" w:usb3="00000000" w:csb0="00040000" w:csb1="00000000"/>
  </w:font>
  <w:font w:name="Arial Black">
    <w:altName w:val="Arial"/>
    <w:panose1 w:val="020B0A04020102020204"/>
    <w:charset w:val="00"/>
    <w:family w:val="swiss"/>
    <w:pitch w:val="default"/>
    <w:sig w:usb0="00000000" w:usb1="00000000" w:usb2="00000000" w:usb3="00000000" w:csb0="2000009F" w:csb1="DFD7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UniversalMath1 BT">
    <w:panose1 w:val="05050102010205020602"/>
    <w:charset w:val="00"/>
    <w:family w:val="auto"/>
    <w:pitch w:val="default"/>
    <w:sig w:usb0="00000000" w:usb1="00000000" w:usb2="00000000" w:usb3="00000000" w:csb0="00000000" w:csb1="00000000"/>
  </w:font>
  <w:font w:name="Bookshelf Symbol 7">
    <w:panose1 w:val="05010101010101010101"/>
    <w:charset w:val="00"/>
    <w:family w:val="auto"/>
    <w:pitch w:val="default"/>
    <w:sig w:usb0="00000000" w:usb1="00000000" w:usb2="00000000" w:usb3="00000000" w:csb0="80000000" w:csb1="00000000"/>
  </w:font>
  <w:font w:name="RomanS">
    <w:panose1 w:val="02000400000000000000"/>
    <w:charset w:val="00"/>
    <w:family w:val="auto"/>
    <w:pitch w:val="default"/>
    <w:sig w:usb0="00000207" w:usb1="00000000" w:usb2="00000000" w:usb3="00000000" w:csb0="000001F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16</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2cvmSsQEA&#10;AE4DAAAOAAAAAAAAAAEAIAAAAB4BAABkcnMvZTJvRG9jLnhtbFBLBQYAAAAABgAGAFkBAABBBQAA&#10;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i/>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Ve8iWwAQAA&#10;TgMAAA4AAAAAAAAAAQAgAAAAHgEAAGRycy9lMm9Eb2MueG1sUEsFBgAAAAAGAAYAWQEAAEAFAAAA&#10;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宋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A4B2E"/>
    <w:multiLevelType w:val="singleLevel"/>
    <w:tmpl w:val="8E6A4B2E"/>
    <w:lvl w:ilvl="0" w:tentative="0">
      <w:start w:val="2"/>
      <w:numFmt w:val="decimal"/>
      <w:suff w:val="nothing"/>
      <w:lvlText w:val="%1、"/>
      <w:lvlJc w:val="left"/>
    </w:lvl>
  </w:abstractNum>
  <w:abstractNum w:abstractNumId="1">
    <w:nsid w:val="9B751BCC"/>
    <w:multiLevelType w:val="singleLevel"/>
    <w:tmpl w:val="9B751BCC"/>
    <w:lvl w:ilvl="0" w:tentative="0">
      <w:start w:val="6"/>
      <w:numFmt w:val="chineseCounting"/>
      <w:suff w:val="nothing"/>
      <w:lvlText w:val="（%1）"/>
      <w:lvlJc w:val="left"/>
      <w:rPr>
        <w:rFonts w:hint="eastAsia"/>
      </w:rPr>
    </w:lvl>
  </w:abstractNum>
  <w:abstractNum w:abstractNumId="2">
    <w:nsid w:val="C5C33D73"/>
    <w:multiLevelType w:val="singleLevel"/>
    <w:tmpl w:val="C5C33D73"/>
    <w:lvl w:ilvl="0" w:tentative="0">
      <w:start w:val="1"/>
      <w:numFmt w:val="decimal"/>
      <w:suff w:val="nothing"/>
      <w:lvlText w:val="%1、"/>
      <w:lvlJc w:val="left"/>
    </w:lvl>
  </w:abstractNum>
  <w:abstractNum w:abstractNumId="3">
    <w:nsid w:val="E1DE1971"/>
    <w:multiLevelType w:val="singleLevel"/>
    <w:tmpl w:val="E1DE1971"/>
    <w:lvl w:ilvl="0" w:tentative="0">
      <w:start w:val="2"/>
      <w:numFmt w:val="chineseCounting"/>
      <w:suff w:val="space"/>
      <w:lvlText w:val="第%1章"/>
      <w:lvlJc w:val="left"/>
      <w:rPr>
        <w:rFonts w:hint="eastAsia"/>
      </w:rPr>
    </w:lvl>
  </w:abstractNum>
  <w:abstractNum w:abstractNumId="4">
    <w:nsid w:val="00000002"/>
    <w:multiLevelType w:val="multilevel"/>
    <w:tmpl w:val="00000002"/>
    <w:lvl w:ilvl="0" w:tentative="0">
      <w:start w:val="1"/>
      <w:numFmt w:val="decimal"/>
      <w:pStyle w:val="13"/>
      <w:lvlText w:val="（%1）"/>
      <w:lvlJc w:val="left"/>
      <w:pPr>
        <w:tabs>
          <w:tab w:val="left" w:pos="980"/>
        </w:tabs>
        <w:ind w:left="9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singleLevel"/>
    <w:tmpl w:val="0000000B"/>
    <w:lvl w:ilvl="0" w:tentative="0">
      <w:start w:val="4"/>
      <w:numFmt w:val="chineseCounting"/>
      <w:suff w:val="nothing"/>
      <w:lvlText w:val="（%1）"/>
      <w:lvlJc w:val="left"/>
    </w:lvl>
  </w:abstractNum>
  <w:abstractNum w:abstractNumId="6">
    <w:nsid w:val="0000000C"/>
    <w:multiLevelType w:val="multilevel"/>
    <w:tmpl w:val="0000000C"/>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D666942"/>
    <w:multiLevelType w:val="singleLevel"/>
    <w:tmpl w:val="1D666942"/>
    <w:lvl w:ilvl="0" w:tentative="0">
      <w:start w:val="1"/>
      <w:numFmt w:val="decimal"/>
      <w:suff w:val="nothing"/>
      <w:lvlText w:val="%1、"/>
      <w:lvlJc w:val="left"/>
    </w:lvl>
  </w:abstractNum>
  <w:abstractNum w:abstractNumId="8">
    <w:nsid w:val="3AC6FA1A"/>
    <w:multiLevelType w:val="singleLevel"/>
    <w:tmpl w:val="3AC6FA1A"/>
    <w:lvl w:ilvl="0" w:tentative="0">
      <w:start w:val="5"/>
      <w:numFmt w:val="chineseCounting"/>
      <w:suff w:val="space"/>
      <w:lvlText w:val="第%1章"/>
      <w:lvlJc w:val="left"/>
      <w:rPr>
        <w:rFonts w:hint="eastAsia"/>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8B"/>
    <w:rsid w:val="00004BBA"/>
    <w:rsid w:val="000052DD"/>
    <w:rsid w:val="0000611D"/>
    <w:rsid w:val="00006BB2"/>
    <w:rsid w:val="00016D34"/>
    <w:rsid w:val="0002310E"/>
    <w:rsid w:val="00023766"/>
    <w:rsid w:val="00024D87"/>
    <w:rsid w:val="00025CA1"/>
    <w:rsid w:val="000403F6"/>
    <w:rsid w:val="00040730"/>
    <w:rsid w:val="00042EDA"/>
    <w:rsid w:val="00047B9D"/>
    <w:rsid w:val="00050E9C"/>
    <w:rsid w:val="00055844"/>
    <w:rsid w:val="00062F55"/>
    <w:rsid w:val="000656FE"/>
    <w:rsid w:val="000714F7"/>
    <w:rsid w:val="00077A18"/>
    <w:rsid w:val="00082294"/>
    <w:rsid w:val="000871D3"/>
    <w:rsid w:val="00096AB5"/>
    <w:rsid w:val="00096E48"/>
    <w:rsid w:val="000A1EF1"/>
    <w:rsid w:val="000A226C"/>
    <w:rsid w:val="000A4E0A"/>
    <w:rsid w:val="000A5D01"/>
    <w:rsid w:val="000A5ED2"/>
    <w:rsid w:val="000A665E"/>
    <w:rsid w:val="000B39E4"/>
    <w:rsid w:val="000B7EE3"/>
    <w:rsid w:val="000C088F"/>
    <w:rsid w:val="000C11AF"/>
    <w:rsid w:val="000C449D"/>
    <w:rsid w:val="000C4D69"/>
    <w:rsid w:val="000C55C9"/>
    <w:rsid w:val="000C5A1B"/>
    <w:rsid w:val="000D1C17"/>
    <w:rsid w:val="000D2687"/>
    <w:rsid w:val="000D44B8"/>
    <w:rsid w:val="000D7D4C"/>
    <w:rsid w:val="000E3E86"/>
    <w:rsid w:val="000E723A"/>
    <w:rsid w:val="000F4F19"/>
    <w:rsid w:val="00104594"/>
    <w:rsid w:val="00111F00"/>
    <w:rsid w:val="00112B26"/>
    <w:rsid w:val="0011423E"/>
    <w:rsid w:val="00115FC3"/>
    <w:rsid w:val="001219D3"/>
    <w:rsid w:val="00122FE4"/>
    <w:rsid w:val="001246B2"/>
    <w:rsid w:val="00131663"/>
    <w:rsid w:val="001346FB"/>
    <w:rsid w:val="00136C26"/>
    <w:rsid w:val="0014016E"/>
    <w:rsid w:val="00142148"/>
    <w:rsid w:val="00145748"/>
    <w:rsid w:val="001567EE"/>
    <w:rsid w:val="00160CAC"/>
    <w:rsid w:val="001642BB"/>
    <w:rsid w:val="00171740"/>
    <w:rsid w:val="00172523"/>
    <w:rsid w:val="00172A27"/>
    <w:rsid w:val="00176703"/>
    <w:rsid w:val="001842B5"/>
    <w:rsid w:val="00194052"/>
    <w:rsid w:val="001A0516"/>
    <w:rsid w:val="001A4498"/>
    <w:rsid w:val="001A7C52"/>
    <w:rsid w:val="001B0B49"/>
    <w:rsid w:val="001B28DB"/>
    <w:rsid w:val="001B4FA0"/>
    <w:rsid w:val="001B641E"/>
    <w:rsid w:val="001C49EA"/>
    <w:rsid w:val="001C6DF3"/>
    <w:rsid w:val="001C793F"/>
    <w:rsid w:val="001D5712"/>
    <w:rsid w:val="001D5B76"/>
    <w:rsid w:val="001E4514"/>
    <w:rsid w:val="001E7A68"/>
    <w:rsid w:val="001F3911"/>
    <w:rsid w:val="001F3A32"/>
    <w:rsid w:val="001F49E3"/>
    <w:rsid w:val="001F52FE"/>
    <w:rsid w:val="001F53E5"/>
    <w:rsid w:val="00203F72"/>
    <w:rsid w:val="00204910"/>
    <w:rsid w:val="00204D76"/>
    <w:rsid w:val="002054F3"/>
    <w:rsid w:val="0020551E"/>
    <w:rsid w:val="00207B2A"/>
    <w:rsid w:val="0022109C"/>
    <w:rsid w:val="00222FA6"/>
    <w:rsid w:val="00225364"/>
    <w:rsid w:val="00226855"/>
    <w:rsid w:val="00226B2D"/>
    <w:rsid w:val="00227BE1"/>
    <w:rsid w:val="00232276"/>
    <w:rsid w:val="00233BD0"/>
    <w:rsid w:val="00234D7E"/>
    <w:rsid w:val="00236032"/>
    <w:rsid w:val="00242B25"/>
    <w:rsid w:val="00244179"/>
    <w:rsid w:val="002457CA"/>
    <w:rsid w:val="00245BEF"/>
    <w:rsid w:val="00250C76"/>
    <w:rsid w:val="00253415"/>
    <w:rsid w:val="00254414"/>
    <w:rsid w:val="00254D4B"/>
    <w:rsid w:val="00255D47"/>
    <w:rsid w:val="00260173"/>
    <w:rsid w:val="0026628A"/>
    <w:rsid w:val="00266791"/>
    <w:rsid w:val="00267892"/>
    <w:rsid w:val="00274395"/>
    <w:rsid w:val="002748E1"/>
    <w:rsid w:val="00275524"/>
    <w:rsid w:val="00275976"/>
    <w:rsid w:val="00280CDC"/>
    <w:rsid w:val="00284BB8"/>
    <w:rsid w:val="00287946"/>
    <w:rsid w:val="00287C2D"/>
    <w:rsid w:val="0029393C"/>
    <w:rsid w:val="00296BB3"/>
    <w:rsid w:val="002A1478"/>
    <w:rsid w:val="002B3DAC"/>
    <w:rsid w:val="002B538C"/>
    <w:rsid w:val="002B5C00"/>
    <w:rsid w:val="002B7648"/>
    <w:rsid w:val="002C2083"/>
    <w:rsid w:val="002C3142"/>
    <w:rsid w:val="002D2667"/>
    <w:rsid w:val="002D2C43"/>
    <w:rsid w:val="002D3C70"/>
    <w:rsid w:val="002D7456"/>
    <w:rsid w:val="002D78F7"/>
    <w:rsid w:val="002E19C7"/>
    <w:rsid w:val="002E2F71"/>
    <w:rsid w:val="002E5762"/>
    <w:rsid w:val="002E6EC6"/>
    <w:rsid w:val="002F401E"/>
    <w:rsid w:val="002F4D8D"/>
    <w:rsid w:val="003019D4"/>
    <w:rsid w:val="003054A9"/>
    <w:rsid w:val="00306E98"/>
    <w:rsid w:val="00313250"/>
    <w:rsid w:val="003145F3"/>
    <w:rsid w:val="00315A2A"/>
    <w:rsid w:val="0031684F"/>
    <w:rsid w:val="003226E4"/>
    <w:rsid w:val="00323274"/>
    <w:rsid w:val="00324F59"/>
    <w:rsid w:val="00325F4C"/>
    <w:rsid w:val="00326423"/>
    <w:rsid w:val="00326F92"/>
    <w:rsid w:val="0032790E"/>
    <w:rsid w:val="00330487"/>
    <w:rsid w:val="0033057E"/>
    <w:rsid w:val="00333C27"/>
    <w:rsid w:val="003458CA"/>
    <w:rsid w:val="00350843"/>
    <w:rsid w:val="0035089A"/>
    <w:rsid w:val="003523D1"/>
    <w:rsid w:val="00355914"/>
    <w:rsid w:val="00362983"/>
    <w:rsid w:val="00362EA9"/>
    <w:rsid w:val="00365537"/>
    <w:rsid w:val="00367EDE"/>
    <w:rsid w:val="00371CB6"/>
    <w:rsid w:val="00371DC6"/>
    <w:rsid w:val="003721F6"/>
    <w:rsid w:val="00377704"/>
    <w:rsid w:val="00380962"/>
    <w:rsid w:val="00380E17"/>
    <w:rsid w:val="0038430B"/>
    <w:rsid w:val="00390825"/>
    <w:rsid w:val="003A0A43"/>
    <w:rsid w:val="003A357B"/>
    <w:rsid w:val="003A5356"/>
    <w:rsid w:val="003B08A2"/>
    <w:rsid w:val="003B0AC8"/>
    <w:rsid w:val="003B14BA"/>
    <w:rsid w:val="003B55EE"/>
    <w:rsid w:val="003B6FB5"/>
    <w:rsid w:val="003C0314"/>
    <w:rsid w:val="003C2C6F"/>
    <w:rsid w:val="003C47E0"/>
    <w:rsid w:val="003C5C4E"/>
    <w:rsid w:val="003C735F"/>
    <w:rsid w:val="003D0D5D"/>
    <w:rsid w:val="003D2486"/>
    <w:rsid w:val="003D3258"/>
    <w:rsid w:val="003D46A8"/>
    <w:rsid w:val="003D49AF"/>
    <w:rsid w:val="003D4A97"/>
    <w:rsid w:val="003E1BCD"/>
    <w:rsid w:val="003E3389"/>
    <w:rsid w:val="003E4977"/>
    <w:rsid w:val="003E7618"/>
    <w:rsid w:val="003F2758"/>
    <w:rsid w:val="003F3F29"/>
    <w:rsid w:val="003F50BE"/>
    <w:rsid w:val="003F73BF"/>
    <w:rsid w:val="003F7553"/>
    <w:rsid w:val="00400B2A"/>
    <w:rsid w:val="00401992"/>
    <w:rsid w:val="00403BA4"/>
    <w:rsid w:val="004106B6"/>
    <w:rsid w:val="00410752"/>
    <w:rsid w:val="0041104C"/>
    <w:rsid w:val="00417ADB"/>
    <w:rsid w:val="00421381"/>
    <w:rsid w:val="00422609"/>
    <w:rsid w:val="00424EC2"/>
    <w:rsid w:val="00425DAB"/>
    <w:rsid w:val="00426FF6"/>
    <w:rsid w:val="004302D8"/>
    <w:rsid w:val="00432408"/>
    <w:rsid w:val="00432777"/>
    <w:rsid w:val="0043359C"/>
    <w:rsid w:val="0043369F"/>
    <w:rsid w:val="00441BBF"/>
    <w:rsid w:val="00442660"/>
    <w:rsid w:val="004430C9"/>
    <w:rsid w:val="00444F05"/>
    <w:rsid w:val="004535EB"/>
    <w:rsid w:val="004600F9"/>
    <w:rsid w:val="00460653"/>
    <w:rsid w:val="00463FEB"/>
    <w:rsid w:val="00467D73"/>
    <w:rsid w:val="0047041A"/>
    <w:rsid w:val="00473453"/>
    <w:rsid w:val="00473690"/>
    <w:rsid w:val="00473FD1"/>
    <w:rsid w:val="00476BB0"/>
    <w:rsid w:val="004775D6"/>
    <w:rsid w:val="00480428"/>
    <w:rsid w:val="004834E0"/>
    <w:rsid w:val="004874B2"/>
    <w:rsid w:val="004921A5"/>
    <w:rsid w:val="004943CD"/>
    <w:rsid w:val="00494B3E"/>
    <w:rsid w:val="004A0284"/>
    <w:rsid w:val="004A4861"/>
    <w:rsid w:val="004A5A34"/>
    <w:rsid w:val="004A6A2C"/>
    <w:rsid w:val="004B27C5"/>
    <w:rsid w:val="004B2880"/>
    <w:rsid w:val="004B37CF"/>
    <w:rsid w:val="004C10DF"/>
    <w:rsid w:val="004D0FA8"/>
    <w:rsid w:val="004D2907"/>
    <w:rsid w:val="004E0AD8"/>
    <w:rsid w:val="004E25AD"/>
    <w:rsid w:val="004E3206"/>
    <w:rsid w:val="004F1254"/>
    <w:rsid w:val="004F1E34"/>
    <w:rsid w:val="004F3B57"/>
    <w:rsid w:val="004F62B1"/>
    <w:rsid w:val="00501470"/>
    <w:rsid w:val="00507E73"/>
    <w:rsid w:val="005126F6"/>
    <w:rsid w:val="0052676F"/>
    <w:rsid w:val="00531236"/>
    <w:rsid w:val="005313B0"/>
    <w:rsid w:val="0053265E"/>
    <w:rsid w:val="00533067"/>
    <w:rsid w:val="005339F6"/>
    <w:rsid w:val="00534731"/>
    <w:rsid w:val="005428B4"/>
    <w:rsid w:val="00545F2B"/>
    <w:rsid w:val="00547359"/>
    <w:rsid w:val="00547DF0"/>
    <w:rsid w:val="00551AFF"/>
    <w:rsid w:val="00552C16"/>
    <w:rsid w:val="00553CF1"/>
    <w:rsid w:val="00553DF5"/>
    <w:rsid w:val="00554CE8"/>
    <w:rsid w:val="005550D8"/>
    <w:rsid w:val="00557214"/>
    <w:rsid w:val="0056300A"/>
    <w:rsid w:val="00567304"/>
    <w:rsid w:val="005748D0"/>
    <w:rsid w:val="00575C4A"/>
    <w:rsid w:val="0059388D"/>
    <w:rsid w:val="0059438D"/>
    <w:rsid w:val="005A11B4"/>
    <w:rsid w:val="005A3A0D"/>
    <w:rsid w:val="005A4044"/>
    <w:rsid w:val="005A5FC1"/>
    <w:rsid w:val="005B13A7"/>
    <w:rsid w:val="005B25C5"/>
    <w:rsid w:val="005C119E"/>
    <w:rsid w:val="005C4053"/>
    <w:rsid w:val="005C5B8D"/>
    <w:rsid w:val="005D50B7"/>
    <w:rsid w:val="005E11C0"/>
    <w:rsid w:val="005E2252"/>
    <w:rsid w:val="005E2B31"/>
    <w:rsid w:val="005E2CA3"/>
    <w:rsid w:val="005E53C0"/>
    <w:rsid w:val="005E5CBD"/>
    <w:rsid w:val="005F46D5"/>
    <w:rsid w:val="00600036"/>
    <w:rsid w:val="0060091C"/>
    <w:rsid w:val="00600E4F"/>
    <w:rsid w:val="00605319"/>
    <w:rsid w:val="006061B2"/>
    <w:rsid w:val="00613EA9"/>
    <w:rsid w:val="00615354"/>
    <w:rsid w:val="00616F6B"/>
    <w:rsid w:val="00624339"/>
    <w:rsid w:val="00625224"/>
    <w:rsid w:val="00627713"/>
    <w:rsid w:val="006303C8"/>
    <w:rsid w:val="00632BBD"/>
    <w:rsid w:val="006363BE"/>
    <w:rsid w:val="006364DF"/>
    <w:rsid w:val="00637D4B"/>
    <w:rsid w:val="006405E2"/>
    <w:rsid w:val="00641F04"/>
    <w:rsid w:val="00645DBB"/>
    <w:rsid w:val="00646906"/>
    <w:rsid w:val="006543BE"/>
    <w:rsid w:val="00654E89"/>
    <w:rsid w:val="00655F46"/>
    <w:rsid w:val="0065752D"/>
    <w:rsid w:val="00657BA1"/>
    <w:rsid w:val="00660529"/>
    <w:rsid w:val="00662D86"/>
    <w:rsid w:val="00664262"/>
    <w:rsid w:val="00664B5B"/>
    <w:rsid w:val="006655A8"/>
    <w:rsid w:val="00665D8A"/>
    <w:rsid w:val="00666098"/>
    <w:rsid w:val="00673299"/>
    <w:rsid w:val="00674B2C"/>
    <w:rsid w:val="006838FF"/>
    <w:rsid w:val="00683C2F"/>
    <w:rsid w:val="006852F0"/>
    <w:rsid w:val="006852F9"/>
    <w:rsid w:val="00685B7E"/>
    <w:rsid w:val="006922AC"/>
    <w:rsid w:val="00692BC0"/>
    <w:rsid w:val="00693C91"/>
    <w:rsid w:val="00694C1C"/>
    <w:rsid w:val="00697506"/>
    <w:rsid w:val="006A371C"/>
    <w:rsid w:val="006A38AB"/>
    <w:rsid w:val="006A47E9"/>
    <w:rsid w:val="006A4C5C"/>
    <w:rsid w:val="006A60DE"/>
    <w:rsid w:val="006B11FF"/>
    <w:rsid w:val="006B35E7"/>
    <w:rsid w:val="006B4A2B"/>
    <w:rsid w:val="006B6728"/>
    <w:rsid w:val="006B6F6A"/>
    <w:rsid w:val="006C0139"/>
    <w:rsid w:val="006C0FFD"/>
    <w:rsid w:val="006C4A14"/>
    <w:rsid w:val="006D04D6"/>
    <w:rsid w:val="006D30E2"/>
    <w:rsid w:val="006D3A50"/>
    <w:rsid w:val="006D6BF4"/>
    <w:rsid w:val="006E1A74"/>
    <w:rsid w:val="006F0E2E"/>
    <w:rsid w:val="006F21E6"/>
    <w:rsid w:val="006F3170"/>
    <w:rsid w:val="00715EF1"/>
    <w:rsid w:val="007171CC"/>
    <w:rsid w:val="007177E8"/>
    <w:rsid w:val="007210DD"/>
    <w:rsid w:val="00727302"/>
    <w:rsid w:val="00732CAC"/>
    <w:rsid w:val="00734248"/>
    <w:rsid w:val="00743D2A"/>
    <w:rsid w:val="00744418"/>
    <w:rsid w:val="0075318B"/>
    <w:rsid w:val="00755CA7"/>
    <w:rsid w:val="007575C0"/>
    <w:rsid w:val="00762CAF"/>
    <w:rsid w:val="00765BBF"/>
    <w:rsid w:val="0077105E"/>
    <w:rsid w:val="007750CA"/>
    <w:rsid w:val="007813FE"/>
    <w:rsid w:val="0078207C"/>
    <w:rsid w:val="00783254"/>
    <w:rsid w:val="007841B8"/>
    <w:rsid w:val="00784243"/>
    <w:rsid w:val="00786C77"/>
    <w:rsid w:val="00786DEA"/>
    <w:rsid w:val="007A5530"/>
    <w:rsid w:val="007A5E10"/>
    <w:rsid w:val="007B3AD6"/>
    <w:rsid w:val="007B40D3"/>
    <w:rsid w:val="007B6779"/>
    <w:rsid w:val="007B7F1F"/>
    <w:rsid w:val="007C0097"/>
    <w:rsid w:val="007C0C84"/>
    <w:rsid w:val="007C32BE"/>
    <w:rsid w:val="007C338A"/>
    <w:rsid w:val="007C5D1F"/>
    <w:rsid w:val="007C7068"/>
    <w:rsid w:val="007D2269"/>
    <w:rsid w:val="007D3A22"/>
    <w:rsid w:val="007D476E"/>
    <w:rsid w:val="007D5C68"/>
    <w:rsid w:val="007D6FD3"/>
    <w:rsid w:val="007E064F"/>
    <w:rsid w:val="007E0B7A"/>
    <w:rsid w:val="007E13B6"/>
    <w:rsid w:val="007E1485"/>
    <w:rsid w:val="007E3DFD"/>
    <w:rsid w:val="007E6A91"/>
    <w:rsid w:val="007F1278"/>
    <w:rsid w:val="007F3018"/>
    <w:rsid w:val="0080282D"/>
    <w:rsid w:val="00811EDB"/>
    <w:rsid w:val="00812C01"/>
    <w:rsid w:val="00823F48"/>
    <w:rsid w:val="00832A15"/>
    <w:rsid w:val="00832C8F"/>
    <w:rsid w:val="00833F3A"/>
    <w:rsid w:val="008341BE"/>
    <w:rsid w:val="008350FB"/>
    <w:rsid w:val="00840D96"/>
    <w:rsid w:val="00841A6D"/>
    <w:rsid w:val="00841A79"/>
    <w:rsid w:val="00842024"/>
    <w:rsid w:val="008436A6"/>
    <w:rsid w:val="00844B18"/>
    <w:rsid w:val="00844FA9"/>
    <w:rsid w:val="00847E5A"/>
    <w:rsid w:val="008517CA"/>
    <w:rsid w:val="00851F82"/>
    <w:rsid w:val="0085325A"/>
    <w:rsid w:val="008552B8"/>
    <w:rsid w:val="00855907"/>
    <w:rsid w:val="008625AC"/>
    <w:rsid w:val="00865020"/>
    <w:rsid w:val="008666AC"/>
    <w:rsid w:val="00885514"/>
    <w:rsid w:val="00885FA2"/>
    <w:rsid w:val="00887E37"/>
    <w:rsid w:val="00894A61"/>
    <w:rsid w:val="008959AB"/>
    <w:rsid w:val="008A43EF"/>
    <w:rsid w:val="008A4A97"/>
    <w:rsid w:val="008A4B7D"/>
    <w:rsid w:val="008A7230"/>
    <w:rsid w:val="008A7BF9"/>
    <w:rsid w:val="008B071B"/>
    <w:rsid w:val="008B2BC8"/>
    <w:rsid w:val="008B3D45"/>
    <w:rsid w:val="008B41A5"/>
    <w:rsid w:val="008B6615"/>
    <w:rsid w:val="008B7504"/>
    <w:rsid w:val="008C1805"/>
    <w:rsid w:val="008C59AC"/>
    <w:rsid w:val="008D5787"/>
    <w:rsid w:val="008D5D99"/>
    <w:rsid w:val="008D79A9"/>
    <w:rsid w:val="008E4D8A"/>
    <w:rsid w:val="008E63A9"/>
    <w:rsid w:val="008F26FC"/>
    <w:rsid w:val="008F2EFD"/>
    <w:rsid w:val="008F51BC"/>
    <w:rsid w:val="008F5ACE"/>
    <w:rsid w:val="008F5BE0"/>
    <w:rsid w:val="0091478E"/>
    <w:rsid w:val="00920756"/>
    <w:rsid w:val="00920806"/>
    <w:rsid w:val="00920B32"/>
    <w:rsid w:val="00923F33"/>
    <w:rsid w:val="00924451"/>
    <w:rsid w:val="009254AD"/>
    <w:rsid w:val="0092708B"/>
    <w:rsid w:val="00935530"/>
    <w:rsid w:val="009427D0"/>
    <w:rsid w:val="00942A7A"/>
    <w:rsid w:val="00942E51"/>
    <w:rsid w:val="0094692E"/>
    <w:rsid w:val="009479FE"/>
    <w:rsid w:val="00947A73"/>
    <w:rsid w:val="00951ED7"/>
    <w:rsid w:val="00952007"/>
    <w:rsid w:val="0095355A"/>
    <w:rsid w:val="00956D40"/>
    <w:rsid w:val="00956F06"/>
    <w:rsid w:val="00961BF0"/>
    <w:rsid w:val="00964EDB"/>
    <w:rsid w:val="00965387"/>
    <w:rsid w:val="009668FE"/>
    <w:rsid w:val="00970AF5"/>
    <w:rsid w:val="009734BF"/>
    <w:rsid w:val="00977678"/>
    <w:rsid w:val="00977BDC"/>
    <w:rsid w:val="00983B12"/>
    <w:rsid w:val="009861EF"/>
    <w:rsid w:val="00987B26"/>
    <w:rsid w:val="009924E9"/>
    <w:rsid w:val="00994172"/>
    <w:rsid w:val="0099443E"/>
    <w:rsid w:val="00997457"/>
    <w:rsid w:val="009A0FFD"/>
    <w:rsid w:val="009A3AF9"/>
    <w:rsid w:val="009A4081"/>
    <w:rsid w:val="009A443B"/>
    <w:rsid w:val="009A5E52"/>
    <w:rsid w:val="009B1F72"/>
    <w:rsid w:val="009B5191"/>
    <w:rsid w:val="009B5FAD"/>
    <w:rsid w:val="009B6F89"/>
    <w:rsid w:val="009B7964"/>
    <w:rsid w:val="009C0401"/>
    <w:rsid w:val="009C0ACC"/>
    <w:rsid w:val="009C2804"/>
    <w:rsid w:val="009C4938"/>
    <w:rsid w:val="009C5E42"/>
    <w:rsid w:val="009D05EA"/>
    <w:rsid w:val="009D3054"/>
    <w:rsid w:val="009D38B0"/>
    <w:rsid w:val="009D62CA"/>
    <w:rsid w:val="009F59CE"/>
    <w:rsid w:val="00A062BF"/>
    <w:rsid w:val="00A07CD2"/>
    <w:rsid w:val="00A115D5"/>
    <w:rsid w:val="00A14F5C"/>
    <w:rsid w:val="00A15833"/>
    <w:rsid w:val="00A15C65"/>
    <w:rsid w:val="00A16133"/>
    <w:rsid w:val="00A17402"/>
    <w:rsid w:val="00A243F2"/>
    <w:rsid w:val="00A2538A"/>
    <w:rsid w:val="00A27AE8"/>
    <w:rsid w:val="00A324FB"/>
    <w:rsid w:val="00A325F2"/>
    <w:rsid w:val="00A437DE"/>
    <w:rsid w:val="00A44838"/>
    <w:rsid w:val="00A4540A"/>
    <w:rsid w:val="00A46C5E"/>
    <w:rsid w:val="00A471E1"/>
    <w:rsid w:val="00A50861"/>
    <w:rsid w:val="00A54733"/>
    <w:rsid w:val="00A618C2"/>
    <w:rsid w:val="00A6205E"/>
    <w:rsid w:val="00A70427"/>
    <w:rsid w:val="00A75595"/>
    <w:rsid w:val="00A774BD"/>
    <w:rsid w:val="00A820DD"/>
    <w:rsid w:val="00A82967"/>
    <w:rsid w:val="00A846D0"/>
    <w:rsid w:val="00A91FB9"/>
    <w:rsid w:val="00A948BF"/>
    <w:rsid w:val="00A97C40"/>
    <w:rsid w:val="00AA225F"/>
    <w:rsid w:val="00AA27FA"/>
    <w:rsid w:val="00AA31E6"/>
    <w:rsid w:val="00AA4287"/>
    <w:rsid w:val="00AA75B5"/>
    <w:rsid w:val="00AB1025"/>
    <w:rsid w:val="00AB765A"/>
    <w:rsid w:val="00AC24E8"/>
    <w:rsid w:val="00AC320D"/>
    <w:rsid w:val="00AC516A"/>
    <w:rsid w:val="00AC6606"/>
    <w:rsid w:val="00AC6E30"/>
    <w:rsid w:val="00AD16EB"/>
    <w:rsid w:val="00AD5253"/>
    <w:rsid w:val="00AD76BA"/>
    <w:rsid w:val="00AE12B5"/>
    <w:rsid w:val="00AE4286"/>
    <w:rsid w:val="00AE4BF7"/>
    <w:rsid w:val="00AE69F8"/>
    <w:rsid w:val="00AF3207"/>
    <w:rsid w:val="00AF4EB8"/>
    <w:rsid w:val="00B03769"/>
    <w:rsid w:val="00B04DD7"/>
    <w:rsid w:val="00B0563F"/>
    <w:rsid w:val="00B100BA"/>
    <w:rsid w:val="00B2216D"/>
    <w:rsid w:val="00B22794"/>
    <w:rsid w:val="00B23719"/>
    <w:rsid w:val="00B34008"/>
    <w:rsid w:val="00B3400A"/>
    <w:rsid w:val="00B347DB"/>
    <w:rsid w:val="00B506BE"/>
    <w:rsid w:val="00B51DFA"/>
    <w:rsid w:val="00B52546"/>
    <w:rsid w:val="00B5292D"/>
    <w:rsid w:val="00B53519"/>
    <w:rsid w:val="00B55577"/>
    <w:rsid w:val="00B601E4"/>
    <w:rsid w:val="00B618EE"/>
    <w:rsid w:val="00B672EA"/>
    <w:rsid w:val="00B72E19"/>
    <w:rsid w:val="00B75414"/>
    <w:rsid w:val="00B77946"/>
    <w:rsid w:val="00B80F63"/>
    <w:rsid w:val="00B831A1"/>
    <w:rsid w:val="00B85F88"/>
    <w:rsid w:val="00B87115"/>
    <w:rsid w:val="00B877FB"/>
    <w:rsid w:val="00B87CFE"/>
    <w:rsid w:val="00B90C64"/>
    <w:rsid w:val="00B9667F"/>
    <w:rsid w:val="00BA206F"/>
    <w:rsid w:val="00BA608F"/>
    <w:rsid w:val="00BA6154"/>
    <w:rsid w:val="00BA6A40"/>
    <w:rsid w:val="00BA7731"/>
    <w:rsid w:val="00BB26D3"/>
    <w:rsid w:val="00BB6B16"/>
    <w:rsid w:val="00BB7F38"/>
    <w:rsid w:val="00BC0CB5"/>
    <w:rsid w:val="00BC4E72"/>
    <w:rsid w:val="00BD42A4"/>
    <w:rsid w:val="00BD47B7"/>
    <w:rsid w:val="00BD4B56"/>
    <w:rsid w:val="00BD62C0"/>
    <w:rsid w:val="00BD75BE"/>
    <w:rsid w:val="00BD7D09"/>
    <w:rsid w:val="00BE497D"/>
    <w:rsid w:val="00BE5CFD"/>
    <w:rsid w:val="00BF21EE"/>
    <w:rsid w:val="00C01481"/>
    <w:rsid w:val="00C02F5E"/>
    <w:rsid w:val="00C04131"/>
    <w:rsid w:val="00C066A7"/>
    <w:rsid w:val="00C06A37"/>
    <w:rsid w:val="00C073E0"/>
    <w:rsid w:val="00C139BE"/>
    <w:rsid w:val="00C14772"/>
    <w:rsid w:val="00C164EA"/>
    <w:rsid w:val="00C165A0"/>
    <w:rsid w:val="00C165FB"/>
    <w:rsid w:val="00C171FE"/>
    <w:rsid w:val="00C17A9D"/>
    <w:rsid w:val="00C17E18"/>
    <w:rsid w:val="00C2325F"/>
    <w:rsid w:val="00C25D2B"/>
    <w:rsid w:val="00C27354"/>
    <w:rsid w:val="00C32461"/>
    <w:rsid w:val="00C32920"/>
    <w:rsid w:val="00C33138"/>
    <w:rsid w:val="00C332BB"/>
    <w:rsid w:val="00C624D0"/>
    <w:rsid w:val="00C63C6A"/>
    <w:rsid w:val="00C73C72"/>
    <w:rsid w:val="00C8449A"/>
    <w:rsid w:val="00C871D5"/>
    <w:rsid w:val="00C91F35"/>
    <w:rsid w:val="00C92E9B"/>
    <w:rsid w:val="00CA04A4"/>
    <w:rsid w:val="00CA1965"/>
    <w:rsid w:val="00CA4067"/>
    <w:rsid w:val="00CA5404"/>
    <w:rsid w:val="00CB6269"/>
    <w:rsid w:val="00CC2DC6"/>
    <w:rsid w:val="00CD04B8"/>
    <w:rsid w:val="00CD0EE1"/>
    <w:rsid w:val="00CD0F03"/>
    <w:rsid w:val="00CD789E"/>
    <w:rsid w:val="00CE2C1E"/>
    <w:rsid w:val="00CE4510"/>
    <w:rsid w:val="00CE53A2"/>
    <w:rsid w:val="00CF0FCE"/>
    <w:rsid w:val="00CF2BDA"/>
    <w:rsid w:val="00D00618"/>
    <w:rsid w:val="00D007B9"/>
    <w:rsid w:val="00D03015"/>
    <w:rsid w:val="00D066B5"/>
    <w:rsid w:val="00D10C14"/>
    <w:rsid w:val="00D1186A"/>
    <w:rsid w:val="00D13E65"/>
    <w:rsid w:val="00D15811"/>
    <w:rsid w:val="00D20D4A"/>
    <w:rsid w:val="00D22BAE"/>
    <w:rsid w:val="00D23AB8"/>
    <w:rsid w:val="00D27020"/>
    <w:rsid w:val="00D27DC4"/>
    <w:rsid w:val="00D33EC0"/>
    <w:rsid w:val="00D42650"/>
    <w:rsid w:val="00D46CDE"/>
    <w:rsid w:val="00D47F05"/>
    <w:rsid w:val="00D52463"/>
    <w:rsid w:val="00D5622C"/>
    <w:rsid w:val="00D60CAF"/>
    <w:rsid w:val="00D63E83"/>
    <w:rsid w:val="00D6497E"/>
    <w:rsid w:val="00D6548F"/>
    <w:rsid w:val="00D65714"/>
    <w:rsid w:val="00D65C7D"/>
    <w:rsid w:val="00D67A4C"/>
    <w:rsid w:val="00D72AFD"/>
    <w:rsid w:val="00D74EFB"/>
    <w:rsid w:val="00D846F3"/>
    <w:rsid w:val="00D8529F"/>
    <w:rsid w:val="00D92875"/>
    <w:rsid w:val="00D94ABB"/>
    <w:rsid w:val="00D952BE"/>
    <w:rsid w:val="00D9688C"/>
    <w:rsid w:val="00D97521"/>
    <w:rsid w:val="00DA51F3"/>
    <w:rsid w:val="00DB0099"/>
    <w:rsid w:val="00DB274B"/>
    <w:rsid w:val="00DB278B"/>
    <w:rsid w:val="00DB3CD7"/>
    <w:rsid w:val="00DB496C"/>
    <w:rsid w:val="00DB59DD"/>
    <w:rsid w:val="00DB621A"/>
    <w:rsid w:val="00DB7742"/>
    <w:rsid w:val="00DC2CE8"/>
    <w:rsid w:val="00DC4B4D"/>
    <w:rsid w:val="00DC5440"/>
    <w:rsid w:val="00DD1A98"/>
    <w:rsid w:val="00DD581C"/>
    <w:rsid w:val="00DE19F8"/>
    <w:rsid w:val="00DE35A3"/>
    <w:rsid w:val="00DE556E"/>
    <w:rsid w:val="00DE55CA"/>
    <w:rsid w:val="00DE5D25"/>
    <w:rsid w:val="00DF587C"/>
    <w:rsid w:val="00E04263"/>
    <w:rsid w:val="00E122FB"/>
    <w:rsid w:val="00E1340A"/>
    <w:rsid w:val="00E1708C"/>
    <w:rsid w:val="00E20109"/>
    <w:rsid w:val="00E262CD"/>
    <w:rsid w:val="00E267D9"/>
    <w:rsid w:val="00E27717"/>
    <w:rsid w:val="00E337E2"/>
    <w:rsid w:val="00E375BA"/>
    <w:rsid w:val="00E4171D"/>
    <w:rsid w:val="00E51505"/>
    <w:rsid w:val="00E51A4F"/>
    <w:rsid w:val="00E60077"/>
    <w:rsid w:val="00E70FDB"/>
    <w:rsid w:val="00E715FD"/>
    <w:rsid w:val="00E72019"/>
    <w:rsid w:val="00E7202D"/>
    <w:rsid w:val="00E739C5"/>
    <w:rsid w:val="00E74806"/>
    <w:rsid w:val="00E91240"/>
    <w:rsid w:val="00E93C6D"/>
    <w:rsid w:val="00E966FC"/>
    <w:rsid w:val="00EA0419"/>
    <w:rsid w:val="00EA72E5"/>
    <w:rsid w:val="00EB1F28"/>
    <w:rsid w:val="00EB2DF4"/>
    <w:rsid w:val="00EB49DE"/>
    <w:rsid w:val="00EB67BF"/>
    <w:rsid w:val="00EB7405"/>
    <w:rsid w:val="00EC3133"/>
    <w:rsid w:val="00EC3C20"/>
    <w:rsid w:val="00EC56CE"/>
    <w:rsid w:val="00EC594A"/>
    <w:rsid w:val="00EC7338"/>
    <w:rsid w:val="00ED13AC"/>
    <w:rsid w:val="00ED17A5"/>
    <w:rsid w:val="00ED6906"/>
    <w:rsid w:val="00EE09FF"/>
    <w:rsid w:val="00EE0D08"/>
    <w:rsid w:val="00EE0D81"/>
    <w:rsid w:val="00EE14DE"/>
    <w:rsid w:val="00EE19ED"/>
    <w:rsid w:val="00EE1EA1"/>
    <w:rsid w:val="00EE7B08"/>
    <w:rsid w:val="00EF1CE0"/>
    <w:rsid w:val="00EF4CC2"/>
    <w:rsid w:val="00EF4E27"/>
    <w:rsid w:val="00EF6ED9"/>
    <w:rsid w:val="00F0128E"/>
    <w:rsid w:val="00F022E9"/>
    <w:rsid w:val="00F064A8"/>
    <w:rsid w:val="00F071A1"/>
    <w:rsid w:val="00F12D76"/>
    <w:rsid w:val="00F148CC"/>
    <w:rsid w:val="00F155E0"/>
    <w:rsid w:val="00F165FB"/>
    <w:rsid w:val="00F21893"/>
    <w:rsid w:val="00F23B2E"/>
    <w:rsid w:val="00F24031"/>
    <w:rsid w:val="00F31CA0"/>
    <w:rsid w:val="00F32024"/>
    <w:rsid w:val="00F32C16"/>
    <w:rsid w:val="00F36C82"/>
    <w:rsid w:val="00F36CD8"/>
    <w:rsid w:val="00F425F6"/>
    <w:rsid w:val="00F46887"/>
    <w:rsid w:val="00F47859"/>
    <w:rsid w:val="00F50D77"/>
    <w:rsid w:val="00F60631"/>
    <w:rsid w:val="00F61ACE"/>
    <w:rsid w:val="00F627F4"/>
    <w:rsid w:val="00F65D25"/>
    <w:rsid w:val="00F67D1B"/>
    <w:rsid w:val="00F71233"/>
    <w:rsid w:val="00F73410"/>
    <w:rsid w:val="00F73545"/>
    <w:rsid w:val="00F75837"/>
    <w:rsid w:val="00F870BB"/>
    <w:rsid w:val="00F874D8"/>
    <w:rsid w:val="00F87833"/>
    <w:rsid w:val="00F87CC7"/>
    <w:rsid w:val="00F927A6"/>
    <w:rsid w:val="00F968EA"/>
    <w:rsid w:val="00F96CB4"/>
    <w:rsid w:val="00F96DE4"/>
    <w:rsid w:val="00FA09FE"/>
    <w:rsid w:val="00FA1AB4"/>
    <w:rsid w:val="00FA32F8"/>
    <w:rsid w:val="00FA4971"/>
    <w:rsid w:val="00FA681E"/>
    <w:rsid w:val="00FA748D"/>
    <w:rsid w:val="00FB24CD"/>
    <w:rsid w:val="00FB47CA"/>
    <w:rsid w:val="00FC2279"/>
    <w:rsid w:val="00FC411F"/>
    <w:rsid w:val="00FC45C2"/>
    <w:rsid w:val="00FC583D"/>
    <w:rsid w:val="00FC62F1"/>
    <w:rsid w:val="00FD00A3"/>
    <w:rsid w:val="00FD1036"/>
    <w:rsid w:val="00FD6B57"/>
    <w:rsid w:val="00FD75E9"/>
    <w:rsid w:val="00FE3700"/>
    <w:rsid w:val="00FE5D0D"/>
    <w:rsid w:val="00FF0239"/>
    <w:rsid w:val="00FF2977"/>
    <w:rsid w:val="00FF7D52"/>
    <w:rsid w:val="01C92793"/>
    <w:rsid w:val="01CF37F4"/>
    <w:rsid w:val="02537444"/>
    <w:rsid w:val="0288477D"/>
    <w:rsid w:val="032B51EF"/>
    <w:rsid w:val="03A835C1"/>
    <w:rsid w:val="03D57A73"/>
    <w:rsid w:val="03F20ABC"/>
    <w:rsid w:val="04A96C2F"/>
    <w:rsid w:val="054353C6"/>
    <w:rsid w:val="064C49F6"/>
    <w:rsid w:val="071720DB"/>
    <w:rsid w:val="073017DD"/>
    <w:rsid w:val="07C101B7"/>
    <w:rsid w:val="07CD79BE"/>
    <w:rsid w:val="089861ED"/>
    <w:rsid w:val="08D46435"/>
    <w:rsid w:val="08FC7685"/>
    <w:rsid w:val="09935912"/>
    <w:rsid w:val="09AA35BB"/>
    <w:rsid w:val="09C11D20"/>
    <w:rsid w:val="0A2E2FBB"/>
    <w:rsid w:val="0AC63355"/>
    <w:rsid w:val="0B006797"/>
    <w:rsid w:val="0B5761A7"/>
    <w:rsid w:val="0BC82E17"/>
    <w:rsid w:val="0C236626"/>
    <w:rsid w:val="0C51576B"/>
    <w:rsid w:val="0C5476AF"/>
    <w:rsid w:val="0CB95AAA"/>
    <w:rsid w:val="0CE55A1B"/>
    <w:rsid w:val="0E364FF2"/>
    <w:rsid w:val="0E767D34"/>
    <w:rsid w:val="0EAE690A"/>
    <w:rsid w:val="0EE87044"/>
    <w:rsid w:val="0EF5211D"/>
    <w:rsid w:val="107F4CA1"/>
    <w:rsid w:val="113B6D6E"/>
    <w:rsid w:val="12331BEF"/>
    <w:rsid w:val="123961B7"/>
    <w:rsid w:val="127E43BA"/>
    <w:rsid w:val="129E2D4F"/>
    <w:rsid w:val="12C409C8"/>
    <w:rsid w:val="12DC35D6"/>
    <w:rsid w:val="133040E6"/>
    <w:rsid w:val="139B7A7E"/>
    <w:rsid w:val="13B3590F"/>
    <w:rsid w:val="14967A0E"/>
    <w:rsid w:val="152361C3"/>
    <w:rsid w:val="160C57D6"/>
    <w:rsid w:val="16236C44"/>
    <w:rsid w:val="16F14D2A"/>
    <w:rsid w:val="17271C40"/>
    <w:rsid w:val="17481D47"/>
    <w:rsid w:val="17813E26"/>
    <w:rsid w:val="17E97229"/>
    <w:rsid w:val="184A0575"/>
    <w:rsid w:val="18674E3C"/>
    <w:rsid w:val="18F14D4E"/>
    <w:rsid w:val="193D12E9"/>
    <w:rsid w:val="19711E1A"/>
    <w:rsid w:val="1A4E659C"/>
    <w:rsid w:val="1B4C76EB"/>
    <w:rsid w:val="1BC01B50"/>
    <w:rsid w:val="1C0412DE"/>
    <w:rsid w:val="1C1741FA"/>
    <w:rsid w:val="1C7A38EF"/>
    <w:rsid w:val="1CA241B7"/>
    <w:rsid w:val="1CC72F1F"/>
    <w:rsid w:val="1D027E91"/>
    <w:rsid w:val="1D527F69"/>
    <w:rsid w:val="1D7C303D"/>
    <w:rsid w:val="1D7D0B7B"/>
    <w:rsid w:val="1EC35CAA"/>
    <w:rsid w:val="1F6753AE"/>
    <w:rsid w:val="1FA945E8"/>
    <w:rsid w:val="1FD07FD9"/>
    <w:rsid w:val="2012090A"/>
    <w:rsid w:val="20617084"/>
    <w:rsid w:val="20F31D90"/>
    <w:rsid w:val="2190781C"/>
    <w:rsid w:val="21D837EF"/>
    <w:rsid w:val="22026517"/>
    <w:rsid w:val="22484877"/>
    <w:rsid w:val="2256472B"/>
    <w:rsid w:val="22A65B7E"/>
    <w:rsid w:val="22B5662C"/>
    <w:rsid w:val="234B509D"/>
    <w:rsid w:val="24B1700E"/>
    <w:rsid w:val="24B50065"/>
    <w:rsid w:val="24DD0CA9"/>
    <w:rsid w:val="24ED2217"/>
    <w:rsid w:val="24FA279F"/>
    <w:rsid w:val="25941DA6"/>
    <w:rsid w:val="26226820"/>
    <w:rsid w:val="26697611"/>
    <w:rsid w:val="26742739"/>
    <w:rsid w:val="26B55949"/>
    <w:rsid w:val="2956367E"/>
    <w:rsid w:val="29576BCF"/>
    <w:rsid w:val="2A0E411C"/>
    <w:rsid w:val="2A3A21FD"/>
    <w:rsid w:val="2B60656A"/>
    <w:rsid w:val="2B7C0FDF"/>
    <w:rsid w:val="2BC33C3E"/>
    <w:rsid w:val="2C4E1E63"/>
    <w:rsid w:val="2C943739"/>
    <w:rsid w:val="2CD73C58"/>
    <w:rsid w:val="2CED1378"/>
    <w:rsid w:val="2CF2049F"/>
    <w:rsid w:val="2DC7287D"/>
    <w:rsid w:val="2DCF531C"/>
    <w:rsid w:val="2DEF68E7"/>
    <w:rsid w:val="2E572510"/>
    <w:rsid w:val="2EB90A83"/>
    <w:rsid w:val="2EC1635E"/>
    <w:rsid w:val="2F0E590B"/>
    <w:rsid w:val="2F5222AA"/>
    <w:rsid w:val="2FB80819"/>
    <w:rsid w:val="2FD9239F"/>
    <w:rsid w:val="2FF65469"/>
    <w:rsid w:val="30066C83"/>
    <w:rsid w:val="307244EF"/>
    <w:rsid w:val="30A12FCB"/>
    <w:rsid w:val="30F70905"/>
    <w:rsid w:val="311040C2"/>
    <w:rsid w:val="311645B0"/>
    <w:rsid w:val="31D0599A"/>
    <w:rsid w:val="31E52535"/>
    <w:rsid w:val="322D7E73"/>
    <w:rsid w:val="3240417D"/>
    <w:rsid w:val="32B47D00"/>
    <w:rsid w:val="32FC05CB"/>
    <w:rsid w:val="3335600D"/>
    <w:rsid w:val="34CF2183"/>
    <w:rsid w:val="35F12364"/>
    <w:rsid w:val="36422513"/>
    <w:rsid w:val="36BE1FAB"/>
    <w:rsid w:val="37045B03"/>
    <w:rsid w:val="378527BB"/>
    <w:rsid w:val="37B232B5"/>
    <w:rsid w:val="38487A18"/>
    <w:rsid w:val="394468E7"/>
    <w:rsid w:val="39892058"/>
    <w:rsid w:val="3AA12525"/>
    <w:rsid w:val="3B0E2FBB"/>
    <w:rsid w:val="3BB91834"/>
    <w:rsid w:val="3BF92D15"/>
    <w:rsid w:val="3C307E5E"/>
    <w:rsid w:val="3CDA3E1F"/>
    <w:rsid w:val="3D0B040B"/>
    <w:rsid w:val="3D6C5186"/>
    <w:rsid w:val="3D7B1DB3"/>
    <w:rsid w:val="3E571AFE"/>
    <w:rsid w:val="3F031D9E"/>
    <w:rsid w:val="3F904F24"/>
    <w:rsid w:val="3FC34DC8"/>
    <w:rsid w:val="401F2E59"/>
    <w:rsid w:val="40AB1F5C"/>
    <w:rsid w:val="40D40D5A"/>
    <w:rsid w:val="40E07F15"/>
    <w:rsid w:val="41713616"/>
    <w:rsid w:val="417954FF"/>
    <w:rsid w:val="42226630"/>
    <w:rsid w:val="425910FD"/>
    <w:rsid w:val="42674D6F"/>
    <w:rsid w:val="42A056C3"/>
    <w:rsid w:val="42A42663"/>
    <w:rsid w:val="42FB0BB9"/>
    <w:rsid w:val="42FB75DA"/>
    <w:rsid w:val="43300D41"/>
    <w:rsid w:val="433E5CB0"/>
    <w:rsid w:val="43FE329F"/>
    <w:rsid w:val="440E3970"/>
    <w:rsid w:val="44141807"/>
    <w:rsid w:val="441D5420"/>
    <w:rsid w:val="44C22B87"/>
    <w:rsid w:val="44F31ADE"/>
    <w:rsid w:val="45C52407"/>
    <w:rsid w:val="46143E96"/>
    <w:rsid w:val="462F7694"/>
    <w:rsid w:val="46313A98"/>
    <w:rsid w:val="47C7763F"/>
    <w:rsid w:val="483765B8"/>
    <w:rsid w:val="4848790D"/>
    <w:rsid w:val="485222E8"/>
    <w:rsid w:val="48943C5D"/>
    <w:rsid w:val="48E93072"/>
    <w:rsid w:val="48F85E17"/>
    <w:rsid w:val="49780D7F"/>
    <w:rsid w:val="498D35B9"/>
    <w:rsid w:val="49E02624"/>
    <w:rsid w:val="49ED4AA2"/>
    <w:rsid w:val="49FA11C5"/>
    <w:rsid w:val="4A266E6D"/>
    <w:rsid w:val="4A361082"/>
    <w:rsid w:val="4A8A4423"/>
    <w:rsid w:val="4AF571F3"/>
    <w:rsid w:val="4B6A4033"/>
    <w:rsid w:val="4BA14530"/>
    <w:rsid w:val="4C4B0BFF"/>
    <w:rsid w:val="4CEE27F0"/>
    <w:rsid w:val="4D2301A5"/>
    <w:rsid w:val="4D717086"/>
    <w:rsid w:val="4D9429C9"/>
    <w:rsid w:val="4E427247"/>
    <w:rsid w:val="4E6844AF"/>
    <w:rsid w:val="4F4F5F2D"/>
    <w:rsid w:val="50850FAE"/>
    <w:rsid w:val="519C636D"/>
    <w:rsid w:val="52343D17"/>
    <w:rsid w:val="524E03DF"/>
    <w:rsid w:val="52A24DF1"/>
    <w:rsid w:val="52EE5821"/>
    <w:rsid w:val="5311193D"/>
    <w:rsid w:val="53415530"/>
    <w:rsid w:val="53D70363"/>
    <w:rsid w:val="54303048"/>
    <w:rsid w:val="54322EB8"/>
    <w:rsid w:val="55414243"/>
    <w:rsid w:val="55454FF0"/>
    <w:rsid w:val="566D54D8"/>
    <w:rsid w:val="56FC0176"/>
    <w:rsid w:val="570C59FF"/>
    <w:rsid w:val="5777134C"/>
    <w:rsid w:val="59832A69"/>
    <w:rsid w:val="59B735DD"/>
    <w:rsid w:val="5AD83D16"/>
    <w:rsid w:val="5B1408D1"/>
    <w:rsid w:val="5B344BB5"/>
    <w:rsid w:val="5BB97D90"/>
    <w:rsid w:val="5C0E270F"/>
    <w:rsid w:val="5C185A10"/>
    <w:rsid w:val="5C2C5323"/>
    <w:rsid w:val="5C901973"/>
    <w:rsid w:val="5CD409C7"/>
    <w:rsid w:val="5D78273E"/>
    <w:rsid w:val="5DC410E7"/>
    <w:rsid w:val="5E512AC5"/>
    <w:rsid w:val="5EA3337D"/>
    <w:rsid w:val="5F4B0FFA"/>
    <w:rsid w:val="5F827066"/>
    <w:rsid w:val="608375FB"/>
    <w:rsid w:val="60E5666A"/>
    <w:rsid w:val="61983DAD"/>
    <w:rsid w:val="61B415F4"/>
    <w:rsid w:val="621256B2"/>
    <w:rsid w:val="62312F39"/>
    <w:rsid w:val="627E252E"/>
    <w:rsid w:val="62E21A01"/>
    <w:rsid w:val="633D07C6"/>
    <w:rsid w:val="63C21AF0"/>
    <w:rsid w:val="64115A8A"/>
    <w:rsid w:val="64496BA7"/>
    <w:rsid w:val="64AF104C"/>
    <w:rsid w:val="64D9469B"/>
    <w:rsid w:val="6505263C"/>
    <w:rsid w:val="668C5270"/>
    <w:rsid w:val="669C1A37"/>
    <w:rsid w:val="67281E4E"/>
    <w:rsid w:val="68E77E8B"/>
    <w:rsid w:val="690E291A"/>
    <w:rsid w:val="690F1105"/>
    <w:rsid w:val="6A6B75F2"/>
    <w:rsid w:val="6A977DDC"/>
    <w:rsid w:val="6AFE51BA"/>
    <w:rsid w:val="6B352F9E"/>
    <w:rsid w:val="6B606C48"/>
    <w:rsid w:val="6B6B753C"/>
    <w:rsid w:val="6C906BA8"/>
    <w:rsid w:val="6CD6011C"/>
    <w:rsid w:val="6D2232F0"/>
    <w:rsid w:val="6DF03756"/>
    <w:rsid w:val="6E782EAF"/>
    <w:rsid w:val="6EC9506A"/>
    <w:rsid w:val="6F374773"/>
    <w:rsid w:val="6FC711E4"/>
    <w:rsid w:val="6FEB77CE"/>
    <w:rsid w:val="702155EC"/>
    <w:rsid w:val="706569DF"/>
    <w:rsid w:val="71EF3DD1"/>
    <w:rsid w:val="720B54C7"/>
    <w:rsid w:val="723D3DF6"/>
    <w:rsid w:val="72BA463C"/>
    <w:rsid w:val="72CF5E12"/>
    <w:rsid w:val="735F11C1"/>
    <w:rsid w:val="74394CE8"/>
    <w:rsid w:val="74D75DBA"/>
    <w:rsid w:val="75446AD5"/>
    <w:rsid w:val="754E758A"/>
    <w:rsid w:val="755C2085"/>
    <w:rsid w:val="75973C4F"/>
    <w:rsid w:val="75CA2210"/>
    <w:rsid w:val="761E60F4"/>
    <w:rsid w:val="76A25A6A"/>
    <w:rsid w:val="76FD434A"/>
    <w:rsid w:val="774C2C33"/>
    <w:rsid w:val="7880610A"/>
    <w:rsid w:val="789C39EE"/>
    <w:rsid w:val="78BC1133"/>
    <w:rsid w:val="78C82F18"/>
    <w:rsid w:val="79CD3D06"/>
    <w:rsid w:val="7A260E5E"/>
    <w:rsid w:val="7AE249A3"/>
    <w:rsid w:val="7B692D51"/>
    <w:rsid w:val="7B6F648D"/>
    <w:rsid w:val="7C11456E"/>
    <w:rsid w:val="7C703CC2"/>
    <w:rsid w:val="7D934E3D"/>
    <w:rsid w:val="7DA2789F"/>
    <w:rsid w:val="7E241089"/>
    <w:rsid w:val="7E87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paragraph" w:styleId="4">
    <w:name w:val="heading 2"/>
    <w:basedOn w:val="1"/>
    <w:next w:val="1"/>
    <w:link w:val="18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58"/>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7">
    <w:name w:val="heading 4"/>
    <w:basedOn w:val="1"/>
    <w:next w:val="1"/>
    <w:link w:val="187"/>
    <w:qFormat/>
    <w:uiPriority w:val="0"/>
    <w:pPr>
      <w:keepNext/>
      <w:keepLines/>
      <w:spacing w:before="280" w:after="290" w:line="372" w:lineRule="auto"/>
      <w:outlineLvl w:val="3"/>
    </w:pPr>
    <w:rPr>
      <w:rFonts w:ascii="Arial" w:hAnsi="Arial" w:eastAsia="黑体"/>
      <w:b/>
      <w:bCs/>
      <w:sz w:val="28"/>
      <w:szCs w:val="28"/>
    </w:rPr>
  </w:style>
  <w:style w:type="character" w:default="1" w:styleId="39">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lang w:val="zh-CN"/>
    </w:rPr>
  </w:style>
  <w:style w:type="paragraph" w:styleId="6">
    <w:name w:val="Normal Indent"/>
    <w:basedOn w:val="1"/>
    <w:link w:val="57"/>
    <w:qFormat/>
    <w:uiPriority w:val="0"/>
    <w:pPr>
      <w:ind w:firstLine="420" w:firstLineChars="200"/>
    </w:pPr>
  </w:style>
  <w:style w:type="paragraph" w:styleId="8">
    <w:name w:val="annotation subject"/>
    <w:basedOn w:val="9"/>
    <w:next w:val="9"/>
    <w:link w:val="50"/>
    <w:unhideWhenUsed/>
    <w:qFormat/>
    <w:uiPriority w:val="99"/>
    <w:pPr>
      <w:ind w:firstLine="0"/>
    </w:pPr>
    <w:rPr>
      <w:rFonts w:ascii="Calibri" w:hAnsi="Calibri" w:eastAsia="仿宋"/>
      <w:b/>
      <w:bCs/>
      <w:sz w:val="28"/>
      <w:szCs w:val="22"/>
    </w:rPr>
  </w:style>
  <w:style w:type="paragraph" w:styleId="9">
    <w:name w:val="annotation text"/>
    <w:basedOn w:val="1"/>
    <w:link w:val="52"/>
    <w:qFormat/>
    <w:uiPriority w:val="99"/>
    <w:pPr>
      <w:ind w:firstLine="425"/>
      <w:jc w:val="left"/>
    </w:pPr>
    <w:rPr>
      <w:rFonts w:ascii="黑体" w:eastAsia="黑体"/>
      <w:szCs w:val="20"/>
    </w:rPr>
  </w:style>
  <w:style w:type="paragraph" w:styleId="10">
    <w:name w:val="toc 7"/>
    <w:basedOn w:val="1"/>
    <w:next w:val="1"/>
    <w:qFormat/>
    <w:uiPriority w:val="0"/>
    <w:pPr>
      <w:ind w:left="1260"/>
      <w:jc w:val="left"/>
    </w:pPr>
    <w:rPr>
      <w:sz w:val="18"/>
      <w:szCs w:val="18"/>
    </w:rPr>
  </w:style>
  <w:style w:type="paragraph" w:styleId="11">
    <w:name w:val="Body Text First Indent"/>
    <w:basedOn w:val="12"/>
    <w:link w:val="70"/>
    <w:qFormat/>
    <w:uiPriority w:val="0"/>
    <w:pPr>
      <w:ind w:firstLine="420" w:firstLineChars="100"/>
    </w:pPr>
  </w:style>
  <w:style w:type="paragraph" w:styleId="12">
    <w:name w:val="Body Text"/>
    <w:basedOn w:val="1"/>
    <w:link w:val="192"/>
    <w:qFormat/>
    <w:uiPriority w:val="0"/>
    <w:pPr>
      <w:spacing w:after="120"/>
    </w:pPr>
  </w:style>
  <w:style w:type="paragraph" w:styleId="13">
    <w:name w:val="List Number"/>
    <w:basedOn w:val="1"/>
    <w:qFormat/>
    <w:uiPriority w:val="0"/>
    <w:pPr>
      <w:widowControl/>
      <w:numPr>
        <w:ilvl w:val="0"/>
        <w:numId w:val="1"/>
      </w:numPr>
      <w:tabs>
        <w:tab w:val="left" w:pos="454"/>
        <w:tab w:val="left" w:pos="720"/>
        <w:tab w:val="clear" w:pos="980"/>
      </w:tabs>
      <w:spacing w:afterLines="50"/>
      <w:ind w:left="454" w:hanging="284"/>
      <w:jc w:val="left"/>
    </w:pPr>
    <w:rPr>
      <w:kern w:val="0"/>
      <w:sz w:val="24"/>
      <w:szCs w:val="20"/>
    </w:rPr>
  </w:style>
  <w:style w:type="paragraph" w:styleId="14">
    <w:name w:val="caption"/>
    <w:basedOn w:val="1"/>
    <w:next w:val="1"/>
    <w:link w:val="74"/>
    <w:qFormat/>
    <w:uiPriority w:val="0"/>
    <w:pPr>
      <w:spacing w:before="152" w:after="160"/>
    </w:pPr>
    <w:rPr>
      <w:rFonts w:ascii="Arial" w:hAnsi="Arial" w:eastAsia="黑体"/>
      <w:sz w:val="20"/>
      <w:szCs w:val="20"/>
    </w:rPr>
  </w:style>
  <w:style w:type="paragraph" w:styleId="15">
    <w:name w:val="Document Map"/>
    <w:basedOn w:val="1"/>
    <w:link w:val="193"/>
    <w:qFormat/>
    <w:uiPriority w:val="0"/>
    <w:pPr>
      <w:shd w:val="clear" w:color="auto" w:fill="000080"/>
    </w:pPr>
  </w:style>
  <w:style w:type="paragraph" w:styleId="16">
    <w:name w:val="Body Text 3"/>
    <w:basedOn w:val="1"/>
    <w:link w:val="194"/>
    <w:qFormat/>
    <w:uiPriority w:val="0"/>
    <w:pPr>
      <w:spacing w:after="120"/>
    </w:pPr>
    <w:rPr>
      <w:sz w:val="16"/>
      <w:szCs w:val="16"/>
    </w:rPr>
  </w:style>
  <w:style w:type="paragraph" w:styleId="17">
    <w:name w:val="Body Text Indent"/>
    <w:basedOn w:val="1"/>
    <w:link w:val="196"/>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Block Text"/>
    <w:basedOn w:val="1"/>
    <w:qFormat/>
    <w:uiPriority w:val="0"/>
    <w:pPr>
      <w:spacing w:line="340" w:lineRule="exact"/>
      <w:ind w:left="850" w:leftChars="405" w:right="16"/>
    </w:pPr>
    <w:rPr>
      <w:rFonts w:ascii="宋体"/>
      <w:spacing w:val="20"/>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ind w:left="420"/>
      <w:jc w:val="left"/>
    </w:pPr>
    <w:rPr>
      <w:i/>
      <w:iCs/>
      <w:sz w:val="20"/>
      <w:szCs w:val="20"/>
    </w:rPr>
  </w:style>
  <w:style w:type="paragraph" w:styleId="22">
    <w:name w:val="Plain Text"/>
    <w:basedOn w:val="1"/>
    <w:link w:val="79"/>
    <w:qFormat/>
    <w:uiPriority w:val="99"/>
    <w:rPr>
      <w:rFonts w:ascii="宋体" w:hAnsi="Courier New"/>
      <w:szCs w:val="20"/>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51"/>
    <w:qFormat/>
    <w:uiPriority w:val="99"/>
    <w:pPr>
      <w:ind w:left="100"/>
    </w:pPr>
    <w:rPr>
      <w:sz w:val="28"/>
      <w:szCs w:val="20"/>
    </w:rPr>
  </w:style>
  <w:style w:type="paragraph" w:styleId="25">
    <w:name w:val="Body Text Indent 2"/>
    <w:basedOn w:val="1"/>
    <w:link w:val="195"/>
    <w:qFormat/>
    <w:uiPriority w:val="0"/>
    <w:pPr>
      <w:spacing w:line="360" w:lineRule="auto"/>
      <w:ind w:firstLine="482" w:firstLineChars="200"/>
      <w:jc w:val="left"/>
    </w:pPr>
    <w:rPr>
      <w:rFonts w:ascii="仿宋_GB2312" w:hAnsi="宋体" w:eastAsia="仿宋_GB2312"/>
      <w:b/>
      <w:bCs/>
      <w:sz w:val="24"/>
    </w:rPr>
  </w:style>
  <w:style w:type="paragraph" w:styleId="26">
    <w:name w:val="Balloon Text"/>
    <w:basedOn w:val="1"/>
    <w:link w:val="71"/>
    <w:qFormat/>
    <w:uiPriority w:val="99"/>
    <w:rPr>
      <w:sz w:val="18"/>
      <w:szCs w:val="18"/>
    </w:rPr>
  </w:style>
  <w:style w:type="paragraph" w:styleId="27">
    <w:name w:val="footer"/>
    <w:basedOn w:val="1"/>
    <w:link w:val="78"/>
    <w:qFormat/>
    <w:uiPriority w:val="99"/>
    <w:pPr>
      <w:tabs>
        <w:tab w:val="center" w:pos="4153"/>
        <w:tab w:val="right" w:pos="8306"/>
      </w:tabs>
      <w:snapToGrid w:val="0"/>
      <w:jc w:val="left"/>
    </w:pPr>
    <w:rPr>
      <w:sz w:val="18"/>
      <w:szCs w:val="18"/>
    </w:rPr>
  </w:style>
  <w:style w:type="paragraph" w:styleId="28">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b/>
      <w:bCs/>
      <w:caps/>
      <w:sz w:val="20"/>
      <w:szCs w:val="20"/>
    </w:rPr>
  </w:style>
  <w:style w:type="paragraph" w:styleId="30">
    <w:name w:val="toc 4"/>
    <w:basedOn w:val="1"/>
    <w:next w:val="1"/>
    <w:qFormat/>
    <w:uiPriority w:val="0"/>
    <w:pPr>
      <w:ind w:left="630"/>
      <w:jc w:val="left"/>
    </w:pPr>
    <w:rPr>
      <w:sz w:val="18"/>
      <w:szCs w:val="18"/>
    </w:rPr>
  </w:style>
  <w:style w:type="paragraph" w:styleId="31">
    <w:name w:val="toc 6"/>
    <w:basedOn w:val="1"/>
    <w:next w:val="1"/>
    <w:qFormat/>
    <w:uiPriority w:val="0"/>
    <w:pPr>
      <w:ind w:left="1050"/>
      <w:jc w:val="left"/>
    </w:pPr>
    <w:rPr>
      <w:sz w:val="18"/>
      <w:szCs w:val="18"/>
    </w:rPr>
  </w:style>
  <w:style w:type="paragraph" w:styleId="32">
    <w:name w:val="Body Text Indent 3"/>
    <w:basedOn w:val="1"/>
    <w:link w:val="201"/>
    <w:qFormat/>
    <w:uiPriority w:val="0"/>
    <w:pPr>
      <w:ind w:firstLine="570"/>
    </w:pPr>
    <w:rPr>
      <w:rFonts w:ascii="楷体_GB2312" w:eastAsia="楷体_GB2312"/>
      <w:sz w:val="32"/>
      <w:szCs w:val="20"/>
    </w:rPr>
  </w:style>
  <w:style w:type="paragraph" w:styleId="33">
    <w:name w:val="toc 2"/>
    <w:basedOn w:val="1"/>
    <w:next w:val="1"/>
    <w:qFormat/>
    <w:uiPriority w:val="0"/>
    <w:pPr>
      <w:ind w:left="210"/>
      <w:jc w:val="left"/>
    </w:pPr>
    <w:rPr>
      <w:smallCaps/>
      <w:sz w:val="20"/>
      <w:szCs w:val="20"/>
    </w:rPr>
  </w:style>
  <w:style w:type="paragraph" w:styleId="34">
    <w:name w:val="toc 9"/>
    <w:basedOn w:val="1"/>
    <w:next w:val="1"/>
    <w:qFormat/>
    <w:uiPriority w:val="0"/>
    <w:pPr>
      <w:ind w:left="1680"/>
      <w:jc w:val="left"/>
    </w:pPr>
    <w:rPr>
      <w:sz w:val="18"/>
      <w:szCs w:val="18"/>
    </w:rPr>
  </w:style>
  <w:style w:type="paragraph" w:styleId="35">
    <w:name w:val="Body Text 2"/>
    <w:basedOn w:val="1"/>
    <w:link w:val="202"/>
    <w:qFormat/>
    <w:uiPriority w:val="0"/>
    <w:pPr>
      <w:jc w:val="left"/>
    </w:pPr>
    <w:rPr>
      <w:rFonts w:eastAsia="楷体_GB2312"/>
    </w:r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8">
    <w:name w:val="Title"/>
    <w:basedOn w:val="1"/>
    <w:link w:val="203"/>
    <w:qFormat/>
    <w:uiPriority w:val="0"/>
    <w:pPr>
      <w:widowControl/>
      <w:overflowPunct w:val="0"/>
      <w:autoSpaceDE w:val="0"/>
      <w:autoSpaceDN w:val="0"/>
      <w:adjustRightInd w:val="0"/>
      <w:jc w:val="center"/>
      <w:textAlignment w:val="baseline"/>
    </w:pPr>
    <w:rPr>
      <w:b/>
      <w:kern w:val="0"/>
      <w:sz w:val="24"/>
      <w:szCs w:val="20"/>
      <w:lang w:val="en-GB"/>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99"/>
    <w:rPr>
      <w:color w:val="800080"/>
      <w:u w:val="single"/>
    </w:rPr>
  </w:style>
  <w:style w:type="character" w:styleId="43">
    <w:name w:val="Emphasis"/>
    <w:qFormat/>
    <w:uiPriority w:val="0"/>
    <w:rPr>
      <w:color w:val="CC0033"/>
    </w:rPr>
  </w:style>
  <w:style w:type="character" w:styleId="44">
    <w:name w:val="Hyperlink"/>
    <w:qFormat/>
    <w:uiPriority w:val="99"/>
    <w:rPr>
      <w:color w:val="0000FF"/>
      <w:u w:val="single"/>
    </w:rPr>
  </w:style>
  <w:style w:type="character" w:styleId="45">
    <w:name w:val="annotation reference"/>
    <w:basedOn w:val="39"/>
    <w:semiHidden/>
    <w:unhideWhenUsed/>
    <w:qFormat/>
    <w:uiPriority w:val="99"/>
    <w:rPr>
      <w:sz w:val="21"/>
      <w:szCs w:val="21"/>
    </w:rPr>
  </w:style>
  <w:style w:type="table" w:styleId="47">
    <w:name w:val="Table Grid"/>
    <w:basedOn w:val="4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
    <w:name w:val="招标正文 字符"/>
    <w:link w:val="49"/>
    <w:qFormat/>
    <w:uiPriority w:val="0"/>
    <w:rPr>
      <w:rFonts w:ascii="宋体" w:hAnsi="宋体"/>
      <w:color w:val="000000"/>
      <w:sz w:val="24"/>
      <w:szCs w:val="21"/>
    </w:rPr>
  </w:style>
  <w:style w:type="paragraph" w:customStyle="1" w:styleId="49">
    <w:name w:val="招标正文"/>
    <w:basedOn w:val="1"/>
    <w:link w:val="48"/>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50">
    <w:name w:val="批注主题 Char"/>
    <w:link w:val="8"/>
    <w:qFormat/>
    <w:uiPriority w:val="99"/>
    <w:rPr>
      <w:rFonts w:ascii="Calibri" w:hAnsi="Calibri" w:eastAsia="仿宋"/>
      <w:b/>
      <w:bCs/>
      <w:kern w:val="2"/>
      <w:sz w:val="28"/>
      <w:szCs w:val="22"/>
    </w:rPr>
  </w:style>
  <w:style w:type="character" w:customStyle="1" w:styleId="51">
    <w:name w:val="日期 Char"/>
    <w:link w:val="24"/>
    <w:qFormat/>
    <w:uiPriority w:val="99"/>
    <w:rPr>
      <w:kern w:val="2"/>
      <w:sz w:val="28"/>
    </w:rPr>
  </w:style>
  <w:style w:type="character" w:customStyle="1" w:styleId="52">
    <w:name w:val="批注文字 Char"/>
    <w:link w:val="9"/>
    <w:qFormat/>
    <w:uiPriority w:val="99"/>
    <w:rPr>
      <w:rFonts w:ascii="黑体" w:eastAsia="黑体"/>
      <w:kern w:val="2"/>
      <w:sz w:val="21"/>
    </w:rPr>
  </w:style>
  <w:style w:type="character" w:customStyle="1" w:styleId="53">
    <w:name w:val="cart_title_smaller1"/>
    <w:qFormat/>
    <w:uiPriority w:val="0"/>
    <w:rPr>
      <w:color w:val="000000"/>
      <w:sz w:val="18"/>
      <w:szCs w:val="18"/>
      <w:u w:val="none"/>
    </w:rPr>
  </w:style>
  <w:style w:type="character" w:customStyle="1" w:styleId="54">
    <w:name w:val="info1"/>
    <w:qFormat/>
    <w:uiPriority w:val="0"/>
    <w:rPr>
      <w:sz w:val="29"/>
      <w:szCs w:val="29"/>
    </w:rPr>
  </w:style>
  <w:style w:type="character" w:customStyle="1" w:styleId="55">
    <w:name w:val="font21"/>
    <w:qFormat/>
    <w:uiPriority w:val="0"/>
    <w:rPr>
      <w:rFonts w:hint="eastAsia" w:ascii="仿宋_GB2312" w:eastAsia="仿宋_GB2312" w:cs="仿宋_GB2312"/>
      <w:color w:val="000000"/>
      <w:sz w:val="20"/>
      <w:szCs w:val="20"/>
      <w:u w:val="none"/>
    </w:rPr>
  </w:style>
  <w:style w:type="character" w:customStyle="1" w:styleId="56">
    <w:name w:val="页眉 字符"/>
    <w:qFormat/>
    <w:uiPriority w:val="99"/>
    <w:rPr>
      <w:sz w:val="18"/>
      <w:szCs w:val="18"/>
    </w:rPr>
  </w:style>
  <w:style w:type="character" w:customStyle="1" w:styleId="57">
    <w:name w:val="正文缩进 Char"/>
    <w:link w:val="6"/>
    <w:qFormat/>
    <w:uiPriority w:val="0"/>
    <w:rPr>
      <w:rFonts w:eastAsia="宋体"/>
      <w:kern w:val="2"/>
      <w:sz w:val="21"/>
      <w:szCs w:val="24"/>
      <w:lang w:val="en-US" w:eastAsia="zh-CN" w:bidi="ar-SA"/>
    </w:rPr>
  </w:style>
  <w:style w:type="character" w:customStyle="1" w:styleId="58">
    <w:name w:val="标题 3 Char"/>
    <w:link w:val="5"/>
    <w:qFormat/>
    <w:locked/>
    <w:uiPriority w:val="0"/>
    <w:rPr>
      <w:rFonts w:ascii="黑体" w:eastAsia="黑体"/>
      <w:b/>
      <w:color w:val="000000"/>
      <w:sz w:val="28"/>
    </w:rPr>
  </w:style>
  <w:style w:type="character" w:customStyle="1" w:styleId="59">
    <w:name w:val="批注文字 字符"/>
    <w:semiHidden/>
    <w:qFormat/>
    <w:uiPriority w:val="99"/>
  </w:style>
  <w:style w:type="character" w:customStyle="1" w:styleId="60">
    <w:name w:val="font71"/>
    <w:qFormat/>
    <w:uiPriority w:val="0"/>
    <w:rPr>
      <w:rFonts w:hint="default" w:ascii="Times New Roman" w:hAnsi="Times New Roman" w:cs="Times New Roman"/>
      <w:color w:val="000000"/>
      <w:sz w:val="20"/>
      <w:szCs w:val="20"/>
      <w:u w:val="none"/>
    </w:rPr>
  </w:style>
  <w:style w:type="character" w:customStyle="1" w:styleId="61">
    <w:name w:val="纯文本 Char1"/>
    <w:qFormat/>
    <w:uiPriority w:val="0"/>
    <w:rPr>
      <w:rFonts w:ascii="宋体" w:hAnsi="Courier New" w:eastAsia="宋体"/>
      <w:kern w:val="2"/>
      <w:sz w:val="21"/>
      <w:lang w:val="en-US" w:eastAsia="zh-CN" w:bidi="ar-SA"/>
    </w:rPr>
  </w:style>
  <w:style w:type="character" w:customStyle="1" w:styleId="62">
    <w:name w:val="标题 1 Char"/>
    <w:link w:val="3"/>
    <w:qFormat/>
    <w:uiPriority w:val="0"/>
    <w:rPr>
      <w:rFonts w:ascii="宋体" w:hAnsi="Arial" w:eastAsia="黑体"/>
      <w:b/>
      <w:color w:val="000000"/>
      <w:kern w:val="44"/>
      <w:sz w:val="36"/>
      <w:lang w:val="en-US" w:eastAsia="zh-CN" w:bidi="ar-SA"/>
    </w:rPr>
  </w:style>
  <w:style w:type="character" w:customStyle="1" w:styleId="63">
    <w:name w:val="font3"/>
    <w:basedOn w:val="39"/>
    <w:qFormat/>
    <w:uiPriority w:val="0"/>
  </w:style>
  <w:style w:type="character" w:customStyle="1" w:styleId="64">
    <w:name w:val="标题 3 字符"/>
    <w:qFormat/>
    <w:uiPriority w:val="0"/>
    <w:rPr>
      <w:rFonts w:ascii="黑体" w:hAnsi="Times New Roman" w:eastAsia="黑体" w:cs="Times New Roman"/>
      <w:b/>
      <w:color w:val="000000"/>
      <w:kern w:val="0"/>
      <w:sz w:val="28"/>
      <w:szCs w:val="20"/>
    </w:rPr>
  </w:style>
  <w:style w:type="character" w:customStyle="1" w:styleId="65">
    <w:name w:val="md"/>
    <w:basedOn w:val="39"/>
    <w:qFormat/>
    <w:uiPriority w:val="0"/>
  </w:style>
  <w:style w:type="character" w:customStyle="1" w:styleId="66">
    <w:name w:val="font01"/>
    <w:qFormat/>
    <w:uiPriority w:val="0"/>
    <w:rPr>
      <w:rFonts w:hint="eastAsia" w:ascii="宋体" w:hAnsi="宋体" w:eastAsia="宋体" w:cs="宋体"/>
      <w:color w:val="000000"/>
      <w:sz w:val="22"/>
      <w:szCs w:val="22"/>
      <w:u w:val="none"/>
    </w:rPr>
  </w:style>
  <w:style w:type="character" w:customStyle="1" w:styleId="67">
    <w:name w:val="标题 1 Char Char"/>
    <w:qFormat/>
    <w:uiPriority w:val="0"/>
    <w:rPr>
      <w:rFonts w:ascii="宋体" w:hAnsi="宋体" w:eastAsia="宋体"/>
      <w:b/>
      <w:spacing w:val="-2"/>
      <w:sz w:val="24"/>
      <w:lang w:val="en-US" w:eastAsia="zh-CN" w:bidi="ar-SA"/>
    </w:rPr>
  </w:style>
  <w:style w:type="character" w:customStyle="1" w:styleId="68">
    <w:name w:val="b titlename wangputoptitle"/>
    <w:basedOn w:val="39"/>
    <w:qFormat/>
    <w:uiPriority w:val="0"/>
  </w:style>
  <w:style w:type="character" w:customStyle="1" w:styleId="69">
    <w:name w:val="页脚 字符"/>
    <w:qFormat/>
    <w:uiPriority w:val="99"/>
    <w:rPr>
      <w:sz w:val="18"/>
      <w:szCs w:val="18"/>
    </w:rPr>
  </w:style>
  <w:style w:type="character" w:customStyle="1" w:styleId="70">
    <w:name w:val="正文首行缩进 Char"/>
    <w:link w:val="11"/>
    <w:qFormat/>
    <w:uiPriority w:val="0"/>
    <w:rPr>
      <w:kern w:val="2"/>
      <w:sz w:val="21"/>
      <w:szCs w:val="24"/>
    </w:rPr>
  </w:style>
  <w:style w:type="character" w:customStyle="1" w:styleId="71">
    <w:name w:val="批注框文本 Char"/>
    <w:link w:val="26"/>
    <w:qFormat/>
    <w:uiPriority w:val="99"/>
    <w:rPr>
      <w:kern w:val="2"/>
      <w:sz w:val="18"/>
      <w:szCs w:val="18"/>
    </w:rPr>
  </w:style>
  <w:style w:type="character" w:customStyle="1" w:styleId="72">
    <w:name w:val="招标-标题1 字符"/>
    <w:link w:val="73"/>
    <w:qFormat/>
    <w:uiPriority w:val="0"/>
    <w:rPr>
      <w:rFonts w:ascii="宋体" w:hAnsi="宋体"/>
      <w:b/>
      <w:bCs/>
      <w:kern w:val="2"/>
      <w:sz w:val="28"/>
      <w:szCs w:val="21"/>
    </w:rPr>
  </w:style>
  <w:style w:type="paragraph" w:customStyle="1" w:styleId="73">
    <w:name w:val="招标-标题1"/>
    <w:basedOn w:val="1"/>
    <w:link w:val="72"/>
    <w:qFormat/>
    <w:uiPriority w:val="0"/>
    <w:pPr>
      <w:spacing w:line="300" w:lineRule="auto"/>
      <w:ind w:left="560"/>
    </w:pPr>
    <w:rPr>
      <w:rFonts w:ascii="宋体" w:hAnsi="宋体"/>
      <w:b/>
      <w:bCs/>
      <w:sz w:val="28"/>
      <w:szCs w:val="21"/>
    </w:rPr>
  </w:style>
  <w:style w:type="character" w:customStyle="1" w:styleId="74">
    <w:name w:val="题注 Char"/>
    <w:link w:val="14"/>
    <w:qFormat/>
    <w:uiPriority w:val="0"/>
    <w:rPr>
      <w:rFonts w:ascii="Arial" w:hAnsi="Arial" w:eastAsia="黑体" w:cs="Arial"/>
      <w:kern w:val="2"/>
    </w:rPr>
  </w:style>
  <w:style w:type="character" w:customStyle="1" w:styleId="75">
    <w:name w:val="列出段落 Char"/>
    <w:link w:val="76"/>
    <w:qFormat/>
    <w:uiPriority w:val="34"/>
  </w:style>
  <w:style w:type="paragraph" w:styleId="76">
    <w:name w:val="List Paragraph"/>
    <w:basedOn w:val="1"/>
    <w:link w:val="75"/>
    <w:qFormat/>
    <w:uiPriority w:val="34"/>
    <w:pPr>
      <w:ind w:firstLine="420" w:firstLineChars="200"/>
    </w:pPr>
    <w:rPr>
      <w:kern w:val="0"/>
      <w:sz w:val="20"/>
      <w:szCs w:val="20"/>
    </w:rPr>
  </w:style>
  <w:style w:type="character" w:customStyle="1" w:styleId="77">
    <w:name w:val="页眉 Char"/>
    <w:link w:val="28"/>
    <w:qFormat/>
    <w:uiPriority w:val="99"/>
    <w:rPr>
      <w:kern w:val="2"/>
      <w:sz w:val="18"/>
      <w:szCs w:val="18"/>
    </w:rPr>
  </w:style>
  <w:style w:type="character" w:customStyle="1" w:styleId="78">
    <w:name w:val="页脚 Char"/>
    <w:link w:val="27"/>
    <w:qFormat/>
    <w:uiPriority w:val="99"/>
    <w:rPr>
      <w:kern w:val="2"/>
      <w:sz w:val="18"/>
      <w:szCs w:val="18"/>
    </w:rPr>
  </w:style>
  <w:style w:type="character" w:customStyle="1" w:styleId="79">
    <w:name w:val="纯文本 Char"/>
    <w:link w:val="22"/>
    <w:qFormat/>
    <w:uiPriority w:val="99"/>
    <w:rPr>
      <w:rFonts w:ascii="宋体" w:hAnsi="Courier New" w:eastAsia="宋体"/>
      <w:kern w:val="2"/>
      <w:sz w:val="21"/>
      <w:lang w:val="en-US" w:eastAsia="zh-CN" w:bidi="ar-SA"/>
    </w:rPr>
  </w:style>
  <w:style w:type="character" w:customStyle="1" w:styleId="80">
    <w:name w:val="font61"/>
    <w:qFormat/>
    <w:uiPriority w:val="0"/>
    <w:rPr>
      <w:rFonts w:hint="eastAsia" w:ascii="宋体" w:hAnsi="宋体" w:eastAsia="宋体" w:cs="宋体"/>
      <w:color w:val="000000"/>
      <w:sz w:val="20"/>
      <w:szCs w:val="20"/>
      <w:u w:val="none"/>
    </w:rPr>
  </w:style>
  <w:style w:type="character" w:customStyle="1" w:styleId="81">
    <w:name w:val="纯文本 Char3"/>
    <w:qFormat/>
    <w:uiPriority w:val="99"/>
    <w:rPr>
      <w:rFonts w:ascii="宋体" w:hAnsi="Courier New" w:eastAsia="宋体"/>
      <w:kern w:val="2"/>
      <w:sz w:val="21"/>
      <w:lang w:val="en-US" w:eastAsia="zh-CN" w:bidi="ar-SA"/>
    </w:rPr>
  </w:style>
  <w:style w:type="character" w:customStyle="1" w:styleId="82">
    <w:name w:val="样式 宋体 小四"/>
    <w:qFormat/>
    <w:uiPriority w:val="0"/>
    <w:rPr>
      <w:rFonts w:ascii="宋体" w:hAnsi="宋体"/>
      <w:spacing w:val="6"/>
      <w:sz w:val="24"/>
      <w:szCs w:val="24"/>
    </w:rPr>
  </w:style>
  <w:style w:type="character" w:customStyle="1" w:styleId="83">
    <w:name w:val="招标-主标题 字符"/>
    <w:link w:val="84"/>
    <w:qFormat/>
    <w:uiPriority w:val="0"/>
    <w:rPr>
      <w:rFonts w:ascii="宋体" w:hAnsi="宋体"/>
      <w:b/>
      <w:kern w:val="2"/>
      <w:sz w:val="32"/>
      <w:szCs w:val="22"/>
    </w:rPr>
  </w:style>
  <w:style w:type="paragraph" w:customStyle="1" w:styleId="84">
    <w:name w:val="招标-主标题"/>
    <w:basedOn w:val="1"/>
    <w:link w:val="83"/>
    <w:qFormat/>
    <w:uiPriority w:val="0"/>
    <w:pPr>
      <w:tabs>
        <w:tab w:val="left" w:pos="1620"/>
        <w:tab w:val="left" w:pos="1800"/>
        <w:tab w:val="left" w:pos="1980"/>
      </w:tabs>
      <w:spacing w:line="768" w:lineRule="auto"/>
      <w:jc w:val="center"/>
    </w:pPr>
    <w:rPr>
      <w:rFonts w:ascii="宋体" w:hAnsi="宋体"/>
      <w:b/>
      <w:sz w:val="32"/>
      <w:szCs w:val="22"/>
    </w:rPr>
  </w:style>
  <w:style w:type="paragraph" w:customStyle="1" w:styleId="8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86">
    <w:name w:val="xl11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87">
    <w:name w:val="正文2"/>
    <w:basedOn w:val="1"/>
    <w:qFormat/>
    <w:uiPriority w:val="0"/>
    <w:pPr>
      <w:spacing w:before="156" w:line="360" w:lineRule="auto"/>
      <w:ind w:firstLine="510" w:firstLineChars="200"/>
    </w:pPr>
    <w:rPr>
      <w:sz w:val="24"/>
      <w:szCs w:val="20"/>
    </w:rPr>
  </w:style>
  <w:style w:type="paragraph" w:customStyle="1" w:styleId="88">
    <w:name w:val="xl76"/>
    <w:basedOn w:val="1"/>
    <w:qFormat/>
    <w:uiPriority w:val="0"/>
    <w:pPr>
      <w:widowControl/>
      <w:spacing w:before="100" w:beforeAutospacing="1" w:after="100" w:afterAutospacing="1"/>
      <w:jc w:val="center"/>
    </w:pPr>
    <w:rPr>
      <w:rFonts w:ascii="楷体" w:hAnsi="楷体" w:eastAsia="楷体" w:cs="宋体"/>
      <w:kern w:val="0"/>
      <w:sz w:val="20"/>
      <w:szCs w:val="20"/>
    </w:rPr>
  </w:style>
  <w:style w:type="paragraph" w:customStyle="1" w:styleId="89">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9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color w:val="000000"/>
      <w:kern w:val="0"/>
      <w:sz w:val="20"/>
      <w:szCs w:val="20"/>
    </w:rPr>
  </w:style>
  <w:style w:type="paragraph" w:customStyle="1" w:styleId="9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93">
    <w:name w:val="Char Char Char Char Char Char Char"/>
    <w:basedOn w:val="1"/>
    <w:qFormat/>
    <w:uiPriority w:val="0"/>
    <w:pPr>
      <w:tabs>
        <w:tab w:val="left" w:pos="432"/>
      </w:tabs>
      <w:ind w:left="432" w:hanging="432"/>
    </w:pPr>
    <w:rPr>
      <w:rFonts w:ascii="Tahoma" w:hAnsi="Tahoma"/>
      <w:sz w:val="24"/>
      <w:szCs w:val="20"/>
    </w:rPr>
  </w:style>
  <w:style w:type="paragraph" w:customStyle="1" w:styleId="94">
    <w:name w:val="正文段"/>
    <w:basedOn w:val="1"/>
    <w:qFormat/>
    <w:uiPriority w:val="0"/>
    <w:pPr>
      <w:widowControl/>
      <w:snapToGrid w:val="0"/>
      <w:spacing w:afterLines="50"/>
      <w:ind w:firstLine="200" w:firstLineChars="200"/>
    </w:pPr>
    <w:rPr>
      <w:kern w:val="0"/>
      <w:sz w:val="24"/>
      <w:szCs w:val="20"/>
    </w:rPr>
  </w:style>
  <w:style w:type="paragraph" w:customStyle="1" w:styleId="95">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97">
    <w:name w:val="xl116"/>
    <w:basedOn w:val="1"/>
    <w:qFormat/>
    <w:uiPriority w:val="0"/>
    <w:pPr>
      <w:widowControl/>
      <w:spacing w:before="100" w:beforeAutospacing="1" w:after="100" w:afterAutospacing="1"/>
      <w:jc w:val="center"/>
    </w:pPr>
    <w:rPr>
      <w:rFonts w:ascii="楷体" w:hAnsi="楷体" w:eastAsia="楷体" w:cs="宋体"/>
      <w:b/>
      <w:bCs/>
      <w:kern w:val="0"/>
      <w:sz w:val="20"/>
      <w:szCs w:val="20"/>
    </w:rPr>
  </w:style>
  <w:style w:type="paragraph" w:customStyle="1" w:styleId="98">
    <w:name w:val="xl117"/>
    <w:basedOn w:val="1"/>
    <w:qFormat/>
    <w:uiPriority w:val="0"/>
    <w:pPr>
      <w:widowControl/>
      <w:spacing w:before="100" w:beforeAutospacing="1" w:after="100" w:afterAutospacing="1"/>
      <w:jc w:val="left"/>
    </w:pPr>
    <w:rPr>
      <w:rFonts w:ascii="楷体" w:hAnsi="楷体" w:eastAsia="楷体" w:cs="宋体"/>
      <w:b/>
      <w:bCs/>
      <w:kern w:val="0"/>
      <w:sz w:val="20"/>
      <w:szCs w:val="20"/>
    </w:rPr>
  </w:style>
  <w:style w:type="paragraph" w:customStyle="1" w:styleId="99">
    <w:name w:val="Char"/>
    <w:basedOn w:val="1"/>
    <w:qFormat/>
    <w:uiPriority w:val="0"/>
    <w:rPr>
      <w:rFonts w:ascii="仿宋_GB2312" w:eastAsia="仿宋_GB2312"/>
      <w:b/>
      <w:sz w:val="32"/>
      <w:szCs w:val="32"/>
    </w:rPr>
  </w:style>
  <w:style w:type="paragraph" w:customStyle="1" w:styleId="10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24"/>
    </w:rPr>
  </w:style>
  <w:style w:type="paragraph" w:customStyle="1" w:styleId="10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02">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 w:hAnsi="楷体" w:eastAsia="楷体" w:cs="宋体"/>
      <w:kern w:val="0"/>
      <w:sz w:val="20"/>
      <w:szCs w:val="20"/>
    </w:rPr>
  </w:style>
  <w:style w:type="paragraph" w:customStyle="1" w:styleId="1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b/>
      <w:bCs/>
      <w:kern w:val="0"/>
      <w:sz w:val="20"/>
      <w:szCs w:val="20"/>
    </w:rPr>
  </w:style>
  <w:style w:type="paragraph" w:customStyle="1" w:styleId="104">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105">
    <w:name w:val="带上框线页脚"/>
    <w:basedOn w:val="1"/>
    <w:qFormat/>
    <w:uiPriority w:val="0"/>
    <w:pPr>
      <w:widowControl/>
      <w:pBdr>
        <w:top w:val="single" w:color="auto" w:sz="4" w:space="1"/>
      </w:pBdr>
      <w:spacing w:afterLines="50"/>
      <w:jc w:val="left"/>
    </w:pPr>
    <w:rPr>
      <w:kern w:val="0"/>
      <w:sz w:val="18"/>
      <w:szCs w:val="20"/>
    </w:rPr>
  </w:style>
  <w:style w:type="paragraph" w:customStyle="1" w:styleId="106">
    <w:name w:val="Char11"/>
    <w:basedOn w:val="1"/>
    <w:qFormat/>
    <w:uiPriority w:val="0"/>
    <w:rPr>
      <w:rFonts w:ascii="仿宋_GB2312" w:eastAsia="仿宋_GB2312"/>
      <w:b/>
      <w:sz w:val="32"/>
      <w:szCs w:val="32"/>
    </w:rPr>
  </w:style>
  <w:style w:type="paragraph" w:customStyle="1" w:styleId="107">
    <w:name w:val="xl75"/>
    <w:basedOn w:val="1"/>
    <w:qFormat/>
    <w:uiPriority w:val="0"/>
    <w:pPr>
      <w:widowControl/>
      <w:spacing w:before="100" w:beforeAutospacing="1" w:after="100" w:afterAutospacing="1"/>
      <w:jc w:val="center"/>
    </w:pPr>
    <w:rPr>
      <w:rFonts w:ascii="楷体" w:hAnsi="楷体" w:eastAsia="楷体" w:cs="宋体"/>
      <w:kern w:val="0"/>
      <w:sz w:val="20"/>
      <w:szCs w:val="20"/>
    </w:rPr>
  </w:style>
  <w:style w:type="paragraph" w:customStyle="1" w:styleId="10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09">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11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11">
    <w:name w:val="Char1"/>
    <w:basedOn w:val="1"/>
    <w:qFormat/>
    <w:uiPriority w:val="0"/>
    <w:rPr>
      <w:rFonts w:ascii="仿宋_GB2312" w:eastAsia="仿宋_GB2312"/>
      <w:b/>
      <w:sz w:val="32"/>
      <w:szCs w:val="32"/>
    </w:rPr>
  </w:style>
  <w:style w:type="paragraph" w:customStyle="1" w:styleId="11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11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15">
    <w:name w:val="xl30"/>
    <w:basedOn w:val="1"/>
    <w:qFormat/>
    <w:uiPriority w:val="0"/>
    <w:pPr>
      <w:widowControl/>
      <w:pBdr>
        <w:top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116">
    <w:name w:val="Char2"/>
    <w:basedOn w:val="1"/>
    <w:qFormat/>
    <w:uiPriority w:val="0"/>
    <w:rPr>
      <w:rFonts w:ascii="仿宋_GB2312" w:eastAsia="仿宋_GB2312"/>
      <w:b/>
      <w:sz w:val="32"/>
      <w:szCs w:val="32"/>
    </w:rPr>
  </w:style>
  <w:style w:type="paragraph" w:customStyle="1" w:styleId="11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18">
    <w:name w:val="Section #"/>
    <w:next w:val="1"/>
    <w:qFormat/>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11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color w:val="000000"/>
      <w:kern w:val="0"/>
      <w:sz w:val="20"/>
      <w:szCs w:val="20"/>
    </w:rPr>
  </w:style>
  <w:style w:type="paragraph" w:customStyle="1" w:styleId="120">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2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22">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3">
    <w:name w:val="font10"/>
    <w:basedOn w:val="1"/>
    <w:qFormat/>
    <w:uiPriority w:val="0"/>
    <w:pPr>
      <w:widowControl/>
      <w:spacing w:before="100" w:beforeAutospacing="1" w:after="100" w:afterAutospacing="1"/>
      <w:jc w:val="left"/>
    </w:pPr>
    <w:rPr>
      <w:color w:val="000000"/>
      <w:kern w:val="0"/>
      <w:sz w:val="18"/>
      <w:szCs w:val="18"/>
    </w:rPr>
  </w:style>
  <w:style w:type="paragraph" w:customStyle="1" w:styleId="124">
    <w:name w:val="xl77"/>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25">
    <w:name w:val="样式1"/>
    <w:basedOn w:val="1"/>
    <w:qFormat/>
    <w:uiPriority w:val="0"/>
    <w:rPr>
      <w:rFonts w:ascii="宋体" w:hAnsi="宋体"/>
      <w:bCs/>
      <w:szCs w:val="20"/>
    </w:rPr>
  </w:style>
  <w:style w:type="paragraph" w:customStyle="1" w:styleId="126">
    <w:name w:val="xl38"/>
    <w:basedOn w:val="1"/>
    <w:qFormat/>
    <w:uiPriority w:val="0"/>
    <w:pPr>
      <w:widowControl/>
      <w:pBdr>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12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28">
    <w:name w:val="正文1"/>
    <w:qFormat/>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129">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30">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1">
    <w:name w:val="正文文字缩进"/>
    <w:basedOn w:val="1"/>
    <w:qFormat/>
    <w:uiPriority w:val="0"/>
    <w:pPr>
      <w:widowControl/>
      <w:spacing w:line="748" w:lineRule="atLeast"/>
      <w:ind w:left="-521" w:firstLine="527"/>
      <w:textAlignment w:val="baseline"/>
    </w:pPr>
    <w:rPr>
      <w:rFonts w:ascii="Romantic" w:hAnsi="微软大黑体" w:cs="微软大黑体"/>
      <w:color w:val="000000"/>
      <w:kern w:val="0"/>
      <w:sz w:val="24"/>
      <w:szCs w:val="20"/>
      <w:u w:color="000000"/>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color w:val="000000"/>
      <w:kern w:val="0"/>
      <w:sz w:val="20"/>
      <w:szCs w:val="20"/>
    </w:rPr>
  </w:style>
  <w:style w:type="paragraph" w:customStyle="1" w:styleId="13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b/>
      <w:bCs/>
      <w:kern w:val="0"/>
      <w:sz w:val="28"/>
      <w:szCs w:val="28"/>
    </w:rPr>
  </w:style>
  <w:style w:type="paragraph" w:customStyle="1" w:styleId="134">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5">
    <w:name w:val="默认段落字体 Para Char Char Char Char Char Char Char Char Char1 Char Char Char Char"/>
    <w:basedOn w:val="1"/>
    <w:qFormat/>
    <w:uiPriority w:val="0"/>
    <w:rPr>
      <w:rFonts w:ascii="Tahoma" w:hAnsi="Tahoma"/>
      <w:sz w:val="24"/>
      <w:szCs w:val="20"/>
    </w:rPr>
  </w:style>
  <w:style w:type="paragraph" w:customStyle="1" w:styleId="13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3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mic Sans MS" w:hAnsi="Comic Sans MS" w:cs="宋体"/>
      <w:kern w:val="0"/>
      <w:sz w:val="20"/>
      <w:szCs w:val="20"/>
    </w:rPr>
  </w:style>
  <w:style w:type="paragraph" w:customStyle="1" w:styleId="13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40">
    <w:name w:val="文档正文"/>
    <w:basedOn w:val="1"/>
    <w:qFormat/>
    <w:uiPriority w:val="0"/>
    <w:pPr>
      <w:adjustRightInd w:val="0"/>
      <w:spacing w:line="480" w:lineRule="atLeast"/>
      <w:ind w:firstLine="567"/>
      <w:textAlignment w:val="baseline"/>
    </w:pPr>
    <w:rPr>
      <w:rFonts w:eastAsia="楷体_GB2312"/>
      <w:kern w:val="0"/>
      <w:sz w:val="28"/>
      <w:szCs w:val="20"/>
    </w:rPr>
  </w:style>
  <w:style w:type="paragraph" w:customStyle="1" w:styleId="141">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42">
    <w:name w:val="Char Char1 Char Char Char Char1 Char Char Char"/>
    <w:basedOn w:val="1"/>
    <w:qFormat/>
    <w:uiPriority w:val="0"/>
    <w:rPr>
      <w:szCs w:val="20"/>
    </w:rPr>
  </w:style>
  <w:style w:type="paragraph" w:customStyle="1" w:styleId="1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4">
    <w:name w:val="Char21"/>
    <w:basedOn w:val="1"/>
    <w:qFormat/>
    <w:uiPriority w:val="0"/>
    <w:rPr>
      <w:rFonts w:ascii="仿宋_GB2312" w:eastAsia="仿宋_GB2312"/>
      <w:b/>
      <w:sz w:val="32"/>
      <w:szCs w:val="32"/>
    </w:rPr>
  </w:style>
  <w:style w:type="paragraph" w:customStyle="1" w:styleId="145">
    <w:name w:val="默认段落字体 Para Char Char Char Char"/>
    <w:basedOn w:val="1"/>
    <w:qFormat/>
    <w:uiPriority w:val="0"/>
    <w:rPr>
      <w:szCs w:val="20"/>
    </w:rPr>
  </w:style>
  <w:style w:type="paragraph" w:customStyle="1" w:styleId="146">
    <w:name w:val="标准中文版式_正文"/>
    <w:basedOn w:val="1"/>
    <w:qFormat/>
    <w:uiPriority w:val="0"/>
    <w:pPr>
      <w:spacing w:before="30" w:line="360" w:lineRule="auto"/>
      <w:ind w:firstLine="200" w:firstLineChars="200"/>
    </w:pPr>
    <w:rPr>
      <w:rFonts w:ascii="Arial" w:hAnsi="Arial"/>
      <w:sz w:val="24"/>
    </w:rPr>
  </w:style>
  <w:style w:type="paragraph" w:customStyle="1" w:styleId="14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149">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150">
    <w:name w:val="Char12"/>
    <w:basedOn w:val="1"/>
    <w:qFormat/>
    <w:uiPriority w:val="0"/>
    <w:rPr>
      <w:rFonts w:ascii="仿宋_GB2312" w:eastAsia="仿宋_GB2312"/>
      <w:b/>
      <w:sz w:val="32"/>
      <w:szCs w:val="32"/>
    </w:rPr>
  </w:style>
  <w:style w:type="paragraph" w:customStyle="1" w:styleId="151">
    <w:name w:val="xl115"/>
    <w:basedOn w:val="1"/>
    <w:qFormat/>
    <w:uiPriority w:val="0"/>
    <w:pPr>
      <w:widowControl/>
      <w:spacing w:before="100" w:beforeAutospacing="1" w:after="100" w:afterAutospacing="1"/>
      <w:jc w:val="center"/>
    </w:pPr>
    <w:rPr>
      <w:rFonts w:ascii="楷体" w:hAnsi="楷体" w:eastAsia="楷体" w:cs="宋体"/>
      <w:b/>
      <w:bCs/>
      <w:kern w:val="0"/>
      <w:sz w:val="24"/>
    </w:rPr>
  </w:style>
  <w:style w:type="paragraph" w:customStyle="1" w:styleId="152">
    <w:name w:val="Char Char Char Char Char Char Char1"/>
    <w:basedOn w:val="1"/>
    <w:qFormat/>
    <w:uiPriority w:val="0"/>
    <w:pPr>
      <w:spacing w:line="600" w:lineRule="exact"/>
      <w:jc w:val="center"/>
    </w:pPr>
    <w:rPr>
      <w:rFonts w:hAnsi="宋体"/>
      <w:b/>
      <w:bCs/>
      <w:sz w:val="32"/>
    </w:rPr>
  </w:style>
  <w:style w:type="paragraph" w:customStyle="1" w:styleId="1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54">
    <w:name w:val="xl73"/>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55">
    <w:name w:val="xl7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5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4"/>
    </w:rPr>
  </w:style>
  <w:style w:type="paragraph" w:customStyle="1" w:styleId="158">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59">
    <w:name w:val="font5"/>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60">
    <w:name w:val="flName"/>
    <w:basedOn w:val="1"/>
    <w:qFormat/>
    <w:uiPriority w:val="0"/>
    <w:pPr>
      <w:adjustRightInd w:val="0"/>
      <w:spacing w:before="320" w:after="160" w:line="360" w:lineRule="atLeast"/>
      <w:ind w:firstLine="200" w:firstLineChars="200"/>
      <w:jc w:val="center"/>
    </w:pPr>
    <w:rPr>
      <w:rFonts w:ascii="Arial" w:eastAsia="黑体"/>
      <w:kern w:val="0"/>
      <w:sz w:val="32"/>
    </w:rPr>
  </w:style>
  <w:style w:type="paragraph" w:customStyle="1" w:styleId="16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62">
    <w:name w:val="排列"/>
    <w:basedOn w:val="1"/>
    <w:qFormat/>
    <w:uiPriority w:val="0"/>
    <w:pPr>
      <w:jc w:val="center"/>
    </w:pPr>
    <w:rPr>
      <w:rFonts w:ascii="楷体_GB2312" w:hAnsi="Courier New" w:eastAsia="楷体_GB2312"/>
      <w:szCs w:val="20"/>
    </w:rPr>
  </w:style>
  <w:style w:type="paragraph" w:customStyle="1" w:styleId="16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Char1 Char Char Char"/>
    <w:basedOn w:val="1"/>
    <w:qFormat/>
    <w:uiPriority w:val="0"/>
    <w:rPr>
      <w:rFonts w:ascii="Tahoma" w:hAnsi="Tahoma"/>
      <w:sz w:val="24"/>
      <w:szCs w:val="20"/>
    </w:rPr>
  </w:style>
  <w:style w:type="paragraph" w:customStyle="1" w:styleId="168">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4"/>
    </w:rPr>
  </w:style>
  <w:style w:type="paragraph" w:customStyle="1" w:styleId="170">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72">
    <w:name w:val="表格内容1"/>
    <w:basedOn w:val="1"/>
    <w:qFormat/>
    <w:uiPriority w:val="0"/>
    <w:rPr>
      <w:sz w:val="24"/>
      <w:szCs w:val="20"/>
    </w:rPr>
  </w:style>
  <w:style w:type="paragraph" w:customStyle="1" w:styleId="173">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4">
    <w:name w:val="列出段落1"/>
    <w:basedOn w:val="1"/>
    <w:qFormat/>
    <w:uiPriority w:val="0"/>
    <w:pPr>
      <w:ind w:firstLine="420" w:firstLineChars="200"/>
    </w:pPr>
    <w:rPr>
      <w:rFonts w:ascii="Calibri" w:hAnsi="Calibri"/>
    </w:rPr>
  </w:style>
  <w:style w:type="paragraph" w:customStyle="1" w:styleId="175">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176">
    <w:name w:val="表内文字"/>
    <w:basedOn w:val="1"/>
    <w:qFormat/>
    <w:uiPriority w:val="0"/>
    <w:pPr>
      <w:snapToGrid w:val="0"/>
      <w:spacing w:before="50" w:after="50"/>
      <w:jc w:val="center"/>
    </w:pPr>
    <w:rPr>
      <w:rFonts w:ascii="宋体" w:hAnsi="宋体"/>
      <w:sz w:val="24"/>
      <w:szCs w:val="20"/>
    </w:rPr>
  </w:style>
  <w:style w:type="paragraph" w:customStyle="1" w:styleId="17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9">
    <w:name w:val="xl74"/>
    <w:basedOn w:val="1"/>
    <w:qFormat/>
    <w:uiPriority w:val="0"/>
    <w:pPr>
      <w:widowControl/>
      <w:spacing w:before="100" w:beforeAutospacing="1" w:after="100" w:afterAutospacing="1"/>
      <w:jc w:val="left"/>
    </w:pPr>
    <w:rPr>
      <w:rFonts w:ascii="楷体" w:hAnsi="楷体" w:eastAsia="楷体" w:cs="宋体"/>
      <w:kern w:val="0"/>
      <w:sz w:val="24"/>
    </w:rPr>
  </w:style>
  <w:style w:type="paragraph" w:customStyle="1" w:styleId="18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 w:hAnsi="楷体" w:eastAsia="楷体" w:cs="宋体"/>
      <w:kern w:val="0"/>
      <w:sz w:val="20"/>
      <w:szCs w:val="20"/>
    </w:rPr>
  </w:style>
  <w:style w:type="paragraph" w:customStyle="1" w:styleId="181">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82">
    <w:name w:val="xl69"/>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183">
    <w:name w:val="正文缩进1"/>
    <w:basedOn w:val="1"/>
    <w:next w:val="1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84">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8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character" w:customStyle="1" w:styleId="186">
    <w:name w:val="标题 2 Char"/>
    <w:basedOn w:val="39"/>
    <w:link w:val="4"/>
    <w:qFormat/>
    <w:uiPriority w:val="0"/>
    <w:rPr>
      <w:rFonts w:ascii="Arial" w:hAnsi="Arial" w:eastAsia="黑体"/>
      <w:b/>
      <w:bCs/>
      <w:kern w:val="2"/>
      <w:sz w:val="32"/>
      <w:szCs w:val="32"/>
    </w:rPr>
  </w:style>
  <w:style w:type="character" w:customStyle="1" w:styleId="187">
    <w:name w:val="标题 4 Char"/>
    <w:basedOn w:val="39"/>
    <w:link w:val="7"/>
    <w:qFormat/>
    <w:uiPriority w:val="0"/>
    <w:rPr>
      <w:rFonts w:ascii="Arial" w:hAnsi="Arial" w:eastAsia="黑体"/>
      <w:b/>
      <w:bCs/>
      <w:kern w:val="2"/>
      <w:sz w:val="28"/>
      <w:szCs w:val="28"/>
    </w:rPr>
  </w:style>
  <w:style w:type="character" w:customStyle="1" w:styleId="188">
    <w:name w:val="批注框文本 Char1"/>
    <w:basedOn w:val="39"/>
    <w:semiHidden/>
    <w:qFormat/>
    <w:uiPriority w:val="99"/>
    <w:rPr>
      <w:rFonts w:ascii="Times New Roman" w:hAnsi="Times New Roman" w:eastAsia="宋体" w:cs="Times New Roman"/>
      <w:sz w:val="18"/>
      <w:szCs w:val="18"/>
    </w:rPr>
  </w:style>
  <w:style w:type="character" w:customStyle="1" w:styleId="189">
    <w:name w:val="批注文字 Char1"/>
    <w:basedOn w:val="39"/>
    <w:semiHidden/>
    <w:qFormat/>
    <w:uiPriority w:val="99"/>
    <w:rPr>
      <w:rFonts w:ascii="Times New Roman" w:hAnsi="Times New Roman" w:eastAsia="宋体" w:cs="Times New Roman"/>
      <w:szCs w:val="24"/>
    </w:rPr>
  </w:style>
  <w:style w:type="character" w:customStyle="1" w:styleId="190">
    <w:name w:val="纯文本 Char2"/>
    <w:basedOn w:val="39"/>
    <w:semiHidden/>
    <w:qFormat/>
    <w:uiPriority w:val="99"/>
    <w:rPr>
      <w:rFonts w:ascii="宋体" w:hAnsi="Courier New" w:eastAsia="宋体" w:cs="Courier New"/>
      <w:szCs w:val="21"/>
    </w:rPr>
  </w:style>
  <w:style w:type="character" w:customStyle="1" w:styleId="191">
    <w:name w:val="日期 Char1"/>
    <w:basedOn w:val="39"/>
    <w:semiHidden/>
    <w:qFormat/>
    <w:uiPriority w:val="99"/>
    <w:rPr>
      <w:rFonts w:ascii="Times New Roman" w:hAnsi="Times New Roman" w:eastAsia="宋体" w:cs="Times New Roman"/>
      <w:szCs w:val="24"/>
    </w:rPr>
  </w:style>
  <w:style w:type="character" w:customStyle="1" w:styleId="192">
    <w:name w:val="正文文本 Char"/>
    <w:basedOn w:val="39"/>
    <w:link w:val="12"/>
    <w:qFormat/>
    <w:uiPriority w:val="0"/>
    <w:rPr>
      <w:kern w:val="2"/>
      <w:sz w:val="21"/>
      <w:szCs w:val="24"/>
    </w:rPr>
  </w:style>
  <w:style w:type="character" w:customStyle="1" w:styleId="193">
    <w:name w:val="文档结构图 Char"/>
    <w:basedOn w:val="39"/>
    <w:link w:val="15"/>
    <w:qFormat/>
    <w:uiPriority w:val="0"/>
    <w:rPr>
      <w:kern w:val="2"/>
      <w:sz w:val="21"/>
      <w:szCs w:val="24"/>
      <w:shd w:val="clear" w:color="auto" w:fill="000080"/>
    </w:rPr>
  </w:style>
  <w:style w:type="character" w:customStyle="1" w:styleId="194">
    <w:name w:val="正文文本 3 Char"/>
    <w:basedOn w:val="39"/>
    <w:link w:val="16"/>
    <w:qFormat/>
    <w:uiPriority w:val="0"/>
    <w:rPr>
      <w:kern w:val="2"/>
      <w:sz w:val="16"/>
      <w:szCs w:val="16"/>
    </w:rPr>
  </w:style>
  <w:style w:type="character" w:customStyle="1" w:styleId="195">
    <w:name w:val="正文文本缩进 2 Char"/>
    <w:basedOn w:val="39"/>
    <w:link w:val="25"/>
    <w:qFormat/>
    <w:uiPriority w:val="0"/>
    <w:rPr>
      <w:rFonts w:ascii="仿宋_GB2312" w:hAnsi="宋体" w:eastAsia="仿宋_GB2312"/>
      <w:b/>
      <w:bCs/>
      <w:kern w:val="2"/>
      <w:sz w:val="24"/>
      <w:szCs w:val="24"/>
    </w:rPr>
  </w:style>
  <w:style w:type="character" w:customStyle="1" w:styleId="196">
    <w:name w:val="正文文本缩进 Char"/>
    <w:basedOn w:val="39"/>
    <w:link w:val="17"/>
    <w:qFormat/>
    <w:uiPriority w:val="0"/>
    <w:rPr>
      <w:kern w:val="2"/>
      <w:sz w:val="21"/>
      <w:szCs w:val="24"/>
    </w:rPr>
  </w:style>
  <w:style w:type="character" w:customStyle="1" w:styleId="197">
    <w:name w:val="批注主题 Char1"/>
    <w:basedOn w:val="189"/>
    <w:semiHidden/>
    <w:qFormat/>
    <w:uiPriority w:val="99"/>
    <w:rPr>
      <w:b/>
      <w:bCs/>
    </w:rPr>
  </w:style>
  <w:style w:type="character" w:customStyle="1" w:styleId="198">
    <w:name w:val="页脚 Char1"/>
    <w:basedOn w:val="39"/>
    <w:semiHidden/>
    <w:qFormat/>
    <w:uiPriority w:val="99"/>
    <w:rPr>
      <w:rFonts w:ascii="Times New Roman" w:hAnsi="Times New Roman" w:eastAsia="宋体" w:cs="Times New Roman"/>
      <w:sz w:val="18"/>
      <w:szCs w:val="18"/>
    </w:rPr>
  </w:style>
  <w:style w:type="character" w:customStyle="1" w:styleId="199">
    <w:name w:val="页眉 Char1"/>
    <w:basedOn w:val="39"/>
    <w:semiHidden/>
    <w:qFormat/>
    <w:uiPriority w:val="99"/>
    <w:rPr>
      <w:rFonts w:ascii="Times New Roman" w:hAnsi="Times New Roman" w:eastAsia="宋体" w:cs="Times New Roman"/>
      <w:sz w:val="18"/>
      <w:szCs w:val="18"/>
    </w:rPr>
  </w:style>
  <w:style w:type="character" w:customStyle="1" w:styleId="200">
    <w:name w:val="正文首行缩进 Char1"/>
    <w:basedOn w:val="192"/>
    <w:semiHidden/>
    <w:qFormat/>
    <w:uiPriority w:val="99"/>
  </w:style>
  <w:style w:type="character" w:customStyle="1" w:styleId="201">
    <w:name w:val="正文文本缩进 3 Char"/>
    <w:basedOn w:val="39"/>
    <w:link w:val="32"/>
    <w:qFormat/>
    <w:uiPriority w:val="0"/>
    <w:rPr>
      <w:rFonts w:ascii="楷体_GB2312" w:eastAsia="楷体_GB2312"/>
      <w:kern w:val="2"/>
      <w:sz w:val="32"/>
    </w:rPr>
  </w:style>
  <w:style w:type="character" w:customStyle="1" w:styleId="202">
    <w:name w:val="正文文本 2 Char"/>
    <w:basedOn w:val="39"/>
    <w:link w:val="35"/>
    <w:qFormat/>
    <w:uiPriority w:val="0"/>
    <w:rPr>
      <w:rFonts w:eastAsia="楷体_GB2312"/>
      <w:kern w:val="2"/>
      <w:sz w:val="21"/>
      <w:szCs w:val="24"/>
    </w:rPr>
  </w:style>
  <w:style w:type="character" w:customStyle="1" w:styleId="203">
    <w:name w:val="标题 Char"/>
    <w:basedOn w:val="39"/>
    <w:link w:val="38"/>
    <w:qFormat/>
    <w:uiPriority w:val="0"/>
    <w:rPr>
      <w:b/>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5819</Words>
  <Characters>33170</Characters>
  <Lines>276</Lines>
  <Paragraphs>77</Paragraphs>
  <TotalTime>2</TotalTime>
  <ScaleCrop>false</ScaleCrop>
  <LinksUpToDate>false</LinksUpToDate>
  <CharactersWithSpaces>38912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2019-06-18T14:42:00Z</dcterms:created>
  <dc:creator>番茄花园</dc:creator>
  <cp:lastModifiedBy>Administrator</cp:lastModifiedBy>
  <cp:lastPrinted>2019-04-25T03:09:00Z</cp:lastPrinted>
  <dcterms:modified xsi:type="dcterms:W3CDTF">2019-10-09T07:05:42Z</dcterms:modified>
  <dc:title>桐庐县老干部活动中心办公家具政府采购项目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