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24"/>
        </w:rPr>
      </w:pPr>
    </w:p>
    <w:p>
      <w:pPr>
        <w:spacing w:line="360" w:lineRule="auto"/>
        <w:jc w:val="center"/>
        <w:rPr>
          <w:rFonts w:ascii="仿宋" w:hAnsi="仿宋" w:eastAsia="仿宋" w:cs="仿宋"/>
          <w:b/>
          <w:sz w:val="24"/>
        </w:rPr>
      </w:pPr>
    </w:p>
    <w:p>
      <w:pPr>
        <w:adjustRightInd/>
        <w:spacing w:line="360" w:lineRule="auto"/>
        <w:jc w:val="center"/>
        <w:rPr>
          <w:rFonts w:ascii="仿宋" w:hAnsi="仿宋" w:eastAsia="仿宋" w:cs="仿宋"/>
          <w:b/>
          <w:sz w:val="48"/>
          <w:szCs w:val="48"/>
        </w:rPr>
      </w:pPr>
    </w:p>
    <w:p>
      <w:pPr>
        <w:adjustRightInd/>
        <w:spacing w:line="360" w:lineRule="auto"/>
        <w:jc w:val="center"/>
        <w:rPr>
          <w:rFonts w:ascii="仿宋" w:hAnsi="仿宋" w:eastAsia="仿宋" w:cs="仿宋"/>
          <w:sz w:val="48"/>
          <w:szCs w:val="48"/>
        </w:rPr>
      </w:pPr>
    </w:p>
    <w:p>
      <w:pPr>
        <w:adjustRightInd/>
        <w:spacing w:line="360" w:lineRule="auto"/>
        <w:jc w:val="center"/>
        <w:rPr>
          <w:rFonts w:ascii="仿宋" w:hAnsi="仿宋" w:eastAsia="仿宋" w:cs="仿宋"/>
          <w:sz w:val="48"/>
          <w:szCs w:val="48"/>
        </w:rPr>
      </w:pPr>
      <w:r>
        <w:rPr>
          <w:rFonts w:hint="eastAsia" w:ascii="仿宋" w:hAnsi="仿宋" w:eastAsia="仿宋" w:cs="仿宋"/>
          <w:color w:val="auto"/>
          <w:sz w:val="52"/>
          <w:szCs w:val="52"/>
          <w:highlight w:val="none"/>
          <w:lang w:val="en-US" w:eastAsia="zh-CN"/>
        </w:rPr>
        <w:t>2023-2025年钱塘区景观灯及附属设施养护服务项目招标文件</w:t>
      </w:r>
    </w:p>
    <w:p>
      <w:pPr>
        <w:adjustRightInd/>
        <w:spacing w:line="360" w:lineRule="auto"/>
        <w:jc w:val="center"/>
        <w:rPr>
          <w:rFonts w:ascii="仿宋" w:hAnsi="仿宋" w:eastAsia="仿宋" w:cs="仿宋"/>
          <w:b/>
          <w:sz w:val="44"/>
          <w:szCs w:val="44"/>
        </w:rPr>
      </w:pPr>
      <w:r>
        <w:rPr>
          <w:rFonts w:hint="eastAsia" w:ascii="仿宋" w:hAnsi="仿宋" w:eastAsia="仿宋" w:cs="仿宋"/>
          <w:b/>
          <w:sz w:val="28"/>
          <w:szCs w:val="28"/>
        </w:rPr>
        <w:t>（电子招投标）</w:t>
      </w:r>
    </w:p>
    <w:p>
      <w:pPr>
        <w:snapToGrid w:val="0"/>
        <w:spacing w:line="360" w:lineRule="auto"/>
        <w:jc w:val="center"/>
        <w:rPr>
          <w:rFonts w:ascii="仿宋" w:hAnsi="仿宋" w:eastAsia="仿宋" w:cs="仿宋"/>
          <w:sz w:val="30"/>
          <w:szCs w:val="30"/>
        </w:rPr>
      </w:pPr>
    </w:p>
    <w:p>
      <w:pPr>
        <w:pStyle w:val="26"/>
        <w:rPr>
          <w:rFonts w:ascii="仿宋" w:hAnsi="仿宋" w:eastAsia="仿宋" w:cs="仿宋"/>
        </w:rPr>
      </w:pPr>
    </w:p>
    <w:p>
      <w:pPr>
        <w:snapToGrid w:val="0"/>
        <w:spacing w:line="360" w:lineRule="auto"/>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编号:QTCG-GK-202</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358</w:t>
      </w:r>
    </w:p>
    <w:p>
      <w:pPr>
        <w:adjustRightInd/>
        <w:spacing w:line="360" w:lineRule="auto"/>
        <w:rPr>
          <w:rFonts w:ascii="仿宋" w:hAnsi="仿宋" w:eastAsia="仿宋" w:cs="仿宋"/>
          <w:sz w:val="28"/>
          <w:szCs w:val="20"/>
        </w:rPr>
      </w:pPr>
    </w:p>
    <w:p>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pPr>
        <w:spacing w:line="360" w:lineRule="auto"/>
        <w:rPr>
          <w:rFonts w:ascii="仿宋" w:hAnsi="仿宋" w:eastAsia="仿宋" w:cs="仿宋"/>
          <w:sz w:val="32"/>
          <w:szCs w:val="32"/>
        </w:rPr>
      </w:pPr>
    </w:p>
    <w:p>
      <w:pPr>
        <w:spacing w:line="360" w:lineRule="auto"/>
        <w:jc w:val="center"/>
        <w:rPr>
          <w:rFonts w:hint="eastAsia" w:ascii="仿宋" w:hAnsi="仿宋" w:eastAsia="仿宋" w:cs="仿宋"/>
          <w:sz w:val="36"/>
          <w:szCs w:val="36"/>
          <w:lang w:eastAsia="zh-CN"/>
        </w:rPr>
      </w:pPr>
      <w:r>
        <w:rPr>
          <w:rFonts w:hint="eastAsia" w:ascii="仿宋" w:hAnsi="仿宋" w:eastAsia="仿宋" w:cs="仿宋"/>
          <w:sz w:val="36"/>
          <w:szCs w:val="36"/>
          <w:lang w:eastAsia="zh-CN"/>
        </w:rPr>
        <w:t xml:space="preserve">杭州市钱塘区综合行政执法局 </w:t>
      </w:r>
    </w:p>
    <w:p>
      <w:pPr>
        <w:spacing w:line="360" w:lineRule="auto"/>
        <w:jc w:val="center"/>
        <w:rPr>
          <w:rFonts w:ascii="仿宋" w:hAnsi="仿宋" w:eastAsia="仿宋" w:cs="仿宋"/>
          <w:sz w:val="36"/>
          <w:szCs w:val="36"/>
        </w:rPr>
      </w:pPr>
      <w:r>
        <w:rPr>
          <w:rFonts w:hint="eastAsia" w:ascii="仿宋" w:hAnsi="仿宋" w:eastAsia="仿宋" w:cs="仿宋"/>
          <w:sz w:val="36"/>
          <w:szCs w:val="36"/>
        </w:rPr>
        <w:t>杭州市公共资源交易中心钱塘分中心</w:t>
      </w:r>
    </w:p>
    <w:p>
      <w:pPr>
        <w:spacing w:line="360" w:lineRule="auto"/>
        <w:jc w:val="center"/>
        <w:rPr>
          <w:rFonts w:ascii="仿宋" w:hAnsi="仿宋" w:eastAsia="仿宋" w:cs="仿宋"/>
          <w:color w:val="FF0000"/>
          <w:sz w:val="24"/>
        </w:rPr>
      </w:pPr>
      <w:r>
        <w:rPr>
          <w:rFonts w:hint="eastAsia" w:ascii="仿宋" w:hAnsi="仿宋" w:eastAsia="仿宋" w:cs="仿宋"/>
          <w:color w:val="auto"/>
          <w:sz w:val="36"/>
          <w:szCs w:val="36"/>
        </w:rPr>
        <w:t>二〇二</w:t>
      </w:r>
      <w:r>
        <w:rPr>
          <w:rFonts w:hint="eastAsia" w:ascii="仿宋" w:hAnsi="仿宋" w:eastAsia="仿宋" w:cs="仿宋"/>
          <w:color w:val="auto"/>
          <w:sz w:val="36"/>
          <w:szCs w:val="36"/>
          <w:lang w:eastAsia="zh-CN"/>
        </w:rPr>
        <w:t>三</w:t>
      </w:r>
      <w:r>
        <w:rPr>
          <w:rFonts w:hint="eastAsia" w:ascii="仿宋" w:hAnsi="仿宋" w:eastAsia="仿宋" w:cs="仿宋"/>
          <w:color w:val="auto"/>
          <w:sz w:val="36"/>
          <w:szCs w:val="36"/>
        </w:rPr>
        <w:t>年</w:t>
      </w:r>
      <w:r>
        <w:rPr>
          <w:rFonts w:hint="eastAsia" w:ascii="仿宋" w:hAnsi="仿宋" w:eastAsia="仿宋" w:cs="仿宋"/>
          <w:color w:val="auto"/>
          <w:sz w:val="36"/>
          <w:szCs w:val="36"/>
          <w:lang w:val="en" w:eastAsia="zh-CN"/>
        </w:rPr>
        <w:t>十</w:t>
      </w:r>
      <w:r>
        <w:rPr>
          <w:rFonts w:hint="eastAsia" w:ascii="仿宋" w:hAnsi="仿宋" w:eastAsia="仿宋" w:cs="仿宋"/>
          <w:color w:val="auto"/>
          <w:sz w:val="36"/>
          <w:szCs w:val="36"/>
        </w:rPr>
        <w:t>月</w:t>
      </w:r>
      <w:r>
        <w:rPr>
          <w:rFonts w:hint="eastAsia" w:ascii="仿宋" w:hAnsi="仿宋" w:eastAsia="仿宋" w:cs="仿宋"/>
          <w:color w:val="auto"/>
          <w:sz w:val="36"/>
          <w:szCs w:val="36"/>
          <w:lang w:eastAsia="zh-CN"/>
        </w:rPr>
        <w:t>二十六</w:t>
      </w:r>
      <w:r>
        <w:rPr>
          <w:rFonts w:hint="eastAsia" w:ascii="仿宋" w:hAnsi="仿宋" w:eastAsia="仿宋" w:cs="仿宋"/>
          <w:color w:val="auto"/>
          <w:sz w:val="36"/>
          <w:szCs w:val="36"/>
        </w:rPr>
        <w:t>日</w:t>
      </w:r>
      <w:r>
        <w:rPr>
          <w:rFonts w:hint="eastAsia" w:ascii="仿宋" w:hAnsi="仿宋" w:eastAsia="仿宋" w:cs="仿宋"/>
          <w:color w:val="FF0000"/>
          <w:sz w:val="24"/>
        </w:rPr>
        <w:br w:type="page"/>
      </w:r>
      <w:bookmarkStart w:id="0" w:name="_Hlt67893495"/>
      <w:bookmarkEnd w:id="0"/>
    </w:p>
    <w:p>
      <w:pPr>
        <w:spacing w:line="360" w:lineRule="auto"/>
        <w:jc w:val="center"/>
        <w:rPr>
          <w:rFonts w:ascii="仿宋" w:hAnsi="仿宋" w:eastAsia="仿宋" w:cs="仿宋"/>
          <w:sz w:val="24"/>
        </w:rPr>
      </w:pPr>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ascii="仿宋" w:hAnsi="仿宋" w:eastAsia="仿宋" w:cs="仿宋"/>
          <w:sz w:val="24"/>
        </w:rPr>
      </w:pPr>
      <w:bookmarkStart w:id="1" w:name="_Hlt91233176"/>
      <w:bookmarkEnd w:id="1"/>
      <w:bookmarkStart w:id="2" w:name="_Toc91899869"/>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ind w:firstLine="549" w:firstLineChars="229"/>
        <w:rPr>
          <w:rFonts w:ascii="仿宋" w:hAnsi="仿宋" w:eastAsia="仿宋" w:cs="仿宋"/>
          <w:sz w:val="24"/>
        </w:rPr>
      </w:pPr>
    </w:p>
    <w:p>
      <w:pPr>
        <w:spacing w:line="360" w:lineRule="auto"/>
        <w:rPr>
          <w:rFonts w:ascii="仿宋" w:hAnsi="仿宋" w:eastAsia="仿宋" w:cs="仿宋"/>
          <w:sz w:val="24"/>
        </w:rPr>
      </w:pPr>
    </w:p>
    <w:p>
      <w:pPr>
        <w:adjustRightInd/>
        <w:spacing w:line="360" w:lineRule="auto"/>
        <w:jc w:val="center"/>
        <w:outlineLvl w:val="0"/>
        <w:rPr>
          <w:rFonts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lang w:eastAsia="zh-CN"/>
        </w:rPr>
        <w:t>2023-2025年钱塘区景观灯及附属设施养护服务项目</w:t>
      </w:r>
      <w:r>
        <w:rPr>
          <w:rFonts w:hint="eastAsia" w:ascii="仿宋" w:hAnsi="仿宋" w:eastAsia="仿宋" w:cs="仿宋"/>
          <w:sz w:val="24"/>
        </w:rPr>
        <w:t>招标项目</w:t>
      </w:r>
      <w:r>
        <w:rPr>
          <w:rFonts w:hint="eastAsia" w:ascii="仿宋" w:hAnsi="仿宋" w:eastAsia="仿宋" w:cs="仿宋"/>
          <w:color w:val="auto"/>
          <w:sz w:val="24"/>
        </w:rPr>
        <w:t>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8"/>
          <w:rFonts w:hint="eastAsia" w:ascii="仿宋" w:hAnsi="仿宋" w:eastAsia="仿宋" w:cs="仿宋"/>
          <w:snapToGrid/>
          <w:color w:val="auto"/>
          <w:kern w:val="2"/>
          <w:sz w:val="24"/>
          <w:szCs w:val="24"/>
        </w:rPr>
        <w:t>https://www.zcygov.cn/）获取（下载）招标文件，并于</w:t>
      </w:r>
      <w:r>
        <w:rPr>
          <w:rFonts w:hint="eastAsia" w:ascii="仿宋" w:hAnsi="仿宋" w:eastAsia="仿宋" w:cs="仿宋"/>
          <w:color w:val="auto"/>
          <w:sz w:val="24"/>
          <w:u w:val="single"/>
        </w:rPr>
        <w:t>2023年</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16</w:t>
      </w:r>
      <w:r>
        <w:rPr>
          <w:rFonts w:hint="eastAsia" w:ascii="仿宋" w:hAnsi="仿宋" w:eastAsia="仿宋" w:cs="仿宋"/>
          <w:color w:val="auto"/>
          <w:sz w:val="24"/>
          <w:u w:val="single"/>
        </w:rPr>
        <w:t>日9点30分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w:t>
      </w:r>
      <w:r>
        <w:rPr>
          <w:rFonts w:hint="eastAsia" w:ascii="仿宋" w:hAnsi="仿宋" w:eastAsia="仿宋" w:cs="仿宋"/>
          <w:bCs/>
          <w:sz w:val="24"/>
        </w:rPr>
        <w:t>京时间）前</w:t>
      </w:r>
      <w:r>
        <w:rPr>
          <w:rFonts w:hint="eastAsia" w:ascii="仿宋" w:hAnsi="仿宋" w:eastAsia="仿宋" w:cs="仿宋"/>
          <w:sz w:val="24"/>
        </w:rPr>
        <w:t>递交（上传）投标文件。</w:t>
      </w:r>
    </w:p>
    <w:p>
      <w:pPr>
        <w:spacing w:line="360" w:lineRule="auto"/>
        <w:rPr>
          <w:rFonts w:ascii="仿宋" w:hAnsi="仿宋" w:eastAsia="仿宋" w:cs="仿宋"/>
          <w:b/>
          <w:sz w:val="24"/>
        </w:rPr>
      </w:pPr>
      <w:r>
        <w:rPr>
          <w:rFonts w:hint="eastAsia" w:ascii="仿宋" w:hAnsi="仿宋" w:eastAsia="仿宋" w:cs="仿宋"/>
          <w:b/>
          <w:sz w:val="24"/>
        </w:rPr>
        <w:t>一、项目基本情况</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rPr>
        <w:t>项目编号：QTCG-GK-202</w:t>
      </w:r>
      <w:r>
        <w:rPr>
          <w:rFonts w:hint="eastAsia" w:ascii="仿宋" w:hAnsi="仿宋" w:eastAsia="仿宋" w:cs="仿宋"/>
          <w:color w:val="auto"/>
          <w:sz w:val="24"/>
          <w:lang w:val="en-US" w:eastAsia="zh-CN"/>
        </w:rPr>
        <w:t>3</w:t>
      </w:r>
      <w:r>
        <w:rPr>
          <w:rFonts w:hint="eastAsia" w:ascii="仿宋" w:hAnsi="仿宋" w:eastAsia="仿宋" w:cs="仿宋"/>
          <w:color w:val="auto"/>
          <w:sz w:val="24"/>
        </w:rPr>
        <w:t>-</w:t>
      </w:r>
      <w:r>
        <w:rPr>
          <w:rFonts w:hint="eastAsia" w:ascii="仿宋" w:hAnsi="仿宋" w:eastAsia="仿宋" w:cs="仿宋"/>
          <w:color w:val="auto"/>
          <w:sz w:val="24"/>
          <w:lang w:val="en-US" w:eastAsia="zh-CN"/>
        </w:rPr>
        <w:t>358</w:t>
      </w:r>
    </w:p>
    <w:p>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rPr>
        <w:t>项</w:t>
      </w:r>
      <w:r>
        <w:rPr>
          <w:rFonts w:hint="eastAsia" w:ascii="仿宋" w:hAnsi="仿宋" w:eastAsia="仿宋" w:cs="仿宋"/>
          <w:sz w:val="24"/>
          <w:highlight w:val="none"/>
        </w:rPr>
        <w:t>目名称：2023-2025年钱塘区景观灯及附属设施养护服务项目</w:t>
      </w:r>
    </w:p>
    <w:p>
      <w:pPr>
        <w:adjustRightInd w:val="0"/>
        <w:spacing w:line="360" w:lineRule="auto"/>
        <w:ind w:firstLine="480" w:firstLineChars="200"/>
        <w:rPr>
          <w:rFonts w:ascii="仿宋_GB2312" w:hAnsi="仿宋" w:eastAsia="仿宋_GB2312" w:cs="仿宋_GB2312"/>
          <w:bCs/>
          <w:sz w:val="24"/>
          <w:szCs w:val="24"/>
          <w:highlight w:val="none"/>
        </w:rPr>
      </w:pPr>
      <w:r>
        <w:rPr>
          <w:rFonts w:hint="eastAsia" w:ascii="仿宋_GB2312" w:hAnsi="仿宋" w:eastAsia="仿宋_GB2312"/>
          <w:bCs/>
          <w:sz w:val="24"/>
          <w:szCs w:val="24"/>
          <w:highlight w:val="none"/>
        </w:rPr>
        <w:t>预算金额（元）</w:t>
      </w:r>
      <w:r>
        <w:rPr>
          <w:rFonts w:hint="eastAsia" w:ascii="仿宋_GB2312" w:hAnsi="仿宋" w:eastAsia="仿宋_GB2312" w:cs="仿宋_GB2312"/>
          <w:bCs/>
          <w:sz w:val="24"/>
          <w:szCs w:val="24"/>
          <w:highlight w:val="none"/>
        </w:rPr>
        <w:t>：</w:t>
      </w:r>
      <w:r>
        <w:rPr>
          <w:rFonts w:hint="eastAsia" w:ascii="仿宋_GB2312" w:hAnsi="仿宋" w:eastAsia="仿宋_GB2312" w:cs="仿宋_GB2312"/>
          <w:bCs/>
          <w:sz w:val="24"/>
          <w:szCs w:val="24"/>
          <w:highlight w:val="none"/>
          <w:lang w:val="en-US" w:eastAsia="zh-CN"/>
        </w:rPr>
        <w:t>1616</w:t>
      </w:r>
      <w:r>
        <w:rPr>
          <w:rFonts w:ascii="仿宋_GB2312" w:hAnsi="仿宋" w:eastAsia="仿宋_GB2312" w:cs="仿宋_GB2312"/>
          <w:bCs/>
          <w:sz w:val="24"/>
          <w:szCs w:val="24"/>
          <w:highlight w:val="none"/>
        </w:rPr>
        <w:t>0000</w:t>
      </w:r>
      <w:r>
        <w:rPr>
          <w:rFonts w:hint="eastAsia" w:ascii="仿宋_GB2312" w:hAnsi="仿宋" w:eastAsia="仿宋_GB2312" w:cs="仿宋_GB2312"/>
          <w:bCs/>
          <w:sz w:val="24"/>
          <w:szCs w:val="24"/>
          <w:highlight w:val="none"/>
        </w:rPr>
        <w:t>（</w:t>
      </w:r>
      <w:r>
        <w:rPr>
          <w:rFonts w:hint="eastAsia" w:ascii="仿宋_GB2312" w:hAnsi="仿宋" w:eastAsia="仿宋_GB2312" w:cs="仿宋_GB2312"/>
          <w:bCs/>
          <w:sz w:val="24"/>
          <w:szCs w:val="24"/>
          <w:highlight w:val="none"/>
          <w:lang w:val="en-US" w:eastAsia="zh-CN"/>
        </w:rPr>
        <w:t>8080000</w:t>
      </w:r>
      <w:r>
        <w:rPr>
          <w:rFonts w:ascii="仿宋_GB2312" w:hAnsi="仿宋" w:eastAsia="仿宋_GB2312" w:cs="仿宋_GB2312"/>
          <w:bCs/>
          <w:sz w:val="24"/>
          <w:szCs w:val="24"/>
          <w:highlight w:val="none"/>
        </w:rPr>
        <w:t>/</w:t>
      </w:r>
      <w:r>
        <w:rPr>
          <w:rFonts w:hint="eastAsia" w:ascii="仿宋_GB2312" w:hAnsi="仿宋" w:eastAsia="仿宋_GB2312" w:cs="仿宋_GB2312"/>
          <w:bCs/>
          <w:sz w:val="24"/>
          <w:szCs w:val="24"/>
          <w:highlight w:val="none"/>
        </w:rPr>
        <w:t>年</w:t>
      </w:r>
      <w:r>
        <w:rPr>
          <w:rFonts w:hint="eastAsia" w:ascii="仿宋_GB2312" w:hAnsi="仿宋" w:eastAsia="仿宋_GB2312" w:cs="仿宋_GB2312"/>
          <w:bCs/>
          <w:sz w:val="24"/>
          <w:szCs w:val="24"/>
          <w:highlight w:val="none"/>
          <w:lang w:eastAsia="zh-CN"/>
        </w:rPr>
        <w:t>，标项一</w:t>
      </w:r>
      <w:r>
        <w:rPr>
          <w:rFonts w:hint="eastAsia" w:ascii="仿宋_GB2312" w:hAnsi="仿宋" w:eastAsia="仿宋_GB2312" w:cs="仿宋_GB2312"/>
          <w:bCs/>
          <w:sz w:val="24"/>
          <w:szCs w:val="24"/>
          <w:highlight w:val="none"/>
          <w:lang w:val="en-US" w:eastAsia="zh-CN"/>
        </w:rPr>
        <w:t>3648850/年，标项二4431150/年</w:t>
      </w:r>
      <w:r>
        <w:rPr>
          <w:rFonts w:hint="eastAsia" w:ascii="仿宋_GB2312" w:hAnsi="仿宋" w:eastAsia="仿宋_GB2312" w:cs="仿宋_GB2312"/>
          <w:bCs/>
          <w:sz w:val="24"/>
          <w:szCs w:val="24"/>
          <w:highlight w:val="none"/>
        </w:rPr>
        <w:t>）</w:t>
      </w:r>
    </w:p>
    <w:p>
      <w:pPr>
        <w:spacing w:line="36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最高限价（元）：标</w:t>
      </w:r>
      <w:r>
        <w:rPr>
          <w:rFonts w:hint="eastAsia" w:ascii="仿宋_GB2312" w:hAnsi="仿宋" w:eastAsia="仿宋_GB2312"/>
          <w:sz w:val="24"/>
          <w:szCs w:val="24"/>
          <w:highlight w:val="none"/>
          <w:lang w:eastAsia="zh-CN"/>
        </w:rPr>
        <w:t>项</w:t>
      </w:r>
      <w:r>
        <w:rPr>
          <w:rFonts w:hint="eastAsia" w:ascii="仿宋_GB2312" w:hAnsi="仿宋" w:eastAsia="仿宋_GB2312"/>
          <w:sz w:val="24"/>
          <w:szCs w:val="24"/>
          <w:highlight w:val="none"/>
        </w:rPr>
        <w:t>一</w:t>
      </w:r>
      <w:r>
        <w:rPr>
          <w:rFonts w:hint="eastAsia" w:ascii="仿宋_GB2312" w:hAnsi="仿宋" w:eastAsia="仿宋_GB2312"/>
          <w:sz w:val="24"/>
          <w:szCs w:val="24"/>
          <w:highlight w:val="none"/>
          <w:lang w:val="en-US" w:eastAsia="zh-CN"/>
        </w:rPr>
        <w:t>3648300</w:t>
      </w:r>
      <w:r>
        <w:rPr>
          <w:rFonts w:ascii="仿宋_GB2312" w:hAnsi="仿宋" w:eastAsia="仿宋_GB2312"/>
          <w:sz w:val="24"/>
          <w:szCs w:val="24"/>
          <w:highlight w:val="none"/>
        </w:rPr>
        <w:t>/</w:t>
      </w:r>
      <w:r>
        <w:rPr>
          <w:rFonts w:hint="eastAsia" w:ascii="仿宋_GB2312" w:hAnsi="仿宋" w:eastAsia="仿宋_GB2312"/>
          <w:sz w:val="24"/>
          <w:szCs w:val="24"/>
          <w:highlight w:val="none"/>
        </w:rPr>
        <w:t>年，标</w:t>
      </w:r>
      <w:r>
        <w:rPr>
          <w:rFonts w:hint="eastAsia" w:ascii="仿宋_GB2312" w:hAnsi="仿宋" w:eastAsia="仿宋_GB2312"/>
          <w:sz w:val="24"/>
          <w:szCs w:val="24"/>
          <w:highlight w:val="none"/>
          <w:lang w:eastAsia="zh-CN"/>
        </w:rPr>
        <w:t>项</w:t>
      </w:r>
      <w:r>
        <w:rPr>
          <w:rFonts w:hint="eastAsia" w:ascii="仿宋_GB2312" w:hAnsi="仿宋" w:eastAsia="仿宋_GB2312"/>
          <w:sz w:val="24"/>
          <w:szCs w:val="24"/>
          <w:highlight w:val="none"/>
        </w:rPr>
        <w:t>二</w:t>
      </w:r>
      <w:r>
        <w:rPr>
          <w:rFonts w:hint="eastAsia" w:ascii="仿宋_GB2312" w:hAnsi="仿宋" w:eastAsia="仿宋_GB2312"/>
          <w:sz w:val="24"/>
          <w:szCs w:val="24"/>
          <w:highlight w:val="none"/>
          <w:lang w:val="en-US" w:eastAsia="zh-CN"/>
        </w:rPr>
        <w:t>4430600</w:t>
      </w:r>
      <w:r>
        <w:rPr>
          <w:rFonts w:ascii="仿宋_GB2312" w:hAnsi="仿宋" w:eastAsia="仿宋_GB2312"/>
          <w:sz w:val="24"/>
          <w:szCs w:val="24"/>
          <w:highlight w:val="none"/>
        </w:rPr>
        <w:t>/</w:t>
      </w:r>
      <w:r>
        <w:rPr>
          <w:rFonts w:hint="eastAsia" w:ascii="仿宋_GB2312" w:hAnsi="仿宋" w:eastAsia="仿宋_GB2312"/>
          <w:sz w:val="24"/>
          <w:szCs w:val="24"/>
          <w:highlight w:val="none"/>
        </w:rPr>
        <w:t>年</w:t>
      </w:r>
    </w:p>
    <w:p>
      <w:pPr>
        <w:spacing w:line="360" w:lineRule="auto"/>
        <w:ind w:firstLine="480" w:firstLineChars="200"/>
        <w:rPr>
          <w:rFonts w:ascii="仿宋_GB2312" w:hAnsi="仿宋" w:eastAsia="仿宋_GB2312"/>
          <w:bCs/>
          <w:sz w:val="24"/>
          <w:szCs w:val="24"/>
          <w:highlight w:val="none"/>
        </w:rPr>
      </w:pPr>
      <w:r>
        <w:rPr>
          <w:rFonts w:hint="eastAsia" w:ascii="仿宋_GB2312" w:hAnsi="仿宋" w:eastAsia="仿宋_GB2312"/>
          <w:bCs/>
          <w:sz w:val="24"/>
          <w:szCs w:val="24"/>
          <w:highlight w:val="none"/>
        </w:rPr>
        <w:t>采购需求：</w:t>
      </w:r>
    </w:p>
    <w:p>
      <w:pPr>
        <w:adjustRightInd w:val="0"/>
        <w:spacing w:line="36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标项一</w:t>
      </w:r>
      <w:r>
        <w:rPr>
          <w:rFonts w:ascii="仿宋_GB2312" w:hAnsi="仿宋" w:eastAsia="仿宋_GB2312"/>
          <w:sz w:val="24"/>
          <w:szCs w:val="24"/>
          <w:highlight w:val="none"/>
        </w:rPr>
        <w:br w:type="textWrapping"/>
      </w:r>
      <w:r>
        <w:rPr>
          <w:rFonts w:ascii="仿宋_GB2312" w:hAnsi="仿宋" w:eastAsia="仿宋_GB2312"/>
          <w:sz w:val="24"/>
          <w:szCs w:val="24"/>
          <w:highlight w:val="none"/>
        </w:rPr>
        <w:t xml:space="preserve">     </w:t>
      </w:r>
      <w:r>
        <w:rPr>
          <w:rFonts w:hint="eastAsia" w:ascii="仿宋_GB2312" w:hAnsi="仿宋" w:eastAsia="仿宋_GB2312"/>
          <w:sz w:val="24"/>
          <w:szCs w:val="24"/>
          <w:highlight w:val="none"/>
        </w:rPr>
        <w:t>标项名称</w:t>
      </w:r>
      <w:r>
        <w:rPr>
          <w:rFonts w:ascii="仿宋_GB2312" w:hAnsi="仿宋" w:eastAsia="仿宋_GB2312"/>
          <w:sz w:val="24"/>
          <w:szCs w:val="24"/>
          <w:highlight w:val="none"/>
        </w:rPr>
        <w:t>: </w:t>
      </w:r>
      <w:r>
        <w:rPr>
          <w:rFonts w:hint="eastAsia" w:ascii="仿宋_GB2312" w:hAnsi="仿宋" w:eastAsia="仿宋_GB2312" w:cs="仿宋_GB2312"/>
          <w:bCs/>
          <w:sz w:val="24"/>
          <w:szCs w:val="24"/>
          <w:highlight w:val="none"/>
          <w:lang w:val="en-US" w:eastAsia="zh-CN"/>
        </w:rPr>
        <w:t>2023-2025</w:t>
      </w:r>
      <w:r>
        <w:rPr>
          <w:rFonts w:hint="eastAsia" w:ascii="仿宋_GB2312" w:hAnsi="仿宋" w:eastAsia="仿宋_GB2312" w:cs="仿宋_GB2312"/>
          <w:bCs/>
          <w:sz w:val="24"/>
          <w:szCs w:val="24"/>
          <w:highlight w:val="none"/>
        </w:rPr>
        <w:t>年</w:t>
      </w:r>
      <w:r>
        <w:rPr>
          <w:rFonts w:hint="eastAsia" w:ascii="仿宋_GB2312" w:hAnsi="仿宋" w:eastAsia="仿宋_GB2312"/>
          <w:sz w:val="24"/>
          <w:szCs w:val="24"/>
          <w:highlight w:val="none"/>
        </w:rPr>
        <w:t>下沙区域四号大街（学正街、天城东路）（不含）以南区域及江东区域景观灯及其附属设施养护服务</w:t>
      </w:r>
    </w:p>
    <w:p>
      <w:pPr>
        <w:adjustRightInd w:val="0"/>
        <w:spacing w:line="36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数量</w:t>
      </w:r>
      <w:r>
        <w:rPr>
          <w:rFonts w:ascii="仿宋_GB2312" w:hAnsi="仿宋" w:eastAsia="仿宋_GB2312"/>
          <w:sz w:val="24"/>
          <w:szCs w:val="24"/>
          <w:highlight w:val="none"/>
        </w:rPr>
        <w:t>: 1  </w:t>
      </w:r>
      <w:r>
        <w:rPr>
          <w:rFonts w:ascii="仿宋_GB2312" w:hAnsi="仿宋" w:eastAsia="仿宋_GB2312"/>
          <w:sz w:val="24"/>
          <w:szCs w:val="24"/>
          <w:highlight w:val="none"/>
        </w:rPr>
        <w:br w:type="textWrapping"/>
      </w:r>
      <w:r>
        <w:rPr>
          <w:rFonts w:ascii="仿宋_GB2312" w:hAnsi="仿宋" w:eastAsia="仿宋_GB2312"/>
          <w:sz w:val="24"/>
          <w:szCs w:val="24"/>
          <w:highlight w:val="none"/>
        </w:rPr>
        <w:t xml:space="preserve">     </w:t>
      </w:r>
      <w:r>
        <w:rPr>
          <w:rFonts w:hint="eastAsia" w:ascii="仿宋_GB2312" w:hAnsi="仿宋" w:eastAsia="仿宋_GB2312"/>
          <w:sz w:val="24"/>
          <w:szCs w:val="24"/>
          <w:highlight w:val="none"/>
        </w:rPr>
        <w:t>预算金额（元）</w:t>
      </w:r>
      <w:r>
        <w:rPr>
          <w:rFonts w:ascii="仿宋_GB2312" w:hAnsi="仿宋" w:eastAsia="仿宋_GB2312"/>
          <w:sz w:val="24"/>
          <w:szCs w:val="24"/>
          <w:highlight w:val="none"/>
        </w:rPr>
        <w:t>: </w:t>
      </w:r>
      <w:r>
        <w:rPr>
          <w:rFonts w:hint="eastAsia" w:ascii="仿宋_GB2312" w:hAnsi="仿宋" w:eastAsia="仿宋_GB2312"/>
          <w:sz w:val="24"/>
          <w:szCs w:val="24"/>
          <w:highlight w:val="none"/>
          <w:lang w:val="en-US" w:eastAsia="zh-CN"/>
        </w:rPr>
        <w:t>7297700</w:t>
      </w:r>
      <w:r>
        <w:rPr>
          <w:rFonts w:ascii="仿宋_GB2312" w:hAnsi="仿宋" w:eastAsia="仿宋_GB2312"/>
          <w:sz w:val="24"/>
          <w:szCs w:val="24"/>
          <w:highlight w:val="none"/>
        </w:rPr>
        <w:t>(</w:t>
      </w:r>
      <w:r>
        <w:rPr>
          <w:rFonts w:hint="eastAsia" w:ascii="仿宋_GB2312" w:hAnsi="仿宋" w:eastAsia="仿宋_GB2312" w:cs="仿宋_GB2312"/>
          <w:bCs/>
          <w:sz w:val="24"/>
          <w:szCs w:val="24"/>
          <w:highlight w:val="none"/>
          <w:lang w:val="en-US" w:eastAsia="zh-CN"/>
        </w:rPr>
        <w:t>3648850/年</w:t>
      </w:r>
      <w:r>
        <w:rPr>
          <w:rFonts w:ascii="仿宋_GB2312" w:hAnsi="仿宋" w:eastAsia="仿宋_GB2312"/>
          <w:sz w:val="24"/>
          <w:szCs w:val="24"/>
          <w:highlight w:val="none"/>
        </w:rPr>
        <w:t>)</w:t>
      </w:r>
    </w:p>
    <w:p>
      <w:pPr>
        <w:adjustRightInd w:val="0"/>
        <w:spacing w:line="36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主要包括</w:t>
      </w:r>
      <w:r>
        <w:rPr>
          <w:rFonts w:hint="eastAsia" w:ascii="仿宋_GB2312" w:hAnsi="仿宋" w:eastAsia="仿宋_GB2312"/>
          <w:sz w:val="24"/>
          <w:szCs w:val="24"/>
          <w:highlight w:val="none"/>
          <w:lang w:val="en-US" w:eastAsia="zh-CN"/>
        </w:rPr>
        <w:t>:</w:t>
      </w:r>
      <w:r>
        <w:rPr>
          <w:rFonts w:hint="eastAsia" w:ascii="仿宋_GB2312" w:hAnsi="仿宋" w:eastAsia="仿宋_GB2312" w:cs="Times New Roman"/>
          <w:sz w:val="24"/>
          <w:szCs w:val="24"/>
          <w:highlight w:val="none"/>
          <w:lang w:val="en-US" w:eastAsia="zh-CN"/>
        </w:rPr>
        <w:t>灯具、光源、电器、杆件、标识牌、配电设施、灯罩、支架、电缆（含电缆管道）、控制柜、穿线管、配电箱、线卡、绳索、螺栓等涉及景观灯及其附属设施设备所有内容的日常维护工作；对项目进行日常巡查、安全</w:t>
      </w:r>
      <w:r>
        <w:rPr>
          <w:rFonts w:hint="eastAsia" w:ascii="仿宋_GB2312" w:hAnsi="仿宋" w:eastAsia="仿宋_GB2312"/>
          <w:sz w:val="24"/>
          <w:szCs w:val="24"/>
          <w:highlight w:val="none"/>
        </w:rPr>
        <w:t>检查、防盗管理等工作</w:t>
      </w:r>
      <w:r>
        <w:rPr>
          <w:rFonts w:hint="eastAsia" w:ascii="仿宋_GB2312" w:hAnsi="仿宋" w:eastAsia="仿宋_GB2312"/>
          <w:sz w:val="24"/>
          <w:szCs w:val="24"/>
          <w:highlight w:val="none"/>
          <w:lang w:eastAsia="zh-CN"/>
        </w:rPr>
        <w:t>；</w:t>
      </w:r>
      <w:r>
        <w:rPr>
          <w:rFonts w:hint="eastAsia" w:ascii="仿宋_GB2312" w:hAnsi="仿宋" w:eastAsia="仿宋_GB2312"/>
          <w:sz w:val="24"/>
          <w:szCs w:val="24"/>
          <w:highlight w:val="none"/>
        </w:rPr>
        <w:t>防汛抗台、抗雪防冻等应急保障工作</w:t>
      </w:r>
      <w:r>
        <w:rPr>
          <w:rFonts w:hint="eastAsia" w:ascii="仿宋_GB2312" w:hAnsi="仿宋" w:eastAsia="仿宋_GB2312"/>
          <w:sz w:val="24"/>
          <w:szCs w:val="24"/>
          <w:highlight w:val="none"/>
          <w:lang w:eastAsia="zh-CN"/>
        </w:rPr>
        <w:t>；</w:t>
      </w:r>
      <w:r>
        <w:rPr>
          <w:rFonts w:hint="eastAsia" w:ascii="仿宋_GB2312" w:hAnsi="仿宋" w:eastAsia="仿宋_GB2312" w:cs="Times New Roman"/>
          <w:sz w:val="24"/>
          <w:szCs w:val="24"/>
          <w:highlight w:val="none"/>
          <w:lang w:val="en-US" w:eastAsia="zh-CN"/>
        </w:rPr>
        <w:t>新增项目质保期内的巡查、抄表及督促维修等工作（维修由质保期内项目施工单位负责），该工作产生的养护费用由投标单位在报价中同步考虑；住宅、历史政府投资商业或办公项目景观亮灯电费；部分老旧景观灯及其附属设施的更新改造；本标段内雕塑、亮灯小品等常规养护；合同期间采购人落实的其他相关事宜。</w:t>
      </w:r>
      <w:r>
        <w:rPr>
          <w:rFonts w:hint="eastAsia" w:ascii="仿宋_GB2312" w:hAnsi="仿宋" w:eastAsia="仿宋_GB2312" w:cs="Times New Roman"/>
          <w:sz w:val="24"/>
          <w:szCs w:val="24"/>
          <w:highlight w:val="none"/>
        </w:rPr>
        <w:t>详见采购</w:t>
      </w:r>
      <w:r>
        <w:rPr>
          <w:rFonts w:hint="eastAsia" w:ascii="仿宋_GB2312" w:hAnsi="仿宋" w:eastAsia="仿宋_GB2312"/>
          <w:sz w:val="24"/>
          <w:szCs w:val="24"/>
          <w:highlight w:val="none"/>
        </w:rPr>
        <w:t>需求。</w:t>
      </w:r>
      <w:r>
        <w:rPr>
          <w:rFonts w:ascii="仿宋_GB2312" w:hAnsi="仿宋" w:eastAsia="仿宋_GB2312"/>
          <w:sz w:val="24"/>
          <w:szCs w:val="24"/>
          <w:highlight w:val="none"/>
        </w:rPr>
        <w:br w:type="textWrapping"/>
      </w:r>
      <w:r>
        <w:rPr>
          <w:rFonts w:ascii="仿宋_GB2312" w:hAnsi="仿宋" w:eastAsia="仿宋_GB2312"/>
          <w:sz w:val="24"/>
          <w:szCs w:val="24"/>
          <w:highlight w:val="none"/>
        </w:rPr>
        <w:t xml:space="preserve">     </w:t>
      </w:r>
      <w:r>
        <w:rPr>
          <w:rFonts w:hint="eastAsia" w:ascii="仿宋_GB2312" w:hAnsi="仿宋" w:eastAsia="仿宋_GB2312"/>
          <w:sz w:val="24"/>
          <w:szCs w:val="24"/>
          <w:highlight w:val="none"/>
        </w:rPr>
        <w:t>备注：</w:t>
      </w:r>
      <w:r>
        <w:rPr>
          <w:rFonts w:ascii="仿宋_GB2312" w:hAnsi="仿宋" w:eastAsia="仿宋_GB2312"/>
          <w:sz w:val="24"/>
          <w:szCs w:val="24"/>
          <w:highlight w:val="none"/>
        </w:rPr>
        <w:t> </w:t>
      </w:r>
      <w:r>
        <w:rPr>
          <w:rFonts w:hint="eastAsia" w:ascii="仿宋_GB2312" w:hAnsi="仿宋" w:eastAsia="仿宋_GB2312"/>
          <w:sz w:val="24"/>
          <w:szCs w:val="24"/>
          <w:highlight w:val="none"/>
        </w:rPr>
        <w:t>无。</w:t>
      </w:r>
    </w:p>
    <w:p>
      <w:pPr>
        <w:spacing w:line="360" w:lineRule="auto"/>
        <w:ind w:firstLine="480" w:firstLineChars="200"/>
        <w:rPr>
          <w:rFonts w:ascii="仿宋" w:hAnsi="仿宋" w:eastAsia="仿宋" w:cs="仿宋"/>
          <w:sz w:val="24"/>
          <w:szCs w:val="24"/>
          <w:highlight w:val="none"/>
        </w:rPr>
      </w:pPr>
      <w:r>
        <w:rPr>
          <w:rFonts w:hint="eastAsia" w:ascii="仿宋_GB2312" w:hAnsi="仿宋" w:eastAsia="仿宋_GB2312"/>
          <w:sz w:val="24"/>
          <w:szCs w:val="24"/>
          <w:highlight w:val="none"/>
        </w:rPr>
        <w:t>标项二</w:t>
      </w:r>
      <w:r>
        <w:rPr>
          <w:rFonts w:ascii="仿宋_GB2312" w:hAnsi="仿宋" w:eastAsia="仿宋_GB2312"/>
          <w:sz w:val="24"/>
          <w:szCs w:val="24"/>
          <w:highlight w:val="none"/>
        </w:rPr>
        <w:br w:type="textWrapping"/>
      </w:r>
      <w:r>
        <w:rPr>
          <w:rFonts w:ascii="仿宋" w:hAnsi="仿宋" w:eastAsia="仿宋" w:cs="仿宋"/>
          <w:sz w:val="24"/>
          <w:szCs w:val="24"/>
          <w:highlight w:val="none"/>
        </w:rPr>
        <w:t xml:space="preserve">     </w:t>
      </w:r>
      <w:r>
        <w:rPr>
          <w:rFonts w:hint="eastAsia" w:ascii="仿宋_GB2312" w:hAnsi="仿宋" w:eastAsia="仿宋_GB2312"/>
          <w:sz w:val="24"/>
          <w:szCs w:val="24"/>
          <w:highlight w:val="none"/>
        </w:rPr>
        <w:t>标项名称</w:t>
      </w:r>
      <w:r>
        <w:rPr>
          <w:rFonts w:ascii="仿宋_GB2312" w:hAnsi="仿宋" w:eastAsia="仿宋_GB2312"/>
          <w:sz w:val="24"/>
          <w:szCs w:val="24"/>
          <w:highlight w:val="none"/>
        </w:rPr>
        <w:t>: </w:t>
      </w:r>
      <w:r>
        <w:rPr>
          <w:rFonts w:hint="eastAsia" w:ascii="仿宋_GB2312" w:hAnsi="仿宋" w:eastAsia="仿宋_GB2312" w:cs="仿宋_GB2312"/>
          <w:bCs/>
          <w:sz w:val="24"/>
          <w:szCs w:val="24"/>
          <w:highlight w:val="none"/>
          <w:lang w:val="en-US" w:eastAsia="zh-CN"/>
        </w:rPr>
        <w:t>2023-2025</w:t>
      </w:r>
      <w:r>
        <w:rPr>
          <w:rFonts w:hint="eastAsia" w:ascii="仿宋_GB2312" w:hAnsi="仿宋" w:eastAsia="仿宋_GB2312" w:cs="仿宋_GB2312"/>
          <w:bCs/>
          <w:sz w:val="24"/>
          <w:szCs w:val="24"/>
          <w:highlight w:val="none"/>
        </w:rPr>
        <w:t>年</w:t>
      </w:r>
      <w:r>
        <w:rPr>
          <w:rFonts w:hint="eastAsia" w:ascii="仿宋_GB2312" w:hAnsi="仿宋" w:eastAsia="仿宋_GB2312"/>
          <w:sz w:val="24"/>
          <w:szCs w:val="24"/>
          <w:highlight w:val="none"/>
        </w:rPr>
        <w:t>下沙区域四号大街（学正街、天城东路）（含）以北区域及下沙区域二号路街渠范围内喷泉及其附属设施养护</w:t>
      </w:r>
      <w:r>
        <w:rPr>
          <w:rFonts w:ascii="仿宋" w:hAnsi="仿宋" w:eastAsia="仿宋" w:cs="仿宋"/>
          <w:sz w:val="24"/>
          <w:szCs w:val="24"/>
          <w:highlight w:val="none"/>
        </w:rPr>
        <w:t xml:space="preserve">    </w:t>
      </w:r>
    </w:p>
    <w:p>
      <w:pPr>
        <w:spacing w:line="360" w:lineRule="auto"/>
        <w:ind w:firstLine="480" w:firstLineChars="200"/>
        <w:rPr>
          <w:rFonts w:ascii="仿宋_GB2312" w:hAnsi="仿宋" w:eastAsia="仿宋_GB2312"/>
          <w:sz w:val="24"/>
          <w:szCs w:val="24"/>
          <w:highlight w:val="none"/>
        </w:rPr>
      </w:pPr>
      <w:r>
        <w:rPr>
          <w:rFonts w:hint="eastAsia" w:ascii="仿宋_GB2312" w:hAnsi="仿宋" w:eastAsia="仿宋_GB2312"/>
          <w:sz w:val="24"/>
          <w:szCs w:val="24"/>
          <w:highlight w:val="none"/>
        </w:rPr>
        <w:t>数量</w:t>
      </w:r>
      <w:r>
        <w:rPr>
          <w:rFonts w:ascii="仿宋_GB2312" w:hAnsi="仿宋" w:eastAsia="仿宋_GB2312"/>
          <w:sz w:val="24"/>
          <w:szCs w:val="24"/>
          <w:highlight w:val="none"/>
        </w:rPr>
        <w:t>: 1  </w:t>
      </w:r>
      <w:r>
        <w:rPr>
          <w:rFonts w:ascii="仿宋" w:hAnsi="仿宋" w:eastAsia="仿宋" w:cs="仿宋"/>
          <w:sz w:val="24"/>
          <w:szCs w:val="24"/>
          <w:highlight w:val="none"/>
        </w:rPr>
        <w:br w:type="textWrapping"/>
      </w:r>
      <w:r>
        <w:rPr>
          <w:rFonts w:ascii="仿宋_GB2312" w:hAnsi="仿宋" w:eastAsia="仿宋_GB2312"/>
          <w:sz w:val="24"/>
          <w:szCs w:val="24"/>
          <w:highlight w:val="none"/>
        </w:rPr>
        <w:t xml:space="preserve">     </w:t>
      </w:r>
      <w:r>
        <w:rPr>
          <w:rFonts w:hint="eastAsia" w:ascii="仿宋_GB2312" w:hAnsi="仿宋" w:eastAsia="仿宋_GB2312"/>
          <w:sz w:val="24"/>
          <w:szCs w:val="24"/>
          <w:highlight w:val="none"/>
        </w:rPr>
        <w:t>预算金额（元）</w:t>
      </w:r>
      <w:r>
        <w:rPr>
          <w:rFonts w:ascii="仿宋_GB2312" w:hAnsi="仿宋" w:eastAsia="仿宋_GB2312"/>
          <w:sz w:val="24"/>
          <w:szCs w:val="24"/>
          <w:highlight w:val="none"/>
        </w:rPr>
        <w:t>:</w:t>
      </w:r>
      <w:r>
        <w:rPr>
          <w:rFonts w:hint="eastAsia" w:ascii="仿宋_GB2312" w:hAnsi="仿宋" w:eastAsia="仿宋_GB2312"/>
          <w:sz w:val="24"/>
          <w:szCs w:val="24"/>
          <w:highlight w:val="none"/>
          <w:lang w:val="en-US" w:eastAsia="zh-CN"/>
        </w:rPr>
        <w:t>8862300</w:t>
      </w:r>
      <w:r>
        <w:rPr>
          <w:rFonts w:hint="eastAsia" w:ascii="仿宋_GB2312" w:hAnsi="仿宋" w:eastAsia="仿宋_GB2312"/>
          <w:sz w:val="24"/>
          <w:szCs w:val="24"/>
          <w:highlight w:val="none"/>
        </w:rPr>
        <w:t>（</w:t>
      </w:r>
      <w:r>
        <w:rPr>
          <w:rFonts w:hint="eastAsia" w:ascii="仿宋_GB2312" w:hAnsi="仿宋" w:eastAsia="仿宋_GB2312" w:cs="仿宋_GB2312"/>
          <w:bCs/>
          <w:sz w:val="24"/>
          <w:szCs w:val="24"/>
          <w:highlight w:val="none"/>
          <w:lang w:val="en-US" w:eastAsia="zh-CN"/>
        </w:rPr>
        <w:t>4431150</w:t>
      </w:r>
      <w:r>
        <w:rPr>
          <w:rFonts w:ascii="仿宋_GB2312" w:hAnsi="仿宋" w:eastAsia="仿宋_GB2312"/>
          <w:sz w:val="24"/>
          <w:szCs w:val="24"/>
          <w:highlight w:val="none"/>
        </w:rPr>
        <w:t>/</w:t>
      </w:r>
      <w:r>
        <w:rPr>
          <w:rFonts w:hint="eastAsia" w:ascii="仿宋_GB2312" w:hAnsi="仿宋" w:eastAsia="仿宋_GB2312"/>
          <w:sz w:val="24"/>
          <w:szCs w:val="24"/>
          <w:highlight w:val="none"/>
        </w:rPr>
        <w:t>年）</w:t>
      </w:r>
      <w:r>
        <w:rPr>
          <w:rFonts w:ascii="仿宋_GB2312" w:hAnsi="仿宋" w:eastAsia="仿宋_GB2312"/>
          <w:sz w:val="24"/>
          <w:szCs w:val="24"/>
          <w:highlight w:val="none"/>
        </w:rPr>
        <w:br w:type="textWrapping"/>
      </w:r>
      <w:r>
        <w:rPr>
          <w:rFonts w:ascii="仿宋_GB2312" w:hAnsi="仿宋" w:eastAsia="仿宋_GB2312"/>
          <w:sz w:val="24"/>
          <w:szCs w:val="24"/>
          <w:highlight w:val="none"/>
        </w:rPr>
        <w:t xml:space="preserve">     </w:t>
      </w:r>
      <w:r>
        <w:rPr>
          <w:rFonts w:hint="eastAsia" w:ascii="仿宋_GB2312" w:hAnsi="仿宋" w:eastAsia="仿宋_GB2312"/>
          <w:sz w:val="24"/>
          <w:szCs w:val="24"/>
          <w:highlight w:val="none"/>
        </w:rPr>
        <w:t>主要包括</w:t>
      </w:r>
      <w:r>
        <w:rPr>
          <w:rFonts w:hint="eastAsia" w:ascii="仿宋_GB2312" w:hAnsi="仿宋" w:eastAsia="仿宋_GB2312"/>
          <w:sz w:val="24"/>
          <w:szCs w:val="24"/>
          <w:highlight w:val="none"/>
          <w:lang w:val="en-US" w:eastAsia="zh-CN"/>
        </w:rPr>
        <w:t>:</w:t>
      </w:r>
      <w:r>
        <w:rPr>
          <w:rFonts w:hint="eastAsia" w:ascii="仿宋" w:hAnsi="仿宋" w:eastAsia="仿宋" w:cs="仿宋"/>
          <w:sz w:val="24"/>
          <w:szCs w:val="24"/>
          <w:highlight w:val="none"/>
          <w:lang w:val="en-US" w:eastAsia="zh-CN"/>
        </w:rPr>
        <w:t>灯具、</w:t>
      </w:r>
      <w:r>
        <w:rPr>
          <w:rFonts w:hint="eastAsia" w:ascii="仿宋" w:hAnsi="仿宋" w:eastAsia="仿宋" w:cs="仿宋"/>
          <w:sz w:val="24"/>
          <w:szCs w:val="24"/>
          <w:highlight w:val="none"/>
        </w:rPr>
        <w:t>光源、电器、杆件、标识牌、配电设施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灯罩、支架、电缆</w:t>
      </w:r>
      <w:r>
        <w:rPr>
          <w:rFonts w:hint="eastAsia" w:ascii="仿宋" w:hAnsi="仿宋" w:eastAsia="仿宋" w:cs="仿宋"/>
          <w:sz w:val="24"/>
          <w:szCs w:val="24"/>
          <w:highlight w:val="none"/>
        </w:rPr>
        <w:t>（含电缆管道）</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控制柜、</w:t>
      </w:r>
      <w:r>
        <w:rPr>
          <w:rFonts w:hint="eastAsia" w:ascii="仿宋" w:hAnsi="仿宋" w:eastAsia="仿宋" w:cs="仿宋"/>
          <w:sz w:val="24"/>
          <w:szCs w:val="24"/>
          <w:highlight w:val="none"/>
          <w:lang w:val="en-US" w:eastAsia="zh-CN"/>
        </w:rPr>
        <w:t>穿线管、配电箱、线卡、绳索、螺栓</w:t>
      </w:r>
      <w:r>
        <w:rPr>
          <w:rFonts w:hint="eastAsia" w:ascii="仿宋_GB2312" w:hAnsi="仿宋" w:eastAsia="仿宋_GB2312" w:cs="Times New Roman"/>
          <w:sz w:val="24"/>
          <w:szCs w:val="24"/>
          <w:highlight w:val="none"/>
          <w:lang w:val="en-US" w:eastAsia="zh-CN"/>
        </w:rPr>
        <w:t>等涉及景观灯及其附属设施设备所有内容的</w:t>
      </w:r>
      <w:r>
        <w:rPr>
          <w:rFonts w:hint="eastAsia" w:ascii="仿宋_GB2312" w:hAnsi="仿宋" w:eastAsia="仿宋_GB2312" w:cs="Times New Roman"/>
          <w:sz w:val="24"/>
          <w:szCs w:val="24"/>
          <w:highlight w:val="none"/>
        </w:rPr>
        <w:t>日常维护</w:t>
      </w:r>
      <w:r>
        <w:rPr>
          <w:rFonts w:hint="eastAsia" w:ascii="仿宋_GB2312" w:hAnsi="仿宋" w:eastAsia="仿宋_GB2312" w:cs="Times New Roman"/>
          <w:sz w:val="24"/>
          <w:szCs w:val="24"/>
          <w:highlight w:val="none"/>
          <w:lang w:val="en-US" w:eastAsia="zh-CN"/>
        </w:rPr>
        <w:t>工作；</w:t>
      </w:r>
      <w:r>
        <w:rPr>
          <w:rFonts w:hint="eastAsia" w:ascii="仿宋_GB2312" w:hAnsi="仿宋" w:eastAsia="仿宋_GB2312"/>
          <w:sz w:val="24"/>
          <w:szCs w:val="24"/>
          <w:highlight w:val="none"/>
        </w:rPr>
        <w:t>对项目进行日常巡查、安全检查、防盗管理等工作</w:t>
      </w:r>
      <w:r>
        <w:rPr>
          <w:rFonts w:hint="eastAsia" w:ascii="仿宋_GB2312" w:hAnsi="仿宋" w:eastAsia="仿宋_GB2312"/>
          <w:sz w:val="24"/>
          <w:szCs w:val="24"/>
          <w:highlight w:val="none"/>
          <w:lang w:eastAsia="zh-CN"/>
        </w:rPr>
        <w:t>；</w:t>
      </w:r>
      <w:r>
        <w:rPr>
          <w:rFonts w:hint="eastAsia" w:ascii="仿宋_GB2312" w:hAnsi="仿宋" w:eastAsia="仿宋_GB2312"/>
          <w:sz w:val="24"/>
          <w:szCs w:val="24"/>
          <w:highlight w:val="none"/>
        </w:rPr>
        <w:t>防汛抗台、抗雪防冻等应急保障工作</w:t>
      </w:r>
      <w:r>
        <w:rPr>
          <w:rFonts w:hint="eastAsia" w:ascii="仿宋_GB2312" w:hAnsi="仿宋" w:eastAsia="仿宋_GB2312"/>
          <w:sz w:val="24"/>
          <w:szCs w:val="24"/>
          <w:highlight w:val="none"/>
          <w:lang w:eastAsia="zh-CN"/>
        </w:rPr>
        <w:t>；</w:t>
      </w:r>
      <w:r>
        <w:rPr>
          <w:rFonts w:hint="eastAsia" w:ascii="仿宋_GB2312" w:hAnsi="仿宋" w:eastAsia="仿宋_GB2312" w:cs="Times New Roman"/>
          <w:sz w:val="24"/>
          <w:szCs w:val="24"/>
          <w:highlight w:val="none"/>
          <w:lang w:val="en-US" w:eastAsia="zh-CN"/>
        </w:rPr>
        <w:t>新增项目质保期内的巡查、抄表及督促维修等工作（维修由质保期内项目施工单位负责），该工作产生的养护费用由投标单位在报价中同步考虑；住宅、历史政府投资商业或办公项目景观亮灯电费；部分老旧景观灯及其附属设施的更新改造；</w:t>
      </w:r>
      <w:r>
        <w:rPr>
          <w:rFonts w:hint="eastAsia" w:ascii="仿宋_GB2312" w:hAnsi="仿宋" w:eastAsia="仿宋_GB2312" w:cs="Times New Roman"/>
          <w:sz w:val="24"/>
          <w:szCs w:val="24"/>
          <w:highlight w:val="none"/>
        </w:rPr>
        <w:t>文泽广场（东广场、西广场）音乐喷泉、金沙大道与海达南路交叉口东北角及东南角喷泉共4个</w:t>
      </w:r>
      <w:r>
        <w:rPr>
          <w:rFonts w:hint="eastAsia" w:ascii="仿宋_GB2312" w:hAnsi="仿宋" w:eastAsia="仿宋_GB2312" w:cs="Times New Roman"/>
          <w:sz w:val="24"/>
          <w:szCs w:val="24"/>
          <w:highlight w:val="none"/>
          <w:lang w:val="en-US" w:eastAsia="zh-CN"/>
        </w:rPr>
        <w:t>养护工作（含水费）</w:t>
      </w:r>
      <w:r>
        <w:rPr>
          <w:rFonts w:hint="eastAsia" w:ascii="仿宋_GB2312" w:hAnsi="仿宋" w:eastAsia="仿宋_GB2312" w:cs="Times New Roman"/>
          <w:sz w:val="24"/>
          <w:szCs w:val="24"/>
          <w:highlight w:val="none"/>
          <w:lang w:eastAsia="zh-CN"/>
        </w:rPr>
        <w:t>；</w:t>
      </w:r>
      <w:r>
        <w:rPr>
          <w:rFonts w:hint="eastAsia" w:ascii="仿宋_GB2312" w:hAnsi="仿宋" w:eastAsia="仿宋_GB2312" w:cs="Times New Roman"/>
          <w:sz w:val="24"/>
          <w:szCs w:val="24"/>
          <w:highlight w:val="none"/>
          <w:lang w:val="en-US" w:eastAsia="zh-CN"/>
        </w:rPr>
        <w:t>本标段内雕塑、亮灯小品等养护工作；合同期间采购人落实的其他相关事宜。</w:t>
      </w:r>
      <w:r>
        <w:rPr>
          <w:rFonts w:hint="eastAsia" w:ascii="仿宋_GB2312" w:hAnsi="仿宋" w:eastAsia="仿宋_GB2312" w:cs="Times New Roman"/>
          <w:sz w:val="24"/>
          <w:szCs w:val="24"/>
          <w:highlight w:val="none"/>
        </w:rPr>
        <w:t>详见采购需求。</w:t>
      </w:r>
      <w:r>
        <w:rPr>
          <w:rFonts w:hint="eastAsia" w:ascii="仿宋_GB2312" w:hAnsi="仿宋" w:eastAsia="仿宋_GB2312" w:cs="Times New Roman"/>
          <w:sz w:val="24"/>
          <w:szCs w:val="24"/>
          <w:highlight w:val="none"/>
        </w:rPr>
        <w:br w:type="textWrapping"/>
      </w:r>
      <w:r>
        <w:rPr>
          <w:rFonts w:ascii="仿宋" w:hAnsi="仿宋" w:eastAsia="仿宋" w:cs="仿宋"/>
          <w:sz w:val="24"/>
          <w:szCs w:val="24"/>
          <w:highlight w:val="none"/>
        </w:rPr>
        <w:t xml:space="preserve">     </w:t>
      </w:r>
      <w:r>
        <w:rPr>
          <w:rFonts w:hint="eastAsia" w:ascii="仿宋_GB2312" w:hAnsi="仿宋" w:eastAsia="仿宋_GB2312"/>
          <w:sz w:val="24"/>
          <w:szCs w:val="24"/>
          <w:highlight w:val="none"/>
        </w:rPr>
        <w:t>备注：</w:t>
      </w:r>
      <w:r>
        <w:rPr>
          <w:rFonts w:ascii="仿宋_GB2312" w:hAnsi="仿宋" w:eastAsia="仿宋_GB2312"/>
          <w:sz w:val="24"/>
          <w:szCs w:val="24"/>
          <w:highlight w:val="none"/>
        </w:rPr>
        <w:t> </w:t>
      </w:r>
      <w:r>
        <w:rPr>
          <w:rFonts w:hint="eastAsia" w:ascii="仿宋_GB2312" w:hAnsi="仿宋" w:eastAsia="仿宋_GB2312"/>
          <w:sz w:val="24"/>
          <w:szCs w:val="24"/>
          <w:highlight w:val="none"/>
        </w:rPr>
        <w:t>无。</w:t>
      </w:r>
    </w:p>
    <w:p>
      <w:pPr>
        <w:spacing w:line="360" w:lineRule="auto"/>
        <w:ind w:firstLine="480" w:firstLineChars="200"/>
        <w:rPr>
          <w:rFonts w:ascii="仿宋" w:hAnsi="仿宋" w:eastAsia="仿宋" w:cs="仿宋"/>
          <w:sz w:val="24"/>
          <w:szCs w:val="24"/>
          <w:highlight w:val="none"/>
        </w:rPr>
      </w:pPr>
      <w:r>
        <w:rPr>
          <w:rFonts w:hint="eastAsia" w:ascii="仿宋_GB2312" w:hAnsi="仿宋" w:eastAsia="仿宋_GB2312"/>
          <w:sz w:val="24"/>
          <w:szCs w:val="24"/>
          <w:highlight w:val="none"/>
        </w:rPr>
        <w:t>合同履约期限：</w:t>
      </w:r>
      <w:r>
        <w:rPr>
          <w:rFonts w:ascii="仿宋_GB2312" w:hAnsi="仿宋" w:eastAsia="仿宋_GB2312"/>
          <w:sz w:val="24"/>
          <w:szCs w:val="24"/>
          <w:highlight w:val="none"/>
        </w:rPr>
        <w:t>2</w:t>
      </w:r>
      <w:r>
        <w:rPr>
          <w:rFonts w:hint="eastAsia" w:ascii="仿宋_GB2312" w:hAnsi="仿宋" w:eastAsia="仿宋_GB2312"/>
          <w:sz w:val="24"/>
          <w:szCs w:val="24"/>
          <w:highlight w:val="none"/>
        </w:rPr>
        <w:t>年，合同一年一签（合同期内年度考核评定优秀方可签订第二年合同。考核办法现根据杭钱综执【</w:t>
      </w:r>
      <w:r>
        <w:rPr>
          <w:rFonts w:ascii="仿宋_GB2312" w:hAnsi="仿宋" w:eastAsia="仿宋_GB2312"/>
          <w:sz w:val="24"/>
          <w:szCs w:val="24"/>
          <w:highlight w:val="none"/>
        </w:rPr>
        <w:t>20</w:t>
      </w:r>
      <w:r>
        <w:rPr>
          <w:rFonts w:hint="eastAsia" w:ascii="仿宋_GB2312" w:hAnsi="仿宋" w:eastAsia="仿宋_GB2312"/>
          <w:sz w:val="24"/>
          <w:szCs w:val="24"/>
          <w:highlight w:val="none"/>
          <w:lang w:val="en-US" w:eastAsia="zh-CN"/>
        </w:rPr>
        <w:t>23</w:t>
      </w:r>
      <w:r>
        <w:rPr>
          <w:rFonts w:hint="eastAsia" w:ascii="仿宋_GB2312" w:hAnsi="仿宋" w:eastAsia="仿宋_GB2312"/>
          <w:sz w:val="24"/>
          <w:szCs w:val="24"/>
          <w:highlight w:val="none"/>
        </w:rPr>
        <w:t>】</w:t>
      </w:r>
      <w:r>
        <w:rPr>
          <w:rFonts w:hint="eastAsia" w:ascii="仿宋_GB2312" w:hAnsi="仿宋" w:eastAsia="仿宋_GB2312"/>
          <w:sz w:val="24"/>
          <w:szCs w:val="24"/>
          <w:highlight w:val="none"/>
          <w:lang w:val="en-US" w:eastAsia="zh-CN"/>
        </w:rPr>
        <w:t>48</w:t>
      </w:r>
      <w:r>
        <w:rPr>
          <w:rFonts w:hint="eastAsia" w:ascii="仿宋_GB2312" w:hAnsi="仿宋" w:eastAsia="仿宋_GB2312"/>
          <w:sz w:val="24"/>
          <w:szCs w:val="24"/>
          <w:highlight w:val="none"/>
        </w:rPr>
        <w:t>号执行（附招标文件内），合同期内若出台新的考核办法，考核优秀标准按照新的考核办法执行），具体养护开始时间为开标后按采购人明确时间为准。</w:t>
      </w:r>
    </w:p>
    <w:p>
      <w:pPr>
        <w:pStyle w:val="60"/>
        <w:autoSpaceDE w:val="0"/>
        <w:snapToGrid w:val="0"/>
        <w:spacing w:before="0" w:beforeAutospacing="0" w:after="0" w:afterAutospacing="0" w:line="360" w:lineRule="auto"/>
        <w:ind w:firstLine="480" w:firstLineChars="200"/>
        <w:jc w:val="both"/>
        <w:rPr>
          <w:rFonts w:ascii="仿宋" w:hAnsi="仿宋" w:eastAsia="仿宋" w:cs="仿宋"/>
          <w:b/>
        </w:rPr>
      </w:pPr>
      <w:r>
        <w:rPr>
          <w:rFonts w:hint="eastAsia" w:ascii="仿宋" w:hAnsi="仿宋" w:eastAsia="仿宋" w:cs="仿宋"/>
        </w:rPr>
        <w:t>本项目接受联合体投标：</w:t>
      </w:r>
      <w:sdt>
        <w:sdtPr>
          <w:rPr>
            <w:rFonts w:hint="eastAsia" w:ascii="仿宋" w:hAnsi="仿宋" w:eastAsia="仿宋" w:cs="仿宋"/>
          </w:rPr>
          <w:id w:val="2035453831"/>
          <w14:checkbox>
            <w14:checked w14:val="0"/>
            <w14:checkedState w14:val="00FE" w14:font="Wingdings"/>
            <w14:uncheckedState w14:val="2610" w14:font="MS Gothic"/>
          </w14:checkbox>
        </w:sdtPr>
        <w:sdtEndPr>
          <w:rPr>
            <w:rFonts w:hint="eastAsia" w:ascii="仿宋" w:hAnsi="仿宋" w:eastAsia="仿宋" w:cs="仿宋"/>
          </w:rPr>
        </w:sdtEndPr>
        <w:sdtContent>
          <w:r>
            <w:rPr>
              <w:rFonts w:ascii="MS Gothic" w:hAnsi="MS Gothic" w:eastAsia="仿宋" w:cs="仿宋"/>
              <w:snapToGrid w:val="0"/>
              <w:kern w:val="0"/>
              <w:sz w:val="24"/>
              <w:szCs w:val="24"/>
              <w:lang w:val="en-US" w:eastAsia="zh-CN" w:bidi="ar-SA"/>
            </w:rPr>
            <w:t>☐</w:t>
          </w:r>
        </w:sdtContent>
      </w:sdt>
      <w:r>
        <w:rPr>
          <w:rFonts w:hint="eastAsia" w:ascii="仿宋" w:hAnsi="仿宋" w:eastAsia="仿宋" w:cs="仿宋"/>
        </w:rPr>
        <w:t>是，</w:t>
      </w:r>
      <w:sdt>
        <w:sdtPr>
          <w:rPr>
            <w:rFonts w:hint="eastAsia" w:ascii="仿宋" w:hAnsi="仿宋" w:eastAsia="仿宋" w:cs="仿宋"/>
          </w:rPr>
          <w:id w:val="2"/>
          <w14:checkbox>
            <w14:checked w14:val="1"/>
            <w14:checkedState w14:val="00FE" w14:font="Wingdings"/>
            <w14:uncheckedState w14:val="2610" w14:font="MS Gothic"/>
          </w14:checkbox>
        </w:sdtPr>
        <w:sdtEndPr>
          <w:rPr>
            <w:rFonts w:hint="eastAsia" w:ascii="仿宋" w:hAnsi="仿宋" w:eastAsia="仿宋" w:cs="仿宋"/>
          </w:rPr>
        </w:sdtEndPr>
        <w:sdtContent>
          <w:r>
            <w:rPr>
              <w:rFonts w:hint="eastAsia" w:ascii="Wingdings" w:hAnsi="Wingdings" w:eastAsia="仿宋" w:cs="仿宋"/>
              <w:snapToGrid w:val="0"/>
              <w:kern w:val="0"/>
              <w:sz w:val="24"/>
              <w:szCs w:val="24"/>
              <w:lang w:val="en-US" w:eastAsia="zh-CN" w:bidi="ar-SA"/>
            </w:rPr>
            <w:t>þ</w:t>
          </w:r>
        </w:sdtContent>
      </w:sdt>
      <w:r>
        <w:rPr>
          <w:rFonts w:hint="eastAsia" w:ascii="仿宋" w:hAnsi="仿宋" w:eastAsia="仿宋" w:cs="仿宋"/>
        </w:rPr>
        <w:t>否。</w:t>
      </w:r>
    </w:p>
    <w:p>
      <w:pPr>
        <w:spacing w:line="360" w:lineRule="auto"/>
        <w:rPr>
          <w:rFonts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kern w:val="28"/>
          <w:sz w:val="24"/>
          <w:szCs w:val="20"/>
        </w:rPr>
      </w:pPr>
      <w:r>
        <w:rPr>
          <w:rFonts w:hint="eastAsia" w:ascii="仿宋" w:hAnsi="仿宋" w:eastAsia="仿宋" w:cs="仿宋"/>
          <w:snapToGrid w:val="0"/>
          <w:kern w:val="28"/>
          <w:sz w:val="24"/>
          <w:szCs w:val="20"/>
        </w:rPr>
        <w:t>2.以联合体形式投标的，提供联合协议(本项目不接受联合体投标或者投标人不以联合体形式投标的，则不需要提供) ；</w:t>
      </w:r>
    </w:p>
    <w:p>
      <w:pPr>
        <w:spacing w:line="360" w:lineRule="auto"/>
        <w:ind w:firstLine="480"/>
        <w:rPr>
          <w:rFonts w:ascii="仿宋" w:hAnsi="仿宋" w:eastAsia="仿宋" w:cs="仿宋"/>
          <w:kern w:val="0"/>
          <w:sz w:val="24"/>
        </w:rPr>
      </w:pPr>
      <w:r>
        <w:rPr>
          <w:rFonts w:hint="eastAsia" w:ascii="仿宋" w:hAnsi="仿宋" w:eastAsia="仿宋" w:cs="仿宋"/>
          <w:snapToGrid w:val="0"/>
          <w:kern w:val="28"/>
          <w:sz w:val="24"/>
          <w:szCs w:val="20"/>
        </w:rPr>
        <w:t>3.落实政府采购政策需满足的资格要求：</w:t>
      </w:r>
    </w:p>
    <w:p>
      <w:pPr>
        <w:spacing w:line="360" w:lineRule="auto"/>
        <w:ind w:firstLine="480"/>
        <w:rPr>
          <w:rFonts w:ascii="仿宋" w:hAnsi="仿宋" w:eastAsia="仿宋" w:cs="仿宋"/>
          <w:sz w:val="24"/>
        </w:rPr>
      </w:pPr>
      <w:sdt>
        <w:sdtPr>
          <w:rPr>
            <w:rFonts w:hint="eastAsia" w:ascii="仿宋" w:hAnsi="仿宋" w:eastAsia="仿宋" w:cs="仿宋"/>
            <w:kern w:val="0"/>
            <w:sz w:val="24"/>
          </w:rPr>
          <w:id w:val="192861692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szCs w:val="24"/>
              <w:lang w:val="en-US" w:eastAsia="zh-CN" w:bidi="ar-SA"/>
            </w:rPr>
            <w:t>þ</w:t>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highlight w:val="yellow"/>
          </w:rPr>
          <w:id w:val="7"/>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ascii="Wingdings" w:hAnsi="Wingdings" w:eastAsia="仿宋" w:cs="仿宋"/>
              <w:kern w:val="0"/>
              <w:sz w:val="24"/>
              <w:szCs w:val="24"/>
              <w:lang w:val="en-US" w:eastAsia="zh-CN" w:bidi="ar-SA"/>
            </w:rPr>
            <w:t>þ</w:t>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z w:val="24"/>
        </w:rPr>
        <w:t>服务全部由符合政策要求的小微企业承接，提供中小企业声明函；</w:t>
      </w:r>
    </w:p>
    <w:p>
      <w:pPr>
        <w:rPr>
          <w:rFonts w:ascii="仿宋" w:hAnsi="仿宋" w:eastAsia="仿宋" w:cs="仿宋"/>
          <w:highlight w:val="yellow"/>
        </w:rPr>
      </w:pP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w:t>
      </w:r>
      <w:r>
        <w:rPr>
          <w:rFonts w:hint="eastAsia" w:ascii="仿宋" w:hAnsi="仿宋" w:eastAsia="仿宋" w:cs="仿宋"/>
          <w:sz w:val="24"/>
        </w:rPr>
        <w:t>并相应达到了前述比例要求，视</w:t>
      </w:r>
      <w:r>
        <w:rPr>
          <w:rFonts w:hint="eastAsia" w:ascii="仿宋" w:hAnsi="仿宋" w:eastAsia="仿宋" w:cs="仿宋"/>
          <w:spacing w:val="8"/>
          <w:kern w:val="0"/>
          <w:sz w:val="24"/>
        </w:rPr>
        <w:t>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kern w:val="0"/>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w:t>
      </w:r>
      <w:r>
        <w:rPr>
          <w:rFonts w:hint="eastAsia" w:ascii="仿宋" w:hAnsi="仿宋" w:eastAsia="仿宋" w:cs="仿宋"/>
          <w:sz w:val="24"/>
        </w:rPr>
        <w:t>并相应达到了前述比例要求，</w:t>
      </w:r>
      <w:r>
        <w:rPr>
          <w:rFonts w:hint="eastAsia" w:ascii="仿宋" w:hAnsi="仿宋" w:eastAsia="仿宋" w:cs="仿宋"/>
          <w:spacing w:val="8"/>
          <w:kern w:val="0"/>
          <w:sz w:val="24"/>
        </w:rPr>
        <w:t>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4.本项目的特定资格要求：</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150898254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ascii="MS Gothic" w:hAnsi="MS Gothic" w:eastAsia="仿宋" w:cs="仿宋"/>
              <w:kern w:val="0"/>
              <w:sz w:val="24"/>
              <w:szCs w:val="24"/>
              <w:lang w:val="en-US" w:eastAsia="zh-CN" w:bidi="ar-SA"/>
            </w:rPr>
            <w:t>☐</w:t>
          </w:r>
        </w:sdtContent>
      </w:sdt>
      <w:r>
        <w:rPr>
          <w:rFonts w:hint="eastAsia" w:ascii="仿宋" w:hAnsi="仿宋" w:eastAsia="仿宋" w:cs="仿宋"/>
          <w:sz w:val="24"/>
        </w:rPr>
        <w:t>无</w:t>
      </w:r>
    </w:p>
    <w:p>
      <w:pPr>
        <w:spacing w:line="360" w:lineRule="auto"/>
        <w:ind w:firstLine="480" w:firstLineChars="200"/>
        <w:rPr>
          <w:rFonts w:hint="eastAsia" w:ascii="仿宋" w:hAnsi="仿宋" w:eastAsia="仿宋" w:cs="仿宋"/>
          <w:sz w:val="24"/>
          <w:highlight w:val="none"/>
          <w:u w:val="none"/>
          <w:lang w:eastAsia="zh-CN"/>
        </w:rPr>
      </w:pPr>
      <w:sdt>
        <w:sdtPr>
          <w:rPr>
            <w:rFonts w:hint="eastAsia" w:ascii="仿宋" w:hAnsi="仿宋" w:eastAsia="仿宋" w:cs="仿宋"/>
            <w:kern w:val="0"/>
            <w:sz w:val="24"/>
          </w:rPr>
          <w:id w:val="-160711229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有特定资格要求：</w:t>
      </w:r>
      <w:r>
        <w:rPr>
          <w:rFonts w:hint="eastAsia" w:ascii="仿宋" w:hAnsi="仿宋" w:eastAsia="仿宋" w:cs="仿宋"/>
          <w:sz w:val="24"/>
          <w:u w:val="single"/>
        </w:rPr>
        <w:t xml:space="preserve"> </w:t>
      </w:r>
      <w:r>
        <w:rPr>
          <w:rFonts w:hint="eastAsia" w:ascii="仿宋" w:hAnsi="仿宋" w:eastAsia="仿宋" w:cs="仿宋"/>
          <w:b/>
          <w:bCs/>
          <w:sz w:val="24"/>
          <w:u w:val="single"/>
        </w:rPr>
        <w:t>具有机电工程施工总承包三级及以上或城市及道路照明工程专业承包三级及以上资质</w:t>
      </w:r>
      <w:r>
        <w:rPr>
          <w:rFonts w:hint="eastAsia" w:ascii="仿宋" w:hAnsi="仿宋" w:eastAsia="仿宋" w:cs="仿宋"/>
          <w:b/>
          <w:bCs/>
          <w:sz w:val="24"/>
          <w:u w:val="single"/>
          <w:lang w:eastAsia="zh-CN"/>
        </w:rPr>
        <w:t>，</w:t>
      </w:r>
      <w:r>
        <w:rPr>
          <w:rFonts w:hint="eastAsia" w:ascii="仿宋" w:hAnsi="仿宋" w:eastAsia="仿宋" w:cs="仿宋"/>
          <w:b/>
          <w:bCs/>
          <w:sz w:val="24"/>
          <w:u w:val="single"/>
        </w:rPr>
        <w:t>且具有承装（修、试）电力设施许可证</w:t>
      </w:r>
      <w:r>
        <w:rPr>
          <w:rFonts w:hint="eastAsia" w:ascii="仿宋" w:hAnsi="仿宋" w:eastAsia="仿宋" w:cs="仿宋"/>
          <w:sz w:val="24"/>
        </w:rPr>
        <w:t>，</w:t>
      </w:r>
      <w:r>
        <w:rPr>
          <w:rFonts w:hint="eastAsia" w:ascii="仿宋" w:hAnsi="仿宋" w:eastAsia="仿宋" w:cs="仿宋"/>
          <w:sz w:val="24"/>
          <w:highlight w:val="none"/>
          <w:u w:val="none"/>
        </w:rPr>
        <w:t>该特定条件的法律法规依据：</w:t>
      </w:r>
      <w:r>
        <w:rPr>
          <w:rFonts w:hint="eastAsia" w:ascii="仿宋" w:hAnsi="仿宋" w:eastAsia="仿宋" w:cs="仿宋"/>
          <w:b/>
          <w:bCs/>
          <w:sz w:val="24"/>
          <w:highlight w:val="none"/>
          <w:u w:val="single"/>
          <w:lang w:eastAsia="zh-CN"/>
        </w:rPr>
        <w:t>《建筑业企业资质标准》、《承装（修、试）电力设施许可证管理办法》</w:t>
      </w:r>
      <w:r>
        <w:rPr>
          <w:rFonts w:hint="eastAsia" w:ascii="仿宋" w:hAnsi="仿宋" w:eastAsia="仿宋" w:cs="仿宋"/>
          <w:sz w:val="24"/>
          <w:highlight w:val="none"/>
          <w:u w:val="single"/>
          <w:lang w:eastAsia="zh-CN"/>
        </w:rPr>
        <w:t>。</w:t>
      </w:r>
    </w:p>
    <w:p>
      <w:pPr>
        <w:spacing w:line="360" w:lineRule="auto"/>
        <w:ind w:firstLine="480" w:firstLineChars="200"/>
        <w:rPr>
          <w:rFonts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sz w:val="24"/>
        </w:rPr>
      </w:pPr>
      <w:r>
        <w:rPr>
          <w:rFonts w:hint="eastAsia" w:ascii="仿宋" w:hAnsi="仿宋" w:eastAsia="仿宋" w:cs="仿宋"/>
          <w:b/>
          <w:sz w:val="24"/>
        </w:rPr>
        <w:t xml:space="preserve">三、获取招标文件 </w:t>
      </w:r>
    </w:p>
    <w:p>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color w:val="auto"/>
          <w:sz w:val="24"/>
          <w:u w:val="single"/>
        </w:rPr>
        <w:t>2023年</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16</w:t>
      </w:r>
      <w:r>
        <w:rPr>
          <w:rFonts w:hint="eastAsia" w:ascii="仿宋" w:hAnsi="仿宋" w:eastAsia="仿宋" w:cs="仿宋"/>
          <w:color w:val="auto"/>
          <w:sz w:val="24"/>
          <w:u w:val="single"/>
        </w:rPr>
        <w:t>日</w:t>
      </w:r>
      <w:r>
        <w:rPr>
          <w:rFonts w:hint="eastAsia" w:ascii="仿宋" w:hAnsi="仿宋" w:eastAsia="仿宋" w:cs="仿宋"/>
          <w:color w:val="auto"/>
          <w:sz w:val="24"/>
        </w:rPr>
        <w:t>，</w:t>
      </w:r>
      <w:r>
        <w:rPr>
          <w:rFonts w:hint="eastAsia" w:ascii="仿宋" w:hAnsi="仿宋" w:eastAsia="仿宋" w:cs="仿宋"/>
          <w:sz w:val="24"/>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政采云平台线上获取（https://www.zcygov.cn/） </w:t>
      </w:r>
    </w:p>
    <w:p>
      <w:pPr>
        <w:spacing w:line="360" w:lineRule="auto"/>
        <w:ind w:firstLine="482" w:firstLineChars="200"/>
        <w:rPr>
          <w:rFonts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rPr>
          <w:rFonts w:ascii="仿宋" w:hAnsi="仿宋" w:eastAsia="仿宋" w:cs="仿宋"/>
          <w:b/>
          <w:sz w:val="24"/>
        </w:rPr>
      </w:pPr>
      <w:r>
        <w:rPr>
          <w:rFonts w:hint="eastAsia" w:ascii="仿宋" w:hAnsi="仿宋" w:eastAsia="仿宋" w:cs="仿宋"/>
          <w:b/>
          <w:sz w:val="24"/>
        </w:rPr>
        <w:t>四、提交投标文件截止时间、开标时间和地点</w:t>
      </w:r>
    </w:p>
    <w:p>
      <w:pPr>
        <w:spacing w:line="360" w:lineRule="auto"/>
        <w:ind w:firstLine="482" w:firstLineChars="200"/>
        <w:rPr>
          <w:rFonts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color w:val="auto"/>
          <w:sz w:val="24"/>
          <w:u w:val="single"/>
        </w:rPr>
        <w:t>2023年</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16</w:t>
      </w:r>
      <w:r>
        <w:rPr>
          <w:rFonts w:hint="eastAsia" w:ascii="仿宋" w:hAnsi="仿宋" w:eastAsia="仿宋" w:cs="仿宋"/>
          <w:color w:val="auto"/>
          <w:sz w:val="24"/>
          <w:u w:val="single"/>
        </w:rPr>
        <w:t>日9点30分</w:t>
      </w:r>
      <w:r>
        <w:rPr>
          <w:rFonts w:hint="eastAsia" w:ascii="仿宋" w:hAnsi="仿宋" w:eastAsia="仿宋" w:cs="仿宋"/>
          <w:bCs/>
          <w:color w:val="auto"/>
          <w:sz w:val="24"/>
          <w:u w:val="single"/>
        </w:rPr>
        <w:t xml:space="preserve"> </w:t>
      </w:r>
      <w:r>
        <w:rPr>
          <w:rFonts w:hint="eastAsia" w:ascii="仿宋" w:hAnsi="仿宋" w:eastAsia="仿宋" w:cs="仿宋"/>
          <w:color w:val="auto"/>
          <w:sz w:val="24"/>
        </w:rPr>
        <w:t>（北京时间）</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 请登录政采云投标客户端投标</w:t>
      </w:r>
    </w:p>
    <w:p>
      <w:pPr>
        <w:spacing w:line="360" w:lineRule="auto"/>
        <w:ind w:firstLine="482" w:firstLineChars="200"/>
        <w:rPr>
          <w:rFonts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color w:val="auto"/>
          <w:sz w:val="24"/>
          <w:u w:val="single"/>
        </w:rPr>
        <w:t>2023年</w:t>
      </w:r>
      <w:r>
        <w:rPr>
          <w:rFonts w:hint="eastAsia" w:ascii="仿宋" w:hAnsi="仿宋" w:eastAsia="仿宋" w:cs="仿宋"/>
          <w:color w:val="auto"/>
          <w:sz w:val="24"/>
          <w:u w:val="single"/>
          <w:lang w:val="en-US" w:eastAsia="zh-CN"/>
        </w:rPr>
        <w:t>11</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16</w:t>
      </w:r>
      <w:r>
        <w:rPr>
          <w:rFonts w:hint="eastAsia" w:ascii="仿宋" w:hAnsi="仿宋" w:eastAsia="仿宋" w:cs="仿宋"/>
          <w:color w:val="auto"/>
          <w:sz w:val="24"/>
          <w:u w:val="single"/>
        </w:rPr>
        <w:t>日9点30分</w:t>
      </w:r>
      <w:r>
        <w:rPr>
          <w:rFonts w:hint="eastAsia" w:ascii="仿宋" w:hAnsi="仿宋" w:eastAsia="仿宋" w:cs="仿宋"/>
          <w:bCs/>
          <w:color w:val="auto"/>
          <w:sz w:val="24"/>
          <w:u w:val="single"/>
        </w:rPr>
        <w:t xml:space="preserve"> </w:t>
      </w:r>
    </w:p>
    <w:p>
      <w:pPr>
        <w:spacing w:line="360" w:lineRule="auto"/>
        <w:ind w:firstLine="482" w:firstLineChars="200"/>
        <w:rPr>
          <w:rFonts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ascii="仿宋" w:hAnsi="仿宋" w:eastAsia="仿宋" w:cs="仿宋"/>
          <w:b/>
          <w:sz w:val="24"/>
          <w:highlight w:val="none"/>
        </w:rPr>
      </w:pPr>
      <w:r>
        <w:rPr>
          <w:rFonts w:hint="eastAsia" w:ascii="仿宋" w:hAnsi="仿宋" w:eastAsia="仿宋" w:cs="仿宋"/>
          <w:b/>
          <w:sz w:val="24"/>
          <w:highlight w:val="none"/>
        </w:rPr>
        <w:t>五、采购意向公开链接</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fldChar w:fldCharType="begin"/>
      </w:r>
      <w:r>
        <w:rPr>
          <w:rFonts w:hint="eastAsia" w:ascii="仿宋" w:hAnsi="仿宋" w:eastAsia="仿宋" w:cs="仿宋"/>
          <w:color w:val="auto"/>
          <w:sz w:val="24"/>
          <w:highlight w:val="none"/>
          <w:u w:val="single"/>
        </w:rPr>
        <w:instrText xml:space="preserve"> HYPERLINK "https://zfcg.czt.zj.gov.cn/luban/detail?parentId=600007&amp;articleId=o1veI4Y8klBBQdIFlU7/Lw==" </w:instrText>
      </w:r>
      <w:r>
        <w:rPr>
          <w:rFonts w:hint="eastAsia" w:ascii="仿宋" w:hAnsi="仿宋" w:eastAsia="仿宋" w:cs="仿宋"/>
          <w:color w:val="auto"/>
          <w:sz w:val="24"/>
          <w:highlight w:val="none"/>
          <w:u w:val="single"/>
        </w:rPr>
        <w:fldChar w:fldCharType="separate"/>
      </w:r>
      <w:r>
        <w:rPr>
          <w:rStyle w:val="78"/>
          <w:rFonts w:hint="eastAsia" w:ascii="仿宋" w:hAnsi="仿宋" w:eastAsia="仿宋" w:cs="仿宋"/>
          <w:sz w:val="24"/>
          <w:highlight w:val="none"/>
          <w:u w:val="single"/>
        </w:rPr>
        <w:t>https://zfcg.czt.zj.gov.cn/luban/detail?parentId=600007&amp;articleId=o1veI4Y8klBBQdIFlU7/Lw==</w:t>
      </w:r>
      <w:r>
        <w:rPr>
          <w:rFonts w:hint="eastAsia" w:ascii="仿宋" w:hAnsi="仿宋" w:eastAsia="仿宋" w:cs="仿宋"/>
          <w:color w:val="auto"/>
          <w:sz w:val="24"/>
          <w:highlight w:val="none"/>
          <w:u w:val="single"/>
        </w:rPr>
        <w:fldChar w:fldCharType="end"/>
      </w:r>
    </w:p>
    <w:p>
      <w:pPr>
        <w:spacing w:line="360" w:lineRule="auto"/>
        <w:rPr>
          <w:rFonts w:ascii="仿宋" w:hAnsi="仿宋" w:eastAsia="仿宋" w:cs="仿宋"/>
          <w:sz w:val="24"/>
        </w:rPr>
      </w:pPr>
      <w:r>
        <w:rPr>
          <w:rFonts w:hint="eastAsia" w:ascii="仿宋" w:hAnsi="仿宋" w:eastAsia="仿宋" w:cs="仿宋"/>
          <w:b/>
          <w:sz w:val="24"/>
        </w:rPr>
        <w:t xml:space="preserve">六、公告期限 </w:t>
      </w:r>
    </w:p>
    <w:p>
      <w:pPr>
        <w:spacing w:line="360" w:lineRule="auto"/>
        <w:ind w:firstLine="480" w:firstLineChars="200"/>
        <w:rPr>
          <w:rFonts w:ascii="仿宋" w:hAnsi="仿宋" w:eastAsia="仿宋" w:cs="仿宋"/>
          <w:sz w:val="24"/>
        </w:rPr>
      </w:pPr>
      <w:r>
        <w:rPr>
          <w:rFonts w:hint="eastAsia" w:ascii="仿宋" w:hAnsi="仿宋" w:eastAsia="仿宋" w:cs="仿宋"/>
          <w:sz w:val="24"/>
        </w:rPr>
        <w:t>自本公告发布之日起5个工作日。</w:t>
      </w:r>
    </w:p>
    <w:p>
      <w:pPr>
        <w:spacing w:line="360" w:lineRule="auto"/>
        <w:rPr>
          <w:rFonts w:ascii="仿宋" w:hAnsi="仿宋" w:eastAsia="仿宋" w:cs="仿宋"/>
          <w:b/>
          <w:sz w:val="24"/>
        </w:rPr>
      </w:pPr>
      <w:r>
        <w:rPr>
          <w:rFonts w:hint="eastAsia" w:ascii="仿宋" w:hAnsi="仿宋" w:eastAsia="仿宋" w:cs="仿宋"/>
          <w:b/>
          <w:sz w:val="24"/>
        </w:rPr>
        <w:t>七、其他补充事宜</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则视为投标文件撤回。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仿宋" w:hAnsi="仿宋" w:eastAsia="仿宋" w:cs="仿宋"/>
          <w:b/>
          <w:sz w:val="24"/>
        </w:rPr>
      </w:pPr>
      <w:r>
        <w:rPr>
          <w:rFonts w:hint="eastAsia" w:ascii="仿宋" w:hAnsi="仿宋" w:eastAsia="仿宋" w:cs="仿宋"/>
          <w:b/>
          <w:sz w:val="24"/>
        </w:rPr>
        <w:t>八、对本次采购提出询问、质疑、投诉，请按以下方式联系</w:t>
      </w:r>
    </w:p>
    <w:p>
      <w:pPr>
        <w:spacing w:line="360" w:lineRule="auto"/>
        <w:ind w:firstLine="480"/>
        <w:rPr>
          <w:rFonts w:hint="eastAsia" w:ascii="仿宋" w:hAnsi="仿宋" w:eastAsia="仿宋" w:cs="仿宋"/>
          <w:sz w:val="24"/>
        </w:rPr>
      </w:pPr>
      <w:r>
        <w:rPr>
          <w:rFonts w:hint="eastAsia" w:ascii="仿宋" w:hAnsi="仿宋" w:eastAsia="仿宋" w:cs="仿宋"/>
          <w:sz w:val="24"/>
        </w:rPr>
        <w:t>1.采购人信息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名    称：杭州市钱塘区综合行政执法局</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地    址：浙江省杭州市钱塘区松合路369号</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传    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项目联系人（询问）：陈工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项目联系方式（询问）：0571-86995056</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质疑联系人：金工</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质疑联系方式：0571-86933036</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2.采购代理机构信息</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s="仿宋"/>
          <w:sz w:val="24"/>
        </w:rPr>
      </w:pPr>
      <w:r>
        <w:rPr>
          <w:rFonts w:hint="eastAsia" w:ascii="仿宋_GB2312" w:hAnsi="仿宋" w:eastAsia="仿宋_GB2312" w:cs="Times New Roman"/>
          <w:sz w:val="24"/>
          <w:szCs w:val="24"/>
          <w:highlight w:val="none"/>
        </w:rPr>
        <w:t>名    称：杭州市公</w:t>
      </w:r>
      <w:r>
        <w:rPr>
          <w:rFonts w:hint="eastAsia" w:ascii="仿宋" w:hAnsi="仿宋" w:eastAsia="仿宋" w:cs="仿宋"/>
          <w:sz w:val="24"/>
        </w:rPr>
        <w:t>共资源交易中心钱塘分中心</w:t>
      </w:r>
    </w:p>
    <w:p>
      <w:pPr>
        <w:spacing w:line="360" w:lineRule="auto"/>
        <w:ind w:firstLine="480"/>
        <w:rPr>
          <w:rFonts w:ascii="仿宋" w:hAnsi="仿宋" w:eastAsia="仿宋" w:cs="仿宋"/>
          <w:sz w:val="24"/>
        </w:rPr>
      </w:pPr>
      <w:r>
        <w:rPr>
          <w:rFonts w:hint="eastAsia" w:ascii="仿宋" w:hAnsi="仿宋" w:eastAsia="仿宋" w:cs="仿宋"/>
          <w:sz w:val="24"/>
        </w:rPr>
        <w:t>地    址：杭州市钱塘区下沙街道金沙大道600号东楼</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传    真：/             </w:t>
      </w:r>
    </w:p>
    <w:p>
      <w:pPr>
        <w:spacing w:line="360" w:lineRule="auto"/>
        <w:ind w:firstLine="480" w:firstLineChars="200"/>
        <w:rPr>
          <w:rFonts w:ascii="仿宋" w:hAnsi="仿宋" w:eastAsia="仿宋" w:cs="仿宋"/>
          <w:sz w:val="24"/>
        </w:rPr>
      </w:pPr>
      <w:r>
        <w:rPr>
          <w:rFonts w:hint="eastAsia" w:ascii="仿宋" w:hAnsi="仿宋" w:eastAsia="仿宋" w:cs="仿宋"/>
          <w:sz w:val="24"/>
        </w:rPr>
        <w:t>项目联系人（询问）：</w:t>
      </w:r>
      <w:r>
        <w:rPr>
          <w:rFonts w:hint="eastAsia" w:ascii="仿宋" w:hAnsi="仿宋" w:eastAsia="仿宋" w:cs="仿宋"/>
          <w:sz w:val="24"/>
          <w:lang w:eastAsia="zh-CN"/>
        </w:rPr>
        <w:t>袁</w:t>
      </w:r>
      <w:r>
        <w:rPr>
          <w:rFonts w:hint="eastAsia" w:ascii="仿宋" w:hAnsi="仿宋" w:eastAsia="仿宋" w:cs="仿宋"/>
          <w:sz w:val="24"/>
        </w:rPr>
        <w:t xml:space="preserve">工         </w:t>
      </w:r>
    </w:p>
    <w:p>
      <w:pPr>
        <w:spacing w:line="360" w:lineRule="auto"/>
        <w:ind w:firstLine="480" w:firstLineChars="200"/>
        <w:rPr>
          <w:rFonts w:ascii="仿宋" w:hAnsi="仿宋" w:eastAsia="仿宋" w:cs="仿宋"/>
          <w:sz w:val="24"/>
        </w:rPr>
      </w:pPr>
      <w:r>
        <w:rPr>
          <w:rFonts w:hint="eastAsia" w:ascii="仿宋" w:hAnsi="仿宋" w:eastAsia="仿宋" w:cs="仿宋"/>
          <w:sz w:val="24"/>
        </w:rPr>
        <w:t>项目联系方式（询问）：0571-</w:t>
      </w:r>
      <w:r>
        <w:rPr>
          <w:rFonts w:hint="eastAsia" w:ascii="仿宋" w:hAnsi="仿宋" w:eastAsia="仿宋" w:cs="仿宋"/>
          <w:sz w:val="24"/>
          <w:lang w:val="en-US" w:eastAsia="zh-CN"/>
        </w:rPr>
        <w:t>86871959</w:t>
      </w:r>
    </w:p>
    <w:p>
      <w:pPr>
        <w:spacing w:line="360" w:lineRule="auto"/>
        <w:ind w:firstLine="480" w:firstLineChars="200"/>
        <w:rPr>
          <w:rFonts w:ascii="仿宋" w:hAnsi="仿宋" w:eastAsia="仿宋" w:cs="仿宋"/>
          <w:sz w:val="24"/>
        </w:rPr>
      </w:pPr>
      <w:r>
        <w:rPr>
          <w:rFonts w:hint="eastAsia" w:ascii="仿宋" w:hAnsi="仿宋" w:eastAsia="仿宋" w:cs="仿宋"/>
          <w:sz w:val="24"/>
        </w:rPr>
        <w:t>质疑联系人：</w:t>
      </w:r>
      <w:r>
        <w:rPr>
          <w:rFonts w:hint="eastAsia" w:ascii="仿宋" w:hAnsi="仿宋" w:eastAsia="仿宋" w:cs="仿宋"/>
          <w:sz w:val="24"/>
          <w:lang w:eastAsia="zh-CN"/>
        </w:rPr>
        <w:t>熊</w:t>
      </w:r>
      <w:r>
        <w:rPr>
          <w:rFonts w:hint="eastAsia" w:ascii="仿宋" w:hAnsi="仿宋" w:eastAsia="仿宋" w:cs="仿宋"/>
          <w:sz w:val="24"/>
        </w:rPr>
        <w:t xml:space="preserve">工             </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质疑联系方式：0571-</w:t>
      </w:r>
      <w:r>
        <w:rPr>
          <w:rFonts w:hint="eastAsia" w:ascii="仿宋" w:hAnsi="仿宋" w:eastAsia="仿宋" w:cs="仿宋"/>
          <w:sz w:val="24"/>
          <w:lang w:val="en-US" w:eastAsia="zh-CN"/>
        </w:rPr>
        <w:t>82987976</w:t>
      </w:r>
    </w:p>
    <w:p>
      <w:pPr>
        <w:spacing w:line="360" w:lineRule="auto"/>
        <w:ind w:firstLine="480" w:firstLineChars="200"/>
        <w:rPr>
          <w:rFonts w:ascii="仿宋" w:hAnsi="仿宋" w:eastAsia="仿宋" w:cs="仿宋"/>
          <w:sz w:val="24"/>
        </w:rPr>
      </w:pPr>
      <w:r>
        <w:rPr>
          <w:rFonts w:hint="eastAsia" w:ascii="仿宋" w:hAnsi="仿宋" w:eastAsia="仿宋" w:cs="仿宋"/>
          <w:sz w:val="24"/>
        </w:rPr>
        <w:t>3.同级政府采购监督管理部门</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名 称：杭州市钱塘区财政局 </w:t>
      </w:r>
    </w:p>
    <w:p>
      <w:pPr>
        <w:spacing w:line="360" w:lineRule="auto"/>
        <w:ind w:firstLine="480" w:firstLineChars="200"/>
        <w:rPr>
          <w:rFonts w:ascii="仿宋" w:hAnsi="仿宋" w:eastAsia="仿宋" w:cs="仿宋"/>
          <w:sz w:val="24"/>
        </w:rPr>
      </w:pPr>
      <w:r>
        <w:rPr>
          <w:rFonts w:hint="eastAsia" w:ascii="仿宋" w:hAnsi="仿宋" w:eastAsia="仿宋" w:cs="仿宋"/>
          <w:sz w:val="24"/>
        </w:rPr>
        <w:t>地 址：杭州市钱塘区青六北路499号钱塘中心5号楼</w:t>
      </w:r>
    </w:p>
    <w:p>
      <w:pPr>
        <w:spacing w:line="360" w:lineRule="auto"/>
        <w:ind w:firstLine="480" w:firstLineChars="200"/>
        <w:rPr>
          <w:rFonts w:ascii="仿宋" w:hAnsi="仿宋" w:eastAsia="仿宋" w:cs="仿宋"/>
          <w:sz w:val="24"/>
        </w:rPr>
      </w:pPr>
      <w:r>
        <w:rPr>
          <w:rFonts w:hint="eastAsia" w:ascii="仿宋" w:hAnsi="仿宋" w:eastAsia="仿宋" w:cs="仿宋"/>
          <w:sz w:val="24"/>
        </w:rPr>
        <w:t>传 真：0571-89535550</w:t>
      </w:r>
    </w:p>
    <w:p>
      <w:pPr>
        <w:spacing w:line="360" w:lineRule="auto"/>
        <w:ind w:firstLine="480" w:firstLineChars="200"/>
        <w:rPr>
          <w:rFonts w:ascii="仿宋" w:hAnsi="仿宋" w:eastAsia="仿宋" w:cs="仿宋"/>
          <w:sz w:val="24"/>
        </w:rPr>
      </w:pPr>
      <w:r>
        <w:rPr>
          <w:rFonts w:hint="eastAsia" w:ascii="仿宋" w:hAnsi="仿宋" w:eastAsia="仿宋" w:cs="仿宋"/>
          <w:sz w:val="24"/>
        </w:rPr>
        <w:t>联系人：任女士</w:t>
      </w:r>
    </w:p>
    <w:p>
      <w:pPr>
        <w:spacing w:line="360" w:lineRule="auto"/>
        <w:ind w:firstLine="480" w:firstLineChars="200"/>
        <w:rPr>
          <w:rFonts w:ascii="仿宋" w:hAnsi="仿宋" w:eastAsia="仿宋" w:cs="仿宋"/>
          <w:sz w:val="24"/>
        </w:rPr>
      </w:pPr>
      <w:r>
        <w:rPr>
          <w:rFonts w:hint="eastAsia" w:ascii="仿宋" w:hAnsi="仿宋" w:eastAsia="仿宋" w:cs="仿宋"/>
          <w:sz w:val="24"/>
        </w:rPr>
        <w:t>监督投诉电话：0571-89535530</w:t>
      </w:r>
    </w:p>
    <w:p>
      <w:pPr>
        <w:spacing w:line="360" w:lineRule="auto"/>
        <w:ind w:firstLine="480" w:firstLineChars="200"/>
        <w:rPr>
          <w:rFonts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rPr>
        <w:t xml:space="preserve">                              </w:t>
      </w:r>
    </w:p>
    <w:p>
      <w:pPr>
        <w:adjustRightInd/>
        <w:spacing w:line="360" w:lineRule="auto"/>
        <w:jc w:val="center"/>
        <w:outlineLvl w:val="0"/>
        <w:rPr>
          <w:rFonts w:ascii="仿宋" w:hAnsi="仿宋" w:eastAsia="仿宋" w:cs="仿宋"/>
          <w:b/>
          <w:sz w:val="36"/>
          <w:szCs w:val="20"/>
        </w:rPr>
      </w:pPr>
      <w:r>
        <w:rPr>
          <w:rFonts w:hint="eastAsia" w:ascii="仿宋" w:hAnsi="仿宋" w:eastAsia="仿宋" w:cs="仿宋"/>
          <w:b/>
          <w:sz w:val="36"/>
          <w:szCs w:val="20"/>
        </w:rPr>
        <w:br w:type="page"/>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ascii="仿宋" w:hAnsi="仿宋" w:eastAsia="仿宋" w:cs="仿宋"/>
        </w:rPr>
      </w:pPr>
      <w:r>
        <w:rPr>
          <w:rFonts w:hint="eastAsia" w:ascii="仿宋" w:hAnsi="仿宋" w:eastAsia="仿宋" w:cs="仿宋"/>
          <w:b/>
          <w:sz w:val="32"/>
          <w:szCs w:val="20"/>
        </w:rPr>
        <w:t>前附表</w:t>
      </w:r>
    </w:p>
    <w:tbl>
      <w:tblPr>
        <w:tblStyle w:val="63"/>
        <w:tblW w:w="85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777"/>
        <w:gridCol w:w="61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项目属性</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采购标的及其对应的中小企业划分标准所属行业</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kern w:val="0"/>
                <w:sz w:val="24"/>
              </w:rPr>
            </w:pPr>
            <w:r>
              <w:rPr>
                <w:rFonts w:hint="eastAsia" w:ascii="仿宋" w:hAnsi="仿宋" w:eastAsia="仿宋" w:cs="仿宋"/>
                <w:kern w:val="0"/>
                <w:sz w:val="24"/>
              </w:rPr>
              <w:t>（1）标的：</w:t>
            </w:r>
            <w:r>
              <w:rPr>
                <w:rFonts w:hint="eastAsia" w:ascii="仿宋" w:hAnsi="仿宋" w:eastAsia="仿宋" w:cs="仿宋"/>
                <w:kern w:val="0"/>
                <w:sz w:val="24"/>
                <w:u w:val="single"/>
              </w:rPr>
              <w:t xml:space="preserve"> </w:t>
            </w:r>
            <w:r>
              <w:rPr>
                <w:rFonts w:hint="eastAsia" w:ascii="仿宋" w:hAnsi="仿宋" w:eastAsia="仿宋" w:cs="仿宋"/>
                <w:kern w:val="0"/>
                <w:sz w:val="24"/>
                <w:highlight w:val="none"/>
                <w:u w:val="single"/>
              </w:rPr>
              <w:t xml:space="preserve">景观灯及附属设施养护 </w:t>
            </w:r>
            <w:r>
              <w:rPr>
                <w:rFonts w:hint="eastAsia" w:ascii="仿宋" w:hAnsi="仿宋" w:eastAsia="仿宋" w:cs="仿宋"/>
                <w:kern w:val="0"/>
                <w:sz w:val="24"/>
                <w:highlight w:val="none"/>
              </w:rPr>
              <w:t>，属</w:t>
            </w:r>
            <w:r>
              <w:rPr>
                <w:rFonts w:hint="eastAsia" w:ascii="仿宋" w:hAnsi="仿宋" w:eastAsia="仿宋" w:cs="仿宋"/>
                <w:kern w:val="0"/>
                <w:sz w:val="24"/>
              </w:rPr>
              <w:t>于</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eastAsia="zh-CN"/>
              </w:rPr>
              <w:t>其他未列明行业</w:t>
            </w:r>
            <w:r>
              <w:rPr>
                <w:rFonts w:hint="eastAsia" w:ascii="仿宋" w:hAnsi="仿宋" w:eastAsia="仿宋" w:cs="仿宋"/>
                <w:kern w:val="0"/>
                <w:sz w:val="24"/>
                <w:u w:val="single"/>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备注：《关于印发中小企业划型标准规定的通知》（工信部联企业〔2011〕300号）中关于物业管理行业划型标准如下：</w:t>
            </w:r>
          </w:p>
          <w:p>
            <w:pPr>
              <w:snapToGrid w:val="0"/>
              <w:spacing w:line="360" w:lineRule="auto"/>
              <w:rPr>
                <w:rFonts w:ascii="仿宋" w:hAnsi="仿宋" w:eastAsia="仿宋" w:cs="仿宋"/>
                <w:sz w:val="24"/>
              </w:rPr>
            </w:pPr>
            <w:r>
              <w:rPr>
                <w:rFonts w:hint="eastAsia" w:ascii="仿宋" w:hAnsi="仿宋" w:eastAsia="仿宋" w:cs="仿宋"/>
                <w:sz w:val="24"/>
                <w:highlight w:val="none"/>
              </w:rPr>
              <w:t>其他未列明行业。从</w:t>
            </w:r>
            <w:r>
              <w:rPr>
                <w:rFonts w:hint="eastAsia" w:ascii="仿宋" w:hAnsi="仿宋" w:eastAsia="仿宋" w:cs="仿宋"/>
                <w:sz w:val="24"/>
              </w:rPr>
              <w:t>业人员</w:t>
            </w:r>
            <w:r>
              <w:rPr>
                <w:rFonts w:hint="eastAsia" w:ascii="仿宋" w:hAnsi="仿宋" w:eastAsia="仿宋" w:cs="仿宋"/>
                <w:sz w:val="24"/>
                <w:lang w:val="en-US" w:eastAsia="zh-CN"/>
              </w:rPr>
              <w:t>300</w:t>
            </w:r>
            <w:r>
              <w:rPr>
                <w:rFonts w:hint="eastAsia" w:ascii="仿宋" w:hAnsi="仿宋" w:eastAsia="仿宋" w:cs="仿宋"/>
                <w:sz w:val="24"/>
              </w:rPr>
              <w:t>人以下的为中小微型企业。其中，从业人员</w:t>
            </w:r>
            <w:r>
              <w:rPr>
                <w:rFonts w:hint="eastAsia" w:ascii="仿宋" w:hAnsi="仿宋" w:eastAsia="仿宋" w:cs="仿宋"/>
                <w:sz w:val="24"/>
                <w:lang w:val="en-US" w:eastAsia="zh-CN"/>
              </w:rPr>
              <w:t>100</w:t>
            </w:r>
            <w:r>
              <w:rPr>
                <w:rFonts w:hint="eastAsia" w:ascii="仿宋" w:hAnsi="仿宋" w:eastAsia="仿宋" w:cs="仿宋"/>
                <w:sz w:val="24"/>
              </w:rPr>
              <w:t>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是否允许采购进口产品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本项目不允许采购进口产品。</w:t>
            </w:r>
          </w:p>
          <w:p>
            <w:pPr>
              <w:spacing w:line="360" w:lineRule="auto"/>
              <w:rPr>
                <w:rFonts w:ascii="仿宋" w:hAnsi="仿宋" w:eastAsia="仿宋" w:cs="仿宋"/>
              </w:rPr>
            </w:pPr>
            <w:sdt>
              <w:sdtPr>
                <w:rPr>
                  <w:rFonts w:hint="eastAsia" w:ascii="仿宋" w:hAnsi="仿宋" w:eastAsia="仿宋" w:cs="仿宋"/>
                  <w:kern w:val="0"/>
                  <w:sz w:val="24"/>
                </w:rPr>
                <w:id w:val="1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宋体" w:hAnsi="宋体" w:cs="宋体"/>
                <w:sz w:val="24"/>
                <w:u w:val="single"/>
              </w:rPr>
              <w:t xml:space="preserve">    </w:t>
            </w:r>
            <w:r>
              <w:rPr>
                <w:rFonts w:hint="eastAsia" w:ascii="仿宋" w:hAnsi="仿宋" w:eastAsia="仿宋" w:cs="仿宋"/>
                <w:kern w:val="0"/>
                <w:sz w:val="24"/>
              </w:rPr>
              <w:t>采购进口产品，优先采购向我国企业转让技术、与我国企业签订消化吸收再创新方案的供应商的进口产品，详见评分标准；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4</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分包</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sdt>
              <w:sdtPr>
                <w:rPr>
                  <w:rFonts w:hint="eastAsia" w:ascii="仿宋" w:hAnsi="仿宋" w:eastAsia="仿宋" w:cs="仿宋"/>
                  <w:kern w:val="0"/>
                  <w:sz w:val="24"/>
                </w:rPr>
                <w:id w:val="1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 xml:space="preserve"> A同意将非主体、非关键性的</w:t>
            </w:r>
            <w:r>
              <w:rPr>
                <w:rFonts w:hint="eastAsia" w:ascii="仿宋" w:hAnsi="仿宋" w:eastAsia="仿宋" w:cs="仿宋"/>
                <w:kern w:val="0"/>
                <w:sz w:val="24"/>
                <w:u w:val="single"/>
              </w:rPr>
              <w:t xml:space="preserve">       </w:t>
            </w:r>
            <w:r>
              <w:rPr>
                <w:rFonts w:hint="eastAsia" w:ascii="仿宋" w:hAnsi="仿宋" w:eastAsia="仿宋" w:cs="仿宋"/>
                <w:kern w:val="0"/>
                <w:sz w:val="24"/>
              </w:rPr>
              <w:t>工作分包。</w:t>
            </w:r>
          </w:p>
          <w:p>
            <w:pPr>
              <w:spacing w:line="360" w:lineRule="auto"/>
            </w:pPr>
            <w:sdt>
              <w:sdtPr>
                <w:rPr>
                  <w:rFonts w:hint="eastAsia" w:ascii="仿宋_GB2312" w:hAnsi="仿宋" w:eastAsia="仿宋_GB2312" w:cs="Arial"/>
                  <w:kern w:val="0"/>
                  <w:sz w:val="24"/>
                </w:rPr>
                <w:id w:val="-2060927650"/>
              </w:sdtPr>
              <w:sdtEndPr>
                <w:rPr>
                  <w:rFonts w:hint="eastAsia" w:ascii="仿宋" w:hAnsi="仿宋" w:eastAsia="仿宋" w:cs="仿宋"/>
                  <w:kern w:val="0"/>
                  <w:sz w:val="24"/>
                </w:rPr>
              </w:sdtEndPr>
              <w:sdtContent>
                <w:sdt>
                  <w:sdtPr>
                    <w:rPr>
                      <w:rFonts w:hint="eastAsia" w:ascii="仿宋" w:hAnsi="仿宋" w:eastAsia="仿宋" w:cs="仿宋"/>
                      <w:kern w:val="0"/>
                      <w:sz w:val="24"/>
                    </w:rPr>
                    <w:id w:val="154499645"/>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 xml:space="preserve"> </w:t>
                </w:r>
              </w:sdtContent>
            </w:sdt>
            <w:r>
              <w:rPr>
                <w:rFonts w:hint="eastAsia" w:ascii="仿宋" w:hAnsi="仿宋" w:eastAsia="仿宋" w:cs="仿宋"/>
                <w:kern w:val="0"/>
                <w:sz w:val="24"/>
              </w:rPr>
              <w:t>B同意大型企业向小微企业、中型企业向小微企业、小微企业向小微企业合理分包。</w:t>
            </w:r>
          </w:p>
          <w:p>
            <w:pPr>
              <w:spacing w:line="360" w:lineRule="auto"/>
              <w:rPr>
                <w:rFonts w:ascii="仿宋" w:hAnsi="仿宋" w:eastAsia="仿宋" w:cs="仿宋"/>
                <w:sz w:val="24"/>
              </w:rPr>
            </w:pPr>
            <w:sdt>
              <w:sdtPr>
                <w:rPr>
                  <w:rFonts w:hint="eastAsia" w:ascii="仿宋" w:hAnsi="仿宋" w:eastAsia="仿宋" w:cs="仿宋"/>
                  <w:kern w:val="0"/>
                  <w:sz w:val="24"/>
                </w:rPr>
                <w:id w:val="1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C</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sz w:val="24"/>
                <w:szCs w:val="20"/>
              </w:rPr>
            </w:pPr>
            <w:sdt>
              <w:sdtPr>
                <w:rPr>
                  <w:rFonts w:hint="eastAsia" w:ascii="仿宋" w:hAnsi="仿宋" w:eastAsia="仿宋" w:cs="仿宋"/>
                  <w:kern w:val="0"/>
                  <w:sz w:val="24"/>
                </w:rPr>
                <w:id w:val="1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9"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6</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ascii="仿宋" w:hAnsi="仿宋" w:eastAsia="仿宋" w:cs="仿宋"/>
                <w:sz w:val="24"/>
                <w:u w:val="single"/>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B要求提供（未提供样品或提供样品不满足采购需求实质性条件的供应商，投标无效）。</w:t>
            </w:r>
          </w:p>
          <w:p>
            <w:pPr>
              <w:spacing w:line="360" w:lineRule="auto"/>
              <w:rPr>
                <w:rFonts w:ascii="仿宋" w:hAnsi="仿宋" w:eastAsia="仿宋" w:cs="仿宋"/>
                <w:sz w:val="24"/>
                <w:u w:val="single"/>
              </w:rPr>
            </w:pPr>
            <w:r>
              <w:rPr>
                <w:rFonts w:hint="eastAsia" w:ascii="仿宋" w:hAnsi="仿宋" w:eastAsia="仿宋" w:cs="仿宋"/>
                <w:sz w:val="24"/>
              </w:rPr>
              <w:t>（1）样品：</w:t>
            </w:r>
            <w:r>
              <w:rPr>
                <w:rFonts w:hint="eastAsia" w:ascii="仿宋" w:hAnsi="仿宋" w:eastAsia="仿宋" w:cs="仿宋"/>
                <w:sz w:val="24"/>
                <w:u w:val="single"/>
              </w:rPr>
              <w:t xml:space="preserve">            </w:t>
            </w:r>
            <w:r>
              <w:rPr>
                <w:rFonts w:hint="eastAsia" w:ascii="仿宋" w:hAnsi="仿宋" w:eastAsia="仿宋" w:cs="仿宋"/>
                <w:sz w:val="24"/>
              </w:rPr>
              <w:t>；</w:t>
            </w:r>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（3）样品的评审方法以及评审标准：</w:t>
            </w:r>
          </w:p>
          <w:p>
            <w:pPr>
              <w:spacing w:line="360" w:lineRule="auto"/>
              <w:ind w:firstLine="240" w:firstLineChars="100"/>
              <w:rPr>
                <w:rFonts w:ascii="仿宋" w:hAnsi="仿宋" w:eastAsia="仿宋" w:cs="仿宋"/>
                <w:sz w:val="24"/>
              </w:rPr>
            </w:pPr>
            <w:sdt>
              <w:sdtPr>
                <w:rPr>
                  <w:rFonts w:hint="eastAsia" w:ascii="仿宋" w:hAnsi="仿宋" w:eastAsia="仿宋" w:cs="仿宋"/>
                  <w:sz w:val="24"/>
                </w:rPr>
                <w:id w:val="-1350092240"/>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样品分未超过价格分的50%；</w:t>
            </w:r>
          </w:p>
          <w:p>
            <w:pPr>
              <w:spacing w:line="360" w:lineRule="auto"/>
              <w:ind w:firstLine="240" w:firstLineChars="100"/>
              <w:rPr>
                <w:rFonts w:ascii="仿宋" w:hAnsi="仿宋" w:eastAsia="仿宋" w:cs="仿宋"/>
                <w:sz w:val="24"/>
              </w:rPr>
            </w:pPr>
            <w:sdt>
              <w:sdtPr>
                <w:rPr>
                  <w:rFonts w:hint="eastAsia" w:ascii="仿宋" w:hAnsi="仿宋" w:eastAsia="仿宋" w:cs="仿宋"/>
                  <w:sz w:val="24"/>
                </w:rPr>
                <w:id w:val="-1485540415"/>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样品分超过价格分的50%，理由</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240" w:firstLineChars="100"/>
            </w:pPr>
            <w:r>
              <w:rPr>
                <w:rFonts w:hint="eastAsia" w:ascii="仿宋" w:hAnsi="仿宋" w:eastAsia="仿宋" w:cs="仿宋"/>
                <w:sz w:val="24"/>
              </w:rPr>
              <w:t xml:space="preserve">详见招标文件第四部分评标办分法。 </w:t>
            </w:r>
          </w:p>
          <w:p>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无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无  </w:t>
            </w:r>
            <w:r>
              <w:rPr>
                <w:rFonts w:hint="eastAsia" w:ascii="仿宋" w:hAnsi="仿宋" w:eastAsia="仿宋" w:cs="仿宋"/>
                <w:kern w:val="0"/>
                <w:sz w:val="24"/>
              </w:rPr>
              <w:t>。</w:t>
            </w:r>
          </w:p>
          <w:p>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s="仿宋"/>
                <w:sz w:val="24"/>
              </w:rPr>
            </w:pPr>
            <w:r>
              <w:rPr>
                <w:rFonts w:hint="eastAsia" w:ascii="仿宋" w:hAnsi="仿宋" w:eastAsia="仿宋" w:cs="仿宋"/>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仿宋" w:hAnsi="仿宋" w:eastAsia="仿宋" w:cs="仿宋"/>
                <w:b/>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1777"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sdt>
              <w:sdtPr>
                <w:rPr>
                  <w:rFonts w:hint="eastAsia" w:ascii="仿宋" w:hAnsi="仿宋" w:eastAsia="仿宋" w:cs="仿宋"/>
                  <w:kern w:val="0"/>
                  <w:sz w:val="24"/>
                </w:rPr>
                <w:id w:val="2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（2）方案讲解演示方式：</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86551467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kern w:val="0"/>
                <w:sz w:val="24"/>
              </w:rPr>
            </w:pPr>
            <w:sdt>
              <w:sdtPr>
                <w:rPr>
                  <w:rFonts w:hint="eastAsia" w:ascii="仿宋" w:hAnsi="仿宋" w:eastAsia="仿宋" w:cs="仿宋"/>
                  <w:kern w:val="0"/>
                  <w:sz w:val="24"/>
                </w:rPr>
                <w:id w:val="17782119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，讲解演示所用电脑等设备由投标人自备。现场讲解演示人员进场时须提供在投标单位参加社保的凭证，否则不得讲解演示。</w:t>
            </w:r>
          </w:p>
          <w:p>
            <w:pPr>
              <w:snapToGrid w:val="0"/>
              <w:spacing w:line="360" w:lineRule="auto"/>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2" w:hRule="atLeast"/>
          <w:jc w:val="cent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1777"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161"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1" w:hRule="atLeast"/>
          <w:jc w:val="cent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777"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p>
        </w:tc>
        <w:tc>
          <w:tcPr>
            <w:tcW w:w="6161"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节能产品、环境标志产品</w:t>
            </w:r>
          </w:p>
        </w:tc>
        <w:tc>
          <w:tcPr>
            <w:tcW w:w="616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
                <w:sz w:val="24"/>
                <w:lang w:val="zh-CN"/>
              </w:rPr>
            </w:pPr>
            <w:sdt>
              <w:sdtPr>
                <w:rPr>
                  <w:rFonts w:hint="eastAsia" w:ascii="仿宋" w:hAnsi="仿宋" w:eastAsia="仿宋" w:cs="仿宋"/>
                  <w:sz w:val="24"/>
                </w:rPr>
                <w:id w:val="386232013"/>
                <w14:checkbox>
                  <w14:checked w14:val="0"/>
                  <w14:checkedState w14:val="00FE" w14:font="Wingdings"/>
                  <w14:uncheckedState w14:val="2610" w14:font="MS Gothic"/>
                </w14:checkbox>
              </w:sdtPr>
              <w:sdtEndPr>
                <w:rPr>
                  <w:rFonts w:hint="eastAsia" w:ascii="仿宋" w:hAnsi="仿宋" w:eastAsia="仿宋" w:cs="仿宋"/>
                  <w:sz w:val="24"/>
                  <w:lang w:val="zh-CN"/>
                </w:rPr>
              </w:sdtEndPr>
              <w:sdtContent>
                <w:r>
                  <w:rPr>
                    <w:rFonts w:hint="eastAsia" w:ascii="仿宋" w:hAnsi="仿宋" w:eastAsia="仿宋" w:cs="仿宋"/>
                    <w:sz w:val="24"/>
                    <w:lang w:val="zh-CN"/>
                  </w:rPr>
                  <w:t>☐</w:t>
                </w:r>
              </w:sdtContent>
            </w:sdt>
            <w:r>
              <w:rPr>
                <w:rFonts w:hint="eastAsia" w:ascii="仿宋" w:hAnsi="仿宋" w:eastAsia="仿宋" w:cs="仿宋"/>
                <w:sz w:val="24"/>
                <w:lang w:val="zh-CN"/>
              </w:rPr>
              <w:t>依据国家确定的认证机构出具的、处于有效期之内的节能产品认证证书，对获得证书的产品实施政府优先采购或强制采购；其中，</w:t>
            </w:r>
            <w:r>
              <w:rPr>
                <w:rFonts w:hint="eastAsia" w:ascii="仿宋" w:hAnsi="仿宋" w:eastAsia="仿宋" w:cs="仿宋"/>
                <w:kern w:val="0"/>
                <w:sz w:val="24"/>
                <w:lang w:val="zh-CN"/>
              </w:rPr>
              <w:t>对产品名称</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实施政府优先采购，</w:t>
            </w:r>
            <w:r>
              <w:rPr>
                <w:rFonts w:hint="eastAsia" w:ascii="仿宋" w:hAnsi="仿宋" w:eastAsia="仿宋" w:cs="仿宋"/>
                <w:sz w:val="24"/>
              </w:rPr>
              <w:t>详</w:t>
            </w:r>
            <w:r>
              <w:rPr>
                <w:rFonts w:hint="eastAsia" w:ascii="仿宋" w:hAnsi="仿宋" w:eastAsia="仿宋" w:cs="仿宋"/>
                <w:sz w:val="24"/>
                <w:lang w:val="zh-CN"/>
              </w:rPr>
              <w:t>见评分标准；</w:t>
            </w:r>
            <w:r>
              <w:rPr>
                <w:rFonts w:hint="eastAsia" w:ascii="仿宋" w:hAnsi="仿宋" w:eastAsia="仿宋" w:cs="仿宋"/>
                <w:sz w:val="24"/>
              </w:rPr>
              <w:t>▲</w:t>
            </w:r>
            <w:r>
              <w:rPr>
                <w:rFonts w:hint="eastAsia" w:ascii="仿宋" w:hAnsi="仿宋" w:eastAsia="仿宋" w:cs="仿宋"/>
                <w:kern w:val="0"/>
                <w:sz w:val="24"/>
                <w:lang w:val="zh-CN"/>
              </w:rPr>
              <w:t>对产品名称</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实施政府强制采购，</w:t>
            </w:r>
            <w:r>
              <w:rPr>
                <w:rFonts w:hint="eastAsia" w:ascii="仿宋" w:hAnsi="仿宋" w:eastAsia="仿宋" w:cs="仿宋"/>
                <w:sz w:val="24"/>
                <w:lang w:val="zh-CN"/>
              </w:rPr>
              <w:t>投标人</w:t>
            </w:r>
            <w:r>
              <w:rPr>
                <w:rFonts w:hint="eastAsia" w:ascii="仿宋" w:hAnsi="仿宋" w:eastAsia="仿宋" w:cs="仿宋"/>
                <w:sz w:val="24"/>
              </w:rPr>
              <w:t>就</w:t>
            </w:r>
            <w:r>
              <w:rPr>
                <w:rFonts w:hint="eastAsia" w:ascii="仿宋" w:hAnsi="仿宋" w:eastAsia="仿宋" w:cs="仿宋"/>
                <w:sz w:val="24"/>
                <w:lang w:val="zh-CN"/>
              </w:rPr>
              <w:t>相应的投标产品未</w:t>
            </w:r>
            <w:r>
              <w:rPr>
                <w:rFonts w:hint="eastAsia" w:ascii="仿宋" w:hAnsi="仿宋" w:eastAsia="仿宋" w:cs="仿宋"/>
                <w:sz w:val="24"/>
              </w:rPr>
              <w:t>提供</w:t>
            </w:r>
            <w:r>
              <w:rPr>
                <w:rFonts w:hint="eastAsia" w:ascii="仿宋" w:hAnsi="仿宋" w:eastAsia="仿宋" w:cs="仿宋"/>
                <w:sz w:val="24"/>
                <w:lang w:val="zh-CN"/>
              </w:rPr>
              <w:t>国家确定的认证机构出具的、处于有效期之内的节能产品认证证书的，投标无效。</w:t>
            </w:r>
          </w:p>
          <w:p>
            <w:pPr>
              <w:snapToGrid w:val="0"/>
              <w:spacing w:line="360" w:lineRule="auto"/>
              <w:rPr>
                <w:rFonts w:ascii="仿宋" w:hAnsi="仿宋" w:eastAsia="仿宋" w:cs="仿宋"/>
                <w:kern w:val="0"/>
                <w:sz w:val="24"/>
                <w:lang w:val="zh-CN"/>
              </w:rPr>
            </w:pPr>
            <w:sdt>
              <w:sdtPr>
                <w:rPr>
                  <w:rFonts w:hint="eastAsia" w:ascii="仿宋" w:hAnsi="仿宋" w:eastAsia="仿宋" w:cs="仿宋"/>
                  <w:sz w:val="24"/>
                  <w:lang w:val="zh-CN"/>
                </w:rPr>
                <w:id w:val="93515011"/>
                <w14:checkbox>
                  <w14:checked w14:val="0"/>
                  <w14:checkedState w14:val="00FE" w14:font="Wingdings"/>
                  <w14:uncheckedState w14:val="2610" w14:font="MS Gothic"/>
                </w14:checkbox>
              </w:sdtPr>
              <w:sdtEndPr>
                <w:rPr>
                  <w:rFonts w:hint="eastAsia" w:ascii="仿宋" w:hAnsi="仿宋" w:eastAsia="仿宋" w:cs="仿宋"/>
                  <w:sz w:val="24"/>
                  <w:lang w:val="zh-CN"/>
                </w:rPr>
              </w:sdtEndPr>
              <w:sdtContent>
                <w:r>
                  <w:rPr>
                    <w:rFonts w:hint="eastAsia" w:ascii="仿宋" w:hAnsi="仿宋" w:eastAsia="仿宋" w:cs="仿宋"/>
                    <w:sz w:val="24"/>
                    <w:lang w:val="zh-CN"/>
                  </w:rPr>
                  <w:t>☐</w:t>
                </w:r>
              </w:sdtContent>
            </w:sdt>
            <w:r>
              <w:rPr>
                <w:rFonts w:hint="eastAsia" w:ascii="仿宋" w:hAnsi="仿宋" w:eastAsia="仿宋" w:cs="仿宋"/>
                <w:sz w:val="24"/>
                <w:lang w:val="zh-CN"/>
              </w:rPr>
              <w:t>依据国家确定的认证机构出具的、处于有效期之内的环境标志产品认证证书，</w:t>
            </w:r>
            <w:r>
              <w:rPr>
                <w:rFonts w:hint="eastAsia" w:ascii="仿宋" w:hAnsi="仿宋" w:eastAsia="仿宋" w:cs="仿宋"/>
                <w:kern w:val="0"/>
                <w:sz w:val="24"/>
                <w:lang w:val="zh-CN"/>
              </w:rPr>
              <w:t>对获得证书的产品名称</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实施政府优先采购，详见评分标准。</w:t>
            </w:r>
          </w:p>
          <w:p>
            <w:pPr>
              <w:snapToGrid w:val="0"/>
              <w:spacing w:line="360" w:lineRule="auto"/>
              <w:rPr>
                <w:rFonts w:ascii="仿宋" w:hAnsi="仿宋" w:eastAsia="仿宋" w:cs="仿宋"/>
              </w:rPr>
            </w:pPr>
            <w:sdt>
              <w:sdtPr>
                <w:rPr>
                  <w:rFonts w:hint="eastAsia" w:ascii="仿宋" w:hAnsi="仿宋" w:eastAsia="仿宋" w:cs="仿宋"/>
                  <w:sz w:val="24"/>
                </w:rPr>
                <w:id w:val="-378003639"/>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ascii="Wingdings" w:hAnsi="Wingdings" w:eastAsia="仿宋" w:cs="仿宋"/>
                    <w:sz w:val="24"/>
                  </w:rPr>
                  <w:t></w:t>
                </w:r>
              </w:sdtContent>
            </w:sdt>
            <w:r>
              <w:rPr>
                <w:rFonts w:hint="eastAsia" w:ascii="仿宋" w:hAnsi="仿宋" w:eastAsia="仿宋" w:cs="仿宋"/>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1777"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0" w:firstLineChars="100"/>
              <w:rPr>
                <w:rFonts w:ascii="仿宋" w:hAnsi="仿宋" w:eastAsia="仿宋" w:cs="仿宋"/>
                <w:b/>
                <w:bCs/>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bCs/>
                <w:kern w:val="0"/>
                <w:sz w:val="24"/>
                <w:lang w:val="zh-CN"/>
              </w:rPr>
              <w:t>提醒：验收时检测费用由采购人承担，不包含在投标总价中。</w:t>
            </w:r>
          </w:p>
          <w:p>
            <w:pPr>
              <w:spacing w:line="360" w:lineRule="auto"/>
              <w:ind w:firstLine="241" w:firstLineChars="100"/>
              <w:rPr>
                <w:rFonts w:ascii="仿宋" w:hAnsi="仿宋" w:eastAsia="仿宋" w:cs="仿宋"/>
                <w:b/>
                <w:bCs/>
                <w:kern w:val="0"/>
                <w:sz w:val="24"/>
                <w:lang w:val="zh-CN"/>
              </w:rPr>
            </w:pPr>
            <w:r>
              <w:rPr>
                <w:rFonts w:hint="eastAsia" w:ascii="仿宋" w:hAnsi="仿宋" w:eastAsia="仿宋" w:cs="仿宋"/>
                <w:b/>
                <w:bCs/>
                <w:kern w:val="0"/>
                <w:sz w:val="24"/>
                <w:lang w:val="zh-CN"/>
              </w:rPr>
              <w:t>投标报价出现下列情形的，投标无效：</w:t>
            </w:r>
          </w:p>
          <w:p>
            <w:pPr>
              <w:spacing w:line="360" w:lineRule="auto"/>
              <w:ind w:firstLine="241" w:firstLineChars="100"/>
              <w:rPr>
                <w:rFonts w:ascii="仿宋" w:hAnsi="仿宋" w:eastAsia="仿宋" w:cs="仿宋"/>
                <w:b/>
                <w:bCs/>
                <w:kern w:val="0"/>
                <w:sz w:val="24"/>
                <w:lang w:val="zh-CN"/>
              </w:rPr>
            </w:pPr>
            <w:r>
              <w:rPr>
                <w:rFonts w:hint="eastAsia" w:ascii="仿宋" w:hAnsi="仿宋" w:eastAsia="仿宋" w:cs="仿宋"/>
                <w:b/>
                <w:bCs/>
                <w:kern w:val="0"/>
                <w:sz w:val="24"/>
                <w:lang w:val="zh-CN"/>
              </w:rPr>
              <w:t>投标文件出现不是唯一的、有选择性投标报价的；</w:t>
            </w:r>
          </w:p>
          <w:p>
            <w:pPr>
              <w:spacing w:line="360" w:lineRule="auto"/>
              <w:ind w:firstLine="241" w:firstLineChars="100"/>
              <w:rPr>
                <w:rFonts w:ascii="仿宋" w:hAnsi="仿宋" w:eastAsia="仿宋" w:cs="仿宋"/>
                <w:b/>
                <w:bCs/>
                <w:kern w:val="0"/>
                <w:sz w:val="24"/>
                <w:lang w:val="zh-CN"/>
              </w:rPr>
            </w:pPr>
            <w:r>
              <w:rPr>
                <w:rFonts w:hint="eastAsia" w:ascii="仿宋" w:hAnsi="仿宋" w:eastAsia="仿宋" w:cs="仿宋"/>
                <w:b/>
                <w:bCs/>
                <w:kern w:val="0"/>
                <w:sz w:val="24"/>
                <w:lang w:val="zh-CN"/>
              </w:rPr>
              <w:t>投标报价超过招标文件中规定的预算金额或者最高限价的;</w:t>
            </w:r>
          </w:p>
          <w:p>
            <w:pPr>
              <w:spacing w:line="360" w:lineRule="auto"/>
              <w:ind w:firstLine="241" w:firstLineChars="100"/>
              <w:rPr>
                <w:rFonts w:ascii="仿宋" w:hAnsi="仿宋" w:eastAsia="仿宋" w:cs="仿宋"/>
                <w:b/>
                <w:bCs/>
                <w:kern w:val="0"/>
                <w:sz w:val="24"/>
                <w:lang w:val="zh-CN"/>
              </w:rPr>
            </w:pPr>
            <w:r>
              <w:rPr>
                <w:rFonts w:hint="eastAsia" w:ascii="仿宋" w:hAnsi="仿宋" w:eastAsia="仿宋" w:cs="仿宋"/>
                <w:b/>
                <w:bCs/>
                <w:kern w:val="0"/>
                <w:sz w:val="24"/>
                <w:lang w:val="zh-CN"/>
              </w:rPr>
              <w:t>报价明显低于其他通过符合性审查投标人的报价，有可能影响产品质量或者不能诚信履约的，未能按要求提供书面说明或者提交相关证明材料证明其报价合理性的;</w:t>
            </w:r>
          </w:p>
          <w:p>
            <w:pPr>
              <w:spacing w:line="360" w:lineRule="auto"/>
              <w:ind w:firstLine="241" w:firstLineChars="100"/>
              <w:rPr>
                <w:rFonts w:ascii="仿宋" w:hAnsi="仿宋" w:eastAsia="仿宋" w:cs="仿宋"/>
                <w:sz w:val="24"/>
              </w:rPr>
            </w:pPr>
            <w:r>
              <w:rPr>
                <w:rFonts w:hint="eastAsia" w:ascii="仿宋" w:hAnsi="仿宋" w:eastAsia="仿宋" w:cs="仿宋"/>
                <w:b/>
                <w:bCs/>
                <w:kern w:val="0"/>
                <w:sz w:val="24"/>
                <w:lang w:val="zh-CN"/>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11</w:t>
            </w:r>
          </w:p>
        </w:tc>
        <w:tc>
          <w:tcPr>
            <w:tcW w:w="177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中小企业信用融资</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z w:val="24"/>
              </w:rPr>
            </w:pPr>
            <w:r>
              <w:rPr>
                <w:rFonts w:hint="eastAsia" w:ascii="仿宋" w:hAnsi="仿宋" w:eastAsia="仿宋" w:cs="仿宋"/>
                <w:sz w:val="24"/>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jc w:val="center"/>
        </w:trPr>
        <w:tc>
          <w:tcPr>
            <w:tcW w:w="629" w:type="dxa"/>
            <w:vMerge w:val="continue"/>
            <w:tcBorders>
              <w:left w:val="single" w:color="000000" w:sz="8" w:space="0"/>
              <w:right w:val="single" w:color="000000" w:sz="2" w:space="0"/>
            </w:tcBorders>
            <w:vAlign w:val="center"/>
          </w:tcPr>
          <w:p>
            <w:pPr>
              <w:spacing w:line="360" w:lineRule="auto"/>
              <w:ind w:firstLine="420" w:firstLineChars="200"/>
              <w:jc w:val="center"/>
              <w:rPr>
                <w:rFonts w:ascii="仿宋" w:hAnsi="仿宋" w:eastAsia="仿宋" w:cs="仿宋"/>
              </w:rPr>
            </w:pPr>
          </w:p>
        </w:tc>
        <w:tc>
          <w:tcPr>
            <w:tcW w:w="1777"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s="仿宋"/>
              </w:rPr>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3" w:hRule="atLeast"/>
          <w:jc w:val="cent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仿宋" w:hAnsi="仿宋" w:eastAsia="仿宋" w:cs="仿宋"/>
                <w:sz w:val="24"/>
              </w:rPr>
            </w:pPr>
            <w:r>
              <w:rPr>
                <w:rFonts w:hint="eastAsia" w:ascii="仿宋" w:hAnsi="仿宋" w:eastAsia="仿宋" w:cs="仿宋"/>
                <w:sz w:val="24"/>
              </w:rPr>
              <w:t>12</w:t>
            </w:r>
          </w:p>
        </w:tc>
        <w:tc>
          <w:tcPr>
            <w:tcW w:w="1777"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cs="仿宋"/>
                <w:b/>
                <w:sz w:val="24"/>
              </w:rPr>
            </w:pPr>
            <w:r>
              <w:rPr>
                <w:rFonts w:hint="eastAsia" w:ascii="仿宋" w:hAnsi="仿宋" w:eastAsia="仿宋" w:cs="仿宋"/>
                <w:b/>
                <w:sz w:val="24"/>
              </w:rPr>
              <w:t>特别说明</w:t>
            </w: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4" w:hRule="atLeast"/>
          <w:jc w:val="center"/>
        </w:trPr>
        <w:tc>
          <w:tcPr>
            <w:tcW w:w="629" w:type="dxa"/>
            <w:vMerge w:val="continue"/>
            <w:tcBorders>
              <w:left w:val="single" w:color="000000" w:sz="8" w:space="0"/>
              <w:right w:val="single" w:color="000000" w:sz="2" w:space="0"/>
            </w:tcBorders>
            <w:vAlign w:val="center"/>
          </w:tcPr>
          <w:p>
            <w:pPr>
              <w:spacing w:line="360" w:lineRule="auto"/>
            </w:pPr>
          </w:p>
        </w:tc>
        <w:tc>
          <w:tcPr>
            <w:tcW w:w="1777" w:type="dxa"/>
            <w:vMerge w:val="continue"/>
            <w:tcBorders>
              <w:left w:val="single" w:color="000000" w:sz="2" w:space="0"/>
              <w:right w:val="single" w:color="000000" w:sz="8" w:space="0"/>
            </w:tcBorders>
            <w:vAlign w:val="center"/>
          </w:tcPr>
          <w:p>
            <w:pPr>
              <w:spacing w:line="360" w:lineRule="auto"/>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spacing w:line="360" w:lineRule="auto"/>
              <w:rPr>
                <w:rFonts w:ascii="仿宋" w:hAnsi="仿宋" w:eastAsia="仿宋" w:cs="仿宋"/>
                <w:snapToGrid w:val="0"/>
                <w:kern w:val="28"/>
                <w:sz w:val="24"/>
              </w:rPr>
            </w:pPr>
            <w:sdt>
              <w:sdtPr>
                <w:rPr>
                  <w:rFonts w:hint="eastAsia" w:ascii="仿宋" w:hAnsi="仿宋" w:eastAsia="仿宋" w:cs="仿宋"/>
                  <w:kern w:val="0"/>
                  <w:sz w:val="24"/>
                </w:rPr>
                <w:id w:val="-23231189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2" w:hRule="atLeast"/>
          <w:jc w:val="center"/>
        </w:trPr>
        <w:tc>
          <w:tcPr>
            <w:tcW w:w="629" w:type="dxa"/>
            <w:vMerge w:val="continue"/>
            <w:tcBorders>
              <w:left w:val="single" w:color="000000" w:sz="8" w:space="0"/>
              <w:bottom w:val="single" w:color="000000" w:sz="8" w:space="0"/>
              <w:right w:val="single" w:color="000000" w:sz="2" w:space="0"/>
            </w:tcBorders>
            <w:vAlign w:val="center"/>
          </w:tcPr>
          <w:p>
            <w:pPr>
              <w:spacing w:line="360" w:lineRule="auto"/>
            </w:pPr>
          </w:p>
        </w:tc>
        <w:tc>
          <w:tcPr>
            <w:tcW w:w="1777" w:type="dxa"/>
            <w:vMerge w:val="continue"/>
            <w:tcBorders>
              <w:left w:val="single" w:color="000000" w:sz="2" w:space="0"/>
              <w:bottom w:val="single" w:color="000000" w:sz="8" w:space="0"/>
              <w:right w:val="single" w:color="000000" w:sz="8" w:space="0"/>
            </w:tcBorders>
            <w:vAlign w:val="center"/>
          </w:tcPr>
          <w:p>
            <w:pPr>
              <w:spacing w:line="360" w:lineRule="auto"/>
            </w:pPr>
          </w:p>
        </w:tc>
        <w:tc>
          <w:tcPr>
            <w:tcW w:w="6161"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s="仿宋"/>
                <w:kern w:val="0"/>
                <w:sz w:val="24"/>
              </w:rPr>
            </w:pPr>
            <w:r>
              <w:rPr>
                <w:rFonts w:hint="eastAsia" w:ascii="仿宋" w:hAnsi="仿宋" w:eastAsia="仿宋" w:cs="仿宋"/>
                <w:kern w:val="0"/>
                <w:sz w:val="24"/>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2" w:hRule="atLeast"/>
          <w:jc w:val="center"/>
        </w:trPr>
        <w:tc>
          <w:tcPr>
            <w:tcW w:w="629"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仿宋" w:hAnsi="仿宋" w:eastAsia="仿宋" w:cs="仿宋"/>
              </w:rPr>
            </w:pPr>
            <w:r>
              <w:rPr>
                <w:rFonts w:hint="eastAsia" w:ascii="仿宋" w:hAnsi="仿宋" w:eastAsia="仿宋" w:cs="仿宋"/>
              </w:rPr>
              <w:t>13</w:t>
            </w:r>
          </w:p>
        </w:tc>
        <w:tc>
          <w:tcPr>
            <w:tcW w:w="1777"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仿宋" w:hAnsi="仿宋" w:eastAsia="仿宋" w:cs="仿宋"/>
              </w:rPr>
            </w:pPr>
            <w:r>
              <w:rPr>
                <w:rFonts w:hint="eastAsia" w:ascii="仿宋" w:hAnsi="仿宋" w:eastAsia="仿宋" w:cs="仿宋"/>
              </w:rPr>
              <w:t>钱塘区公共资源交易领域突出问题专项整治线索征集公告</w:t>
            </w:r>
          </w:p>
        </w:tc>
        <w:tc>
          <w:tcPr>
            <w:tcW w:w="6161"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仿宋" w:hAnsi="仿宋" w:eastAsia="仿宋" w:cs="仿宋"/>
                <w:kern w:val="0"/>
                <w:sz w:val="24"/>
              </w:rPr>
            </w:pPr>
            <w:r>
              <w:rPr>
                <w:rFonts w:hint="eastAsia" w:ascii="仿宋" w:hAnsi="仿宋" w:eastAsia="仿宋" w:cs="仿宋"/>
                <w:kern w:val="0"/>
                <w:sz w:val="24"/>
              </w:rPr>
              <w:t>为进一步贯彻落实省市区“招投标领域专项整治与提升”工作要求，维护公平竞争的市场环境，现开设公共资源交易领域违法线索征集渠道，线索反馈联系方式如下：</w:t>
            </w:r>
          </w:p>
          <w:p>
            <w:pPr>
              <w:spacing w:line="360" w:lineRule="auto"/>
              <w:rPr>
                <w:rFonts w:ascii="仿宋" w:hAnsi="仿宋" w:eastAsia="仿宋" w:cs="仿宋"/>
                <w:kern w:val="0"/>
                <w:sz w:val="24"/>
              </w:rPr>
            </w:pPr>
            <w:r>
              <w:rPr>
                <w:rFonts w:hint="eastAsia" w:ascii="仿宋" w:hAnsi="仿宋" w:eastAsia="仿宋" w:cs="仿宋"/>
                <w:kern w:val="0"/>
                <w:sz w:val="24"/>
              </w:rPr>
              <w:t>钱塘区财政局：               ryp2001@</w:t>
            </w:r>
            <w:r>
              <w:fldChar w:fldCharType="begin"/>
            </w:r>
            <w:r>
              <w:instrText xml:space="preserve"> HYPERLINK "http://163.com/" \t "/tmp/22591/wps-root/x/_blank" </w:instrText>
            </w:r>
            <w:r>
              <w:fldChar w:fldCharType="separate"/>
            </w:r>
            <w:r>
              <w:rPr>
                <w:rFonts w:hint="eastAsia" w:ascii="仿宋" w:hAnsi="仿宋" w:eastAsia="仿宋" w:cs="仿宋"/>
                <w:kern w:val="0"/>
                <w:sz w:val="24"/>
              </w:rPr>
              <w:t>163.com</w:t>
            </w:r>
            <w:r>
              <w:rPr>
                <w:rFonts w:hint="eastAsia" w:ascii="仿宋" w:hAnsi="仿宋" w:eastAsia="仿宋" w:cs="仿宋"/>
                <w:kern w:val="0"/>
                <w:sz w:val="24"/>
              </w:rPr>
              <w:fldChar w:fldCharType="end"/>
            </w:r>
            <w:r>
              <w:rPr>
                <w:rFonts w:hint="eastAsia" w:ascii="仿宋" w:hAnsi="仿宋" w:eastAsia="仿宋" w:cs="仿宋"/>
                <w:kern w:val="0"/>
                <w:sz w:val="24"/>
              </w:rPr>
              <w:t xml:space="preserve"> </w:t>
            </w:r>
          </w:p>
          <w:p>
            <w:pPr>
              <w:spacing w:line="360" w:lineRule="auto"/>
              <w:rPr>
                <w:rFonts w:ascii="仿宋" w:hAnsi="仿宋" w:eastAsia="仿宋" w:cs="仿宋"/>
                <w:kern w:val="0"/>
                <w:sz w:val="24"/>
              </w:rPr>
            </w:pPr>
            <w:r>
              <w:rPr>
                <w:rFonts w:hint="eastAsia" w:ascii="仿宋" w:hAnsi="仿宋" w:eastAsia="仿宋" w:cs="仿宋"/>
                <w:kern w:val="0"/>
                <w:sz w:val="24"/>
              </w:rPr>
              <w:t>钱塘区公共资源交易管理办公室:qtqgzb@163.com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2" w:hRule="atLeast"/>
          <w:jc w:val="center"/>
        </w:trPr>
        <w:tc>
          <w:tcPr>
            <w:tcW w:w="629"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default" w:ascii="仿宋" w:hAnsi="仿宋" w:eastAsia="仿宋" w:cs="仿宋"/>
                <w:lang w:val="en-US" w:eastAsia="zh-CN"/>
              </w:rPr>
            </w:pPr>
            <w:r>
              <w:rPr>
                <w:rFonts w:hint="eastAsia" w:ascii="仿宋" w:hAnsi="仿宋" w:eastAsia="仿宋" w:cs="仿宋"/>
                <w:lang w:val="en-US" w:eastAsia="zh-CN"/>
              </w:rPr>
              <w:t>14</w:t>
            </w:r>
          </w:p>
        </w:tc>
        <w:tc>
          <w:tcPr>
            <w:tcW w:w="1777"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hint="eastAsia" w:ascii="仿宋" w:hAnsi="仿宋" w:eastAsia="仿宋" w:cs="仿宋"/>
              </w:rPr>
            </w:pPr>
            <w:r>
              <w:rPr>
                <w:rFonts w:hint="eastAsia" w:ascii="仿宋" w:hAnsi="仿宋" w:eastAsia="仿宋" w:cs="仿宋"/>
                <w:b/>
                <w:sz w:val="24"/>
              </w:rPr>
              <w:t>特别说明</w:t>
            </w:r>
          </w:p>
        </w:tc>
        <w:tc>
          <w:tcPr>
            <w:tcW w:w="6161"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hint="eastAsia" w:ascii="仿宋" w:hAnsi="仿宋" w:eastAsia="仿宋" w:cs="仿宋"/>
                <w:kern w:val="0"/>
                <w:sz w:val="24"/>
              </w:rPr>
            </w:pPr>
            <w:r>
              <w:rPr>
                <w:rFonts w:hint="eastAsia" w:ascii="仿宋" w:hAnsi="仿宋" w:eastAsia="仿宋" w:cs="仿宋"/>
                <w:kern w:val="0"/>
                <w:sz w:val="24"/>
              </w:rPr>
              <w:t>本项目选取中标候选人按照“兼投不兼中”原则，投标多个标项的投标人必须明确其中标标项的优选顺序，根据投标人明确的优选顺序确定中标人，每个投标人只允许中标一个标项。优选顺序是唯一的，投标文件出现2种或2种以上优选顺序的投标无效。</w:t>
            </w:r>
          </w:p>
        </w:tc>
      </w:tr>
      <w:bookmarkEnd w:id="10"/>
    </w:tbl>
    <w:p>
      <w:pPr>
        <w:snapToGrid w:val="0"/>
        <w:spacing w:line="360" w:lineRule="auto"/>
        <w:jc w:val="center"/>
        <w:rPr>
          <w:rFonts w:ascii="仿宋" w:hAnsi="仿宋" w:eastAsia="仿宋" w:cs="仿宋"/>
          <w:b/>
          <w:sz w:val="32"/>
          <w:szCs w:val="20"/>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pPr>
        <w:adjustRightInd/>
        <w:spacing w:line="360" w:lineRule="auto"/>
        <w:ind w:firstLine="3845" w:firstLineChars="1197"/>
        <w:outlineLvl w:val="0"/>
        <w:rPr>
          <w:rFonts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t>一、总则</w:t>
      </w:r>
    </w:p>
    <w:p>
      <w:pPr>
        <w:snapToGrid w:val="0"/>
        <w:spacing w:line="360" w:lineRule="auto"/>
        <w:ind w:firstLine="361" w:firstLineChars="150"/>
        <w:jc w:val="left"/>
        <w:outlineLvl w:val="1"/>
        <w:rPr>
          <w:rFonts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2.2 “采购代理机构”系指招标公告中载明的本项目的采购代理机构。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ascii="仿宋" w:hAnsi="仿宋" w:eastAsia="仿宋" w:cs="仿宋"/>
          <w:sz w:val="24"/>
        </w:rPr>
      </w:pPr>
      <w:r>
        <w:rPr>
          <w:rFonts w:hint="eastAsia" w:ascii="仿宋" w:hAnsi="仿宋" w:eastAsia="仿宋" w:cs="仿宋"/>
          <w:sz w:val="24"/>
        </w:rPr>
        <w:t>2.7 “▲” 系指实质性要求条款，“★”系产品采购项目中单一产品或核心产品，“</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ascii="Wingdings" w:hAnsi="Wingdings"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系指不适用本项目的要求，“※”系指重要技术指标。</w:t>
      </w:r>
    </w:p>
    <w:p>
      <w:pPr>
        <w:spacing w:line="360" w:lineRule="auto"/>
        <w:ind w:firstLine="241" w:firstLineChars="100"/>
        <w:rPr>
          <w:rFonts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80" w:firstLineChars="200"/>
        <w:rPr>
          <w:rFonts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评标办分法明确具体的扣除比例，未明确的，</w:t>
      </w:r>
      <w:r>
        <w:rPr>
          <w:rFonts w:hint="eastAsia" w:ascii="仿宋" w:hAnsi="仿宋" w:eastAsia="仿宋" w:cs="仿宋"/>
          <w:sz w:val="24"/>
        </w:rPr>
        <w:t>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w:t>
      </w:r>
      <w:r>
        <w:rPr>
          <w:rFonts w:hint="eastAsia" w:ascii="仿宋" w:hAnsi="仿宋" w:eastAsia="仿宋" w:cs="仿宋"/>
          <w:snapToGrid w:val="0"/>
          <w:kern w:val="28"/>
          <w:sz w:val="24"/>
        </w:rPr>
        <w:t>招标文件第四部分</w:t>
      </w:r>
      <w:r>
        <w:rPr>
          <w:rFonts w:hint="eastAsia" w:ascii="仿宋" w:hAnsi="仿宋" w:eastAsia="仿宋" w:cs="仿宋"/>
          <w:sz w:val="24"/>
          <w:u w:val="single"/>
        </w:rPr>
        <w:t>评标办分法明确具体的扣除比例，未明确的，</w:t>
      </w:r>
      <w:r>
        <w:rPr>
          <w:rFonts w:hint="eastAsia" w:ascii="仿宋" w:hAnsi="仿宋" w:eastAsia="仿宋" w:cs="仿宋"/>
          <w:sz w:val="24"/>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480" w:firstLineChars="200"/>
        <w:rPr>
          <w:rFonts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pPr>
        <w:spacing w:line="360" w:lineRule="auto"/>
        <w:ind w:firstLine="480" w:firstLineChars="200"/>
        <w:rPr>
          <w:rFonts w:ascii="仿宋" w:hAnsi="仿宋" w:eastAsia="仿宋" w:cs="仿宋"/>
          <w:sz w:val="24"/>
        </w:rPr>
      </w:pPr>
      <w:r>
        <w:rPr>
          <w:rFonts w:hint="eastAsia" w:ascii="仿宋" w:hAnsi="仿宋" w:eastAsia="仿宋" w:cs="仿宋"/>
          <w:sz w:val="24"/>
        </w:rPr>
        <w:t>3.6平等对待内外资企业和符合条件的破产重整企业</w:t>
      </w:r>
    </w:p>
    <w:p>
      <w:pPr>
        <w:spacing w:line="360" w:lineRule="auto"/>
        <w:ind w:firstLine="480" w:firstLineChars="200"/>
        <w:rPr>
          <w:rFonts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4.1在线询问、质疑、投诉</w:t>
      </w:r>
    </w:p>
    <w:p>
      <w:pPr>
        <w:pStyle w:val="890"/>
        <w:shd w:val="clear" w:color="auto" w:fill="FFFFFF"/>
        <w:snapToGrid w:val="0"/>
        <w:spacing w:after="240" w:line="360" w:lineRule="auto"/>
        <w:ind w:firstLine="480" w:firstLineChars="200"/>
        <w:contextualSpacing/>
        <w:rPr>
          <w:rFonts w:ascii="仿宋" w:hAnsi="仿宋" w:eastAsia="仿宋" w:cs="仿宋"/>
          <w:kern w:val="2"/>
        </w:rPr>
      </w:pPr>
      <w:r>
        <w:rPr>
          <w:rFonts w:hint="eastAsia" w:ascii="仿宋" w:hAnsi="仿宋" w:eastAsia="仿宋" w:cs="仿宋"/>
          <w:kern w:val="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890"/>
        <w:shd w:val="clear" w:color="auto" w:fill="FFFFFF"/>
        <w:snapToGrid w:val="0"/>
        <w:spacing w:after="240"/>
        <w:ind w:firstLine="480" w:firstLineChars="200"/>
        <w:contextualSpacing/>
        <w:rPr>
          <w:rFonts w:ascii="仿宋" w:hAnsi="仿宋" w:eastAsia="仿宋" w:cs="仿宋"/>
          <w:lang w:val="zh-CN"/>
        </w:rPr>
      </w:pPr>
      <w:r>
        <w:rPr>
          <w:rFonts w:hint="eastAsia" w:ascii="仿宋" w:hAnsi="仿宋" w:eastAsia="仿宋" w:cs="仿宋"/>
          <w:lang w:val="zh-CN"/>
        </w:rPr>
        <w:t>4.</w:t>
      </w:r>
      <w:r>
        <w:rPr>
          <w:rFonts w:hint="eastAsia" w:ascii="仿宋" w:hAnsi="仿宋" w:eastAsia="仿宋" w:cs="仿宋"/>
        </w:rPr>
        <w:t>2</w:t>
      </w:r>
      <w:r>
        <w:rPr>
          <w:rFonts w:hint="eastAsia" w:ascii="仿宋" w:hAnsi="仿宋" w:eastAsia="仿宋" w:cs="仿宋"/>
          <w:lang w:val="zh-CN"/>
        </w:rPr>
        <w:t>供应商询问</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rPr>
        <w:t>3</w:t>
      </w:r>
      <w:r>
        <w:rPr>
          <w:rFonts w:hint="eastAsia" w:ascii="仿宋" w:hAnsi="仿宋" w:eastAsia="仿宋" w:cs="仿宋"/>
          <w:kern w:val="0"/>
          <w:sz w:val="24"/>
          <w:lang w:val="zh-CN"/>
        </w:rPr>
        <w:t>供应商质疑</w:t>
      </w:r>
    </w:p>
    <w:p>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w:t>
      </w:r>
      <w:r>
        <w:rPr>
          <w:rFonts w:hint="eastAsia" w:ascii="仿宋" w:hAnsi="仿宋" w:eastAsia="仿宋" w:cs="仿宋"/>
          <w:kern w:val="0"/>
          <w:sz w:val="24"/>
        </w:rPr>
        <w:t>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4.</w:t>
      </w:r>
      <w:r>
        <w:rPr>
          <w:rFonts w:hint="eastAsia" w:ascii="仿宋" w:hAnsi="仿宋" w:eastAsia="仿宋" w:cs="仿宋"/>
          <w:kern w:val="0"/>
          <w:sz w:val="24"/>
        </w:rPr>
        <w:t>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15"/>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pPr>
        <w:pStyle w:val="35"/>
        <w:spacing w:line="360" w:lineRule="auto"/>
        <w:ind w:firstLine="480" w:firstLineChars="200"/>
        <w:rPr>
          <w:rFonts w:ascii="仿宋" w:hAnsi="仿宋" w:eastAsia="仿宋" w:cs="仿宋"/>
          <w:sz w:val="24"/>
        </w:rPr>
      </w:pPr>
      <w:r>
        <w:rPr>
          <w:rFonts w:hint="eastAsia" w:ascii="仿宋" w:hAnsi="仿宋" w:eastAsia="仿宋" w:cs="仿宋"/>
          <w:sz w:val="24"/>
        </w:rPr>
        <w:t>4.3.2.2对采购过程提出质疑的，质疑期限为各采购程序环节结束之日起计算。</w:t>
      </w:r>
    </w:p>
    <w:p>
      <w:pPr>
        <w:pStyle w:val="35"/>
        <w:spacing w:line="360" w:lineRule="auto"/>
        <w:ind w:firstLine="480" w:firstLineChars="200"/>
        <w:rPr>
          <w:rFonts w:ascii="仿宋" w:hAnsi="仿宋" w:eastAsia="仿宋" w:cs="仿宋"/>
          <w:sz w:val="24"/>
        </w:rPr>
      </w:pPr>
      <w:r>
        <w:rPr>
          <w:rFonts w:hint="eastAsia" w:ascii="仿宋" w:hAnsi="仿宋" w:eastAsia="仿宋" w:cs="仿宋"/>
          <w:sz w:val="24"/>
        </w:rPr>
        <w:t>4.3.2.3对采购结果提出质疑的，质疑期限自采购结果公告期限届满之日起计算。</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rPr>
        <w:t>3</w:t>
      </w:r>
      <w:r>
        <w:rPr>
          <w:rFonts w:hint="eastAsia" w:ascii="仿宋" w:hAnsi="仿宋" w:eastAsia="仿宋" w:cs="仿宋"/>
          <w:kern w:val="0"/>
          <w:sz w:val="24"/>
          <w:lang w:val="zh-CN"/>
        </w:rPr>
        <w:t>.3</w:t>
      </w:r>
      <w:r>
        <w:rPr>
          <w:rFonts w:hint="eastAsia" w:ascii="仿宋" w:hAnsi="仿宋" w:eastAsia="仿宋" w:cs="仿宋"/>
          <w:sz w:val="24"/>
        </w:rPr>
        <w:t>供应商提出质疑应当提交质疑函和必要的证明材料。质疑函应当包括下列内容：</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w:t>
      </w:r>
      <w:r>
        <w:rPr>
          <w:rFonts w:hint="eastAsia" w:ascii="仿宋" w:hAnsi="仿宋" w:eastAsia="仿宋" w:cs="仿宋"/>
          <w:kern w:val="0"/>
          <w:sz w:val="24"/>
        </w:rPr>
        <w:t>3</w:t>
      </w:r>
      <w:r>
        <w:rPr>
          <w:rFonts w:hint="eastAsia" w:ascii="仿宋" w:hAnsi="仿宋" w:eastAsia="仿宋" w:cs="仿宋"/>
          <w:kern w:val="0"/>
          <w:sz w:val="24"/>
          <w:lang w:val="zh-CN"/>
        </w:rPr>
        <w:t>.3.1供应商的姓名或者名称、地址、邮编、联系人及联系电话；</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w:t>
      </w:r>
      <w:r>
        <w:rPr>
          <w:rFonts w:hint="eastAsia" w:ascii="仿宋" w:hAnsi="仿宋" w:eastAsia="仿宋" w:cs="仿宋"/>
          <w:kern w:val="0"/>
          <w:sz w:val="24"/>
        </w:rPr>
        <w:t>3</w:t>
      </w:r>
      <w:r>
        <w:rPr>
          <w:rFonts w:hint="eastAsia" w:ascii="仿宋" w:hAnsi="仿宋" w:eastAsia="仿宋" w:cs="仿宋"/>
          <w:kern w:val="0"/>
          <w:sz w:val="24"/>
          <w:lang w:val="zh-CN"/>
        </w:rPr>
        <w:t>.3.2质疑项目的名称、编号；</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w:t>
      </w:r>
      <w:r>
        <w:rPr>
          <w:rFonts w:hint="eastAsia" w:ascii="仿宋" w:hAnsi="仿宋" w:eastAsia="仿宋" w:cs="仿宋"/>
          <w:kern w:val="0"/>
          <w:sz w:val="24"/>
        </w:rPr>
        <w:t>3</w:t>
      </w:r>
      <w:r>
        <w:rPr>
          <w:rFonts w:hint="eastAsia" w:ascii="仿宋" w:hAnsi="仿宋" w:eastAsia="仿宋" w:cs="仿宋"/>
          <w:kern w:val="0"/>
          <w:sz w:val="24"/>
          <w:lang w:val="zh-CN"/>
        </w:rPr>
        <w:t>.3.3具体、明确的质疑事项和与质疑事项相关的请求；</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w:t>
      </w:r>
      <w:r>
        <w:rPr>
          <w:rFonts w:hint="eastAsia" w:ascii="仿宋" w:hAnsi="仿宋" w:eastAsia="仿宋" w:cs="仿宋"/>
          <w:kern w:val="0"/>
          <w:sz w:val="24"/>
        </w:rPr>
        <w:t>3</w:t>
      </w:r>
      <w:r>
        <w:rPr>
          <w:rFonts w:hint="eastAsia" w:ascii="仿宋" w:hAnsi="仿宋" w:eastAsia="仿宋" w:cs="仿宋"/>
          <w:kern w:val="0"/>
          <w:sz w:val="24"/>
          <w:lang w:val="zh-CN"/>
        </w:rPr>
        <w:t>.3.4事实依据；</w:t>
      </w:r>
    </w:p>
    <w:p>
      <w:pPr>
        <w:pStyle w:val="35"/>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4.</w:t>
      </w:r>
      <w:r>
        <w:rPr>
          <w:rFonts w:hint="eastAsia" w:ascii="仿宋" w:hAnsi="仿宋" w:eastAsia="仿宋" w:cs="仿宋"/>
          <w:kern w:val="0"/>
          <w:sz w:val="24"/>
        </w:rPr>
        <w:t>3</w:t>
      </w:r>
      <w:r>
        <w:rPr>
          <w:rFonts w:hint="eastAsia" w:ascii="仿宋" w:hAnsi="仿宋" w:eastAsia="仿宋" w:cs="仿宋"/>
          <w:kern w:val="0"/>
          <w:sz w:val="24"/>
          <w:lang w:val="zh-CN"/>
        </w:rPr>
        <w:t>.3.5必要的法律依据；</w:t>
      </w:r>
    </w:p>
    <w:p>
      <w:pPr>
        <w:pStyle w:val="35"/>
        <w:spacing w:line="360" w:lineRule="auto"/>
        <w:ind w:firstLine="960" w:firstLineChars="400"/>
        <w:rPr>
          <w:rFonts w:ascii="仿宋" w:hAnsi="仿宋" w:eastAsia="仿宋" w:cs="仿宋"/>
          <w:kern w:val="0"/>
          <w:sz w:val="24"/>
          <w:lang w:val="zh-CN"/>
        </w:rPr>
      </w:pPr>
      <w:r>
        <w:rPr>
          <w:rFonts w:hint="eastAsia" w:ascii="仿宋" w:hAnsi="仿宋" w:eastAsia="仿宋" w:cs="仿宋"/>
          <w:kern w:val="0"/>
          <w:sz w:val="24"/>
          <w:lang w:val="zh-CN"/>
        </w:rPr>
        <w:t>4.</w:t>
      </w:r>
      <w:r>
        <w:rPr>
          <w:rFonts w:hint="eastAsia" w:ascii="仿宋" w:hAnsi="仿宋" w:eastAsia="仿宋" w:cs="仿宋"/>
          <w:kern w:val="0"/>
          <w:sz w:val="24"/>
        </w:rPr>
        <w:t>3</w:t>
      </w:r>
      <w:r>
        <w:rPr>
          <w:rFonts w:hint="eastAsia" w:ascii="仿宋" w:hAnsi="仿宋" w:eastAsia="仿宋" w:cs="仿宋"/>
          <w:kern w:val="0"/>
          <w:sz w:val="24"/>
          <w:lang w:val="zh-CN"/>
        </w:rPr>
        <w:t>.3.6提出质疑的日期。</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after="240" w:afterAutospacing="0" w:line="360" w:lineRule="auto"/>
        <w:ind w:firstLine="400"/>
        <w:contextualSpacing/>
        <w:rPr>
          <w:rFonts w:ascii="仿宋" w:hAnsi="仿宋" w:eastAsia="仿宋" w:cs="仿宋"/>
        </w:rPr>
      </w:pPr>
      <w:r>
        <w:rPr>
          <w:rFonts w:hint="eastAsia" w:ascii="仿宋" w:hAnsi="仿宋" w:eastAsia="仿宋" w:cs="仿宋"/>
        </w:rPr>
        <w:t>质疑函范本及制作说明详见附件2。</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4.3.4对同一采购程序环节的质疑，供应商须在法定质疑期内一次性提出。</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w:t>
      </w:r>
      <w:r>
        <w:rPr>
          <w:rFonts w:hint="eastAsia" w:ascii="仿宋" w:hAnsi="仿宋" w:eastAsia="仿宋" w:cs="仿宋"/>
        </w:rPr>
        <w:t>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lang w:val="zh-CN"/>
        </w:rPr>
        <w:t>4.</w:t>
      </w:r>
      <w:r>
        <w:rPr>
          <w:rFonts w:hint="eastAsia" w:ascii="仿宋" w:hAnsi="仿宋" w:eastAsia="仿宋" w:cs="仿宋"/>
        </w:rPr>
        <w:t>3.6询问或者质疑事项可能影响采购结果的，采购人应当暂停签订合同，已经签订合同的，应当中止履行合同。</w:t>
      </w:r>
    </w:p>
    <w:p>
      <w:pPr>
        <w:pStyle w:val="890"/>
        <w:shd w:val="clear" w:color="auto" w:fill="FFFFFF"/>
        <w:snapToGrid w:val="0"/>
        <w:spacing w:after="240" w:afterAutospacing="0" w:line="360" w:lineRule="auto"/>
        <w:ind w:firstLine="480" w:firstLineChars="200"/>
        <w:contextualSpacing/>
        <w:rPr>
          <w:rFonts w:ascii="仿宋" w:hAnsi="仿宋" w:eastAsia="仿宋" w:cs="仿宋"/>
          <w:lang w:val="zh-CN"/>
        </w:rPr>
      </w:pPr>
      <w:r>
        <w:rPr>
          <w:rFonts w:hint="eastAsia" w:ascii="仿宋" w:hAnsi="仿宋" w:eastAsia="仿宋" w:cs="仿宋"/>
          <w:lang w:val="zh-CN"/>
        </w:rPr>
        <w:t>4.</w:t>
      </w:r>
      <w:r>
        <w:rPr>
          <w:rFonts w:hint="eastAsia" w:ascii="仿宋" w:hAnsi="仿宋" w:eastAsia="仿宋" w:cs="仿宋"/>
        </w:rPr>
        <w:t>4</w:t>
      </w:r>
      <w:r>
        <w:rPr>
          <w:rFonts w:hint="eastAsia" w:ascii="仿宋" w:hAnsi="仿宋" w:eastAsia="仿宋" w:cs="仿宋"/>
          <w:lang w:val="zh-CN"/>
        </w:rPr>
        <w:t>供应商投诉</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4.4.3供应商投诉应当有明确的请求和必要的证明材料。</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4.4.4以联合体形式参加政府采购活动的，其投诉应当由组成联合体的所有供应商共同提出。</w:t>
      </w:r>
    </w:p>
    <w:p>
      <w:pPr>
        <w:pStyle w:val="890"/>
        <w:shd w:val="clear" w:color="auto" w:fill="FFFFFF"/>
        <w:snapToGrid w:val="0"/>
        <w:spacing w:after="240" w:afterAutospacing="0" w:line="360" w:lineRule="auto"/>
        <w:ind w:firstLine="480" w:firstLineChars="200"/>
        <w:contextualSpacing/>
        <w:rPr>
          <w:rFonts w:ascii="仿宋" w:hAnsi="仿宋" w:eastAsia="仿宋" w:cs="仿宋"/>
        </w:rPr>
      </w:pPr>
      <w:r>
        <w:rPr>
          <w:rFonts w:hint="eastAsia" w:ascii="仿宋" w:hAnsi="仿宋" w:eastAsia="仿宋" w:cs="仿宋"/>
        </w:rPr>
        <w:t>投诉书范本及制作说明详见附件3。</w:t>
      </w:r>
    </w:p>
    <w:p>
      <w:pPr>
        <w:pStyle w:val="132"/>
        <w:snapToGrid w:val="0"/>
        <w:spacing w:before="0"/>
        <w:ind w:firstLine="360"/>
        <w:rPr>
          <w:rFonts w:ascii="仿宋" w:hAnsi="仿宋" w:eastAsia="仿宋" w:cs="仿宋"/>
          <w:sz w:val="18"/>
          <w:szCs w:val="18"/>
        </w:rPr>
      </w:pPr>
    </w:p>
    <w:p>
      <w:pPr>
        <w:adjustRightInd/>
        <w:spacing w:line="360" w:lineRule="auto"/>
        <w:jc w:val="center"/>
        <w:outlineLvl w:val="0"/>
        <w:rPr>
          <w:rFonts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5．招标文件的构成</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5.1 招标文件包括下列文件及附件：</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5.1.1招标公告；</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5.1.2投标人须知；</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5.1.3采购需求；</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5.1.4评标办法；</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szCs w:val="24"/>
        </w:rPr>
        <w:t>5.1.5拟签订的合同文本；</w:t>
      </w:r>
    </w:p>
    <w:p>
      <w:pPr>
        <w:pStyle w:val="35"/>
        <w:tabs>
          <w:tab w:val="left" w:pos="840"/>
        </w:tabs>
        <w:spacing w:line="360" w:lineRule="auto"/>
        <w:ind w:firstLine="960" w:firstLineChars="400"/>
        <w:rPr>
          <w:rFonts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6. 招标文件的澄清、修改</w:t>
      </w:r>
    </w:p>
    <w:p>
      <w:pPr>
        <w:pStyle w:val="132"/>
        <w:snapToGrid w:val="0"/>
        <w:spacing w:before="0"/>
        <w:ind w:firstLine="480"/>
        <w:rPr>
          <w:rFonts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pPr>
        <w:pStyle w:val="132"/>
        <w:snapToGrid w:val="0"/>
        <w:spacing w:before="0"/>
        <w:ind w:firstLine="480"/>
        <w:rPr>
          <w:rFonts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ascii="仿宋" w:hAnsi="仿宋" w:eastAsia="仿宋" w:cs="仿宋"/>
          <w:b/>
          <w:sz w:val="30"/>
          <w:szCs w:val="20"/>
        </w:rPr>
      </w:pPr>
      <w:r>
        <w:rPr>
          <w:rFonts w:hint="eastAsia" w:ascii="仿宋" w:hAnsi="仿宋" w:eastAsia="仿宋" w:cs="仿宋"/>
          <w:b/>
          <w:sz w:val="30"/>
          <w:szCs w:val="20"/>
        </w:rPr>
        <w:t>三、投标</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8.开标前答疑会或现场考察</w:t>
      </w:r>
    </w:p>
    <w:p>
      <w:pPr>
        <w:pStyle w:val="35"/>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5"/>
        <w:spacing w:line="360" w:lineRule="auto"/>
        <w:rPr>
          <w:rFonts w:ascii="仿宋" w:hAnsi="仿宋" w:eastAsia="仿宋" w:cs="仿宋"/>
          <w:b/>
          <w:szCs w:val="24"/>
        </w:rPr>
      </w:pPr>
      <w:r>
        <w:rPr>
          <w:rFonts w:hint="eastAsia" w:ascii="仿宋" w:hAnsi="仿宋" w:eastAsia="仿宋" w:cs="仿宋"/>
          <w:b/>
          <w:kern w:val="28"/>
          <w:sz w:val="24"/>
          <w:szCs w:val="24"/>
        </w:rPr>
        <w:t>9.投标保证金</w:t>
      </w:r>
    </w:p>
    <w:p>
      <w:pPr>
        <w:pStyle w:val="15"/>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5"/>
        <w:spacing w:line="360" w:lineRule="auto"/>
        <w:rPr>
          <w:rFonts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11.1.2联合协议</w:t>
      </w:r>
      <w:r>
        <w:rPr>
          <w:rFonts w:hint="eastAsia" w:ascii="仿宋" w:hAnsi="仿宋" w:eastAsia="仿宋" w:cs="仿宋"/>
          <w:bCs/>
          <w:sz w:val="24"/>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bCs/>
          <w:sz w:val="24"/>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bCs/>
          <w:sz w:val="24"/>
        </w:rPr>
        <w:t>（如果有）</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11.2.1投标函；</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bCs/>
          <w:sz w:val="24"/>
        </w:rPr>
        <w:t>（如果有）</w:t>
      </w:r>
      <w:r>
        <w:rPr>
          <w:rFonts w:hint="eastAsia" w:ascii="仿宋" w:hAnsi="仿宋" w:eastAsia="仿宋" w:cs="仿宋"/>
          <w:sz w:val="24"/>
        </w:rPr>
        <w:t>；</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11.2.4符合性审查资料；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ascii="仿宋" w:hAnsi="仿宋" w:eastAsia="仿宋" w:cs="仿宋"/>
          <w:sz w:val="24"/>
        </w:rPr>
      </w:pPr>
      <w:r>
        <w:rPr>
          <w:rFonts w:hint="eastAsia" w:ascii="仿宋" w:hAnsi="仿宋" w:eastAsia="仿宋" w:cs="仿宋"/>
          <w:sz w:val="24"/>
        </w:rPr>
        <w:t>11.3.2中小企业声明函</w:t>
      </w:r>
      <w:r>
        <w:rPr>
          <w:rFonts w:hint="eastAsia" w:ascii="仿宋" w:hAnsi="仿宋" w:eastAsia="仿宋" w:cs="仿宋"/>
          <w:bCs/>
          <w:sz w:val="24"/>
        </w:rPr>
        <w:t>（如果有）</w:t>
      </w:r>
      <w:r>
        <w:rPr>
          <w:rFonts w:hint="eastAsia" w:ascii="仿宋" w:hAnsi="仿宋" w:eastAsia="仿宋" w:cs="仿宋"/>
          <w:b/>
          <w:sz w:val="24"/>
        </w:rPr>
        <w:t>。</w:t>
      </w:r>
    </w:p>
    <w:p>
      <w:pPr>
        <w:spacing w:line="360" w:lineRule="auto"/>
        <w:ind w:firstLine="723" w:firstLineChars="300"/>
        <w:rPr>
          <w:rFonts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ascii="仿宋" w:hAnsi="仿宋" w:eastAsia="仿宋" w:cs="仿宋"/>
          <w:b/>
          <w:sz w:val="24"/>
          <w:szCs w:val="21"/>
        </w:rPr>
      </w:pPr>
      <w:r>
        <w:rPr>
          <w:rFonts w:hint="eastAsia" w:ascii="仿宋" w:hAnsi="仿宋" w:eastAsia="仿宋" w:cs="仿宋"/>
          <w:b/>
          <w:sz w:val="24"/>
        </w:rPr>
        <w:t>投标人提供虚假材料投标的，投标无效。</w:t>
      </w:r>
    </w:p>
    <w:p>
      <w:pPr>
        <w:pStyle w:val="132"/>
        <w:snapToGrid w:val="0"/>
        <w:spacing w:before="0"/>
        <w:ind w:firstLine="0" w:firstLineChars="0"/>
        <w:outlineLvl w:val="0"/>
        <w:rPr>
          <w:rFonts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仿宋" w:hAnsi="仿宋" w:eastAsia="仿宋" w:cs="仿宋"/>
          <w:b/>
          <w:sz w:val="24"/>
        </w:rPr>
      </w:pPr>
      <w:r>
        <w:rPr>
          <w:rFonts w:hint="eastAsia" w:ascii="仿宋" w:hAnsi="仿宋" w:eastAsia="仿宋" w:cs="仿宋"/>
          <w:b/>
          <w:sz w:val="24"/>
        </w:rPr>
        <w:t>13.投标文件的签署、盖章</w:t>
      </w:r>
    </w:p>
    <w:p>
      <w:pPr>
        <w:pStyle w:val="132"/>
        <w:snapToGrid w:val="0"/>
        <w:spacing w:before="0"/>
        <w:ind w:firstLine="480"/>
        <w:rPr>
          <w:rFonts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32"/>
        <w:snapToGrid w:val="0"/>
        <w:spacing w:before="0"/>
        <w:ind w:firstLine="480"/>
        <w:rPr>
          <w:rFonts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仿宋" w:hAnsi="仿宋" w:eastAsia="仿宋" w:cs="仿宋"/>
          <w:szCs w:val="24"/>
        </w:rPr>
      </w:pPr>
      <w:r>
        <w:rPr>
          <w:rFonts w:hint="eastAsia" w:ascii="仿宋" w:hAnsi="仿宋" w:eastAsia="仿宋" w:cs="仿宋"/>
        </w:rPr>
        <w:t>13.3招标文件对投标文件签署、盖章的要求适用于电子签名。</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14. 投标文件的提交、补充、修改、撤回</w:t>
      </w:r>
    </w:p>
    <w:p>
      <w:pPr>
        <w:pStyle w:val="132"/>
        <w:ind w:firstLine="480"/>
        <w:rPr>
          <w:rFonts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32"/>
        <w:spacing w:before="0"/>
        <w:ind w:firstLine="480"/>
        <w:rPr>
          <w:rFonts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15.投标文件的无效处理</w:t>
      </w:r>
    </w:p>
    <w:p>
      <w:pPr>
        <w:pStyle w:val="26"/>
        <w:spacing w:line="360" w:lineRule="auto"/>
        <w:ind w:firstLine="360" w:firstLineChars="150"/>
        <w:rPr>
          <w:rFonts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第4.2条规定</w:t>
      </w:r>
      <w:r>
        <w:rPr>
          <w:rFonts w:hint="eastAsia" w:ascii="仿宋" w:hAnsi="仿宋" w:eastAsia="仿宋" w:cs="仿宋"/>
          <w:szCs w:val="21"/>
        </w:rPr>
        <w:t>的情形之一的，投标无效：</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16.投标有效期</w:t>
      </w:r>
    </w:p>
    <w:p>
      <w:pPr>
        <w:spacing w:line="360" w:lineRule="auto"/>
        <w:ind w:firstLine="480" w:firstLineChars="200"/>
        <w:rPr>
          <w:rFonts w:ascii="仿宋" w:hAnsi="仿宋" w:eastAsia="仿宋" w:cs="仿宋"/>
          <w:b/>
          <w:sz w:val="24"/>
          <w:szCs w:val="21"/>
        </w:rPr>
      </w:pPr>
      <w:r>
        <w:rPr>
          <w:rFonts w:hint="eastAsia" w:ascii="仿宋" w:hAnsi="仿宋" w:eastAsia="仿宋" w:cs="仿宋"/>
          <w:sz w:val="24"/>
          <w:szCs w:val="20"/>
        </w:rPr>
        <w:t>16.1投标有效期为从提交投标文件的截止之日起90天。▲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spacing w:line="360" w:lineRule="auto"/>
        <w:ind w:firstLine="480" w:firstLineChars="200"/>
        <w:rPr>
          <w:rFonts w:ascii="仿宋" w:hAnsi="仿宋" w:eastAsia="仿宋" w:cs="仿宋"/>
          <w:bCs/>
          <w:sz w:val="24"/>
          <w:szCs w:val="21"/>
        </w:rPr>
      </w:pPr>
      <w:r>
        <w:rPr>
          <w:rFonts w:hint="eastAsia" w:ascii="仿宋" w:hAnsi="仿宋" w:eastAsia="仿宋" w:cs="仿宋"/>
          <w:bCs/>
          <w:sz w:val="24"/>
          <w:szCs w:val="21"/>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pPr>
        <w:spacing w:line="360" w:lineRule="auto"/>
        <w:ind w:firstLine="480" w:firstLineChars="200"/>
        <w:rPr>
          <w:rFonts w:ascii="仿宋" w:hAnsi="仿宋" w:eastAsia="仿宋" w:cs="仿宋"/>
          <w:bCs/>
          <w:sz w:val="24"/>
          <w:szCs w:val="21"/>
        </w:rPr>
      </w:pPr>
      <w:r>
        <w:rPr>
          <w:rFonts w:hint="eastAsia" w:ascii="仿宋" w:hAnsi="仿宋" w:eastAsia="仿宋" w:cs="仿宋"/>
          <w:bCs/>
          <w:sz w:val="24"/>
          <w:szCs w:val="21"/>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p>
      <w:pPr>
        <w:pStyle w:val="132"/>
        <w:spacing w:before="0"/>
        <w:ind w:firstLine="480"/>
        <w:rPr>
          <w:rFonts w:ascii="仿宋" w:hAnsi="仿宋" w:eastAsia="仿宋" w:cs="仿宋"/>
        </w:rPr>
      </w:pPr>
      <w:r>
        <w:rPr>
          <w:rFonts w:hint="eastAsia" w:ascii="仿宋" w:hAnsi="仿宋" w:eastAsia="仿宋" w:cs="仿宋"/>
        </w:rPr>
        <w:t>16.2投标文件合格投递后，自投标截止日期起，在投标有效期内有效。</w:t>
      </w:r>
    </w:p>
    <w:p>
      <w:pPr>
        <w:pStyle w:val="132"/>
        <w:spacing w:before="0"/>
        <w:ind w:firstLine="480"/>
        <w:rPr>
          <w:rFonts w:ascii="仿宋" w:hAnsi="仿宋" w:eastAsia="仿宋" w:cs="仿宋"/>
        </w:rPr>
      </w:pPr>
      <w:r>
        <w:rPr>
          <w:rFonts w:hint="eastAsia" w:ascii="仿宋" w:hAnsi="仿宋" w:eastAsia="仿宋" w:cs="仿宋"/>
        </w:rPr>
        <w:t>16.3在原定投标有效期满之前，如果出现特殊情况，采购代理机构可以以书面形式通知投标人延长投标有效期。投标人同意延长的，不得要求或被允许修改其投标文件，投标人拒绝延长的，其投标无效。</w:t>
      </w:r>
    </w:p>
    <w:p>
      <w:pPr>
        <w:pStyle w:val="132"/>
        <w:spacing w:before="0"/>
        <w:ind w:firstLine="480"/>
        <w:rPr>
          <w:rFonts w:ascii="仿宋" w:hAnsi="仿宋" w:eastAsia="仿宋" w:cs="仿宋"/>
        </w:rPr>
      </w:pPr>
      <w:r>
        <w:rPr>
          <w:rFonts w:hint="eastAsia" w:ascii="仿宋" w:hAnsi="仿宋" w:eastAsia="仿宋" w:cs="仿宋"/>
          <w:bCs/>
          <w:szCs w:val="16"/>
        </w:rPr>
        <w:t>16.4在投标截止时间起至投标有效期届满，供应商投标文件不可撤销。</w:t>
      </w:r>
    </w:p>
    <w:p>
      <w:pPr>
        <w:pStyle w:val="132"/>
        <w:spacing w:before="0"/>
        <w:ind w:firstLine="643"/>
        <w:rPr>
          <w:rFonts w:ascii="仿宋" w:hAnsi="仿宋" w:eastAsia="仿宋" w:cs="仿宋"/>
          <w:b/>
          <w:sz w:val="32"/>
        </w:rPr>
      </w:pPr>
    </w:p>
    <w:p>
      <w:pPr>
        <w:pStyle w:val="132"/>
        <w:spacing w:before="0"/>
        <w:ind w:firstLine="1928" w:firstLineChars="600"/>
        <w:rPr>
          <w:rFonts w:ascii="仿宋" w:hAnsi="仿宋" w:eastAsia="仿宋" w:cs="仿宋"/>
          <w:b/>
          <w:sz w:val="32"/>
        </w:rPr>
      </w:pPr>
      <w:r>
        <w:rPr>
          <w:rFonts w:hint="eastAsia" w:ascii="仿宋" w:hAnsi="仿宋" w:eastAsia="仿宋" w:cs="仿宋"/>
          <w:b/>
          <w:sz w:val="32"/>
        </w:rPr>
        <w:t>四、开标、资格审查与信用信息查询</w:t>
      </w:r>
    </w:p>
    <w:p>
      <w:pPr>
        <w:pStyle w:val="558"/>
        <w:spacing w:before="0" w:line="360" w:lineRule="auto"/>
        <w:ind w:left="0" w:firstLine="241" w:firstLineChars="100"/>
        <w:contextualSpacing/>
        <w:rPr>
          <w:rFonts w:ascii="仿宋" w:hAnsi="仿宋" w:eastAsia="仿宋" w:cs="仿宋"/>
          <w:sz w:val="24"/>
        </w:rPr>
      </w:pPr>
      <w:r>
        <w:rPr>
          <w:rFonts w:hint="eastAsia" w:ascii="仿宋" w:hAnsi="仿宋" w:eastAsia="仿宋" w:cs="仿宋"/>
          <w:b/>
          <w:sz w:val="24"/>
          <w:szCs w:val="24"/>
        </w:rPr>
        <w:t>17.开标</w:t>
      </w:r>
      <w:r>
        <w:rPr>
          <w:rFonts w:hint="eastAsia" w:ascii="仿宋" w:hAnsi="仿宋" w:eastAsia="仿宋" w:cs="仿宋"/>
          <w:sz w:val="24"/>
        </w:rPr>
        <w:t xml:space="preserve"> </w:t>
      </w:r>
    </w:p>
    <w:p>
      <w:pPr>
        <w:pStyle w:val="558"/>
        <w:spacing w:before="0" w:line="360" w:lineRule="auto"/>
        <w:ind w:left="0" w:firstLine="480" w:firstLineChars="200"/>
        <w:contextualSpacing/>
        <w:rPr>
          <w:rFonts w:ascii="仿宋" w:hAnsi="仿宋" w:eastAsia="仿宋" w:cs="仿宋"/>
          <w:sz w:val="24"/>
        </w:rPr>
      </w:pPr>
      <w:r>
        <w:rPr>
          <w:rFonts w:hint="eastAsia" w:ascii="仿宋" w:hAnsi="仿宋" w:eastAsia="仿宋" w:cs="仿宋"/>
          <w:sz w:val="24"/>
        </w:rPr>
        <w:t>17.1采购代理机构按照招标文件规定的时间通过电子交易平台组织开标，所有投标人均应当准时在线参加。投标人不足3家的，不得开标。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仿宋" w:hAnsi="仿宋" w:eastAsia="仿宋" w:cs="仿宋"/>
          <w:sz w:val="24"/>
        </w:rPr>
      </w:pPr>
      <w:r>
        <w:rPr>
          <w:rFonts w:hint="eastAsia" w:ascii="仿宋" w:hAnsi="仿宋" w:eastAsia="仿宋" w:cs="仿宋"/>
          <w:sz w:val="24"/>
        </w:rPr>
        <w:t>　17.2开标时，电子交易平台按开标时间自动提取所有投标文件。采购代理机构依托电子交易平台发起开始解密指令，投标人按照平台提示和招标文件的规定在半小时内完成在线解密。</w:t>
      </w:r>
    </w:p>
    <w:p>
      <w:pPr>
        <w:widowControl/>
        <w:spacing w:before="100" w:beforeAutospacing="1" w:after="240" w:line="360" w:lineRule="auto"/>
        <w:jc w:val="left"/>
        <w:rPr>
          <w:rFonts w:ascii="仿宋" w:hAnsi="仿宋" w:eastAsia="仿宋" w:cs="仿宋"/>
          <w:b/>
          <w:sz w:val="24"/>
          <w:szCs w:val="20"/>
        </w:rPr>
      </w:pPr>
      <w:r>
        <w:rPr>
          <w:rFonts w:hint="eastAsia" w:ascii="仿宋" w:hAnsi="仿宋" w:eastAsia="仿宋" w:cs="仿宋"/>
          <w:b/>
          <w:sz w:val="24"/>
          <w:szCs w:val="20"/>
        </w:rPr>
        <w:t>　18.资格审查</w:t>
      </w:r>
    </w:p>
    <w:p>
      <w:pPr>
        <w:snapToGrid w:val="0"/>
        <w:spacing w:line="360" w:lineRule="auto"/>
        <w:ind w:firstLine="480" w:firstLineChars="200"/>
        <w:rPr>
          <w:rFonts w:ascii="仿宋" w:hAnsi="仿宋" w:eastAsia="仿宋" w:cs="仿宋"/>
          <w:sz w:val="24"/>
        </w:rPr>
      </w:pPr>
      <w:r>
        <w:rPr>
          <w:rFonts w:hint="eastAsia" w:ascii="仿宋" w:hAnsi="仿宋" w:eastAsia="仿宋" w:cs="仿宋"/>
          <w:kern w:val="0"/>
          <w:sz w:val="24"/>
        </w:rPr>
        <w:t>18.1开标后，</w:t>
      </w:r>
      <w:r>
        <w:rPr>
          <w:rFonts w:hint="eastAsia" w:ascii="仿宋" w:hAnsi="仿宋" w:eastAsia="仿宋" w:cs="仿宋"/>
          <w:sz w:val="24"/>
        </w:rPr>
        <w:t>采购人将依据法律法规和招标文件的规定，对投标人的资格进行审查。</w:t>
      </w:r>
    </w:p>
    <w:p>
      <w:pPr>
        <w:pStyle w:val="132"/>
        <w:spacing w:before="0"/>
        <w:ind w:firstLine="480"/>
        <w:rPr>
          <w:rFonts w:ascii="仿宋" w:hAnsi="仿宋" w:eastAsia="仿宋" w:cs="仿宋"/>
        </w:rPr>
      </w:pPr>
      <w:r>
        <w:rPr>
          <w:rFonts w:hint="eastAsia" w:ascii="仿宋" w:hAnsi="仿宋" w:eastAsia="仿宋" w:cs="仿宋"/>
          <w:kern w:val="0"/>
          <w:szCs w:val="24"/>
        </w:rPr>
        <w:t>18.2投标人未按照招标文件要求提供与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32"/>
        <w:spacing w:before="0"/>
        <w:ind w:firstLine="480"/>
        <w:rPr>
          <w:rFonts w:ascii="仿宋" w:hAnsi="仿宋" w:eastAsia="仿宋" w:cs="仿宋"/>
        </w:rPr>
      </w:pPr>
      <w:r>
        <w:rPr>
          <w:rFonts w:hint="eastAsia" w:ascii="仿宋" w:hAnsi="仿宋" w:eastAsia="仿宋" w:cs="仿宋"/>
          <w:kern w:val="0"/>
          <w:szCs w:val="24"/>
        </w:rPr>
        <w:t>18.</w:t>
      </w:r>
      <w:r>
        <w:rPr>
          <w:rFonts w:hint="eastAsia" w:ascii="仿宋" w:hAnsi="仿宋" w:eastAsia="仿宋" w:cs="仿宋"/>
        </w:rPr>
        <w:t>3对未通过资格审查的投标人，采告知其未通过的原因。</w:t>
      </w:r>
    </w:p>
    <w:p>
      <w:pPr>
        <w:pStyle w:val="132"/>
        <w:spacing w:before="0"/>
        <w:ind w:firstLine="480"/>
        <w:rPr>
          <w:rFonts w:ascii="仿宋" w:hAnsi="仿宋" w:eastAsia="仿宋" w:cs="仿宋"/>
        </w:rPr>
      </w:pPr>
      <w:r>
        <w:rPr>
          <w:rFonts w:hint="eastAsia" w:ascii="仿宋" w:hAnsi="仿宋" w:eastAsia="仿宋" w:cs="仿宋"/>
          <w:kern w:val="0"/>
          <w:szCs w:val="24"/>
        </w:rPr>
        <w:t>18.</w:t>
      </w:r>
      <w:r>
        <w:rPr>
          <w:rFonts w:hint="eastAsia" w:ascii="仿宋" w:hAnsi="仿宋" w:eastAsia="仿宋" w:cs="仿宋"/>
        </w:rPr>
        <w:t>4合格投标人不足3家的，不再评标。</w:t>
      </w:r>
    </w:p>
    <w:p>
      <w:pPr>
        <w:pStyle w:val="132"/>
        <w:spacing w:before="0"/>
        <w:ind w:firstLine="0" w:firstLineChars="0"/>
        <w:rPr>
          <w:rFonts w:ascii="仿宋" w:hAnsi="仿宋" w:eastAsia="仿宋" w:cs="仿宋"/>
          <w:b/>
          <w:szCs w:val="24"/>
        </w:rPr>
      </w:pPr>
      <w:r>
        <w:rPr>
          <w:rFonts w:hint="eastAsia" w:ascii="仿宋" w:hAnsi="仿宋" w:eastAsia="仿宋" w:cs="仿宋"/>
          <w:b/>
          <w:szCs w:val="24"/>
        </w:rPr>
        <w:t>19.信用信息查询</w:t>
      </w:r>
    </w:p>
    <w:p>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19.1信用信息查询渠道及截止时间：采购代理机构将在资格审查时通过“信用中国”网站(www.creditchina.gov.cn)、中国政府采购网(www.ccgp.gov.cn)渠道查询投标人接受资格审查时的信用记录。</w:t>
      </w:r>
    </w:p>
    <w:p>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19.2信用信息查询记录和证据留存的具体方式：现场查询的投标人的信用记录、查询结果经确认后将与采购文件一起存档。</w:t>
      </w:r>
    </w:p>
    <w:p>
      <w:pPr>
        <w:pStyle w:val="132"/>
        <w:spacing w:before="0"/>
        <w:ind w:firstLine="495" w:firstLineChars="0"/>
        <w:rPr>
          <w:rFonts w:ascii="仿宋" w:hAnsi="仿宋" w:eastAsia="仿宋" w:cs="仿宋"/>
          <w:kern w:val="0"/>
          <w:szCs w:val="24"/>
        </w:rPr>
      </w:pPr>
      <w:r>
        <w:rPr>
          <w:rFonts w:hint="eastAsia" w:ascii="仿宋" w:hAnsi="仿宋" w:eastAsia="仿宋" w:cs="仿宋"/>
          <w:kern w:val="0"/>
          <w:szCs w:val="24"/>
        </w:rPr>
        <w:t>19.3信用信息的使用规则：经查询列入失信被执行人名单、重大税收违法案件当事人名单、政府采购严重违法失信行为记录名单的投标人将被拒绝参与政府采购活动。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仿宋" w:hAnsi="仿宋" w:eastAsia="仿宋" w:cs="仿宋"/>
        </w:rPr>
      </w:pPr>
      <w:r>
        <w:rPr>
          <w:rFonts w:hint="eastAsia" w:ascii="仿宋" w:hAnsi="仿宋" w:eastAsia="仿宋" w:cs="仿宋"/>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32"/>
        <w:spacing w:before="0"/>
        <w:ind w:firstLine="0" w:firstLineChars="0"/>
        <w:rPr>
          <w:rFonts w:ascii="仿宋" w:hAnsi="仿宋" w:eastAsia="仿宋" w:cs="仿宋"/>
          <w:kern w:val="0"/>
          <w:szCs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五、评标</w:t>
      </w:r>
    </w:p>
    <w:p>
      <w:pPr>
        <w:spacing w:line="360" w:lineRule="auto"/>
        <w:rPr>
          <w:rFonts w:ascii="仿宋" w:hAnsi="仿宋" w:eastAsia="仿宋" w:cs="仿宋"/>
          <w:b/>
          <w:sz w:val="24"/>
        </w:rPr>
      </w:pPr>
      <w:bookmarkStart w:id="13" w:name="_Toc91899903"/>
      <w:r>
        <w:rPr>
          <w:rFonts w:hint="eastAsia" w:ascii="仿宋" w:hAnsi="仿宋" w:eastAsia="仿宋" w:cs="仿宋"/>
          <w:b/>
          <w:sz w:val="24"/>
        </w:rPr>
        <w:t>20.</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ascii="仿宋" w:hAnsi="仿宋" w:eastAsia="仿宋" w:cs="仿宋"/>
          <w:b/>
          <w:sz w:val="24"/>
        </w:rPr>
      </w:pPr>
    </w:p>
    <w:p>
      <w:pPr>
        <w:snapToGrid w:val="0"/>
        <w:spacing w:line="360" w:lineRule="auto"/>
        <w:jc w:val="center"/>
        <w:outlineLvl w:val="0"/>
        <w:rPr>
          <w:rFonts w:ascii="仿宋" w:hAnsi="仿宋" w:eastAsia="仿宋" w:cs="仿宋"/>
          <w:b/>
          <w:sz w:val="36"/>
          <w:szCs w:val="36"/>
        </w:rPr>
      </w:pPr>
      <w:r>
        <w:rPr>
          <w:rFonts w:hint="eastAsia" w:ascii="仿宋" w:hAnsi="仿宋" w:eastAsia="仿宋" w:cs="仿宋"/>
          <w:b/>
          <w:sz w:val="36"/>
          <w:szCs w:val="36"/>
        </w:rPr>
        <w:t>六、定 标</w:t>
      </w:r>
    </w:p>
    <w:p>
      <w:pPr>
        <w:pStyle w:val="26"/>
        <w:spacing w:line="360" w:lineRule="auto"/>
        <w:ind w:left="479" w:hanging="479" w:hangingChars="199"/>
        <w:rPr>
          <w:rFonts w:ascii="仿宋" w:hAnsi="仿宋" w:eastAsia="仿宋" w:cs="仿宋"/>
          <w:b/>
        </w:rPr>
      </w:pPr>
      <w:r>
        <w:rPr>
          <w:rFonts w:hint="eastAsia" w:ascii="仿宋" w:hAnsi="仿宋" w:eastAsia="仿宋" w:cs="仿宋"/>
          <w:b/>
        </w:rPr>
        <w:t>21. 确定中标供应商</w:t>
      </w:r>
    </w:p>
    <w:p>
      <w:pPr>
        <w:pStyle w:val="132"/>
        <w:snapToGrid w:val="0"/>
        <w:spacing w:before="0"/>
        <w:ind w:firstLine="480"/>
        <w:rPr>
          <w:rFonts w:ascii="仿宋" w:hAnsi="仿宋" w:eastAsia="仿宋" w:cs="仿宋"/>
          <w:b/>
          <w:szCs w:val="24"/>
        </w:rPr>
      </w:pPr>
      <w:r>
        <w:rPr>
          <w:rFonts w:hint="eastAsia" w:ascii="仿宋" w:hAnsi="仿宋" w:eastAsia="仿宋" w:cs="仿宋"/>
          <w:bCs/>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32"/>
        <w:snapToGrid w:val="0"/>
        <w:spacing w:before="0"/>
        <w:ind w:firstLine="0" w:firstLineChars="0"/>
        <w:rPr>
          <w:rFonts w:ascii="仿宋" w:hAnsi="仿宋" w:eastAsia="仿宋" w:cs="仿宋"/>
          <w:b/>
          <w:szCs w:val="24"/>
        </w:rPr>
      </w:pPr>
      <w:r>
        <w:rPr>
          <w:rFonts w:hint="eastAsia" w:ascii="仿宋" w:hAnsi="仿宋" w:eastAsia="仿宋" w:cs="仿宋"/>
          <w:b/>
          <w:szCs w:val="24"/>
        </w:rPr>
        <w:t>22. 中标通知与中标结果公告</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22.1自中标人确定之日起2</w:t>
      </w:r>
      <w:r>
        <w:rPr>
          <w:rFonts w:ascii="仿宋_GB2312" w:hAnsi="仿宋" w:eastAsia="仿宋_GB2312" w:cs="仿宋_GB2312"/>
        </w:rPr>
        <w:t>个工作</w:t>
      </w:r>
      <w:r>
        <w:rPr>
          <w:rFonts w:hint="eastAsia" w:ascii="仿宋" w:hAnsi="仿宋" w:eastAsia="仿宋" w:cs="仿宋"/>
          <w:sz w:val="24"/>
        </w:rPr>
        <w:t>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s="仿宋"/>
          <w:sz w:val="24"/>
        </w:rPr>
      </w:pPr>
      <w:r>
        <w:rPr>
          <w:rFonts w:hint="eastAsia" w:ascii="仿宋" w:hAnsi="仿宋" w:eastAsia="仿宋" w:cs="仿宋"/>
          <w:sz w:val="24"/>
        </w:rPr>
        <w:t>22.3公告期限为1个工作日。</w:t>
      </w:r>
    </w:p>
    <w:p>
      <w:pPr>
        <w:snapToGrid w:val="0"/>
        <w:spacing w:line="360" w:lineRule="auto"/>
        <w:ind w:left="120" w:leftChars="57" w:firstLine="482" w:firstLineChars="150"/>
        <w:jc w:val="center"/>
        <w:rPr>
          <w:rFonts w:ascii="仿宋" w:hAnsi="仿宋" w:eastAsia="仿宋" w:cs="仿宋"/>
          <w:b/>
          <w:sz w:val="32"/>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七、合同授予</w:t>
      </w:r>
    </w:p>
    <w:p>
      <w:pPr>
        <w:pStyle w:val="26"/>
        <w:spacing w:line="360" w:lineRule="auto"/>
        <w:ind w:left="479" w:hanging="479" w:hangingChars="199"/>
        <w:rPr>
          <w:rFonts w:ascii="仿宋" w:hAnsi="仿宋" w:eastAsia="仿宋" w:cs="仿宋"/>
          <w:b/>
        </w:rPr>
      </w:pPr>
      <w:r>
        <w:rPr>
          <w:rFonts w:hint="eastAsia" w:ascii="仿宋" w:hAnsi="仿宋" w:eastAsia="仿宋" w:cs="仿宋"/>
          <w:b/>
        </w:rPr>
        <w:t xml:space="preserve">23. </w:t>
      </w:r>
      <w:r>
        <w:rPr>
          <w:rFonts w:hint="eastAsia" w:ascii="仿宋" w:hAnsi="仿宋" w:eastAsia="仿宋" w:cs="仿宋"/>
        </w:rPr>
        <w:t>合同主要条款详见第五部分拟签订的合同文本。</w:t>
      </w:r>
    </w:p>
    <w:p>
      <w:pPr>
        <w:pStyle w:val="26"/>
        <w:spacing w:line="360" w:lineRule="auto"/>
        <w:ind w:left="479" w:hanging="479" w:hangingChars="199"/>
        <w:rPr>
          <w:rFonts w:ascii="仿宋" w:hAnsi="仿宋" w:eastAsia="仿宋" w:cs="仿宋"/>
          <w:b/>
        </w:rPr>
      </w:pPr>
      <w:r>
        <w:rPr>
          <w:rFonts w:hint="eastAsia" w:ascii="仿宋" w:hAnsi="仿宋" w:eastAsia="仿宋" w:cs="仿宋"/>
          <w:b/>
        </w:rPr>
        <w:t>24. 合同的签订</w:t>
      </w:r>
    </w:p>
    <w:p>
      <w:pPr>
        <w:widowControl/>
        <w:shd w:val="clear" w:color="auto" w:fill="FFFFFF"/>
        <w:spacing w:line="360" w:lineRule="auto"/>
        <w:ind w:firstLine="480"/>
        <w:jc w:val="left"/>
        <w:rPr>
          <w:rFonts w:ascii="仿宋" w:hAnsi="仿宋" w:eastAsia="仿宋" w:cs="仿宋"/>
          <w:kern w:val="0"/>
          <w:sz w:val="24"/>
        </w:rPr>
      </w:pPr>
      <w:r>
        <w:rPr>
          <w:rFonts w:hint="eastAsia" w:ascii="仿宋" w:hAnsi="仿宋" w:eastAsia="仿宋" w:cs="仿宋"/>
          <w:sz w:val="24"/>
        </w:rPr>
        <w:t>24.1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ascii="仿宋" w:hAnsi="仿宋" w:eastAsia="仿宋" w:cs="仿宋"/>
          <w:kern w:val="0"/>
        </w:rPr>
      </w:pPr>
      <w:r>
        <w:rPr>
          <w:rFonts w:hint="eastAsia" w:ascii="仿宋" w:hAnsi="仿宋" w:eastAsia="仿宋" w:cs="仿宋"/>
          <w:kern w:val="0"/>
          <w:lang w:val="zh-CN"/>
        </w:rPr>
        <w:t>2</w:t>
      </w:r>
      <w:r>
        <w:rPr>
          <w:rFonts w:hint="eastAsia" w:ascii="仿宋" w:hAnsi="仿宋" w:eastAsia="仿宋" w:cs="仿宋"/>
          <w:kern w:val="0"/>
        </w:rPr>
        <w:t>4</w:t>
      </w:r>
      <w:r>
        <w:rPr>
          <w:rFonts w:hint="eastAsia" w:ascii="仿宋" w:hAnsi="仿宋" w:eastAsia="仿宋" w:cs="仿宋"/>
          <w:kern w:val="0"/>
          <w:lang w:val="zh-CN"/>
        </w:rPr>
        <w:t>.2中标人按规定的日期、时间、地点，由法定代表人或其授权代表与采购人代表签订合同。如中标人为联合体的，由联合体成员各方法定代表人或其授权代表与采购人代表签订合同。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仿宋" w:hAnsi="仿宋" w:eastAsia="仿宋" w:cs="仿宋"/>
        </w:rPr>
      </w:pPr>
      <w:r>
        <w:rPr>
          <w:rFonts w:hint="eastAsia" w:ascii="仿宋" w:hAnsi="仿宋" w:eastAsia="仿宋" w:cs="仿宋"/>
        </w:rPr>
        <w:t>24.3如签订合同并生效后，供应商无故拒绝或延期，除按照合同条款处理外，列入不良行为记录一次，并给予通报。</w:t>
      </w:r>
    </w:p>
    <w:p>
      <w:pPr>
        <w:pStyle w:val="132"/>
        <w:snapToGrid w:val="0"/>
        <w:spacing w:before="0"/>
        <w:ind w:firstLine="480"/>
        <w:rPr>
          <w:rFonts w:ascii="仿宋" w:hAnsi="仿宋" w:eastAsia="仿宋" w:cs="仿宋"/>
        </w:rPr>
      </w:pPr>
      <w:r>
        <w:rPr>
          <w:rFonts w:hint="eastAsia" w:ascii="仿宋" w:hAnsi="仿宋" w:eastAsia="仿宋" w:cs="仿宋"/>
        </w:rPr>
        <w:t>24.4中标供应商拒绝与采购人签订合同的，采购人可以按照评审报告推荐的中标或者成交候选人名单排序，确定下一候选人为中标供应商，也可以重新开展政府采购活动。</w:t>
      </w:r>
    </w:p>
    <w:p>
      <w:pPr>
        <w:pStyle w:val="132"/>
        <w:snapToGrid w:val="0"/>
        <w:spacing w:before="0" w:after="120"/>
        <w:ind w:firstLine="480"/>
        <w:rPr>
          <w:rFonts w:ascii="仿宋" w:hAnsi="仿宋" w:eastAsia="仿宋" w:cs="仿宋"/>
        </w:rPr>
      </w:pPr>
      <w:r>
        <w:rPr>
          <w:rFonts w:hint="eastAsia" w:ascii="仿宋" w:hAnsi="仿宋" w:eastAsia="仿宋" w:cs="仿宋"/>
        </w:rPr>
        <w:t>24.5采购合同由采购人与中标供应商根据招标文件、投标文件等内容通过政府采购电子交易平台在线签订，自动备案。</w:t>
      </w:r>
    </w:p>
    <w:p>
      <w:pPr>
        <w:pStyle w:val="26"/>
        <w:spacing w:line="360" w:lineRule="auto"/>
        <w:ind w:left="479" w:hanging="479" w:hangingChars="199"/>
        <w:rPr>
          <w:rFonts w:ascii="仿宋" w:hAnsi="仿宋" w:eastAsia="仿宋" w:cs="仿宋"/>
          <w:b/>
        </w:rPr>
      </w:pPr>
      <w:r>
        <w:rPr>
          <w:rFonts w:hint="eastAsia" w:ascii="仿宋" w:hAnsi="仿宋" w:eastAsia="仿宋" w:cs="仿宋"/>
          <w:b/>
        </w:rPr>
        <w:t>25. 履约保证金</w:t>
      </w:r>
    </w:p>
    <w:p>
      <w:pPr>
        <w:tabs>
          <w:tab w:val="left" w:pos="0"/>
        </w:tabs>
        <w:spacing w:line="360" w:lineRule="auto"/>
        <w:ind w:firstLine="482"/>
        <w:rPr>
          <w:rFonts w:ascii="仿宋" w:hAnsi="仿宋" w:eastAsia="仿宋" w:cs="仿宋"/>
          <w:sz w:val="24"/>
          <w:szCs w:val="20"/>
        </w:rPr>
      </w:pPr>
      <w:r>
        <w:rPr>
          <w:rFonts w:hint="eastAsia" w:ascii="仿宋" w:hAnsi="仿宋" w:eastAsia="仿宋" w:cs="仿宋"/>
          <w:sz w:val="24"/>
          <w:szCs w:val="20"/>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ascii="仿宋" w:eastAsia="仿宋" w:cs="仿宋"/>
          <w:b w:val="0"/>
          <w:bCs w:val="0"/>
          <w:snapToGrid w:val="0"/>
          <w:kern w:val="28"/>
          <w:sz w:val="24"/>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6"/>
        <w:numPr>
          <w:ilvl w:val="0"/>
          <w:numId w:val="1"/>
        </w:numPr>
        <w:spacing w:line="360" w:lineRule="auto"/>
        <w:ind w:left="479" w:hanging="479" w:hangingChars="199"/>
        <w:rPr>
          <w:rFonts w:ascii="仿宋" w:hAnsi="仿宋" w:eastAsia="仿宋" w:cs="仿宋"/>
          <w:b/>
        </w:rPr>
      </w:pPr>
      <w:r>
        <w:rPr>
          <w:rFonts w:hint="eastAsia" w:ascii="仿宋" w:hAnsi="仿宋" w:eastAsia="仿宋" w:cs="仿宋"/>
          <w:b/>
        </w:rPr>
        <w:t>预付款</w:t>
      </w:r>
    </w:p>
    <w:p>
      <w:pPr>
        <w:adjustRightInd/>
        <w:spacing w:line="360" w:lineRule="auto"/>
        <w:ind w:firstLine="480" w:firstLineChars="200"/>
        <w:rPr>
          <w:rFonts w:ascii="仿宋" w:hAnsi="仿宋" w:eastAsia="仿宋" w:cs="仿宋"/>
          <w:sz w:val="24"/>
          <w:szCs w:val="20"/>
          <w:lang w:val="zh-CN"/>
        </w:rPr>
      </w:pPr>
      <w:r>
        <w:rPr>
          <w:rFonts w:hint="eastAsia" w:ascii="仿宋" w:hAnsi="仿宋" w:eastAsia="仿宋" w:cs="仿宋"/>
          <w:sz w:val="24"/>
          <w:szCs w:val="20"/>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rPr>
          <w:rFonts w:ascii="仿宋" w:hAnsi="仿宋" w:eastAsia="仿宋" w:cs="仿宋"/>
          <w:b/>
          <w:sz w:val="32"/>
        </w:rPr>
      </w:pPr>
    </w:p>
    <w:p>
      <w:pPr>
        <w:snapToGrid w:val="0"/>
        <w:spacing w:line="360" w:lineRule="auto"/>
        <w:ind w:firstLine="3357" w:firstLineChars="1045"/>
        <w:rPr>
          <w:rFonts w:ascii="仿宋" w:hAnsi="仿宋" w:eastAsia="仿宋" w:cs="仿宋"/>
          <w:b/>
          <w:sz w:val="24"/>
        </w:rPr>
      </w:pPr>
      <w:r>
        <w:rPr>
          <w:rFonts w:hint="eastAsia" w:ascii="仿宋" w:hAnsi="仿宋" w:eastAsia="仿宋" w:cs="仿宋"/>
          <w:b/>
          <w:sz w:val="32"/>
        </w:rPr>
        <w:t>八、电子交易活动的中止</w:t>
      </w:r>
    </w:p>
    <w:p>
      <w:pPr>
        <w:pStyle w:val="132"/>
        <w:snapToGrid w:val="0"/>
        <w:spacing w:before="0"/>
        <w:ind w:firstLine="0" w:firstLineChars="0"/>
        <w:rPr>
          <w:rFonts w:ascii="仿宋" w:hAnsi="仿宋" w:eastAsia="仿宋" w:cs="仿宋"/>
        </w:rPr>
      </w:pPr>
      <w:r>
        <w:rPr>
          <w:rFonts w:hint="eastAsia" w:ascii="仿宋" w:hAnsi="仿宋" w:eastAsia="仿宋" w:cs="仿宋"/>
          <w:b/>
          <w:bCs/>
        </w:rPr>
        <w:t>27</w:t>
      </w:r>
      <w:r>
        <w:rPr>
          <w:rFonts w:hint="eastAsia" w:ascii="仿宋" w:hAnsi="仿宋" w:eastAsia="仿宋" w:cs="仿宋"/>
          <w:b/>
          <w:bCs/>
          <w:szCs w:val="24"/>
        </w:rPr>
        <w:t>.</w:t>
      </w:r>
      <w:r>
        <w:rPr>
          <w:rFonts w:hint="eastAsia" w:ascii="仿宋" w:hAnsi="仿宋" w:eastAsia="仿宋" w:cs="仿宋"/>
          <w:b/>
          <w:szCs w:val="24"/>
        </w:rPr>
        <w:t xml:space="preserve">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32"/>
        <w:snapToGrid w:val="0"/>
        <w:spacing w:before="0"/>
        <w:ind w:firstLine="480"/>
        <w:rPr>
          <w:rFonts w:ascii="仿宋" w:hAnsi="仿宋" w:eastAsia="仿宋" w:cs="仿宋"/>
        </w:rPr>
      </w:pPr>
      <w:r>
        <w:rPr>
          <w:rFonts w:hint="eastAsia" w:ascii="仿宋" w:hAnsi="仿宋" w:eastAsia="仿宋" w:cs="仿宋"/>
        </w:rPr>
        <w:t xml:space="preserve">27.1电子交易平台发生故障而无法登录访问的； </w:t>
      </w:r>
    </w:p>
    <w:p>
      <w:pPr>
        <w:pStyle w:val="132"/>
        <w:snapToGrid w:val="0"/>
        <w:spacing w:before="0"/>
        <w:ind w:firstLine="480"/>
        <w:rPr>
          <w:rFonts w:ascii="仿宋" w:hAnsi="仿宋" w:eastAsia="仿宋" w:cs="仿宋"/>
        </w:rPr>
      </w:pPr>
      <w:r>
        <w:rPr>
          <w:rFonts w:hint="eastAsia" w:ascii="仿宋" w:hAnsi="仿宋" w:eastAsia="仿宋" w:cs="仿宋"/>
        </w:rPr>
        <w:t>27.2电子交易平台应用或数据库出现错误，不能进行正常操作的；</w:t>
      </w:r>
    </w:p>
    <w:p>
      <w:pPr>
        <w:pStyle w:val="132"/>
        <w:snapToGrid w:val="0"/>
        <w:spacing w:before="0"/>
        <w:ind w:firstLine="480"/>
        <w:rPr>
          <w:rFonts w:ascii="仿宋" w:hAnsi="仿宋" w:eastAsia="仿宋" w:cs="仿宋"/>
        </w:rPr>
      </w:pPr>
      <w:r>
        <w:rPr>
          <w:rFonts w:hint="eastAsia" w:ascii="仿宋" w:hAnsi="仿宋" w:eastAsia="仿宋" w:cs="仿宋"/>
        </w:rPr>
        <w:t>27.3电子交易平台发现严重安全漏洞，有潜在泄密危险的；</w:t>
      </w:r>
    </w:p>
    <w:p>
      <w:pPr>
        <w:pStyle w:val="132"/>
        <w:snapToGrid w:val="0"/>
        <w:spacing w:before="0"/>
        <w:ind w:firstLine="480"/>
        <w:rPr>
          <w:rFonts w:ascii="仿宋" w:hAnsi="仿宋" w:eastAsia="仿宋" w:cs="仿宋"/>
        </w:rPr>
      </w:pPr>
      <w:r>
        <w:rPr>
          <w:rFonts w:hint="eastAsia" w:ascii="仿宋" w:hAnsi="仿宋" w:eastAsia="仿宋" w:cs="仿宋"/>
        </w:rPr>
        <w:t xml:space="preserve">27.4病毒发作导致不能进行正常操作的； </w:t>
      </w:r>
    </w:p>
    <w:p>
      <w:pPr>
        <w:pStyle w:val="132"/>
        <w:snapToGrid w:val="0"/>
        <w:spacing w:before="0"/>
        <w:ind w:firstLine="480"/>
        <w:rPr>
          <w:rFonts w:ascii="仿宋" w:hAnsi="仿宋" w:eastAsia="仿宋" w:cs="仿宋"/>
        </w:rPr>
      </w:pPr>
      <w:r>
        <w:rPr>
          <w:rFonts w:hint="eastAsia" w:ascii="仿宋" w:hAnsi="仿宋" w:eastAsia="仿宋" w:cs="仿宋"/>
        </w:rPr>
        <w:t>27.5其他无法保证电子交易的公平、公正和安全的情况。</w:t>
      </w:r>
    </w:p>
    <w:p>
      <w:pPr>
        <w:pStyle w:val="132"/>
        <w:snapToGrid w:val="0"/>
        <w:spacing w:before="0"/>
        <w:ind w:firstLine="0" w:firstLineChars="0"/>
        <w:rPr>
          <w:rFonts w:ascii="仿宋" w:hAnsi="仿宋" w:eastAsia="仿宋" w:cs="仿宋"/>
        </w:rPr>
      </w:pPr>
      <w:r>
        <w:rPr>
          <w:rFonts w:hint="eastAsia" w:ascii="仿宋" w:hAnsi="仿宋" w:eastAsia="仿宋" w:cs="仿宋"/>
        </w:rPr>
        <w:t xml:space="preserve"> </w:t>
      </w: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s="仿宋"/>
          <w:sz w:val="24"/>
        </w:rPr>
      </w:pPr>
    </w:p>
    <w:p>
      <w:pPr>
        <w:snapToGrid w:val="0"/>
        <w:spacing w:line="360" w:lineRule="auto"/>
        <w:ind w:left="120" w:leftChars="57" w:firstLine="482" w:firstLineChars="150"/>
        <w:jc w:val="center"/>
        <w:rPr>
          <w:rFonts w:ascii="仿宋" w:hAnsi="仿宋" w:eastAsia="仿宋" w:cs="仿宋"/>
          <w:b/>
          <w:sz w:val="32"/>
        </w:rPr>
      </w:pPr>
      <w:r>
        <w:rPr>
          <w:rFonts w:hint="eastAsia" w:ascii="仿宋" w:hAnsi="仿宋" w:eastAsia="仿宋" w:cs="仿宋"/>
          <w:b/>
          <w:sz w:val="32"/>
        </w:rPr>
        <w:t>九、验收</w:t>
      </w:r>
    </w:p>
    <w:p>
      <w:pPr>
        <w:pStyle w:val="26"/>
        <w:spacing w:line="360" w:lineRule="auto"/>
        <w:ind w:firstLine="0" w:firstLineChars="0"/>
        <w:rPr>
          <w:rFonts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1"/>
      <w:bookmarkEnd w:id="12"/>
      <w:bookmarkEnd w:id="13"/>
    </w:p>
    <w:p>
      <w:pPr>
        <w:tabs>
          <w:tab w:val="left" w:pos="0"/>
        </w:tabs>
        <w:spacing w:line="360" w:lineRule="auto"/>
        <w:ind w:firstLine="480"/>
        <w:rPr>
          <w:rFonts w:ascii="仿宋" w:hAnsi="仿宋" w:eastAsia="仿宋" w:cs="仿宋"/>
          <w:kern w:val="0"/>
          <w:sz w:val="24"/>
        </w:rPr>
        <w:sectPr>
          <w:pgSz w:w="11906" w:h="16838"/>
          <w:pgMar w:top="680" w:right="1418" w:bottom="468" w:left="1418" w:header="851" w:footer="992" w:gutter="0"/>
          <w:cols w:space="720" w:num="1"/>
          <w:titlePg/>
          <w:docGrid w:linePitch="312" w:charSpace="0"/>
        </w:sectPr>
      </w:pPr>
      <w:bookmarkStart w:id="15" w:name="_Hlt75236011"/>
      <w:bookmarkEnd w:id="15"/>
      <w:bookmarkStart w:id="16" w:name="_Hlt74714665"/>
      <w:bookmarkEnd w:id="16"/>
      <w:bookmarkStart w:id="17" w:name="_Hlt68072998"/>
      <w:bookmarkEnd w:id="17"/>
      <w:bookmarkStart w:id="18" w:name="_Hlt68403820"/>
      <w:bookmarkEnd w:id="18"/>
      <w:bookmarkStart w:id="19" w:name="_Hlt75236290"/>
      <w:bookmarkEnd w:id="19"/>
      <w:bookmarkStart w:id="20" w:name="_Hlt68057669"/>
      <w:bookmarkEnd w:id="20"/>
      <w:bookmarkStart w:id="21" w:name="_Hlt68073093"/>
      <w:bookmarkEnd w:id="21"/>
      <w:bookmarkStart w:id="22" w:name="_Hlt74729768"/>
      <w:bookmarkEnd w:id="22"/>
      <w:bookmarkStart w:id="23" w:name="_Hlt74730295"/>
      <w:bookmarkEnd w:id="23"/>
      <w:bookmarkStart w:id="24" w:name="_Hlt75236101"/>
      <w:bookmarkEnd w:id="24"/>
      <w:bookmarkStart w:id="25" w:name="_Hlt74707468"/>
      <w:bookmarkEnd w:id="25"/>
      <w:bookmarkStart w:id="26" w:name="_Hlt68072990"/>
      <w:bookmarkEnd w:id="26"/>
    </w:p>
    <w:p>
      <w:pPr>
        <w:numPr>
          <w:ilvl w:val="0"/>
          <w:numId w:val="2"/>
        </w:numPr>
        <w:spacing w:line="360" w:lineRule="auto"/>
        <w:jc w:val="center"/>
        <w:outlineLvl w:val="0"/>
        <w:rPr>
          <w:rFonts w:ascii="仿宋" w:hAnsi="仿宋" w:eastAsia="仿宋" w:cs="仿宋"/>
          <w:b/>
          <w:sz w:val="36"/>
          <w:szCs w:val="36"/>
        </w:rPr>
      </w:pPr>
      <w:bookmarkStart w:id="27" w:name="第四部分"/>
      <w:r>
        <w:rPr>
          <w:rFonts w:hint="eastAsia" w:ascii="仿宋" w:hAnsi="仿宋" w:eastAsia="仿宋" w:cs="仿宋"/>
          <w:b/>
          <w:sz w:val="36"/>
          <w:szCs w:val="36"/>
        </w:rPr>
        <w:t xml:space="preserve">  采购需求</w:t>
      </w:r>
    </w:p>
    <w:p>
      <w:pPr>
        <w:spacing w:line="288" w:lineRule="auto"/>
        <w:rPr>
          <w:rFonts w:ascii="仿宋" w:hAnsi="仿宋" w:eastAsia="仿宋" w:cs="仿宋"/>
          <w:b/>
          <w:sz w:val="24"/>
          <w:szCs w:val="24"/>
          <w:highlight w:val="none"/>
        </w:rPr>
      </w:pPr>
      <w:r>
        <w:rPr>
          <w:rFonts w:hint="eastAsia" w:ascii="仿宋" w:hAnsi="仿宋" w:eastAsia="仿宋" w:cs="仿宋"/>
          <w:b/>
          <w:sz w:val="24"/>
          <w:szCs w:val="24"/>
          <w:highlight w:val="none"/>
        </w:rPr>
        <w:t>一、采购资金的支付方式、时间、条件：</w:t>
      </w:r>
    </w:p>
    <w:tbl>
      <w:tblPr>
        <w:tblStyle w:val="63"/>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7"/>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127" w:type="dxa"/>
            <w:tcBorders>
              <w:top w:val="single" w:color="auto" w:sz="4" w:space="0"/>
              <w:bottom w:val="single" w:color="auto" w:sz="4" w:space="0"/>
              <w:right w:val="single" w:color="auto" w:sz="4" w:space="0"/>
            </w:tcBorders>
            <w:vAlign w:val="center"/>
          </w:tcPr>
          <w:p>
            <w:pPr>
              <w:spacing w:line="288" w:lineRule="auto"/>
              <w:jc w:val="center"/>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t>履约保证金</w:t>
            </w:r>
          </w:p>
        </w:tc>
        <w:tc>
          <w:tcPr>
            <w:tcW w:w="737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bidi w:val="0"/>
              <w:adjustRightInd w:val="0"/>
              <w:snapToGrid/>
              <w:spacing w:line="400" w:lineRule="exact"/>
              <w:textAlignment w:val="auto"/>
              <w:rPr>
                <w:rFonts w:hint="eastAsia" w:ascii="仿宋" w:hAnsi="仿宋" w:eastAsia="仿宋_GB2312" w:cs="仿宋"/>
                <w:sz w:val="24"/>
                <w:szCs w:val="24"/>
                <w:highlight w:val="none"/>
                <w:lang w:eastAsia="zh-CN"/>
              </w:rPr>
            </w:pPr>
            <w:r>
              <w:rPr>
                <w:rFonts w:hint="eastAsia" w:ascii="仿宋" w:hAnsi="仿宋" w:eastAsia="仿宋" w:cs="仿宋"/>
                <w:spacing w:val="-6"/>
                <w:sz w:val="24"/>
                <w:szCs w:val="24"/>
                <w:highlight w:val="none"/>
                <w:lang w:val="en-US"/>
              </w:rPr>
              <w:t>合同生效后，供应商向采购人缴纳中标价的1%履约保证金，供应商应当以支票、汇票、本票或者金融机构、担保机构出具的保函等非现金形式提交，鼓励和支持供应商以银行、保险公司出具的保函形式提供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14" w:hRule="atLeast"/>
        </w:trPr>
        <w:tc>
          <w:tcPr>
            <w:tcW w:w="2127" w:type="dxa"/>
            <w:tcBorders>
              <w:top w:val="single" w:color="auto" w:sz="4" w:space="0"/>
              <w:right w:val="single" w:color="auto" w:sz="4" w:space="0"/>
            </w:tcBorders>
            <w:vAlign w:val="center"/>
          </w:tcPr>
          <w:p>
            <w:pPr>
              <w:spacing w:line="288" w:lineRule="auto"/>
              <w:jc w:val="center"/>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t>付款方式</w:t>
            </w:r>
          </w:p>
        </w:tc>
        <w:tc>
          <w:tcPr>
            <w:tcW w:w="7371" w:type="dxa"/>
            <w:tcBorders>
              <w:top w:val="single" w:color="auto" w:sz="4" w:space="0"/>
              <w:left w:val="single" w:color="auto" w:sz="4" w:space="0"/>
              <w:bottom w:val="single" w:color="auto" w:sz="4" w:space="0"/>
            </w:tcBorders>
            <w:vAlign w:val="center"/>
          </w:tcPr>
          <w:p>
            <w:pPr>
              <w:pStyle w:val="23"/>
              <w:keepNext w:val="0"/>
              <w:keepLines w:val="0"/>
              <w:pageBreakBefore w:val="0"/>
              <w:widowControl w:val="0"/>
              <w:kinsoku/>
              <w:wordWrap/>
              <w:overflowPunct/>
              <w:topLinePunct w:val="0"/>
              <w:bidi w:val="0"/>
              <w:adjustRightInd w:val="0"/>
              <w:snapToGrid/>
              <w:spacing w:line="400" w:lineRule="exact"/>
              <w:textAlignment w:val="auto"/>
              <w:rPr>
                <w:rFonts w:hint="eastAsia" w:ascii="仿宋" w:hAnsi="仿宋" w:eastAsia="仿宋" w:cs="仿宋"/>
                <w:snapToGrid/>
                <w:spacing w:val="-6"/>
                <w:kern w:val="2"/>
                <w:sz w:val="24"/>
                <w:szCs w:val="24"/>
                <w:highlight w:val="none"/>
                <w:lang w:val="en-US" w:eastAsia="zh-CN" w:bidi="ar-SA"/>
              </w:rPr>
            </w:pPr>
            <w:r>
              <w:rPr>
                <w:rFonts w:hint="eastAsia" w:ascii="仿宋" w:hAnsi="仿宋" w:eastAsia="仿宋" w:cs="仿宋"/>
                <w:snapToGrid/>
                <w:spacing w:val="-6"/>
                <w:kern w:val="2"/>
                <w:sz w:val="24"/>
                <w:szCs w:val="24"/>
                <w:highlight w:val="none"/>
                <w:lang w:val="en-US" w:eastAsia="zh-CN" w:bidi="ar-SA"/>
              </w:rPr>
              <w:t>合同生效以及具备实施条件后5个工作日内，采购人支付中标人年度合同总金额的20%；（在签订合同时，中标人明确表示无需预付款或者主动要求降低预付款比例的，可不适用预付款相关规定；签订合同时，要求提供预付款的，中标人提交等额预付款保函）。</w:t>
            </w:r>
          </w:p>
          <w:p>
            <w:pPr>
              <w:keepNext w:val="0"/>
              <w:keepLines w:val="0"/>
              <w:pageBreakBefore w:val="0"/>
              <w:widowControl w:val="0"/>
              <w:kinsoku/>
              <w:wordWrap/>
              <w:overflowPunct/>
              <w:topLinePunct w:val="0"/>
              <w:bidi w:val="0"/>
              <w:adjustRightInd w:val="0"/>
              <w:snapToGrid/>
              <w:spacing w:line="400" w:lineRule="exact"/>
              <w:textAlignment w:val="auto"/>
              <w:rPr>
                <w:rFonts w:ascii="仿宋" w:hAnsi="仿宋" w:eastAsia="仿宋" w:cs="仿宋"/>
                <w:color w:val="0070C0"/>
                <w:spacing w:val="-6"/>
                <w:sz w:val="24"/>
                <w:szCs w:val="24"/>
                <w:highlight w:val="none"/>
              </w:rPr>
            </w:pPr>
            <w:r>
              <w:rPr>
                <w:rFonts w:hint="eastAsia" w:ascii="仿宋" w:hAnsi="仿宋" w:eastAsia="仿宋" w:cs="仿宋"/>
                <w:spacing w:val="-6"/>
                <w:sz w:val="24"/>
                <w:highlight w:val="none"/>
              </w:rPr>
              <w:t>养护费用根据考核、扣款等结果和养护量核增（减）等情况按季度支付，同时预付款从第一个季度养护费中进行扣除，若第一季度养护费不足，则顺延至第二季进行扣除。</w:t>
            </w:r>
            <w:r>
              <w:rPr>
                <w:rFonts w:hint="eastAsia" w:ascii="仿宋" w:hAnsi="仿宋" w:eastAsia="仿宋" w:cs="仿宋"/>
                <w:spacing w:val="-6"/>
                <w:sz w:val="24"/>
                <w:highlight w:val="none"/>
                <w:lang w:eastAsia="zh-CN"/>
              </w:rPr>
              <w:t>第一年考核评定优秀后，第二年付款方式同第一年。</w:t>
            </w:r>
            <w:r>
              <w:rPr>
                <w:rFonts w:hint="eastAsia" w:ascii="仿宋" w:hAnsi="仿宋" w:eastAsia="仿宋" w:cs="仿宋"/>
                <w:spacing w:val="-6"/>
                <w:sz w:val="24"/>
                <w:highlight w:val="none"/>
              </w:rPr>
              <w:t>具体支付时间要以财政落实为准。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127" w:type="dxa"/>
            <w:tcBorders>
              <w:top w:val="single" w:color="auto" w:sz="4" w:space="0"/>
              <w:bottom w:val="single" w:color="auto" w:sz="4" w:space="0"/>
              <w:right w:val="single" w:color="auto" w:sz="4" w:space="0"/>
            </w:tcBorders>
            <w:vAlign w:val="center"/>
          </w:tcPr>
          <w:p>
            <w:pPr>
              <w:jc w:val="center"/>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t>验收标准</w:t>
            </w:r>
          </w:p>
        </w:tc>
        <w:tc>
          <w:tcPr>
            <w:tcW w:w="7371" w:type="dxa"/>
            <w:tcBorders>
              <w:top w:val="single" w:color="auto" w:sz="4" w:space="0"/>
              <w:left w:val="single" w:color="auto" w:sz="4" w:space="0"/>
              <w:bottom w:val="single" w:color="auto" w:sz="4" w:space="0"/>
            </w:tcBorders>
            <w:vAlign w:val="center"/>
          </w:tcPr>
          <w:p>
            <w:pPr>
              <w:rPr>
                <w:rFonts w:ascii="仿宋" w:hAnsi="仿宋" w:eastAsia="仿宋" w:cs="仿宋"/>
                <w:sz w:val="24"/>
                <w:szCs w:val="24"/>
                <w:highlight w:val="none"/>
              </w:rPr>
            </w:pPr>
            <w:r>
              <w:rPr>
                <w:rFonts w:hint="eastAsia" w:ascii="仿宋" w:hAnsi="仿宋" w:eastAsia="仿宋" w:cs="仿宋"/>
                <w:sz w:val="24"/>
                <w:szCs w:val="24"/>
                <w:highlight w:val="none"/>
              </w:rPr>
              <w:t>同技术标准、规范。</w:t>
            </w:r>
          </w:p>
        </w:tc>
      </w:tr>
    </w:tbl>
    <w:p>
      <w:pPr>
        <w:spacing w:line="288"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二、服务内容和要求</w:t>
      </w:r>
    </w:p>
    <w:p>
      <w:pPr>
        <w:spacing w:line="288"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（一）技术标准、规范</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rPr>
        <w:t>、《城市道路照明设计标准》（</w:t>
      </w:r>
      <w:r>
        <w:rPr>
          <w:rFonts w:ascii="仿宋" w:hAnsi="仿宋" w:eastAsia="仿宋" w:cs="仿宋"/>
          <w:sz w:val="24"/>
          <w:szCs w:val="24"/>
          <w:highlight w:val="none"/>
        </w:rPr>
        <w:t>CJJ45-2015</w:t>
      </w:r>
      <w:r>
        <w:rPr>
          <w:rFonts w:hint="eastAsia" w:ascii="仿宋" w:hAnsi="仿宋" w:eastAsia="仿宋" w:cs="仿宋"/>
          <w:sz w:val="24"/>
          <w:szCs w:val="24"/>
          <w:highlight w:val="none"/>
        </w:rPr>
        <w:t>）</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、《城市夜景照明设计规范》</w:t>
      </w:r>
      <w:r>
        <w:rPr>
          <w:rFonts w:ascii="仿宋" w:hAnsi="仿宋" w:eastAsia="仿宋" w:cs="仿宋"/>
          <w:sz w:val="24"/>
          <w:szCs w:val="24"/>
          <w:highlight w:val="none"/>
        </w:rPr>
        <w:t>(JGJ/T163-2008)</w:t>
      </w:r>
      <w:r>
        <w:rPr>
          <w:rFonts w:hint="eastAsia" w:ascii="仿宋" w:hAnsi="仿宋" w:eastAsia="仿宋" w:cs="仿宋"/>
          <w:sz w:val="24"/>
          <w:szCs w:val="24"/>
          <w:highlight w:val="none"/>
        </w:rPr>
        <w:t>》</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城市照明管理规定</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rPr>
        <w:t>、《杭州市亮化长效管理实施意见（试行）》</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rPr>
        <w:t>、《杭州市市区亮灯指挥与保障方案》</w:t>
      </w:r>
    </w:p>
    <w:p>
      <w:pPr>
        <w:spacing w:line="288" w:lineRule="auto"/>
        <w:ind w:firstLine="480" w:firstLineChars="200"/>
        <w:rPr>
          <w:rFonts w:hint="eastAsia" w:ascii="仿宋" w:hAnsi="仿宋" w:eastAsia="仿宋" w:cs="仿宋"/>
          <w:sz w:val="24"/>
          <w:szCs w:val="24"/>
          <w:highlight w:val="none"/>
        </w:rPr>
      </w:pPr>
      <w:r>
        <w:rPr>
          <w:rFonts w:ascii="仿宋" w:hAnsi="仿宋" w:eastAsia="仿宋" w:cs="仿宋"/>
          <w:sz w:val="24"/>
          <w:szCs w:val="24"/>
          <w:highlight w:val="none"/>
        </w:rPr>
        <w:t>6</w:t>
      </w:r>
      <w:r>
        <w:rPr>
          <w:rFonts w:hint="eastAsia" w:ascii="仿宋" w:hAnsi="仿宋" w:eastAsia="仿宋" w:cs="仿宋"/>
          <w:sz w:val="24"/>
          <w:szCs w:val="24"/>
          <w:highlight w:val="none"/>
        </w:rPr>
        <w:t>、《杭州市亮化长效管理考核细则》</w:t>
      </w:r>
    </w:p>
    <w:p>
      <w:pPr>
        <w:pStyle w:val="23"/>
        <w:ind w:firstLine="480" w:firstLineChars="200"/>
        <w:rPr>
          <w:rFonts w:hint="eastAsia" w:eastAsia="仿宋"/>
          <w:lang w:val="en-US" w:eastAsia="zh-CN"/>
        </w:rPr>
      </w:pPr>
      <w:r>
        <w:rPr>
          <w:rFonts w:hint="eastAsia" w:ascii="仿宋" w:hAnsi="仿宋" w:eastAsia="仿宋" w:cs="仿宋"/>
          <w:sz w:val="24"/>
          <w:szCs w:val="24"/>
          <w:highlight w:val="none"/>
          <w:lang w:val="en-US" w:eastAsia="zh-CN"/>
        </w:rPr>
        <w:t>7、《杭州市钱塘区综合行政执法局景观照明设施养护作业标准及考核办法（2023年修订）》</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、国家规定的标准及规范，按最新的标准及规范执行。</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注：如市、区相应规范有更新，按照最新版本执行；有强制性标准的执行国家强制性标准，无的统一执行最新相关标准、规范。</w:t>
      </w:r>
    </w:p>
    <w:p>
      <w:pPr>
        <w:spacing w:line="288"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（二）项目概况</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为进一步提升景观亮灯设施养护水平，提高日常养护质量，现对钱塘区景观灯设施养护服务进行公开招标。</w:t>
      </w:r>
      <w:r>
        <w:rPr>
          <w:rFonts w:ascii="仿宋" w:hAnsi="仿宋" w:eastAsia="仿宋" w:cs="仿宋"/>
          <w:sz w:val="24"/>
          <w:szCs w:val="24"/>
          <w:highlight w:val="none"/>
        </w:rPr>
        <w:t xml:space="preserve"> </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服务地点：钱塘区</w:t>
      </w:r>
      <w:r>
        <w:rPr>
          <w:rFonts w:ascii="仿宋" w:hAnsi="仿宋" w:eastAsia="仿宋" w:cs="仿宋"/>
          <w:sz w:val="24"/>
          <w:szCs w:val="24"/>
          <w:highlight w:val="none"/>
        </w:rPr>
        <w:t xml:space="preserve">                 </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标项一： 2023-2025年下沙区域四号大街（学正街、天城东路）（不含）以南区域及江东区域景观灯及其附属设施养护服务，主要包括:灯具、光源、电器、杆件、标识牌、配电设施、灯罩、支架、电缆（含电缆管道）、控制柜、穿线管、配电箱、线卡、绳索、螺栓等涉及景观灯及其附属设施设备所有内容的日常维护工作；对项目进行日常巡查、安全检查、防盗管理等工作；防汛抗台、抗雪防冻等应急保障工作；新增项目质保期内的巡查、抄表及督促维修等工作（维修由质保期内项目施工单位负责），该工作产生的养护费用由投标单位在报价中同步考虑；住宅、历史政府投资商业或办公项目景观亮灯电费；部分老旧景观灯及其附属设施的更新改造；本标段内雕塑、亮灯小品等常规养护；合同期间采购人落实的其他相关事宜。</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标项二：2023-2025年下沙区域四号大街（学正街、天城东路）（含）以北区域及下沙区域二号路街渠范围内喷泉及其附属设施养护，主要包括:灯具、光源、电器、杆件、标识牌、配电设施、灯罩、支架、电缆（含电缆管道）、控制柜、穿线管、配电箱、线卡、绳索、螺栓等涉及景观灯及其附属设施设备所有内容的日常维护工作；对项目进行日常巡查、安全检查、防盗管理等工作；防汛抗台、抗雪防冻等应急保障工作；新增项目质保期内的巡查、抄表及督促维修等工作（维修由质保期内项目施工单位负责），该工作产生的养护费用由投标单位在报价中同步考虑；住宅、历史政府投资商业或办公项目景观亮灯电费；部分老旧景观灯及其附属设施的更新改造；文泽广场（东广场、西广场）音乐喷泉、金沙大道与海达南路交叉口东北角及东南角喷泉共4个养护工作（含水费）；本标段内雕塑、亮灯小品等养护工作；合同期间采购人落实的其他相关事宜。</w:t>
      </w:r>
    </w:p>
    <w:p>
      <w:pPr>
        <w:spacing w:line="288" w:lineRule="auto"/>
        <w:ind w:right="25" w:rightChars="12" w:firstLine="482" w:firstLineChars="200"/>
        <w:rPr>
          <w:rFonts w:ascii="仿宋_GB2312" w:hAnsi="仿宋_GB2312" w:eastAsia="仿宋_GB2312" w:cs="仿宋_GB2312"/>
          <w:b/>
          <w:bCs/>
          <w:color w:val="000000"/>
          <w:szCs w:val="21"/>
          <w:highlight w:val="none"/>
        </w:rPr>
      </w:pPr>
      <w:r>
        <w:rPr>
          <w:rFonts w:hint="eastAsia" w:ascii="仿宋_GB2312" w:hAnsi="仿宋_GB2312" w:eastAsia="仿宋_GB2312" w:cs="仿宋_GB2312"/>
          <w:b/>
          <w:sz w:val="24"/>
          <w:szCs w:val="24"/>
          <w:highlight w:val="none"/>
        </w:rPr>
        <w:t>（三）</w:t>
      </w:r>
      <w:r>
        <w:rPr>
          <w:rFonts w:hint="eastAsia" w:ascii="仿宋_GB2312" w:hAnsi="仿宋_GB2312" w:eastAsia="仿宋_GB2312" w:cs="仿宋_GB2312"/>
          <w:b/>
          <w:bCs/>
          <w:color w:val="000000"/>
          <w:szCs w:val="21"/>
          <w:highlight w:val="none"/>
        </w:rPr>
        <w:t>养护具体内容</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景观灯设施养护指的是灯具、光源、电器、杆件、标识牌、配电设施、灯罩、支架、电缆（含电缆管道）、控制柜、穿线管、配电箱、线卡、绳索、螺栓等涉及景观灯及其附属设施设备所有内容维修、保洁、保养等日常维护工作；对项目进行日常巡查、安全检查、防盗管理等工作；防汛抗台、抗雪防冻等应急保障工作；保障设施正常运行，确保照明设施安全正常运行，亮灯率达到98%。</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rPr>
        <w:t>养护的内容：</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）巡查及清洗：</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对养护内容进行日常巡查，对设备的运行情况及时记录，有关灯杆、灯罩、设备</w:t>
      </w:r>
      <w:r>
        <w:rPr>
          <w:rFonts w:hint="eastAsia" w:ascii="仿宋" w:hAnsi="仿宋" w:eastAsia="仿宋" w:cs="仿宋"/>
          <w:sz w:val="24"/>
          <w:szCs w:val="24"/>
          <w:highlight w:val="none"/>
          <w:lang w:eastAsia="zh-CN"/>
        </w:rPr>
        <w:t>等</w:t>
      </w:r>
      <w:r>
        <w:rPr>
          <w:rFonts w:hint="eastAsia" w:ascii="仿宋" w:hAnsi="仿宋" w:eastAsia="仿宋" w:cs="仿宋"/>
          <w:sz w:val="24"/>
          <w:szCs w:val="24"/>
          <w:highlight w:val="none"/>
        </w:rPr>
        <w:t>表面</w:t>
      </w:r>
      <w:r>
        <w:rPr>
          <w:rFonts w:hint="eastAsia" w:ascii="仿宋" w:hAnsi="仿宋" w:eastAsia="仿宋" w:cs="仿宋"/>
          <w:sz w:val="24"/>
          <w:szCs w:val="24"/>
          <w:highlight w:val="none"/>
          <w:lang w:eastAsia="zh-CN"/>
        </w:rPr>
        <w:t>进行</w:t>
      </w:r>
      <w:r>
        <w:rPr>
          <w:rFonts w:hint="eastAsia" w:ascii="仿宋" w:hAnsi="仿宋" w:eastAsia="仿宋" w:cs="仿宋"/>
          <w:sz w:val="24"/>
          <w:szCs w:val="24"/>
          <w:highlight w:val="none"/>
        </w:rPr>
        <w:t>清洗，或设施明显积尘的</w:t>
      </w:r>
      <w:r>
        <w:rPr>
          <w:rFonts w:ascii="仿宋" w:hAnsi="仿宋" w:eastAsia="仿宋" w:cs="仿宋"/>
          <w:sz w:val="24"/>
          <w:szCs w:val="24"/>
          <w:highlight w:val="none"/>
        </w:rPr>
        <w:t>,</w:t>
      </w:r>
      <w:r>
        <w:rPr>
          <w:rFonts w:hint="eastAsia" w:ascii="仿宋" w:hAnsi="仿宋" w:eastAsia="仿宋" w:cs="仿宋"/>
          <w:sz w:val="24"/>
          <w:szCs w:val="24"/>
          <w:highlight w:val="none"/>
        </w:rPr>
        <w:t>及时清除灯柱乱张贴。</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）喷漆翻新：</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灯杆、箱体及其他影响观瞻的设备表面喷漆。</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）设备设施维护检测：</w:t>
      </w:r>
    </w:p>
    <w:p>
      <w:pPr>
        <w:spacing w:line="288"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按维护要求，定期</w:t>
      </w:r>
      <w:r>
        <w:rPr>
          <w:rFonts w:hint="eastAsia" w:ascii="仿宋" w:hAnsi="仿宋" w:eastAsia="仿宋" w:cs="仿宋"/>
          <w:sz w:val="24"/>
          <w:szCs w:val="24"/>
          <w:highlight w:val="none"/>
          <w:lang w:eastAsia="zh-CN"/>
        </w:rPr>
        <w:t>开展</w:t>
      </w:r>
      <w:r>
        <w:rPr>
          <w:rFonts w:hint="eastAsia" w:ascii="仿宋" w:hAnsi="仿宋" w:eastAsia="仿宋" w:cs="仿宋"/>
          <w:sz w:val="24"/>
          <w:szCs w:val="24"/>
          <w:highlight w:val="none"/>
        </w:rPr>
        <w:t>电缆、灯具、</w:t>
      </w:r>
      <w:r>
        <w:rPr>
          <w:rFonts w:hint="eastAsia" w:ascii="仿宋" w:hAnsi="仿宋" w:eastAsia="仿宋" w:cs="仿宋"/>
          <w:sz w:val="24"/>
          <w:szCs w:val="24"/>
          <w:highlight w:val="none"/>
          <w:lang w:eastAsia="zh-CN"/>
        </w:rPr>
        <w:t>开关箱、</w:t>
      </w:r>
      <w:r>
        <w:rPr>
          <w:rFonts w:hint="eastAsia" w:ascii="仿宋" w:hAnsi="仿宋" w:eastAsia="仿宋" w:cs="仿宋"/>
          <w:sz w:val="24"/>
          <w:szCs w:val="24"/>
          <w:highlight w:val="none"/>
        </w:rPr>
        <w:t>箱变</w:t>
      </w:r>
      <w:r>
        <w:rPr>
          <w:rFonts w:hint="eastAsia" w:ascii="仿宋" w:hAnsi="仿宋" w:eastAsia="仿宋" w:cs="仿宋"/>
          <w:sz w:val="24"/>
          <w:szCs w:val="24"/>
          <w:highlight w:val="none"/>
          <w:lang w:eastAsia="zh-CN"/>
        </w:rPr>
        <w:t>等检测。</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4</w:t>
      </w:r>
      <w:r>
        <w:rPr>
          <w:rFonts w:hint="eastAsia" w:ascii="仿宋" w:hAnsi="仿宋" w:eastAsia="仿宋" w:cs="仿宋"/>
          <w:sz w:val="24"/>
          <w:szCs w:val="24"/>
          <w:highlight w:val="none"/>
        </w:rPr>
        <w:t>）日常维护：</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对</w:t>
      </w:r>
      <w:r>
        <w:rPr>
          <w:rFonts w:hint="eastAsia" w:ascii="仿宋" w:hAnsi="仿宋" w:eastAsia="仿宋" w:cs="仿宋"/>
          <w:sz w:val="24"/>
          <w:szCs w:val="24"/>
          <w:highlight w:val="none"/>
          <w:lang w:val="en-US" w:eastAsia="zh-CN"/>
        </w:rPr>
        <w:t>灯具、</w:t>
      </w:r>
      <w:r>
        <w:rPr>
          <w:rFonts w:hint="eastAsia" w:ascii="仿宋" w:hAnsi="仿宋" w:eastAsia="仿宋" w:cs="仿宋"/>
          <w:sz w:val="24"/>
          <w:szCs w:val="24"/>
          <w:highlight w:val="none"/>
        </w:rPr>
        <w:t>光源、电器、杆件、标识牌、配电设施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灯罩、支架、电缆</w:t>
      </w:r>
      <w:r>
        <w:rPr>
          <w:rFonts w:hint="eastAsia" w:ascii="仿宋" w:hAnsi="仿宋" w:eastAsia="仿宋" w:cs="仿宋"/>
          <w:sz w:val="24"/>
          <w:szCs w:val="24"/>
          <w:highlight w:val="none"/>
        </w:rPr>
        <w:t>（含电缆管道）</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控制柜、</w:t>
      </w:r>
      <w:r>
        <w:rPr>
          <w:rFonts w:hint="eastAsia" w:ascii="仿宋" w:hAnsi="仿宋" w:eastAsia="仿宋" w:cs="仿宋"/>
          <w:sz w:val="24"/>
          <w:szCs w:val="24"/>
          <w:highlight w:val="none"/>
          <w:lang w:val="en-US" w:eastAsia="zh-CN"/>
        </w:rPr>
        <w:t>穿线管、配电箱、线卡、绳索、</w:t>
      </w:r>
      <w:r>
        <w:rPr>
          <w:rFonts w:hint="eastAsia" w:ascii="仿宋" w:hAnsi="仿宋" w:eastAsia="仿宋" w:cs="仿宋"/>
          <w:sz w:val="24"/>
          <w:szCs w:val="24"/>
          <w:highlight w:val="none"/>
        </w:rPr>
        <w:t>箱变</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螺栓等涉及景观灯及其附属设施设备所有内容</w:t>
      </w:r>
      <w:r>
        <w:rPr>
          <w:rFonts w:hint="eastAsia" w:ascii="仿宋" w:hAnsi="仿宋" w:eastAsia="仿宋" w:cs="仿宋"/>
          <w:sz w:val="24"/>
          <w:szCs w:val="24"/>
          <w:highlight w:val="none"/>
        </w:rPr>
        <w:t>维护、维修、损坏更换及被盗修复；</w:t>
      </w:r>
    </w:p>
    <w:p>
      <w:pPr>
        <w:spacing w:line="288" w:lineRule="auto"/>
        <w:ind w:firstLine="480" w:firstLineChars="200"/>
        <w:rPr>
          <w:rFonts w:ascii="仿宋" w:hAnsi="仿宋" w:eastAsia="仿宋" w:cs="仿宋"/>
          <w:sz w:val="24"/>
          <w:szCs w:val="24"/>
          <w:highlight w:val="yellow"/>
        </w:rPr>
      </w:pPr>
      <w:r>
        <w:rPr>
          <w:rFonts w:hint="eastAsia" w:ascii="仿宋" w:hAnsi="仿宋" w:eastAsia="仿宋" w:cs="仿宋"/>
          <w:sz w:val="24"/>
          <w:szCs w:val="24"/>
          <w:highlight w:val="none"/>
        </w:rPr>
        <w:t>招标范围内的所有设施因各种原因造成的损坏（除不可抗力因素外）均由中标人负责维修</w:t>
      </w:r>
      <w:r>
        <w:rPr>
          <w:rFonts w:hint="eastAsia" w:ascii="仿宋" w:hAnsi="仿宋" w:eastAsia="仿宋" w:cs="仿宋"/>
          <w:sz w:val="24"/>
          <w:szCs w:val="24"/>
          <w:highlight w:val="none"/>
          <w:lang w:eastAsia="zh-CN"/>
        </w:rPr>
        <w:t>或更新</w:t>
      </w:r>
      <w:r>
        <w:rPr>
          <w:rFonts w:hint="eastAsia" w:ascii="仿宋" w:hAnsi="仿宋" w:eastAsia="仿宋" w:cs="仿宋"/>
          <w:sz w:val="24"/>
          <w:szCs w:val="24"/>
          <w:highlight w:val="none"/>
        </w:rPr>
        <w:t>。</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对政府大型活动，外事活动提供完善的保障方案和实施</w:t>
      </w:r>
      <w:r>
        <w:rPr>
          <w:rFonts w:ascii="仿宋" w:hAnsi="仿宋" w:eastAsia="仿宋" w:cs="仿宋"/>
          <w:sz w:val="24"/>
          <w:szCs w:val="24"/>
          <w:highlight w:val="none"/>
        </w:rPr>
        <w:t>24</w:t>
      </w:r>
      <w:r>
        <w:rPr>
          <w:rFonts w:hint="eastAsia" w:ascii="仿宋" w:hAnsi="仿宋" w:eastAsia="仿宋" w:cs="仿宋"/>
          <w:sz w:val="24"/>
          <w:szCs w:val="24"/>
          <w:highlight w:val="none"/>
        </w:rPr>
        <w:t>小时值班制度，并确保</w:t>
      </w:r>
      <w:r>
        <w:rPr>
          <w:rFonts w:hint="eastAsia" w:ascii="仿宋" w:hAnsi="仿宋" w:eastAsia="仿宋" w:cs="仿宋"/>
          <w:sz w:val="24"/>
          <w:szCs w:val="24"/>
          <w:highlight w:val="none"/>
          <w:lang w:val="en-US" w:eastAsia="zh-CN"/>
        </w:rPr>
        <w:t>设施完好率、亮灯率、整洁率达到100%。</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（5）按照采购人规定设定或调整亮灯时间；</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（6）按照相关标准及要求，做好安全检查、防盗管理等工作，确保照明设施安全正常运行。</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（7）做好防汛抗台、抗雪防冻等应急保障工作；</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（8）承担抄表及电费支付，电费支付时间为从上一轮养护单位末次抄表之日起算至本轮养护期末次抄表后止。</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（9）新增项目质保期内的巡查、抄表及督促维修等工作（维修由质保期内项目施工单位负责）。</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（10）住宅、历史政府投资商业或办公项目景观亮灯电费。</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（11）部分老旧景观灯及其附属设施的更新改造。</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（12）文泽广场（东广场、西广场）音乐喷泉、金沙大道与海达南路交叉口东北角及东南角共4个喷泉养护工作，包括所有设备（从设备房到喷头）的日常巡查、运行、维修（包工包料）及水费。</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（13）结合实际情况，做好标段内雕塑、亮灯小品等养护工作。</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（14）中标人根据实际需要处置管辖范围内的照明设施投诉案件（增亮、微改造），原则上每年不超过3件，预算价每件不超过5万元，</w:t>
      </w:r>
      <w:r>
        <w:rPr>
          <w:rFonts w:hint="eastAsia" w:ascii="仿宋" w:hAnsi="仿宋" w:eastAsia="仿宋" w:cs="仿宋"/>
          <w:sz w:val="24"/>
          <w:szCs w:val="24"/>
          <w:highlight w:val="none"/>
          <w:lang w:val="zh-CN" w:eastAsia="zh-CN"/>
        </w:rPr>
        <w:t>该费用由中标人承担，招标人不再另行支付</w:t>
      </w:r>
      <w:r>
        <w:rPr>
          <w:rFonts w:hint="eastAsia" w:ascii="仿宋" w:hAnsi="仿宋" w:eastAsia="仿宋" w:cs="仿宋"/>
          <w:sz w:val="24"/>
          <w:szCs w:val="24"/>
          <w:highlight w:val="none"/>
          <w:lang w:val="en-US" w:eastAsia="zh-CN"/>
        </w:rPr>
        <w:t>；若无此类投诉案件，</w:t>
      </w:r>
      <w:r>
        <w:rPr>
          <w:rFonts w:hint="eastAsia" w:ascii="仿宋" w:hAnsi="仿宋" w:eastAsia="仿宋" w:cs="仿宋"/>
          <w:sz w:val="24"/>
          <w:szCs w:val="24"/>
          <w:highlight w:val="none"/>
          <w:lang w:val="zh-CN" w:eastAsia="zh-CN"/>
        </w:rPr>
        <w:t>年度养护费不予扣减该费用。</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（15）合同期间采购人落实的其他相关事宜。</w:t>
      </w:r>
    </w:p>
    <w:p>
      <w:pPr>
        <w:spacing w:line="288" w:lineRule="auto"/>
        <w:ind w:right="25" w:rightChars="12" w:firstLine="422" w:firstLineChars="200"/>
        <w:rPr>
          <w:rFonts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（四）养护质量标准和要求</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按照《城市道路照明设计标准》（CJJ45-2015）、《城市夜景照明设计规范》(JGJ/T163-2008)》、《杭州市城市照明设施养护维修服务标准》（DB 3301/T 0165-2015）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《杭州市城市照明管理办法》、《杭州市亮化长效管理实施意见（修订）》、</w:t>
      </w:r>
      <w:r>
        <w:rPr>
          <w:rFonts w:hint="eastAsia" w:ascii="仿宋" w:hAnsi="仿宋" w:eastAsia="仿宋" w:cs="仿宋"/>
          <w:sz w:val="24"/>
          <w:szCs w:val="24"/>
          <w:highlight w:val="none"/>
          <w:lang w:val="en-US" w:eastAsia="zh-CN"/>
        </w:rPr>
        <w:t>《杭州市钱塘区综合行政执法局景观照明设施养护作业标准及考核办法（2023年修订）》</w:t>
      </w:r>
      <w:r>
        <w:rPr>
          <w:rFonts w:hint="eastAsia" w:ascii="仿宋" w:hAnsi="仿宋" w:eastAsia="仿宋" w:cs="仿宋"/>
          <w:sz w:val="24"/>
          <w:szCs w:val="24"/>
          <w:highlight w:val="none"/>
        </w:rPr>
        <w:t>及国家有关强制性标准的规定执行。若有调整，以最新发布的为准。</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养护考核依据：按照《杭州市亮化长效管理实施意见（试行）》、《杭州市人民政府办公厅关于印发杭州市市区景观亮化运行管理工作方案的通知》、《杭州市公共部位照明设施养护评价标准》和钱塘区景观照明设施考核办法等相关规定要求。</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档案资料保管：中标</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应建立养护档案，健全日常养护作业记录，认真做好台帐的整理和归档工作；</w:t>
      </w:r>
      <w:r>
        <w:rPr>
          <w:rFonts w:hint="eastAsia" w:ascii="仿宋" w:hAnsi="仿宋" w:eastAsia="仿宋" w:cs="仿宋"/>
          <w:sz w:val="24"/>
          <w:szCs w:val="24"/>
          <w:highlight w:val="none"/>
          <w:lang w:eastAsia="zh-CN"/>
        </w:rPr>
        <w:t>按月</w:t>
      </w:r>
      <w:r>
        <w:rPr>
          <w:rFonts w:hint="eastAsia" w:ascii="仿宋" w:hAnsi="仿宋" w:eastAsia="仿宋" w:cs="仿宋"/>
          <w:sz w:val="24"/>
          <w:szCs w:val="24"/>
          <w:highlight w:val="none"/>
        </w:rPr>
        <w:t>将养护档案资料移交</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一份。</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以包工包料的方式实施养护总包干，养护所需的人员、材料、机械等均由</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自行解决。</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须确保养护灯具质量及亮灯质量，针对养护过程中出现的影响亮灯效果的问题，中标</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应及时制定整改方案，报</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同意后有效解决问题。</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合同期内，中标</w:t>
      </w:r>
      <w:r>
        <w:rPr>
          <w:rFonts w:hint="eastAsia" w:ascii="仿宋" w:hAnsi="仿宋" w:eastAsia="仿宋" w:cs="仿宋"/>
          <w:sz w:val="24"/>
          <w:szCs w:val="24"/>
          <w:highlight w:val="none"/>
          <w:lang w:eastAsia="zh-CN"/>
        </w:rPr>
        <w:t>人</w:t>
      </w:r>
      <w:r>
        <w:rPr>
          <w:rFonts w:hint="eastAsia" w:ascii="仿宋" w:hAnsi="仿宋" w:eastAsia="仿宋" w:cs="仿宋"/>
          <w:sz w:val="24"/>
          <w:szCs w:val="24"/>
          <w:highlight w:val="none"/>
        </w:rPr>
        <w:t>负责的灯具</w:t>
      </w:r>
      <w:r>
        <w:rPr>
          <w:rFonts w:hint="eastAsia" w:ascii="仿宋" w:hAnsi="仿宋" w:eastAsia="仿宋" w:cs="仿宋"/>
          <w:sz w:val="24"/>
          <w:szCs w:val="24"/>
          <w:highlight w:val="none"/>
          <w:lang w:eastAsia="zh-CN"/>
        </w:rPr>
        <w:t>等设施设备</w:t>
      </w:r>
      <w:r>
        <w:rPr>
          <w:rFonts w:hint="eastAsia" w:ascii="仿宋" w:hAnsi="仿宋" w:eastAsia="仿宋" w:cs="仿宋"/>
          <w:sz w:val="24"/>
          <w:szCs w:val="24"/>
          <w:highlight w:val="none"/>
        </w:rPr>
        <w:t>如有损坏、故障的，</w:t>
      </w:r>
      <w:r>
        <w:rPr>
          <w:rFonts w:hint="eastAsia" w:ascii="仿宋" w:hAnsi="仿宋" w:eastAsia="仿宋" w:cs="仿宋"/>
          <w:sz w:val="24"/>
          <w:szCs w:val="24"/>
          <w:highlight w:val="none"/>
          <w:lang w:val="zh-CN"/>
        </w:rPr>
        <w:t>中标人</w:t>
      </w:r>
      <w:r>
        <w:rPr>
          <w:rFonts w:hint="eastAsia" w:ascii="仿宋" w:hAnsi="仿宋" w:eastAsia="仿宋" w:cs="仿宋"/>
          <w:sz w:val="24"/>
          <w:szCs w:val="24"/>
          <w:highlight w:val="none"/>
        </w:rPr>
        <w:t>可采用修理、修补、更换等方式进行处理，更换的设备品牌、样式、规格等须与原项目相同</w:t>
      </w:r>
      <w:r>
        <w:rPr>
          <w:rFonts w:ascii="仿宋" w:hAnsi="仿宋" w:eastAsia="仿宋" w:cs="仿宋"/>
          <w:sz w:val="24"/>
          <w:szCs w:val="24"/>
          <w:highlight w:val="none"/>
        </w:rPr>
        <w:t>,</w:t>
      </w:r>
      <w:r>
        <w:rPr>
          <w:rFonts w:hint="eastAsia" w:ascii="仿宋" w:hAnsi="仿宋" w:eastAsia="仿宋" w:cs="仿宋"/>
          <w:sz w:val="24"/>
          <w:szCs w:val="24"/>
          <w:highlight w:val="none"/>
        </w:rPr>
        <w:t>且更换灯具必须为新灯具。对无法采购到的光源、电器等设备，经报</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同意后可更换相同</w:t>
      </w:r>
      <w:r>
        <w:rPr>
          <w:rFonts w:hint="eastAsia" w:ascii="仿宋" w:hAnsi="仿宋" w:eastAsia="仿宋" w:cs="仿宋"/>
          <w:sz w:val="24"/>
          <w:szCs w:val="24"/>
          <w:highlight w:val="none"/>
          <w:lang w:eastAsia="zh-CN"/>
        </w:rPr>
        <w:t>或以上</w:t>
      </w:r>
      <w:r>
        <w:rPr>
          <w:rFonts w:hint="eastAsia" w:ascii="仿宋" w:hAnsi="仿宋" w:eastAsia="仿宋" w:cs="仿宋"/>
          <w:sz w:val="24"/>
          <w:szCs w:val="24"/>
          <w:highlight w:val="none"/>
        </w:rPr>
        <w:t>标准的设备，确保亮灯效果一致。</w:t>
      </w:r>
    </w:p>
    <w:p>
      <w:pPr>
        <w:spacing w:line="288" w:lineRule="auto"/>
        <w:ind w:firstLine="420"/>
        <w:rPr>
          <w:rFonts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亮灯时间必须严格按照规定时间实施；亮灯时间必须巡查，每次亮灯期间的巡查覆盖率为</w:t>
      </w:r>
      <w:r>
        <w:rPr>
          <w:rFonts w:ascii="仿宋" w:hAnsi="仿宋" w:eastAsia="仿宋" w:cs="仿宋"/>
          <w:sz w:val="24"/>
          <w:szCs w:val="24"/>
          <w:highlight w:val="none"/>
        </w:rPr>
        <w:t>100%</w:t>
      </w:r>
      <w:r>
        <w:rPr>
          <w:rFonts w:hint="eastAsia" w:ascii="仿宋" w:hAnsi="仿宋" w:eastAsia="仿宋" w:cs="仿宋"/>
          <w:sz w:val="24"/>
          <w:szCs w:val="24"/>
          <w:highlight w:val="none"/>
        </w:rPr>
        <w:t>。</w:t>
      </w:r>
    </w:p>
    <w:p>
      <w:pPr>
        <w:spacing w:line="288"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市、区两级亮灯管理部门发出的保障通知、临时要求，</w:t>
      </w:r>
      <w:r>
        <w:rPr>
          <w:rFonts w:hint="eastAsia" w:ascii="仿宋_GB2312" w:hAnsi="仿宋" w:eastAsia="仿宋_GB2312" w:cs="Times New Roman"/>
          <w:sz w:val="24"/>
          <w:szCs w:val="24"/>
          <w:highlight w:val="none"/>
          <w:lang w:val="zh-CN"/>
        </w:rPr>
        <w:t>中标人</w:t>
      </w:r>
      <w:r>
        <w:rPr>
          <w:rFonts w:hint="eastAsia" w:ascii="仿宋" w:hAnsi="仿宋" w:eastAsia="仿宋" w:cs="仿宋"/>
          <w:sz w:val="24"/>
          <w:szCs w:val="24"/>
          <w:highlight w:val="none"/>
        </w:rPr>
        <w:t>必须落实响应并限期反馈。严格执行《杭州市建筑物景观照明设施养护评价办法》、《城市照明设施养护维修服务标准》</w:t>
      </w:r>
      <w:r>
        <w:rPr>
          <w:rFonts w:hint="eastAsia" w:ascii="仿宋" w:hAnsi="仿宋" w:eastAsia="仿宋" w:cs="仿宋"/>
          <w:sz w:val="24"/>
          <w:szCs w:val="24"/>
          <w:highlight w:val="none"/>
          <w:lang w:eastAsia="zh-CN"/>
        </w:rPr>
        <w:t>及</w:t>
      </w:r>
      <w:r>
        <w:rPr>
          <w:rFonts w:hint="eastAsia" w:ascii="仿宋" w:hAnsi="仿宋" w:eastAsia="仿宋" w:cs="仿宋"/>
          <w:sz w:val="24"/>
          <w:szCs w:val="24"/>
          <w:highlight w:val="none"/>
        </w:rPr>
        <w:t>钱塘区景观照明设施相关规定要求。其中景观照明灯具应每周按市级保障时间要求落实亮灯效果巡查，景观设施至少每周覆盖巡检一次，配电箱（柜）每月巡检一次，地埋电缆线路每半年巡检一次；接地装置应在每年的冬季晴天时巡检一次，独立的防雷装置应在每年的春季巡检一次，漏电保护装置应每季巡检一次；建筑物景观照明设施每半年清洗一次，公共道路、广场公园应每季清洗一次，污染严重地段加大清洁工作频率。</w:t>
      </w:r>
    </w:p>
    <w:p>
      <w:pPr>
        <w:spacing w:line="288"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要求对养护范围及重点区域范围的景观灯等设施进行全方位巡查，各类灯每周不少于3次，重要保障临时通知增加巡查，将断亮缺亮等问题拍照记录编辑。</w:t>
      </w:r>
    </w:p>
    <w:p>
      <w:pPr>
        <w:spacing w:line="288"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zh-CN"/>
        </w:rPr>
        <w:t>中标人</w:t>
      </w:r>
      <w:r>
        <w:rPr>
          <w:rFonts w:hint="eastAsia" w:ascii="仿宋" w:hAnsi="仿宋" w:eastAsia="仿宋" w:cs="仿宋"/>
          <w:sz w:val="24"/>
          <w:szCs w:val="24"/>
          <w:highlight w:val="none"/>
        </w:rPr>
        <w:t>将亮灯问题整改处置后必须进行拍照，将问题与完成的对比照片按周、月度编辑报</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。要求</w:t>
      </w:r>
      <w:r>
        <w:rPr>
          <w:rFonts w:hint="eastAsia" w:ascii="仿宋" w:hAnsi="仿宋" w:eastAsia="仿宋" w:cs="仿宋"/>
          <w:sz w:val="24"/>
          <w:szCs w:val="24"/>
          <w:highlight w:val="none"/>
          <w:lang w:val="zh-CN"/>
        </w:rPr>
        <w:t>中标人</w:t>
      </w:r>
      <w:r>
        <w:rPr>
          <w:rFonts w:hint="eastAsia" w:ascii="仿宋" w:hAnsi="仿宋" w:eastAsia="仿宋" w:cs="仿宋"/>
          <w:sz w:val="24"/>
          <w:szCs w:val="24"/>
          <w:highlight w:val="none"/>
        </w:rPr>
        <w:t>对巡查与作业人员配置拍照高清手机，巡查、养护的效果及工作照片清哳直观，列入月度考核。</w:t>
      </w:r>
    </w:p>
    <w:p>
      <w:pPr>
        <w:spacing w:line="288"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建立健全安全管理、人员管理等制度，配备合格、齐全的养护队伍、养护设备、劳保用品等。建立养护档案，健全日常养护（包括防盗及修复）作业记录，认真做好台帐的整理和归档工作；养护档案资料接受采购人定期检查，</w:t>
      </w:r>
      <w:r>
        <w:rPr>
          <w:rFonts w:hint="eastAsia" w:ascii="仿宋" w:hAnsi="仿宋" w:eastAsia="仿宋" w:cs="仿宋"/>
          <w:sz w:val="24"/>
          <w:szCs w:val="24"/>
          <w:highlight w:val="none"/>
          <w:lang w:eastAsia="zh-CN"/>
        </w:rPr>
        <w:t>按月</w:t>
      </w:r>
      <w:r>
        <w:rPr>
          <w:rFonts w:hint="eastAsia" w:ascii="仿宋" w:hAnsi="仿宋" w:eastAsia="仿宋" w:cs="仿宋"/>
          <w:sz w:val="24"/>
          <w:szCs w:val="24"/>
          <w:highlight w:val="none"/>
        </w:rPr>
        <w:t>将养护档案资料移交采购人一份。</w:t>
      </w:r>
    </w:p>
    <w:p>
      <w:pPr>
        <w:spacing w:line="288"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设施设备更换过程中需做好防护、围挡、警示工作。</w:t>
      </w:r>
    </w:p>
    <w:p>
      <w:pPr>
        <w:spacing w:line="288"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重大活动保障要求现场值班保障，要求</w:t>
      </w:r>
      <w:r>
        <w:rPr>
          <w:rFonts w:hint="eastAsia" w:ascii="仿宋" w:hAnsi="仿宋" w:eastAsia="仿宋" w:cs="仿宋"/>
          <w:sz w:val="24"/>
          <w:szCs w:val="24"/>
          <w:highlight w:val="none"/>
          <w:lang w:val="zh-CN"/>
        </w:rPr>
        <w:t>中标人</w:t>
      </w:r>
      <w:r>
        <w:rPr>
          <w:rFonts w:hint="eastAsia" w:ascii="仿宋" w:hAnsi="仿宋" w:eastAsia="仿宋" w:cs="仿宋"/>
          <w:sz w:val="24"/>
          <w:szCs w:val="24"/>
          <w:highlight w:val="none"/>
        </w:rPr>
        <w:t>在保障期间有专人现场巡查，并保证景观设施正常亮灯，如重大活动及节假日期间，</w:t>
      </w:r>
      <w:r>
        <w:rPr>
          <w:rFonts w:hint="eastAsia" w:ascii="仿宋" w:hAnsi="仿宋" w:eastAsia="仿宋" w:cs="仿宋"/>
          <w:sz w:val="24"/>
          <w:szCs w:val="24"/>
          <w:highlight w:val="none"/>
          <w:lang w:val="zh-CN"/>
        </w:rPr>
        <w:t>中标人</w:t>
      </w:r>
      <w:r>
        <w:rPr>
          <w:rFonts w:hint="eastAsia" w:ascii="仿宋" w:hAnsi="仿宋" w:eastAsia="仿宋" w:cs="仿宋"/>
          <w:sz w:val="24"/>
          <w:szCs w:val="24"/>
          <w:highlight w:val="none"/>
        </w:rPr>
        <w:t>须做好应急保障措施，安排人员24小时值班，准备总维护量5%的数额备货。</w:t>
      </w:r>
    </w:p>
    <w:p>
      <w:pPr>
        <w:spacing w:line="288"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项目中质保期内</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zh-CN"/>
        </w:rPr>
        <w:t>中标人</w:t>
      </w:r>
      <w:r>
        <w:rPr>
          <w:rFonts w:hint="eastAsia" w:ascii="仿宋" w:hAnsi="仿宋" w:eastAsia="仿宋" w:cs="仿宋"/>
          <w:sz w:val="24"/>
          <w:szCs w:val="24"/>
          <w:highlight w:val="none"/>
          <w:lang w:eastAsia="zh-CN"/>
        </w:rPr>
        <w:t>负责做好</w:t>
      </w:r>
      <w:r>
        <w:rPr>
          <w:rFonts w:hint="eastAsia" w:ascii="仿宋" w:hAnsi="仿宋" w:eastAsia="仿宋" w:cs="仿宋"/>
          <w:sz w:val="24"/>
          <w:szCs w:val="24"/>
          <w:highlight w:val="none"/>
        </w:rPr>
        <w:t>灯具及相关附属设施</w:t>
      </w:r>
      <w:r>
        <w:rPr>
          <w:rFonts w:hint="eastAsia" w:ascii="仿宋" w:hAnsi="仿宋" w:eastAsia="仿宋" w:cs="仿宋"/>
          <w:sz w:val="24"/>
          <w:szCs w:val="24"/>
          <w:highlight w:val="none"/>
          <w:lang w:val="en-US" w:eastAsia="zh-CN"/>
        </w:rPr>
        <w:t>巡查、抄表及督促维修等工作（维修由质保期内项目施工单位负责）。</w:t>
      </w:r>
    </w:p>
    <w:p>
      <w:pPr>
        <w:spacing w:line="288"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养护到期后，</w:t>
      </w:r>
      <w:r>
        <w:rPr>
          <w:rFonts w:hint="eastAsia" w:ascii="仿宋" w:hAnsi="仿宋" w:eastAsia="仿宋" w:cs="仿宋"/>
          <w:sz w:val="24"/>
          <w:szCs w:val="24"/>
          <w:highlight w:val="none"/>
          <w:lang w:val="zh-CN"/>
        </w:rPr>
        <w:t>中标人</w:t>
      </w:r>
      <w:r>
        <w:rPr>
          <w:rFonts w:hint="eastAsia" w:ascii="仿宋" w:hAnsi="仿宋" w:eastAsia="仿宋" w:cs="仿宋"/>
          <w:sz w:val="24"/>
          <w:szCs w:val="24"/>
          <w:highlight w:val="none"/>
        </w:rPr>
        <w:t>须与新的养护单位做好工作交接；若养护到期，但单个项目未通过移交，</w:t>
      </w:r>
      <w:r>
        <w:rPr>
          <w:rFonts w:hint="eastAsia" w:ascii="仿宋" w:hAnsi="仿宋" w:eastAsia="仿宋" w:cs="仿宋"/>
          <w:sz w:val="24"/>
          <w:szCs w:val="24"/>
          <w:highlight w:val="none"/>
          <w:lang w:val="zh-CN"/>
        </w:rPr>
        <w:t>中标人</w:t>
      </w:r>
      <w:r>
        <w:rPr>
          <w:rFonts w:hint="eastAsia" w:ascii="仿宋" w:hAnsi="仿宋" w:eastAsia="仿宋" w:cs="仿宋"/>
          <w:sz w:val="24"/>
          <w:szCs w:val="24"/>
          <w:highlight w:val="none"/>
        </w:rPr>
        <w:t>仍有权按考核办法在合同期外对中标人实施监管考核及代整治工作，相关费用从养护尾款中扣除。</w:t>
      </w:r>
    </w:p>
    <w:p>
      <w:pPr>
        <w:spacing w:line="288"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中标第一次进入养护须经</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书面同意后才能作业。因改建等原因单个子项目需停止养护的则费用相应扣除。</w:t>
      </w:r>
    </w:p>
    <w:p>
      <w:pPr>
        <w:spacing w:line="288"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养护项目不得转包、分包，包括人员、车辆、高空作业等内容，</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有权对</w:t>
      </w:r>
      <w:r>
        <w:rPr>
          <w:rFonts w:hint="eastAsia" w:ascii="仿宋" w:hAnsi="仿宋" w:eastAsia="仿宋" w:cs="仿宋"/>
          <w:sz w:val="24"/>
          <w:szCs w:val="24"/>
          <w:highlight w:val="none"/>
          <w:lang w:val="zh-CN"/>
        </w:rPr>
        <w:t>中标人</w:t>
      </w:r>
      <w:r>
        <w:rPr>
          <w:rFonts w:hint="eastAsia" w:ascii="仿宋" w:hAnsi="仿宋" w:eastAsia="仿宋" w:cs="仿宋"/>
          <w:sz w:val="24"/>
          <w:szCs w:val="24"/>
          <w:highlight w:val="none"/>
        </w:rPr>
        <w:t>与养护项目相关的所有内容进行核实，一经发现有与采购要求不符的，</w:t>
      </w:r>
      <w:r>
        <w:rPr>
          <w:rFonts w:hint="eastAsia" w:ascii="仿宋" w:hAnsi="仿宋" w:eastAsia="仿宋" w:cs="仿宋"/>
          <w:sz w:val="24"/>
          <w:szCs w:val="24"/>
          <w:highlight w:val="none"/>
          <w:lang w:val="zh-CN"/>
        </w:rPr>
        <w:t>中标人</w:t>
      </w:r>
      <w:r>
        <w:rPr>
          <w:rFonts w:hint="eastAsia" w:ascii="仿宋" w:hAnsi="仿宋" w:eastAsia="仿宋" w:cs="仿宋"/>
          <w:sz w:val="24"/>
          <w:szCs w:val="24"/>
          <w:highlight w:val="none"/>
        </w:rPr>
        <w:t>应立即按采购人要求限期进行整改；若未按要求整改到位的，</w:t>
      </w:r>
      <w:r>
        <w:rPr>
          <w:rFonts w:hint="eastAsia" w:ascii="仿宋" w:hAnsi="仿宋" w:eastAsia="仿宋" w:cs="仿宋"/>
          <w:sz w:val="24"/>
          <w:szCs w:val="24"/>
          <w:highlight w:val="none"/>
          <w:lang w:val="zh-CN"/>
        </w:rPr>
        <w:t>中标人</w:t>
      </w:r>
      <w:r>
        <w:rPr>
          <w:rFonts w:hint="eastAsia" w:ascii="仿宋" w:hAnsi="仿宋" w:eastAsia="仿宋" w:cs="仿宋"/>
          <w:sz w:val="24"/>
          <w:szCs w:val="24"/>
          <w:highlight w:val="none"/>
        </w:rPr>
        <w:t>有权终止合同，并上报区采购监管部门。</w:t>
      </w:r>
    </w:p>
    <w:p>
      <w:pPr>
        <w:adjustRightInd w:val="0"/>
        <w:snapToGrid w:val="0"/>
        <w:spacing w:beforeLines="50" w:afterLines="50" w:line="288" w:lineRule="auto"/>
        <w:rPr>
          <w:rFonts w:ascii="仿宋_GB2312" w:hAnsi="仿宋_GB2312" w:eastAsia="仿宋_GB2312" w:cs="仿宋_GB2312"/>
          <w:b/>
          <w:snapToGrid w:val="0"/>
          <w:color w:val="000000"/>
          <w:kern w:val="0"/>
          <w:szCs w:val="21"/>
          <w:highlight w:val="none"/>
        </w:rPr>
      </w:pPr>
      <w:r>
        <w:rPr>
          <w:rFonts w:hAnsi="宋体"/>
          <w:b/>
          <w:snapToGrid w:val="0"/>
          <w:color w:val="000000"/>
          <w:kern w:val="0"/>
          <w:szCs w:val="21"/>
          <w:highlight w:val="none"/>
        </w:rPr>
        <w:t xml:space="preserve"> </w:t>
      </w:r>
      <w:r>
        <w:rPr>
          <w:rFonts w:ascii="仿宋_GB2312" w:hAnsi="仿宋_GB2312" w:eastAsia="仿宋_GB2312" w:cs="仿宋_GB2312"/>
          <w:b/>
          <w:snapToGrid w:val="0"/>
          <w:color w:val="000000"/>
          <w:kern w:val="0"/>
          <w:szCs w:val="21"/>
          <w:highlight w:val="none"/>
        </w:rPr>
        <w:t xml:space="preserve">   </w:t>
      </w:r>
      <w:r>
        <w:rPr>
          <w:rFonts w:hint="eastAsia" w:ascii="仿宋_GB2312" w:hAnsi="仿宋_GB2312" w:eastAsia="仿宋_GB2312" w:cs="仿宋_GB2312"/>
          <w:b/>
          <w:snapToGrid w:val="0"/>
          <w:color w:val="000000"/>
          <w:kern w:val="0"/>
          <w:szCs w:val="21"/>
          <w:highlight w:val="none"/>
        </w:rPr>
        <w:t>（五）突发事件处理及防汛、抗台、抗雪、防冻</w:t>
      </w:r>
    </w:p>
    <w:p>
      <w:pPr>
        <w:adjustRightInd w:val="0"/>
        <w:snapToGrid w:val="0"/>
        <w:spacing w:beforeLines="50" w:afterLines="50"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中标人应成立突发事件应急处理领导小组和应急抢险突击队，切实按照《杭州市突发事件应急抢险预案》等相关政策文件制定的相关预案组织实施。认真做好防汛、抗台、抗雪、防冻及突发事件应急抢险工作，确保人员、设备、材料“三落实”，并做好数据、图片和台帐的记录、存档，及时反映情况，严格服从</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的统一指挥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安排</w:t>
      </w:r>
      <w:r>
        <w:rPr>
          <w:rFonts w:hint="eastAsia" w:ascii="仿宋" w:hAnsi="仿宋" w:eastAsia="仿宋" w:cs="仿宋"/>
          <w:sz w:val="24"/>
          <w:szCs w:val="24"/>
          <w:highlight w:val="none"/>
          <w:lang w:eastAsia="zh-CN"/>
        </w:rPr>
        <w:t>和要求</w:t>
      </w:r>
      <w:r>
        <w:rPr>
          <w:rFonts w:hint="eastAsia" w:ascii="仿宋" w:hAnsi="仿宋" w:eastAsia="仿宋" w:cs="仿宋"/>
          <w:sz w:val="24"/>
          <w:szCs w:val="24"/>
          <w:highlight w:val="none"/>
        </w:rPr>
        <w:t>。若发生非养护原因引起的意外事故或人为破坏造成的设施损坏，中标人应立即采取相关措施或临时应急措施，并通知</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和相关部门。</w:t>
      </w:r>
    </w:p>
    <w:p>
      <w:pPr>
        <w:spacing w:line="288" w:lineRule="auto"/>
        <w:ind w:firstLine="422" w:firstLineChars="200"/>
        <w:rPr>
          <w:rFonts w:ascii="宋体" w:cs="宋体"/>
          <w:b/>
          <w:szCs w:val="21"/>
          <w:highlight w:val="none"/>
        </w:rPr>
      </w:pPr>
      <w:r>
        <w:rPr>
          <w:rFonts w:hint="eastAsia" w:ascii="宋体" w:hAnsi="宋体" w:cs="宋体"/>
          <w:b/>
          <w:szCs w:val="21"/>
          <w:highlight w:val="none"/>
        </w:rPr>
        <w:t>（六）▲人员及设施设备要求</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投入人员</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）每标项设项目负责人</w:t>
      </w:r>
      <w:r>
        <w:rPr>
          <w:rFonts w:ascii="仿宋" w:hAnsi="仿宋" w:eastAsia="仿宋" w:cs="仿宋"/>
          <w:sz w:val="24"/>
          <w:szCs w:val="24"/>
          <w:highlight w:val="none"/>
        </w:rPr>
        <w:t>1</w:t>
      </w:r>
      <w:r>
        <w:rPr>
          <w:rFonts w:hint="eastAsia" w:ascii="仿宋" w:hAnsi="仿宋" w:eastAsia="仿宋" w:cs="仿宋"/>
          <w:sz w:val="24"/>
          <w:szCs w:val="24"/>
          <w:highlight w:val="none"/>
        </w:rPr>
        <w:t>人，国家注册二级及以上建造师（机电工程或市政公用工程专业）资格、</w:t>
      </w:r>
      <w:r>
        <w:rPr>
          <w:rFonts w:hint="eastAsia" w:ascii="仿宋" w:hAnsi="仿宋" w:eastAsia="仿宋" w:cs="仿宋"/>
          <w:sz w:val="24"/>
          <w:szCs w:val="24"/>
          <w:highlight w:val="none"/>
          <w:lang w:eastAsia="zh-CN"/>
        </w:rPr>
        <w:t>大学专</w:t>
      </w:r>
      <w:r>
        <w:rPr>
          <w:rFonts w:hint="eastAsia" w:ascii="仿宋" w:hAnsi="仿宋" w:eastAsia="仿宋" w:cs="仿宋"/>
          <w:sz w:val="24"/>
          <w:szCs w:val="24"/>
          <w:highlight w:val="none"/>
        </w:rPr>
        <w:t>科及以上学历。</w:t>
      </w:r>
      <w:r>
        <w:rPr>
          <w:rFonts w:ascii="仿宋" w:hAnsi="仿宋" w:eastAsia="仿宋" w:cs="仿宋"/>
          <w:sz w:val="24"/>
          <w:szCs w:val="24"/>
          <w:highlight w:val="none"/>
        </w:rPr>
        <w:t xml:space="preserve"> </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）每标项设项目技术负责人</w:t>
      </w:r>
      <w:r>
        <w:rPr>
          <w:rFonts w:ascii="仿宋" w:hAnsi="仿宋" w:eastAsia="仿宋" w:cs="仿宋"/>
          <w:sz w:val="24"/>
          <w:szCs w:val="24"/>
          <w:highlight w:val="none"/>
        </w:rPr>
        <w:t>1</w:t>
      </w:r>
      <w:r>
        <w:rPr>
          <w:rFonts w:hint="eastAsia" w:ascii="仿宋" w:hAnsi="仿宋" w:eastAsia="仿宋" w:cs="仿宋"/>
          <w:sz w:val="24"/>
          <w:szCs w:val="24"/>
          <w:highlight w:val="none"/>
        </w:rPr>
        <w:t>人，具有工程师及以上职称，并有</w:t>
      </w:r>
      <w:r>
        <w:rPr>
          <w:rFonts w:hint="eastAsia" w:ascii="仿宋" w:hAnsi="仿宋" w:eastAsia="仿宋" w:cs="仿宋"/>
          <w:sz w:val="24"/>
          <w:szCs w:val="24"/>
          <w:highlight w:val="none"/>
          <w:lang w:eastAsia="zh-CN"/>
        </w:rPr>
        <w:t>大学专</w:t>
      </w:r>
      <w:r>
        <w:rPr>
          <w:rFonts w:hint="eastAsia" w:ascii="仿宋" w:hAnsi="仿宋" w:eastAsia="仿宋" w:cs="仿宋"/>
          <w:sz w:val="24"/>
          <w:szCs w:val="24"/>
          <w:highlight w:val="none"/>
        </w:rPr>
        <w:t>科及以上学历。</w:t>
      </w:r>
    </w:p>
    <w:p>
      <w:pPr>
        <w:pStyle w:val="23"/>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）每标项配备养护班组</w:t>
      </w:r>
      <w:r>
        <w:rPr>
          <w:rFonts w:ascii="仿宋" w:hAnsi="仿宋" w:eastAsia="仿宋" w:cs="仿宋"/>
          <w:sz w:val="24"/>
          <w:szCs w:val="24"/>
          <w:highlight w:val="none"/>
        </w:rPr>
        <w:t>4</w:t>
      </w:r>
      <w:r>
        <w:rPr>
          <w:rFonts w:hint="eastAsia" w:ascii="仿宋" w:hAnsi="仿宋" w:eastAsia="仿宋" w:cs="仿宋"/>
          <w:sz w:val="24"/>
          <w:szCs w:val="24"/>
          <w:highlight w:val="none"/>
        </w:rPr>
        <w:t>个，每班组不少于</w:t>
      </w:r>
      <w:r>
        <w:rPr>
          <w:rFonts w:hint="eastAsia" w:ascii="仿宋" w:hAnsi="仿宋" w:eastAsia="仿宋" w:cs="仿宋"/>
          <w:sz w:val="24"/>
          <w:szCs w:val="24"/>
          <w:highlight w:val="none"/>
          <w:lang w:val="en-US" w:eastAsia="zh-CN"/>
        </w:rPr>
        <w:t>3人，班组人员中</w:t>
      </w:r>
      <w:r>
        <w:rPr>
          <w:rFonts w:hint="eastAsia" w:ascii="仿宋" w:hAnsi="仿宋" w:eastAsia="仿宋" w:cs="仿宋"/>
          <w:sz w:val="24"/>
          <w:szCs w:val="24"/>
          <w:highlight w:val="none"/>
        </w:rPr>
        <w:t>同时</w:t>
      </w:r>
      <w:r>
        <w:rPr>
          <w:rFonts w:hint="eastAsia" w:ascii="仿宋" w:hAnsi="仿宋" w:eastAsia="仿宋" w:cs="仿宋"/>
          <w:sz w:val="24"/>
          <w:szCs w:val="24"/>
          <w:highlight w:val="none"/>
          <w:lang w:eastAsia="zh-CN"/>
        </w:rPr>
        <w:t>具有</w:t>
      </w:r>
      <w:r>
        <w:rPr>
          <w:rFonts w:hint="eastAsia" w:ascii="仿宋" w:hAnsi="仿宋" w:eastAsia="仿宋" w:cs="仿宋"/>
          <w:sz w:val="24"/>
          <w:szCs w:val="24"/>
          <w:highlight w:val="none"/>
        </w:rPr>
        <w:t>电工特种作业操作证和高空作业证人员不少于</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进网高压证人员不少于</w:t>
      </w:r>
      <w:r>
        <w:rPr>
          <w:rFonts w:ascii="仿宋" w:hAnsi="仿宋" w:eastAsia="仿宋" w:cs="仿宋"/>
          <w:sz w:val="24"/>
          <w:szCs w:val="24"/>
          <w:highlight w:val="none"/>
        </w:rPr>
        <w:t>2</w:t>
      </w:r>
      <w:r>
        <w:rPr>
          <w:rFonts w:hint="eastAsia" w:ascii="仿宋" w:hAnsi="仿宋" w:eastAsia="仿宋" w:cs="仿宋"/>
          <w:sz w:val="24"/>
          <w:szCs w:val="24"/>
          <w:highlight w:val="none"/>
        </w:rPr>
        <w:t>人</w:t>
      </w:r>
      <w:r>
        <w:rPr>
          <w:rFonts w:hint="eastAsia" w:ascii="仿宋" w:hAnsi="仿宋" w:eastAsia="仿宋" w:cs="仿宋"/>
          <w:sz w:val="24"/>
          <w:szCs w:val="24"/>
          <w:highlight w:val="none"/>
          <w:lang w:eastAsia="zh-CN"/>
        </w:rPr>
        <w:t>。</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）所有工作人员须有吃苦耐劳的精神和高度的责任感，严格履行岗位职责，具备一定的从业经验和处理突发事件能力。</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）所有人员必须为专职人员，不得兼职、不得一人多岗。上述所有人员不含每标项投入司机、机械及场地管理人员。</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投入车辆、物资</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（1）配置有14米（含）以上登高车1辆且投标人自有。</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（2）配置有额定载重量1.45吨（含）以上运输车至少1辆且投标人自有。</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（3）配置巡查小型汽车（要求皮卡车）2辆且投标人自有，巡查车辆须全部安装GPS（GPS的安装费及后期的流量费由中标单位承担），中标人要确保设备正常运行。</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（4）投入的每辆车至少配备司机/操作人员1人。</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（5）必须配备合格和足量的劳保用品及维修作业工具</w:t>
      </w:r>
      <w:r>
        <w:rPr>
          <w:rFonts w:hint="eastAsia" w:ascii="仿宋" w:hAnsi="仿宋" w:eastAsia="仿宋" w:cs="仿宋"/>
          <w:sz w:val="24"/>
          <w:szCs w:val="24"/>
          <w:highlight w:val="none"/>
          <w:lang w:eastAsia="zh-CN"/>
        </w:rPr>
        <w:t>（绝缘手套、围挡、灭火器等）</w:t>
      </w:r>
      <w:r>
        <w:rPr>
          <w:rFonts w:hint="eastAsia" w:ascii="仿宋" w:hAnsi="仿宋" w:eastAsia="仿宋" w:cs="仿宋"/>
          <w:sz w:val="24"/>
          <w:szCs w:val="24"/>
          <w:highlight w:val="none"/>
        </w:rPr>
        <w:t>，须承诺在安全有效期内，确保质量。</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场地</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需在投标时承诺且在中标（成交）公示后5个工作日内设立项目部，场地数量和位置应便于养护、巡查及时响应（响应时间要求在20分钟内到达项目实施区域内大部分地方），项目部包括办公区、维修区、仓库区等，场所</w:t>
      </w:r>
      <w:r>
        <w:rPr>
          <w:rFonts w:hint="eastAsia" w:ascii="仿宋" w:hAnsi="仿宋" w:eastAsia="仿宋" w:cs="仿宋"/>
          <w:sz w:val="24"/>
          <w:szCs w:val="24"/>
          <w:highlight w:val="none"/>
          <w:lang w:val="en-GB" w:eastAsia="zh-CN"/>
        </w:rPr>
        <w:t>面积不小于200平方米</w:t>
      </w:r>
      <w:r>
        <w:rPr>
          <w:rFonts w:hint="eastAsia" w:ascii="仿宋" w:hAnsi="仿宋" w:eastAsia="仿宋" w:cs="仿宋"/>
          <w:sz w:val="24"/>
          <w:szCs w:val="24"/>
          <w:highlight w:val="none"/>
          <w:lang w:val="en-US" w:eastAsia="zh-CN"/>
        </w:rPr>
        <w:t>。办公场所要有各类设施设备的规范堆放管理制度，要设有专职人员进行管理，确保突发事件和应急抢险。</w:t>
      </w:r>
    </w:p>
    <w:p>
      <w:pPr>
        <w:pStyle w:val="23"/>
        <w:rPr>
          <w:rFonts w:hAnsi="宋体" w:cs="宋体"/>
          <w:b/>
          <w:bCs/>
          <w:color w:val="000000"/>
          <w:kern w:val="2"/>
          <w:sz w:val="21"/>
          <w:highlight w:val="none"/>
          <w:lang w:val="en-US"/>
        </w:rPr>
      </w:pPr>
      <w:r>
        <w:rPr>
          <w:rFonts w:hAnsi="宋体" w:cs="宋体"/>
          <w:color w:val="000000"/>
          <w:kern w:val="2"/>
          <w:sz w:val="21"/>
          <w:highlight w:val="none"/>
          <w:lang w:val="en-US"/>
        </w:rPr>
        <w:t xml:space="preserve">  </w:t>
      </w:r>
      <w:r>
        <w:rPr>
          <w:rFonts w:hAnsi="宋体" w:cs="宋体"/>
          <w:b/>
          <w:bCs/>
          <w:color w:val="000000"/>
          <w:kern w:val="2"/>
          <w:sz w:val="21"/>
          <w:highlight w:val="none"/>
          <w:lang w:val="en-US"/>
        </w:rPr>
        <w:t xml:space="preserve">  </w:t>
      </w:r>
      <w:r>
        <w:rPr>
          <w:rFonts w:hint="eastAsia" w:ascii="仿宋_GB2312" w:hAnsi="仿宋_GB2312" w:eastAsia="仿宋_GB2312" w:cs="仿宋_GB2312"/>
          <w:b/>
          <w:bCs/>
          <w:color w:val="000000"/>
          <w:kern w:val="2"/>
          <w:sz w:val="21"/>
          <w:highlight w:val="none"/>
          <w:lang w:val="en-US"/>
        </w:rPr>
        <w:t xml:space="preserve"> 4.</w:t>
      </w:r>
      <w:r>
        <w:rPr>
          <w:rFonts w:hint="eastAsia" w:ascii="仿宋_GB2312" w:hAnsi="仿宋_GB2312" w:eastAsia="仿宋_GB2312" w:cs="仿宋_GB2312"/>
          <w:b/>
          <w:bCs/>
          <w:color w:val="000000"/>
          <w:sz w:val="21"/>
          <w:highlight w:val="none"/>
          <w:lang w:val="en-US"/>
        </w:rPr>
        <w:t>不得使用</w:t>
      </w:r>
      <w:r>
        <w:rPr>
          <w:rFonts w:hint="eastAsia" w:ascii="仿宋_GB2312" w:hAnsi="仿宋_GB2312" w:eastAsia="仿宋_GB2312" w:cs="仿宋_GB2312"/>
          <w:b/>
          <w:bCs/>
          <w:color w:val="000000"/>
          <w:sz w:val="21"/>
          <w:highlight w:val="none"/>
        </w:rPr>
        <w:t>在其他项目中“已中标”或“已参与运行、养护、维护等工作”的项目班子</w:t>
      </w:r>
      <w:r>
        <w:rPr>
          <w:rFonts w:hint="eastAsia" w:ascii="仿宋_GB2312" w:hAnsi="仿宋_GB2312" w:eastAsia="仿宋_GB2312" w:cs="仿宋_GB2312"/>
          <w:b/>
          <w:bCs/>
          <w:color w:val="000000"/>
          <w:sz w:val="21"/>
          <w:highlight w:val="none"/>
          <w:lang w:val="en-US"/>
        </w:rPr>
        <w:t>养护</w:t>
      </w:r>
      <w:r>
        <w:rPr>
          <w:rFonts w:hint="eastAsia" w:ascii="仿宋_GB2312" w:hAnsi="仿宋_GB2312" w:eastAsia="仿宋_GB2312" w:cs="仿宋_GB2312"/>
          <w:b/>
          <w:bCs/>
          <w:color w:val="000000"/>
          <w:sz w:val="21"/>
          <w:highlight w:val="none"/>
        </w:rPr>
        <w:t>成员</w:t>
      </w:r>
      <w:r>
        <w:rPr>
          <w:rFonts w:hint="eastAsia" w:ascii="仿宋_GB2312" w:hAnsi="仿宋_GB2312" w:eastAsia="仿宋_GB2312" w:cs="仿宋_GB2312"/>
          <w:b/>
          <w:bCs/>
          <w:color w:val="000000"/>
          <w:sz w:val="21"/>
          <w:highlight w:val="none"/>
          <w:lang w:val="en-US"/>
        </w:rPr>
        <w:t>及车辆</w:t>
      </w:r>
      <w:r>
        <w:rPr>
          <w:rFonts w:hint="eastAsia" w:ascii="仿宋_GB2312" w:hAnsi="仿宋_GB2312" w:eastAsia="仿宋_GB2312" w:cs="仿宋_GB2312"/>
          <w:b/>
          <w:bCs/>
          <w:color w:val="000000"/>
          <w:sz w:val="21"/>
          <w:highlight w:val="none"/>
        </w:rPr>
        <w:t>。</w:t>
      </w:r>
    </w:p>
    <w:p>
      <w:pPr>
        <w:pStyle w:val="26"/>
        <w:spacing w:line="240" w:lineRule="auto"/>
        <w:ind w:left="0" w:firstLine="0" w:firstLineChars="0"/>
        <w:rPr>
          <w:rFonts w:hint="eastAsia"/>
          <w:b/>
          <w:bCs/>
          <w:snapToGrid w:val="0"/>
          <w:color w:val="000000"/>
          <w:kern w:val="0"/>
          <w:szCs w:val="21"/>
          <w:highlight w:val="none"/>
        </w:rPr>
      </w:pPr>
      <w:r>
        <w:rPr>
          <w:rFonts w:hint="eastAsia"/>
          <w:b/>
          <w:bCs/>
          <w:snapToGrid w:val="0"/>
          <w:color w:val="000000"/>
          <w:kern w:val="0"/>
          <w:szCs w:val="21"/>
          <w:highlight w:val="none"/>
        </w:rPr>
        <w:t>注：“</w:t>
      </w:r>
      <w:r>
        <w:rPr>
          <w:rFonts w:hint="eastAsia" w:ascii="宋体" w:hAnsi="宋体" w:cs="宋体"/>
          <w:b/>
          <w:bCs/>
          <w:color w:val="000000"/>
          <w:szCs w:val="21"/>
          <w:highlight w:val="none"/>
        </w:rPr>
        <w:t>▲</w:t>
      </w:r>
      <w:r>
        <w:rPr>
          <w:rFonts w:hint="eastAsia"/>
          <w:b/>
          <w:bCs/>
          <w:snapToGrid w:val="0"/>
          <w:color w:val="000000"/>
          <w:kern w:val="0"/>
          <w:szCs w:val="21"/>
          <w:highlight w:val="none"/>
        </w:rPr>
        <w:t>”为实质性响应条款，不响应做无效标处理。</w:t>
      </w:r>
    </w:p>
    <w:p>
      <w:pPr>
        <w:pStyle w:val="27"/>
      </w:pPr>
    </w:p>
    <w:p>
      <w:pPr>
        <w:spacing w:line="288"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（七）采购人的权利、职责与义务</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负责对设施运行情况、日常养护（包括防盗及修复）质量、安全和巡查工作及资料台帐等进行检查、考核，对设施完好状况进行</w:t>
      </w:r>
      <w:r>
        <w:rPr>
          <w:rFonts w:hint="eastAsia" w:ascii="仿宋" w:hAnsi="仿宋" w:eastAsia="仿宋" w:cs="仿宋"/>
          <w:sz w:val="24"/>
          <w:szCs w:val="24"/>
          <w:highlight w:val="none"/>
          <w:lang w:eastAsia="zh-CN"/>
        </w:rPr>
        <w:t>核查</w:t>
      </w:r>
      <w:r>
        <w:rPr>
          <w:rFonts w:hint="eastAsia" w:ascii="仿宋" w:hAnsi="仿宋" w:eastAsia="仿宋" w:cs="仿宋"/>
          <w:sz w:val="24"/>
          <w:szCs w:val="24"/>
          <w:highlight w:val="none"/>
        </w:rPr>
        <w:t>。对于检查发现的景观照明设施各类问题，有权要求中标人按要求及时修复。采购人以及其委派的任何人，均可对中标人养护范围内的设施养护状况进行检查。</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负责向中标人提供有关景观照明设施养护的规范性文件、相关的技术规程、考核办法及各类相关文件，并对中标人工作进行指导。</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负责审定中标人的年度和月度养护计划，检查养护计划执行情况，核实中标人上报的养护工作量报表，并根据各项考核及保障要求明确养护任务。</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采购人在认为有必要的情况下，可要求中标人对设施进行特殊养护。</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负责对中标人养护工作进行检查、督促，发现中标人未按规范要求进行养护时，有权按合同约定进行处理；发现设施处于危急状况时立即限期要求中标人按应急预案采取相关措施；对于无法胜任工作或玩忽职守、工作不负责的人员有权要求中标人进行更换。</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6</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有权对养护工作中采用新工艺、新材料、新方法的适用性、安全性进行审查。</w:t>
      </w:r>
    </w:p>
    <w:p>
      <w:pPr>
        <w:spacing w:line="288" w:lineRule="auto"/>
        <w:ind w:firstLine="480" w:firstLineChars="200"/>
        <w:rPr>
          <w:rFonts w:hint="eastAsia" w:ascii="仿宋" w:hAnsi="仿宋" w:eastAsia="仿宋" w:cs="仿宋"/>
          <w:sz w:val="24"/>
          <w:szCs w:val="24"/>
          <w:highlight w:val="none"/>
        </w:rPr>
      </w:pPr>
      <w:r>
        <w:rPr>
          <w:rFonts w:ascii="仿宋" w:hAnsi="仿宋" w:eastAsia="仿宋" w:cs="仿宋"/>
          <w:sz w:val="24"/>
          <w:szCs w:val="24"/>
          <w:highlight w:val="none"/>
        </w:rPr>
        <w:t>7</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负责协调处理因不可抗力的自然因素造成的设施损坏事件。</w:t>
      </w:r>
    </w:p>
    <w:p>
      <w:pPr>
        <w:pStyle w:val="23"/>
        <w:rPr>
          <w:rFonts w:hint="default" w:eastAsia="仿宋"/>
          <w:lang w:val="en-US"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kern w:val="2"/>
          <w:sz w:val="24"/>
          <w:szCs w:val="24"/>
          <w:highlight w:val="none"/>
          <w:lang w:val="en-US" w:eastAsia="zh-CN" w:bidi="ar-SA"/>
        </w:rPr>
        <w:t xml:space="preserve">   8.合同期间采购人落实的其他相关事宜。</w:t>
      </w:r>
    </w:p>
    <w:p>
      <w:pPr>
        <w:spacing w:line="288" w:lineRule="auto"/>
        <w:rPr>
          <w:rFonts w:ascii="仿宋" w:hAnsi="仿宋" w:eastAsia="仿宋" w:cs="仿宋"/>
          <w:b/>
          <w:sz w:val="24"/>
          <w:szCs w:val="24"/>
          <w:highlight w:val="none"/>
        </w:rPr>
      </w:pPr>
      <w:r>
        <w:rPr>
          <w:rFonts w:ascii="仿宋" w:hAnsi="仿宋" w:eastAsia="仿宋" w:cs="仿宋"/>
          <w:b/>
          <w:sz w:val="24"/>
          <w:szCs w:val="24"/>
          <w:highlight w:val="none"/>
        </w:rPr>
        <w:t xml:space="preserve">   </w:t>
      </w:r>
      <w:r>
        <w:rPr>
          <w:rFonts w:hint="eastAsia" w:ascii="仿宋" w:hAnsi="仿宋" w:eastAsia="仿宋" w:cs="仿宋"/>
          <w:b/>
          <w:sz w:val="24"/>
          <w:szCs w:val="24"/>
          <w:highlight w:val="none"/>
        </w:rPr>
        <w:t>（八）中标人的权利、职责与义务</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按照养护设施范围、实际养护设施量及考核等情况取得相应养护经费。</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编制年度、月度养护计划，按照现行的有关规范要求及合同各项规定，精心组织养护，保证设施正常运行，并按要求报送养护台账。</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对景观照明设施及喷泉设施按有关规定进行巡查，掌握设施动态，及时发现、防止和处理设施缺陷，确保景观照明设施及喷泉设施完好和安全运行。</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在实施养护作业过程中，应遵守国家、省、市颁布的法律、法令、条例以及有关规定，遵守有关部门的规章细则等，负责办理养护操作中涉及的有关审批及协调手续。由于中标人违反上述规定而导致的所有责任，由中标人自行承担。</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配合做好亮灯、喷泉的服务及安全保障工作，制定应急预案并报采购人备案。在重大活动期间、节假日、应急保障中应加大巡查频率，必要时采取监护措施，并无条件按照采购人要求开展保障工作。</w:t>
      </w:r>
    </w:p>
    <w:p>
      <w:pPr>
        <w:spacing w:line="288" w:lineRule="auto"/>
        <w:ind w:firstLine="480" w:firstLineChars="200"/>
        <w:rPr>
          <w:rFonts w:hint="eastAsia" w:ascii="仿宋" w:hAnsi="仿宋" w:eastAsia="仿宋" w:cs="仿宋"/>
          <w:sz w:val="24"/>
          <w:szCs w:val="24"/>
          <w:highlight w:val="none"/>
          <w:lang w:eastAsia="zh-CN"/>
        </w:rPr>
      </w:pPr>
      <w:r>
        <w:rPr>
          <w:rFonts w:ascii="仿宋" w:hAnsi="仿宋" w:eastAsia="仿宋" w:cs="仿宋"/>
          <w:sz w:val="24"/>
          <w:szCs w:val="24"/>
          <w:highlight w:val="none"/>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对全部现场作业和施工方法的适应、稳妥和安全性承担全部责任。在养护工作中，力求采用成熟的工艺、材料和方法。</w:t>
      </w:r>
      <w:r>
        <w:rPr>
          <w:rFonts w:hint="eastAsia" w:ascii="仿宋" w:hAnsi="仿宋" w:eastAsia="仿宋" w:cs="仿宋"/>
          <w:sz w:val="24"/>
          <w:szCs w:val="24"/>
          <w:highlight w:val="none"/>
          <w:lang w:eastAsia="zh-CN"/>
        </w:rPr>
        <w:t>合同期间，发生养护相关的质量、安全事故，均由中标人承担全部责任。</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7</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建立健全安全体制机制，不断提高工作人员的安全意识；工作人员必须经过专业培训并持证上岗，设专人负责。</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8</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配合采购人做好合同范围内设施量及设施现状调查工作。</w:t>
      </w:r>
    </w:p>
    <w:p>
      <w:pPr>
        <w:spacing w:line="288" w:lineRule="auto"/>
        <w:ind w:firstLine="480" w:firstLineChars="200"/>
        <w:rPr>
          <w:rFonts w:ascii="仿宋" w:hAnsi="仿宋" w:eastAsia="仿宋" w:cs="仿宋"/>
          <w:sz w:val="24"/>
          <w:szCs w:val="24"/>
          <w:highlight w:val="none"/>
        </w:rPr>
      </w:pPr>
      <w:r>
        <w:rPr>
          <w:rFonts w:ascii="仿宋" w:hAnsi="仿宋" w:eastAsia="仿宋" w:cs="仿宋"/>
          <w:color w:val="000000"/>
          <w:sz w:val="24"/>
          <w:szCs w:val="24"/>
          <w:highlight w:val="none"/>
        </w:rPr>
        <w:t>9</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成立突发事件应急处理领导小组和应急抢险突击队，切实按照《杭州市突发事件应急抢险预案》等相关政策文件制定的相关预案组织实施。认真做好防汛、抗台、抗雪及突发事件应急抢险工作，确保人员、设备、材料“三落实”，并做好数据、图片和台帐的记录、存档，及时反映情况，严格服从采购人的统一</w:t>
      </w:r>
      <w:r>
        <w:rPr>
          <w:rFonts w:hint="eastAsia" w:ascii="仿宋" w:hAnsi="仿宋" w:eastAsia="仿宋" w:cs="仿宋"/>
          <w:sz w:val="24"/>
          <w:szCs w:val="24"/>
          <w:highlight w:val="none"/>
        </w:rPr>
        <w:t>指挥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安排</w:t>
      </w:r>
      <w:r>
        <w:rPr>
          <w:rFonts w:hint="eastAsia" w:ascii="仿宋" w:hAnsi="仿宋" w:eastAsia="仿宋" w:cs="仿宋"/>
          <w:sz w:val="24"/>
          <w:szCs w:val="24"/>
          <w:highlight w:val="none"/>
          <w:lang w:eastAsia="zh-CN"/>
        </w:rPr>
        <w:t>和要求</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投标文件</w:t>
      </w:r>
      <w:r>
        <w:rPr>
          <w:rFonts w:hint="eastAsia" w:ascii="仿宋" w:hAnsi="仿宋" w:eastAsia="仿宋" w:cs="仿宋"/>
          <w:sz w:val="24"/>
          <w:szCs w:val="24"/>
          <w:highlight w:val="none"/>
        </w:rPr>
        <w:t>中提供恶劣条件或应急事件情况下的预案。</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负责发现并及时制止养护范围内的所有设施免遭人为等因素导致的损坏和侵害，并做好赔偿、修复的调查工作。</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安全检查应每月对标段内设施覆盖一次，重大保障期间增加专项检查。养护单位应切实加强养护区域现场管理，确保安全生产，养护期内，因被养护设施掉落、炫光、漏电等造成的人身或财产等损失，一律由养护单位负责赔偿。养护期内，若发生任何故障和问题，中标人应立即采取相关应急措施，并通知采购人和相关部门。任何原因造成的景观照明设施及喷泉设施缺损和第三方损失，均由中标人负责及时更换、维修及赔偿，并承担相关费用。</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中标养护单位</w:t>
      </w:r>
      <w:r>
        <w:rPr>
          <w:rFonts w:hint="eastAsia" w:ascii="仿宋" w:hAnsi="仿宋" w:eastAsia="仿宋" w:cs="仿宋"/>
          <w:sz w:val="24"/>
          <w:szCs w:val="24"/>
          <w:highlight w:val="none"/>
          <w:lang w:eastAsia="zh-CN"/>
        </w:rPr>
        <w:t>按照现状接收的标准进行中标养护，</w:t>
      </w:r>
      <w:r>
        <w:rPr>
          <w:rFonts w:hint="eastAsia" w:ascii="仿宋" w:hAnsi="仿宋" w:eastAsia="仿宋" w:cs="仿宋"/>
          <w:sz w:val="24"/>
          <w:szCs w:val="24"/>
          <w:highlight w:val="none"/>
        </w:rPr>
        <w:t>在中标公示结束起按照“交接一个，接收一个”的原则于</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天内完成交接。交接过程中有问题，中标单位提供影像资料佐证，落实原养护单位修复。</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负责合同生效起一个月内完成所有设备资料复核调整和标识工作，按照</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方要求落实贴牌标示等工作，并及时向采购人提供资料和设备清单。做好定期核对相关资料等工作。</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负责对发现的缺亮、故障和缺陷等问题进行及时修复并做好反馈工作，确保设备完好可靠，确保亮灯率达到考核指标及喷泉设施运行正常。</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负责保持照明设备的清洁，及时清除未经许可的悬挂物。</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建立</w:t>
      </w:r>
      <w:r>
        <w:rPr>
          <w:rFonts w:ascii="仿宋" w:hAnsi="仿宋" w:eastAsia="仿宋" w:cs="仿宋"/>
          <w:sz w:val="24"/>
          <w:szCs w:val="24"/>
          <w:highlight w:val="none"/>
        </w:rPr>
        <w:t>24</w:t>
      </w:r>
      <w:r>
        <w:rPr>
          <w:rFonts w:hint="eastAsia" w:ascii="仿宋" w:hAnsi="仿宋" w:eastAsia="仿宋" w:cs="仿宋"/>
          <w:sz w:val="24"/>
          <w:szCs w:val="24"/>
          <w:highlight w:val="none"/>
        </w:rPr>
        <w:t>小时值班制度，及时处理“三来件”事项，保证办结率、回复率、满意率达到</w:t>
      </w:r>
      <w:r>
        <w:rPr>
          <w:rFonts w:ascii="仿宋" w:hAnsi="仿宋" w:eastAsia="仿宋" w:cs="仿宋"/>
          <w:sz w:val="24"/>
          <w:szCs w:val="24"/>
          <w:highlight w:val="none"/>
        </w:rPr>
        <w:t>100%</w:t>
      </w:r>
      <w:r>
        <w:rPr>
          <w:rFonts w:hint="eastAsia" w:ascii="仿宋" w:hAnsi="仿宋" w:eastAsia="仿宋" w:cs="仿宋"/>
          <w:sz w:val="24"/>
          <w:szCs w:val="24"/>
          <w:highlight w:val="none"/>
        </w:rPr>
        <w:t>。</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中标人须确保养护灯具质量及亮灯质量，针对养护过程中出现的影响亮灯效果的问题，中标人应及时制定整改方案，报采购人同意后有效解决问题。</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合同期内，中标人负责的灯具如有损坏、故障的，中标人可采用修理、修补、更换等方式进行处理，更换的设备品牌、样式、规格等须与原项目相同</w:t>
      </w:r>
      <w:r>
        <w:rPr>
          <w:rFonts w:ascii="仿宋" w:hAnsi="仿宋" w:eastAsia="仿宋" w:cs="仿宋"/>
          <w:sz w:val="24"/>
          <w:szCs w:val="24"/>
          <w:highlight w:val="none"/>
        </w:rPr>
        <w:t>,</w:t>
      </w:r>
      <w:r>
        <w:rPr>
          <w:rFonts w:hint="eastAsia" w:ascii="仿宋" w:hAnsi="仿宋" w:eastAsia="仿宋" w:cs="仿宋"/>
          <w:sz w:val="24"/>
          <w:szCs w:val="24"/>
          <w:highlight w:val="none"/>
        </w:rPr>
        <w:t>且更换灯具必须为新灯具。对无法采购到的光源、电器等设备，经报采购人同意后可更换相同标准的设备，确保亮灯效果一致。</w:t>
      </w:r>
    </w:p>
    <w:p>
      <w:pPr>
        <w:spacing w:line="288" w:lineRule="auto"/>
        <w:ind w:firstLine="42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亮灯时间必须严格按照规定时间实施；亮灯时间必须巡查，每次亮灯期间的巡查覆盖率为</w:t>
      </w:r>
      <w:r>
        <w:rPr>
          <w:rFonts w:ascii="仿宋" w:hAnsi="仿宋" w:eastAsia="仿宋" w:cs="仿宋"/>
          <w:sz w:val="24"/>
          <w:szCs w:val="24"/>
          <w:highlight w:val="none"/>
        </w:rPr>
        <w:t>100%</w:t>
      </w:r>
      <w:r>
        <w:rPr>
          <w:rFonts w:hint="eastAsia" w:ascii="仿宋" w:hAnsi="仿宋" w:eastAsia="仿宋" w:cs="仿宋"/>
          <w:sz w:val="24"/>
          <w:szCs w:val="24"/>
          <w:highlight w:val="none"/>
        </w:rPr>
        <w:t>。</w:t>
      </w:r>
    </w:p>
    <w:p>
      <w:pPr>
        <w:spacing w:line="288" w:lineRule="auto"/>
        <w:ind w:firstLine="42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市、区两级亮灯管理部门发出的保障通知、临时要求，中标人必须落实响应并限期反馈。严格执行《杭州市建筑物景观照明设施养护评价办法》、《城市照明设施养护维修服务标准》。其中景观照明灯具应每周按市级保障时间要求落实亮灯效果巡查，景观设施至少每周覆盖巡检一次，配电箱（柜）每月巡检一次，地埋电缆线路每半年巡检一次；接地装置应每年巡检一次，独立的防雷装置应每年巡检一次，漏电保护装置应每季巡检一次；建筑物景观照明设施每半年清洗一次，公共道路、广场公园应每季清洗一次，污染严重地段加大清洁工作频率。</w:t>
      </w:r>
    </w:p>
    <w:p>
      <w:pPr>
        <w:spacing w:line="288" w:lineRule="auto"/>
        <w:ind w:firstLine="42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要求对养护范围及重点区域范围的景观灯等设施进行全方位巡查，各类灯每周不少于</w:t>
      </w:r>
      <w:r>
        <w:rPr>
          <w:rFonts w:ascii="仿宋" w:hAnsi="仿宋" w:eastAsia="仿宋" w:cs="仿宋"/>
          <w:sz w:val="24"/>
          <w:szCs w:val="24"/>
          <w:highlight w:val="none"/>
        </w:rPr>
        <w:t>3</w:t>
      </w:r>
      <w:r>
        <w:rPr>
          <w:rFonts w:hint="eastAsia" w:ascii="仿宋" w:hAnsi="仿宋" w:eastAsia="仿宋" w:cs="仿宋"/>
          <w:sz w:val="24"/>
          <w:szCs w:val="24"/>
          <w:highlight w:val="none"/>
        </w:rPr>
        <w:t>次，重要保障临时通知增加巡查，将断亮缺亮等问题拍照记录编辑。</w:t>
      </w:r>
    </w:p>
    <w:p>
      <w:pPr>
        <w:spacing w:line="288" w:lineRule="auto"/>
        <w:ind w:firstLine="42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中标人将亮灯问题整改处置后必须进行拍照，将问题与完成的对比照片按周、月度编辑报采购人。要求中标人对巡查与作业人员配置拍照高清手机，巡查、养护的效果及工作照片清哳直观，列入月度考核。</w:t>
      </w:r>
    </w:p>
    <w:p>
      <w:pPr>
        <w:spacing w:line="288" w:lineRule="auto"/>
        <w:ind w:firstLine="42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建立安全管理、人员管理等制度，配备合格、齐全的养护队伍、养护设备、劳保用品等。建立养护档案，健全日常养护（包括防盗及修复）作业记录，认真做好台帐的整理和归档工作；养护档案资料接受采购人定期检查，</w:t>
      </w:r>
      <w:r>
        <w:rPr>
          <w:rFonts w:hint="eastAsia" w:ascii="仿宋" w:hAnsi="仿宋" w:eastAsia="仿宋" w:cs="仿宋"/>
          <w:sz w:val="24"/>
          <w:szCs w:val="24"/>
          <w:highlight w:val="none"/>
          <w:lang w:eastAsia="zh-CN"/>
        </w:rPr>
        <w:t>按月</w:t>
      </w:r>
      <w:r>
        <w:rPr>
          <w:rFonts w:hint="eastAsia" w:ascii="仿宋" w:hAnsi="仿宋" w:eastAsia="仿宋" w:cs="仿宋"/>
          <w:sz w:val="24"/>
          <w:szCs w:val="24"/>
          <w:highlight w:val="none"/>
        </w:rPr>
        <w:t>将养护档案资料移交</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一份。</w:t>
      </w:r>
    </w:p>
    <w:p>
      <w:pPr>
        <w:spacing w:line="288" w:lineRule="auto"/>
        <w:ind w:firstLine="42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设施设备更换</w:t>
      </w:r>
      <w:r>
        <w:rPr>
          <w:rFonts w:hint="eastAsia" w:ascii="仿宋" w:hAnsi="仿宋" w:eastAsia="仿宋" w:cs="仿宋"/>
          <w:sz w:val="24"/>
          <w:szCs w:val="24"/>
          <w:highlight w:val="none"/>
          <w:lang w:eastAsia="zh-CN"/>
        </w:rPr>
        <w:t>、维修、维护等作业</w:t>
      </w:r>
      <w:r>
        <w:rPr>
          <w:rFonts w:hint="eastAsia" w:ascii="仿宋" w:hAnsi="仿宋" w:eastAsia="仿宋" w:cs="仿宋"/>
          <w:sz w:val="24"/>
          <w:szCs w:val="24"/>
          <w:highlight w:val="none"/>
        </w:rPr>
        <w:t>过程中需做好防护、围挡、警示工作。</w:t>
      </w:r>
    </w:p>
    <w:p>
      <w:pPr>
        <w:spacing w:line="288" w:lineRule="auto"/>
        <w:ind w:firstLine="42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重大活动保障要求现场值班保障，要求养护单位在保障期间有专人现场巡查，并保证景观设施正常亮灯，如重大活动及节假日期间，投标单位须做好应急保障措施，安排人员</w:t>
      </w:r>
      <w:r>
        <w:rPr>
          <w:rFonts w:ascii="仿宋" w:hAnsi="仿宋" w:eastAsia="仿宋" w:cs="仿宋"/>
          <w:sz w:val="24"/>
          <w:szCs w:val="24"/>
          <w:highlight w:val="none"/>
        </w:rPr>
        <w:t>24</w:t>
      </w:r>
      <w:r>
        <w:rPr>
          <w:rFonts w:hint="eastAsia" w:ascii="仿宋" w:hAnsi="仿宋" w:eastAsia="仿宋" w:cs="仿宋"/>
          <w:sz w:val="24"/>
          <w:szCs w:val="24"/>
          <w:highlight w:val="none"/>
        </w:rPr>
        <w:t>小时值班，准备总维护量</w:t>
      </w:r>
      <w:r>
        <w:rPr>
          <w:rFonts w:ascii="仿宋" w:hAnsi="仿宋" w:eastAsia="仿宋" w:cs="仿宋"/>
          <w:sz w:val="24"/>
          <w:szCs w:val="24"/>
          <w:highlight w:val="none"/>
        </w:rPr>
        <w:t>5%</w:t>
      </w:r>
      <w:r>
        <w:rPr>
          <w:rFonts w:hint="eastAsia" w:ascii="仿宋" w:hAnsi="仿宋" w:eastAsia="仿宋" w:cs="仿宋"/>
          <w:sz w:val="24"/>
          <w:szCs w:val="24"/>
          <w:highlight w:val="none"/>
        </w:rPr>
        <w:t>的数额备货。</w:t>
      </w:r>
    </w:p>
    <w:p>
      <w:pPr>
        <w:spacing w:line="288" w:lineRule="auto"/>
        <w:ind w:firstLine="4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项目中质保期内灯具及相关附属设施的养护标准与其他灯具、设施一致。</w:t>
      </w:r>
      <w:r>
        <w:rPr>
          <w:rFonts w:hint="eastAsia" w:ascii="仿宋" w:hAnsi="仿宋" w:eastAsia="仿宋" w:cs="仿宋"/>
          <w:sz w:val="24"/>
          <w:szCs w:val="24"/>
          <w:highlight w:val="none"/>
          <w:lang w:eastAsia="zh-CN"/>
        </w:rPr>
        <w:t>质保期内项目的维护费不再另行支付。</w:t>
      </w:r>
    </w:p>
    <w:p>
      <w:pPr>
        <w:spacing w:line="288" w:lineRule="auto"/>
        <w:ind w:firstLine="42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养护到期后，中标人须与新的养护单位做好工作交接；若养护到期，但单个项目未通过移交，采购人仍有权按考核办法在合同期外对中标人实施监管考核及代整治工作，相关费用从养护尾款中扣除。</w:t>
      </w:r>
    </w:p>
    <w:p>
      <w:pPr>
        <w:spacing w:line="288" w:lineRule="auto"/>
        <w:ind w:firstLine="42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中标</w:t>
      </w:r>
      <w:r>
        <w:rPr>
          <w:rFonts w:hint="eastAsia" w:ascii="仿宋" w:hAnsi="仿宋" w:eastAsia="仿宋" w:cs="仿宋"/>
          <w:sz w:val="24"/>
          <w:szCs w:val="24"/>
          <w:highlight w:val="none"/>
          <w:lang w:eastAsia="zh-CN"/>
        </w:rPr>
        <w:t>单位移交完成后（包括单个项目）即进入养护期，但最终确定的养护时间以采购人认定为准，</w:t>
      </w:r>
      <w:r>
        <w:rPr>
          <w:rFonts w:hint="eastAsia" w:ascii="仿宋" w:hAnsi="仿宋" w:eastAsia="仿宋" w:cs="仿宋"/>
          <w:sz w:val="24"/>
          <w:szCs w:val="24"/>
          <w:highlight w:val="none"/>
        </w:rPr>
        <w:t>因改建等原因单个子项目需停止养护的则费用相应扣除。</w:t>
      </w:r>
    </w:p>
    <w:p>
      <w:pPr>
        <w:spacing w:line="288"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养护项目中标后不得转包、分包，包括人员、车辆、高空作业等内容，采购人有权对中标人与养护项目相关的所有内容进行核实，一经发现有与采购要求不符的，中标人应立即按采购人要求限期进行整改；若未按要求整改到位的，采购人有权终止合同，并上报区采购监管部门。</w:t>
      </w:r>
    </w:p>
    <w:p>
      <w:pPr>
        <w:spacing w:line="288" w:lineRule="auto"/>
        <w:ind w:firstLine="42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30.中标人在养护期内对所有项目进行一次配电箱接地电阻专项检测、三相平衡专项检测及电缆绝缘专项检测。</w:t>
      </w:r>
    </w:p>
    <w:p>
      <w:pPr>
        <w:pStyle w:val="2"/>
        <w:numPr>
          <w:ilvl w:val="0"/>
          <w:numId w:val="0"/>
        </w:numPr>
        <w:tabs>
          <w:tab w:val="left" w:pos="706"/>
          <w:tab w:val="clear" w:pos="432"/>
        </w:tabs>
        <w:snapToGrid w:val="0"/>
        <w:ind w:firstLine="241" w:firstLineChars="100"/>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b/>
          <w:bCs w:val="0"/>
          <w:kern w:val="2"/>
          <w:sz w:val="24"/>
          <w:szCs w:val="24"/>
          <w:highlight w:val="none"/>
          <w:lang w:val="en-US" w:eastAsia="zh-CN" w:bidi="ar-SA"/>
        </w:rPr>
        <w:t>（</w:t>
      </w:r>
      <w:r>
        <w:rPr>
          <w:rFonts w:hint="eastAsia" w:ascii="仿宋" w:eastAsia="仿宋" w:cs="仿宋"/>
          <w:b/>
          <w:bCs w:val="0"/>
          <w:kern w:val="2"/>
          <w:sz w:val="24"/>
          <w:szCs w:val="24"/>
          <w:highlight w:val="none"/>
          <w:lang w:val="en-US" w:eastAsia="zh-CN" w:bidi="ar-SA"/>
        </w:rPr>
        <w:t>八</w:t>
      </w:r>
      <w:r>
        <w:rPr>
          <w:rFonts w:hint="eastAsia" w:ascii="仿宋" w:hAnsi="仿宋" w:eastAsia="仿宋" w:cs="仿宋"/>
          <w:b/>
          <w:bCs w:val="0"/>
          <w:kern w:val="2"/>
          <w:sz w:val="24"/>
          <w:szCs w:val="24"/>
          <w:highlight w:val="none"/>
          <w:lang w:val="en-US" w:eastAsia="zh-CN" w:bidi="ar-SA"/>
        </w:rPr>
        <w:t>）其他要求</w:t>
      </w:r>
    </w:p>
    <w:p>
      <w:pPr>
        <w:spacing w:line="288" w:lineRule="auto"/>
        <w:ind w:firstLine="4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1.投入本项目的保障车辆均需按采购人要求自行安装GPS定位系统，并于每月提供设备车辆的轨迹图。</w:t>
      </w:r>
    </w:p>
    <w:p>
      <w:pPr>
        <w:spacing w:line="288" w:lineRule="auto"/>
        <w:ind w:firstLine="4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2.投入本项目的班组成员需能熟练使用手机APP，按采购人要求安装手机定位APP。</w:t>
      </w:r>
    </w:p>
    <w:p>
      <w:pPr>
        <w:spacing w:line="288" w:lineRule="auto"/>
        <w:ind w:firstLine="4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3.投入本项目的保障车辆及项目班组成员，需经采购人备案，并不得在其他项目中使用。</w:t>
      </w:r>
    </w:p>
    <w:p>
      <w:pPr>
        <w:spacing w:line="288" w:lineRule="auto"/>
        <w:ind w:firstLine="4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4.中标人需更换项目班组成员的，须向采购人报备并取得采购人书面同意后进行更换，更换的人员的资历、工作经验、资质等不得低于原班组成员。</w:t>
      </w:r>
    </w:p>
    <w:p>
      <w:pPr>
        <w:spacing w:line="288" w:lineRule="auto"/>
        <w:ind w:firstLine="4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5.采购人有权要求中标人撤换工作不能胜任或玩忽职守、工作不负责的人员，更换的人员的资历、工作经验、资质等不得低于原班组成员。</w:t>
      </w:r>
    </w:p>
    <w:p>
      <w:pPr>
        <w:spacing w:line="288" w:lineRule="auto"/>
        <w:ind w:firstLine="4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6.以月为时间节点按要求报送各类对城市照明的宣传资料，为确保宣传质量，要求养护单位在一年养护期内，在省市区各级平台发布宣传报道，具体数量为：各类省级及以上平台1篇（含）以上，市级平台2篇及以上，区级平台5篇及以上。</w:t>
      </w:r>
    </w:p>
    <w:p>
      <w:pPr>
        <w:spacing w:line="288" w:lineRule="auto"/>
        <w:ind w:firstLine="4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以月为时间节点，每月必须有一篇被录用，上述宣传形式可以多样性，比如微信发布、电视台、抖音、微博、报纸等多种形式，当一篇素材在多个平台发布时，只能计取1次，不能重复计算。当某月无宣传资料录用，则扣款1000元；当中标单位未完成上述年度总宣传任务，则扣款2万元。</w:t>
      </w:r>
    </w:p>
    <w:p>
      <w:pPr>
        <w:spacing w:line="288" w:lineRule="auto"/>
        <w:ind w:firstLine="4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7.养护作业人员需统一着装，相关费用由中标人自行承担。</w:t>
      </w:r>
    </w:p>
    <w:p>
      <w:pPr>
        <w:spacing w:line="288" w:lineRule="auto"/>
        <w:ind w:firstLine="4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8.配合采购人做好设施量测绘等信息化工作。</w:t>
      </w:r>
    </w:p>
    <w:p>
      <w:pPr>
        <w:spacing w:line="288" w:lineRule="auto"/>
        <w:ind w:firstLine="4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lang w:eastAsia="zh-CN"/>
        </w:rPr>
        <w:t>.中标人在中标后</w:t>
      </w:r>
      <w:r>
        <w:rPr>
          <w:rFonts w:hint="eastAsia" w:ascii="仿宋" w:hAnsi="仿宋" w:eastAsia="仿宋" w:cs="仿宋"/>
          <w:sz w:val="24"/>
          <w:szCs w:val="24"/>
          <w:highlight w:val="none"/>
          <w:lang w:val="en-US" w:eastAsia="zh-CN"/>
        </w:rPr>
        <w:t>15天</w:t>
      </w:r>
      <w:r>
        <w:rPr>
          <w:rFonts w:hint="eastAsia" w:ascii="仿宋" w:hAnsi="仿宋" w:eastAsia="仿宋" w:cs="仿宋"/>
          <w:sz w:val="24"/>
          <w:szCs w:val="24"/>
          <w:highlight w:val="none"/>
          <w:lang w:eastAsia="zh-CN"/>
        </w:rPr>
        <w:t>内完成与原养护单位的设施量清点及设施移交工作。</w:t>
      </w:r>
    </w:p>
    <w:p>
      <w:pPr>
        <w:spacing w:line="288" w:lineRule="auto"/>
        <w:ind w:firstLine="4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eastAsia="zh-CN"/>
        </w:rPr>
        <w:t>本合同终止时，须向采购人移交全部档案资料。</w:t>
      </w:r>
    </w:p>
    <w:p>
      <w:pPr>
        <w:spacing w:line="288" w:lineRule="auto"/>
        <w:ind w:firstLine="42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为做好数字抄告、投诉等问题确认、协调、处置以及应急保障等紧急、突发的、重要工作需要，每标项需配备一名亮化人员（该名人员建议入驻采购人单位），并落实好出行交通工具，提高工作效率，避免出现工作延误情况。</w:t>
      </w:r>
    </w:p>
    <w:p>
      <w:pPr>
        <w:spacing w:line="288" w:lineRule="auto"/>
        <w:ind w:firstLine="42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12.养护单位落实场地和人员，做好标项范围内因各种原因引起的淘汰老旧灯具保管工作，期限为合同养护期。此外需做好上一轮合同养护单位老旧灯具的接收及保管工作。</w:t>
      </w:r>
    </w:p>
    <w:p>
      <w:pPr>
        <w:spacing w:line="288"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九</w:t>
      </w:r>
      <w:r>
        <w:rPr>
          <w:rFonts w:hint="eastAsia" w:ascii="仿宋" w:hAnsi="仿宋" w:eastAsia="仿宋" w:cs="仿宋"/>
          <w:b/>
          <w:sz w:val="24"/>
          <w:szCs w:val="24"/>
          <w:highlight w:val="none"/>
        </w:rPr>
        <w:t>）养护经费说明</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遇特殊情况停运，根据停运数量及日期扣除（按照中标单价）停运部分维护费，但养护单位不得减少巡检次数和</w:t>
      </w:r>
      <w:r>
        <w:rPr>
          <w:rFonts w:hint="eastAsia" w:ascii="仿宋" w:hAnsi="仿宋" w:eastAsia="仿宋" w:cs="仿宋"/>
          <w:sz w:val="24"/>
          <w:szCs w:val="24"/>
          <w:highlight w:val="none"/>
          <w:lang w:eastAsia="zh-CN"/>
        </w:rPr>
        <w:t>养护</w:t>
      </w:r>
      <w:r>
        <w:rPr>
          <w:rFonts w:hint="eastAsia" w:ascii="仿宋" w:hAnsi="仿宋" w:eastAsia="仿宋" w:cs="仿宋"/>
          <w:sz w:val="24"/>
          <w:szCs w:val="24"/>
          <w:highlight w:val="none"/>
        </w:rPr>
        <w:t>质量。</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本项目招标灯具养护设施量为暂定数量，养护费用结算最终</w:t>
      </w:r>
      <w:r>
        <w:rPr>
          <w:rFonts w:hint="eastAsia" w:ascii="仿宋" w:hAnsi="仿宋" w:eastAsia="仿宋" w:cs="仿宋"/>
          <w:sz w:val="24"/>
          <w:szCs w:val="24"/>
          <w:highlight w:val="none"/>
          <w:lang w:eastAsia="zh-CN"/>
        </w:rPr>
        <w:t>按实际增（减）</w:t>
      </w:r>
      <w:r>
        <w:rPr>
          <w:rFonts w:hint="eastAsia" w:ascii="仿宋" w:hAnsi="仿宋" w:eastAsia="仿宋" w:cs="仿宋"/>
          <w:sz w:val="24"/>
          <w:szCs w:val="24"/>
          <w:highlight w:val="none"/>
        </w:rPr>
        <w:t>数量为准。</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合同期内，中标单位根据采购人要求对存在安全隐患的灯具按照“以料抵工”的方式进行拆除，采购人不再单独支付相关费用。</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合同期内，若亮灯设施减少或增加的，由采购人书面告知并按实际养护量予以结算。</w:t>
      </w:r>
    </w:p>
    <w:p>
      <w:pPr>
        <w:spacing w:line="288" w:lineRule="auto"/>
        <w:ind w:firstLine="482" w:firstLineChars="200"/>
        <w:rPr>
          <w:rFonts w:ascii="仿宋" w:hAnsi="仿宋" w:eastAsia="仿宋" w:cs="仿宋"/>
          <w:b/>
          <w:sz w:val="24"/>
          <w:szCs w:val="24"/>
          <w:highlight w:val="none"/>
        </w:rPr>
      </w:pP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eastAsia="zh-CN"/>
        </w:rPr>
        <w:t>十</w:t>
      </w:r>
      <w:r>
        <w:rPr>
          <w:rFonts w:hint="eastAsia" w:ascii="仿宋" w:hAnsi="仿宋" w:eastAsia="仿宋" w:cs="仿宋"/>
          <w:b/>
          <w:sz w:val="24"/>
          <w:szCs w:val="24"/>
          <w:highlight w:val="none"/>
        </w:rPr>
        <w:t>）报价要求</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本次报价方式为综合单价包干。</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）综合单价应包括本项目一个服务年度所需的一切人工、工具、设备、保险、交通、利润、税金（包含须由投标人承担的各种税费）、设施偷盗风险费用、其它需投标人承担的费用</w:t>
      </w:r>
      <w:r>
        <w:rPr>
          <w:rFonts w:hint="eastAsia" w:ascii="仿宋" w:hAnsi="仿宋" w:eastAsia="仿宋" w:cs="仿宋"/>
          <w:sz w:val="24"/>
          <w:szCs w:val="24"/>
          <w:highlight w:val="none"/>
          <w:lang w:eastAsia="zh-CN"/>
        </w:rPr>
        <w:t>、本采购文件第三部分采购需求涉及的相关内容</w:t>
      </w:r>
      <w:r>
        <w:rPr>
          <w:rFonts w:hint="eastAsia" w:ascii="仿宋" w:hAnsi="仿宋" w:eastAsia="仿宋" w:cs="仿宋"/>
          <w:sz w:val="24"/>
          <w:szCs w:val="24"/>
          <w:highlight w:val="none"/>
        </w:rPr>
        <w:t>及潜在满足采购人监管要求可能涉及的一切费用。</w:t>
      </w:r>
      <w:r>
        <w:rPr>
          <w:rFonts w:ascii="仿宋" w:hAnsi="仿宋" w:eastAsia="仿宋" w:cs="仿宋"/>
          <w:sz w:val="24"/>
          <w:szCs w:val="24"/>
          <w:highlight w:val="none"/>
        </w:rPr>
        <w:t xml:space="preserve"> </w:t>
      </w:r>
    </w:p>
    <w:p>
      <w:pPr>
        <w:spacing w:line="288" w:lineRule="auto"/>
        <w:ind w:firstLine="480" w:firstLineChars="200"/>
        <w:rPr>
          <w:rFonts w:ascii="仿宋" w:hAnsi="仿宋" w:eastAsia="仿宋" w:cs="仿宋"/>
          <w:b/>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）无论灯具的规格、形式，地面灯具均统一按</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r>
        <w:rPr>
          <w:rFonts w:ascii="仿宋" w:hAnsi="仿宋" w:eastAsia="仿宋" w:cs="仿宋"/>
          <w:sz w:val="24"/>
          <w:szCs w:val="24"/>
          <w:highlight w:val="none"/>
        </w:rPr>
        <w:t>/</w:t>
      </w:r>
      <w:r>
        <w:rPr>
          <w:rFonts w:hint="eastAsia" w:ascii="仿宋" w:hAnsi="仿宋" w:eastAsia="仿宋" w:cs="仿宋"/>
          <w:sz w:val="24"/>
          <w:szCs w:val="24"/>
          <w:highlight w:val="none"/>
        </w:rPr>
        <w:t>盏</w:t>
      </w:r>
      <w:r>
        <w:rPr>
          <w:rFonts w:ascii="仿宋" w:hAnsi="仿宋" w:eastAsia="仿宋" w:cs="仿宋"/>
          <w:sz w:val="24"/>
          <w:szCs w:val="24"/>
          <w:highlight w:val="none"/>
        </w:rPr>
        <w:t>/</w:t>
      </w:r>
      <w:r>
        <w:rPr>
          <w:rFonts w:hint="eastAsia" w:ascii="仿宋" w:hAnsi="仿宋" w:eastAsia="仿宋" w:cs="仿宋"/>
          <w:sz w:val="24"/>
          <w:szCs w:val="24"/>
          <w:highlight w:val="none"/>
        </w:rPr>
        <w:t>年的形式进行报价；楼宇灯具均统一按</w:t>
      </w:r>
      <w:r>
        <w:rPr>
          <w:rFonts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r>
        <w:rPr>
          <w:rFonts w:ascii="仿宋" w:hAnsi="仿宋" w:eastAsia="仿宋" w:cs="仿宋"/>
          <w:sz w:val="24"/>
          <w:szCs w:val="24"/>
          <w:highlight w:val="none"/>
        </w:rPr>
        <w:t>/</w:t>
      </w:r>
      <w:r>
        <w:rPr>
          <w:rFonts w:hint="eastAsia" w:ascii="仿宋" w:hAnsi="仿宋" w:eastAsia="仿宋" w:cs="仿宋"/>
          <w:sz w:val="24"/>
          <w:szCs w:val="24"/>
          <w:highlight w:val="none"/>
        </w:rPr>
        <w:t>盏</w:t>
      </w:r>
      <w:r>
        <w:rPr>
          <w:rFonts w:ascii="仿宋" w:hAnsi="仿宋" w:eastAsia="仿宋" w:cs="仿宋"/>
          <w:sz w:val="24"/>
          <w:szCs w:val="24"/>
          <w:highlight w:val="none"/>
        </w:rPr>
        <w:t>/</w:t>
      </w:r>
      <w:r>
        <w:rPr>
          <w:rFonts w:hint="eastAsia" w:ascii="仿宋" w:hAnsi="仿宋" w:eastAsia="仿宋" w:cs="仿宋"/>
          <w:sz w:val="24"/>
          <w:szCs w:val="24"/>
          <w:highlight w:val="none"/>
        </w:rPr>
        <w:t>年的形式进行报价。每标项的总价</w:t>
      </w:r>
      <w:r>
        <w:rPr>
          <w:rFonts w:ascii="仿宋" w:hAnsi="仿宋" w:eastAsia="仿宋" w:cs="仿宋"/>
          <w:sz w:val="24"/>
          <w:szCs w:val="24"/>
          <w:highlight w:val="none"/>
        </w:rPr>
        <w:t>=</w:t>
      </w:r>
      <w:r>
        <w:rPr>
          <w:rFonts w:hint="eastAsia" w:ascii="仿宋" w:hAnsi="仿宋" w:eastAsia="仿宋" w:cs="仿宋"/>
          <w:sz w:val="24"/>
          <w:szCs w:val="24"/>
          <w:highlight w:val="none"/>
        </w:rPr>
        <w:t>∑综合单价</w:t>
      </w:r>
      <w:r>
        <w:rPr>
          <w:rFonts w:ascii="仿宋" w:hAnsi="仿宋" w:eastAsia="仿宋" w:cs="仿宋"/>
          <w:sz w:val="24"/>
          <w:szCs w:val="24"/>
          <w:highlight w:val="none"/>
        </w:rPr>
        <w:t>*</w:t>
      </w:r>
      <w:r>
        <w:rPr>
          <w:rFonts w:hint="eastAsia" w:ascii="仿宋" w:hAnsi="仿宋" w:eastAsia="仿宋" w:cs="仿宋"/>
          <w:sz w:val="24"/>
          <w:szCs w:val="24"/>
          <w:highlight w:val="none"/>
        </w:rPr>
        <w:t>该标项该类型灯具数量，数量详见养护清单。</w:t>
      </w:r>
      <w:r>
        <w:rPr>
          <w:rFonts w:hint="eastAsia" w:ascii="仿宋" w:hAnsi="仿宋" w:eastAsia="仿宋" w:cs="仿宋"/>
          <w:sz w:val="24"/>
          <w:szCs w:val="24"/>
          <w:highlight w:val="none"/>
          <w:lang w:eastAsia="zh-CN"/>
        </w:rPr>
        <w:t>因每个标段的预算为总价形式，故最终报价方式虽为单价形式，但要根据标段的灯具数量测算出总价。</w:t>
      </w:r>
      <w:r>
        <w:rPr>
          <w:rFonts w:hint="eastAsia" w:ascii="仿宋" w:hAnsi="仿宋" w:eastAsia="仿宋" w:cs="仿宋"/>
          <w:b/>
          <w:sz w:val="24"/>
          <w:szCs w:val="24"/>
          <w:highlight w:val="none"/>
          <w:lang w:eastAsia="zh-CN"/>
        </w:rPr>
        <w:t>说明：</w:t>
      </w:r>
      <w:r>
        <w:rPr>
          <w:rFonts w:hint="eastAsia" w:ascii="仿宋" w:hAnsi="仿宋" w:eastAsia="仿宋" w:cs="仿宋"/>
          <w:b/>
          <w:sz w:val="24"/>
          <w:szCs w:val="24"/>
          <w:highlight w:val="none"/>
        </w:rPr>
        <w:t>▲楼宇灯具最高限价为</w:t>
      </w:r>
      <w:r>
        <w:rPr>
          <w:rFonts w:hint="eastAsia" w:ascii="仿宋" w:hAnsi="仿宋" w:eastAsia="仿宋" w:cs="仿宋"/>
          <w:b/>
          <w:sz w:val="24"/>
          <w:szCs w:val="24"/>
          <w:highlight w:val="none"/>
          <w:lang w:val="en-US" w:eastAsia="zh-CN"/>
        </w:rPr>
        <w:t>65</w:t>
      </w:r>
      <w:r>
        <w:rPr>
          <w:rFonts w:hint="eastAsia" w:ascii="仿宋" w:hAnsi="仿宋" w:eastAsia="仿宋" w:cs="仿宋"/>
          <w:b/>
          <w:sz w:val="24"/>
          <w:szCs w:val="24"/>
          <w:highlight w:val="none"/>
        </w:rPr>
        <w:t>元</w:t>
      </w:r>
      <w:r>
        <w:rPr>
          <w:rFonts w:ascii="仿宋" w:hAnsi="仿宋" w:eastAsia="仿宋" w:cs="仿宋"/>
          <w:b/>
          <w:sz w:val="24"/>
          <w:szCs w:val="24"/>
          <w:highlight w:val="none"/>
        </w:rPr>
        <w:t>/</w:t>
      </w:r>
      <w:r>
        <w:rPr>
          <w:rFonts w:hint="eastAsia" w:ascii="仿宋" w:hAnsi="仿宋" w:eastAsia="仿宋" w:cs="仿宋"/>
          <w:b/>
          <w:sz w:val="24"/>
          <w:szCs w:val="24"/>
          <w:highlight w:val="none"/>
        </w:rPr>
        <w:t>盏</w:t>
      </w:r>
      <w:r>
        <w:rPr>
          <w:rFonts w:ascii="仿宋" w:hAnsi="仿宋" w:eastAsia="仿宋" w:cs="仿宋"/>
          <w:b/>
          <w:sz w:val="24"/>
          <w:szCs w:val="24"/>
          <w:highlight w:val="none"/>
        </w:rPr>
        <w:t>/</w:t>
      </w:r>
      <w:r>
        <w:rPr>
          <w:rFonts w:hint="eastAsia" w:ascii="仿宋" w:hAnsi="仿宋" w:eastAsia="仿宋" w:cs="仿宋"/>
          <w:b/>
          <w:sz w:val="24"/>
          <w:szCs w:val="24"/>
          <w:highlight w:val="none"/>
        </w:rPr>
        <w:t>年，地面灯具最高限价为</w:t>
      </w:r>
      <w:r>
        <w:rPr>
          <w:rFonts w:hint="eastAsia" w:ascii="仿宋" w:hAnsi="仿宋" w:eastAsia="仿宋" w:cs="仿宋"/>
          <w:b/>
          <w:sz w:val="24"/>
          <w:szCs w:val="24"/>
          <w:highlight w:val="none"/>
          <w:lang w:val="en-US" w:eastAsia="zh-CN"/>
        </w:rPr>
        <w:t>49.6</w:t>
      </w:r>
      <w:r>
        <w:rPr>
          <w:rFonts w:hint="eastAsia" w:ascii="仿宋" w:hAnsi="仿宋" w:eastAsia="仿宋" w:cs="仿宋"/>
          <w:b/>
          <w:sz w:val="24"/>
          <w:szCs w:val="24"/>
          <w:highlight w:val="none"/>
        </w:rPr>
        <w:t>元</w:t>
      </w:r>
      <w:r>
        <w:rPr>
          <w:rFonts w:ascii="仿宋" w:hAnsi="仿宋" w:eastAsia="仿宋" w:cs="仿宋"/>
          <w:b/>
          <w:sz w:val="24"/>
          <w:szCs w:val="24"/>
          <w:highlight w:val="none"/>
        </w:rPr>
        <w:t>/</w:t>
      </w:r>
      <w:r>
        <w:rPr>
          <w:rFonts w:hint="eastAsia" w:ascii="仿宋" w:hAnsi="仿宋" w:eastAsia="仿宋" w:cs="仿宋"/>
          <w:b/>
          <w:sz w:val="24"/>
          <w:szCs w:val="24"/>
          <w:highlight w:val="none"/>
        </w:rPr>
        <w:t>盏</w:t>
      </w:r>
      <w:r>
        <w:rPr>
          <w:rFonts w:ascii="仿宋" w:hAnsi="仿宋" w:eastAsia="仿宋" w:cs="仿宋"/>
          <w:b/>
          <w:sz w:val="24"/>
          <w:szCs w:val="24"/>
          <w:highlight w:val="none"/>
        </w:rPr>
        <w:t>/</w:t>
      </w:r>
      <w:r>
        <w:rPr>
          <w:rFonts w:hint="eastAsia" w:ascii="仿宋" w:hAnsi="仿宋" w:eastAsia="仿宋" w:cs="仿宋"/>
          <w:b/>
          <w:sz w:val="24"/>
          <w:szCs w:val="24"/>
          <w:highlight w:val="none"/>
        </w:rPr>
        <w:t>年。</w:t>
      </w:r>
    </w:p>
    <w:p>
      <w:pPr>
        <w:numPr>
          <w:ilvl w:val="0"/>
          <w:numId w:val="0"/>
        </w:numPr>
        <w:spacing w:line="288"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）报价有关表格中要求报价的楼宇灯具和地面灯具，系指质保期外的灯具</w:t>
      </w:r>
      <w:r>
        <w:rPr>
          <w:rFonts w:hint="eastAsia" w:ascii="仿宋" w:hAnsi="仿宋" w:eastAsia="仿宋" w:cs="仿宋"/>
          <w:sz w:val="24"/>
          <w:szCs w:val="24"/>
          <w:highlight w:val="none"/>
          <w:lang w:eastAsia="zh-CN"/>
        </w:rPr>
        <w:t>。</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4</w:t>
      </w:r>
      <w:r>
        <w:rPr>
          <w:rFonts w:hint="eastAsia" w:ascii="仿宋" w:hAnsi="仿宋" w:eastAsia="仿宋" w:cs="仿宋"/>
          <w:sz w:val="24"/>
          <w:szCs w:val="24"/>
          <w:highlight w:val="none"/>
        </w:rPr>
        <w:t>）每盏灯除灯具自身外，还包括其附属设施，且无论灯具的品牌、规格、样式，均统一按综合单价的形式报价、支付款项。因此建议投标人自行踏勘现场（周二、五、六均可），掌握养护灯具的具体信息。投标人应认真计算可能发生的各相关费用并计入投标报价内，在项目实施过程中不得要求增加任何费用。</w:t>
      </w:r>
    </w:p>
    <w:p>
      <w:pPr>
        <w:spacing w:line="288" w:lineRule="auto"/>
        <w:ind w:firstLine="482" w:firstLineChars="200"/>
        <w:rPr>
          <w:rFonts w:ascii="仿宋" w:hAnsi="仿宋" w:eastAsia="仿宋" w:cs="仿宋"/>
          <w:b/>
          <w:bCs/>
          <w:sz w:val="24"/>
          <w:szCs w:val="24"/>
          <w:highlight w:val="none"/>
          <w:lang w:val="zh-CN"/>
        </w:rPr>
      </w:pPr>
      <w:r>
        <w:rPr>
          <w:rFonts w:hint="eastAsia" w:ascii="仿宋" w:hAnsi="仿宋" w:eastAsia="仿宋" w:cs="仿宋"/>
          <w:b/>
          <w:bCs/>
          <w:sz w:val="24"/>
          <w:szCs w:val="24"/>
          <w:highlight w:val="none"/>
          <w:lang w:val="zh-CN"/>
        </w:rPr>
        <w:t>投标报价出现下列情形的，投标无效：</w:t>
      </w:r>
    </w:p>
    <w:p>
      <w:pPr>
        <w:spacing w:line="288" w:lineRule="auto"/>
        <w:ind w:firstLine="482" w:firstLineChars="200"/>
        <w:rPr>
          <w:rFonts w:ascii="仿宋" w:hAnsi="仿宋" w:eastAsia="仿宋" w:cs="仿宋"/>
          <w:b/>
          <w:bCs/>
          <w:sz w:val="24"/>
          <w:szCs w:val="24"/>
          <w:highlight w:val="none"/>
          <w:lang w:val="zh-CN"/>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zh-CN"/>
        </w:rPr>
        <w:t>投标文件出现不是唯一的、有选择性投标报价的；</w:t>
      </w:r>
    </w:p>
    <w:p>
      <w:pPr>
        <w:spacing w:line="288" w:lineRule="auto"/>
        <w:ind w:firstLine="482" w:firstLineChars="200"/>
        <w:rPr>
          <w:rFonts w:ascii="仿宋" w:hAnsi="仿宋" w:eastAsia="仿宋" w:cs="仿宋"/>
          <w:b/>
          <w:bCs/>
          <w:sz w:val="24"/>
          <w:szCs w:val="24"/>
          <w:highlight w:val="none"/>
          <w:lang w:val="zh-CN"/>
        </w:rPr>
      </w:pPr>
      <w:r>
        <w:rPr>
          <w:rFonts w:hint="eastAsia" w:ascii="仿宋" w:hAnsi="仿宋" w:eastAsia="仿宋" w:cs="仿宋"/>
          <w:b/>
          <w:bCs/>
          <w:sz w:val="24"/>
          <w:szCs w:val="24"/>
          <w:highlight w:val="none"/>
        </w:rPr>
        <w:t>▲投标报价高于本项目最高限价的</w:t>
      </w:r>
      <w:r>
        <w:rPr>
          <w:rFonts w:ascii="仿宋" w:hAnsi="仿宋" w:eastAsia="仿宋" w:cs="仿宋"/>
          <w:b/>
          <w:bCs/>
          <w:sz w:val="24"/>
          <w:szCs w:val="24"/>
          <w:highlight w:val="none"/>
        </w:rPr>
        <w:t>;</w:t>
      </w:r>
    </w:p>
    <w:p>
      <w:pPr>
        <w:spacing w:line="288"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▲报价明显低于其他通过符合性审查投标人的报价，有可能影响产品质量或者不能诚信履约的，未能按要求提供书面说明或者提交相关证明材料，不能证明其报价合理性的</w:t>
      </w:r>
      <w:r>
        <w:rPr>
          <w:rFonts w:ascii="仿宋" w:hAnsi="仿宋" w:eastAsia="仿宋" w:cs="仿宋"/>
          <w:b/>
          <w:bCs/>
          <w:sz w:val="24"/>
          <w:szCs w:val="24"/>
          <w:highlight w:val="none"/>
        </w:rPr>
        <w:t>;</w:t>
      </w:r>
    </w:p>
    <w:p>
      <w:pPr>
        <w:spacing w:line="288"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eastAsia="zh-CN"/>
        </w:rPr>
        <w:t>投标总价表</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eastAsia="zh-CN"/>
        </w:rPr>
        <w:t>和《投标报价明细表》</w:t>
      </w:r>
      <w:r>
        <w:rPr>
          <w:rFonts w:hint="eastAsia" w:ascii="仿宋" w:hAnsi="仿宋" w:eastAsia="仿宋" w:cs="仿宋"/>
          <w:b/>
          <w:bCs/>
          <w:sz w:val="24"/>
          <w:szCs w:val="24"/>
          <w:highlight w:val="none"/>
        </w:rPr>
        <w:t>填写不完整或字迹不能辨认或有漏项的；</w:t>
      </w:r>
    </w:p>
    <w:p>
      <w:pPr>
        <w:spacing w:line="288" w:lineRule="auto"/>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▲投标人对根据修正原则修正后的报价不确认的。</w:t>
      </w:r>
    </w:p>
    <w:p>
      <w:pPr>
        <w:pStyle w:val="23"/>
        <w:spacing w:line="288" w:lineRule="auto"/>
        <w:ind w:firstLine="480" w:firstLineChars="200"/>
        <w:rPr>
          <w:rFonts w:ascii="仿宋" w:hAnsi="仿宋" w:eastAsia="仿宋" w:cs="仿宋"/>
          <w:kern w:val="2"/>
          <w:szCs w:val="24"/>
          <w:highlight w:val="none"/>
          <w:lang w:val="en-US"/>
        </w:rPr>
      </w:pPr>
      <w:r>
        <w:rPr>
          <w:rFonts w:ascii="仿宋" w:hAnsi="仿宋" w:eastAsia="仿宋" w:cs="仿宋"/>
          <w:kern w:val="2"/>
          <w:szCs w:val="24"/>
          <w:highlight w:val="none"/>
          <w:lang w:val="en-US"/>
        </w:rPr>
        <w:t>2</w:t>
      </w:r>
      <w:r>
        <w:rPr>
          <w:rFonts w:hint="eastAsia" w:ascii="仿宋" w:hAnsi="仿宋" w:eastAsia="仿宋" w:cs="仿宋"/>
          <w:kern w:val="2"/>
          <w:szCs w:val="24"/>
          <w:highlight w:val="none"/>
          <w:lang w:val="en-US" w:eastAsia="zh-CN"/>
        </w:rPr>
        <w:t>.</w:t>
      </w:r>
      <w:r>
        <w:rPr>
          <w:rFonts w:hint="eastAsia" w:ascii="仿宋" w:hAnsi="仿宋" w:eastAsia="仿宋" w:cs="仿宋"/>
          <w:kern w:val="2"/>
          <w:szCs w:val="24"/>
          <w:highlight w:val="none"/>
          <w:lang w:val="en-US"/>
        </w:rPr>
        <w:t>投标文件中价格全部采用人民币报价。报价应是唯一的，不接受有选择的报价。</w:t>
      </w:r>
    </w:p>
    <w:p>
      <w:pPr>
        <w:spacing w:line="288" w:lineRule="auto"/>
        <w:ind w:firstLine="482" w:firstLineChars="20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3.本项目还包括以下内容，各投标人在报价中同步考虑。</w:t>
      </w:r>
    </w:p>
    <w:p>
      <w:pPr>
        <w:spacing w:line="288" w:lineRule="auto"/>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（1）亮灯项目灯具使用年限较长，请投标人自行踏勘现场并结合杭州市养护标准，充分考虑养护成本后报价。</w:t>
      </w:r>
    </w:p>
    <w:p>
      <w:pPr>
        <w:spacing w:line="288" w:lineRule="auto"/>
        <w:ind w:firstLine="482" w:firstLineChars="200"/>
        <w:rPr>
          <w:b/>
          <w:bCs/>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养护期内除不可抗力的自然环境因素外，</w:t>
      </w:r>
      <w:r>
        <w:rPr>
          <w:rFonts w:hint="eastAsia" w:ascii="仿宋" w:hAnsi="仿宋" w:eastAsia="仿宋" w:cs="仿宋"/>
          <w:b/>
          <w:bCs/>
          <w:sz w:val="24"/>
          <w:szCs w:val="24"/>
          <w:highlight w:val="none"/>
          <w:lang w:eastAsia="zh-CN"/>
        </w:rPr>
        <w:t>本采购文件第三部分采购需求涉及的所有内容</w:t>
      </w:r>
      <w:r>
        <w:rPr>
          <w:rFonts w:hint="eastAsia" w:ascii="仿宋" w:hAnsi="仿宋" w:eastAsia="仿宋" w:cs="仿宋"/>
          <w:b/>
          <w:bCs/>
          <w:sz w:val="24"/>
          <w:szCs w:val="24"/>
          <w:highlight w:val="none"/>
        </w:rPr>
        <w:t>产生的各种费用（材料、运输、装卸、堆放、</w:t>
      </w:r>
      <w:r>
        <w:rPr>
          <w:rFonts w:hint="eastAsia" w:ascii="仿宋" w:hAnsi="仿宋" w:eastAsia="仿宋" w:cs="仿宋"/>
          <w:b/>
          <w:bCs/>
          <w:sz w:val="24"/>
          <w:szCs w:val="24"/>
          <w:highlight w:val="none"/>
          <w:lang w:eastAsia="zh-CN"/>
        </w:rPr>
        <w:t>景观灯电费、喷泉水费、</w:t>
      </w:r>
      <w:r>
        <w:rPr>
          <w:rFonts w:hint="eastAsia" w:ascii="仿宋" w:hAnsi="仿宋" w:eastAsia="仿宋" w:cs="仿宋"/>
          <w:b/>
          <w:bCs/>
          <w:sz w:val="24"/>
          <w:szCs w:val="24"/>
          <w:highlight w:val="none"/>
        </w:rPr>
        <w:t>场地租用费、因人为、偷盗等原因导致的损失、有关规费、风险费用等）均由投标人负责，应全面考虑并列入投标总报价中。</w:t>
      </w:r>
    </w:p>
    <w:p>
      <w:pPr>
        <w:numPr>
          <w:ilvl w:val="0"/>
          <w:numId w:val="0"/>
        </w:numPr>
        <w:spacing w:line="288" w:lineRule="auto"/>
        <w:ind w:firstLine="482" w:firstLineChars="200"/>
        <w:rPr>
          <w:rFonts w:hint="eastAsia" w:ascii="仿宋_GB2312" w:hAnsi="仿宋" w:eastAsia="仿宋_GB2312" w:cs="Times New Roman"/>
          <w:b/>
          <w:bCs/>
          <w:sz w:val="24"/>
          <w:szCs w:val="24"/>
          <w:highlight w:val="none"/>
          <w:lang w:val="en-US"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rPr>
        <w:t>投标人合同签订起</w:t>
      </w:r>
      <w:r>
        <w:rPr>
          <w:rFonts w:ascii="仿宋" w:hAnsi="仿宋" w:eastAsia="仿宋" w:cs="仿宋"/>
          <w:b/>
          <w:bCs/>
          <w:sz w:val="24"/>
          <w:szCs w:val="24"/>
          <w:highlight w:val="none"/>
        </w:rPr>
        <w:t>6</w:t>
      </w:r>
      <w:r>
        <w:rPr>
          <w:rFonts w:hint="eastAsia" w:ascii="仿宋" w:hAnsi="仿宋" w:eastAsia="仿宋" w:cs="仿宋"/>
          <w:b/>
          <w:bCs/>
          <w:sz w:val="24"/>
          <w:szCs w:val="24"/>
          <w:highlight w:val="none"/>
        </w:rPr>
        <w:t>个月内对中标标段内无集控系统项目进行改造安装</w:t>
      </w:r>
      <w:r>
        <w:rPr>
          <w:rFonts w:hint="eastAsia" w:ascii="仿宋" w:hAnsi="仿宋" w:eastAsia="仿宋" w:cs="仿宋"/>
          <w:b/>
          <w:bCs/>
          <w:sz w:val="24"/>
          <w:szCs w:val="24"/>
          <w:highlight w:val="none"/>
          <w:lang w:eastAsia="zh-CN"/>
        </w:rPr>
        <w:t>（标项一</w:t>
      </w:r>
      <w:r>
        <w:rPr>
          <w:rFonts w:hint="eastAsia" w:ascii="仿宋_GB2312" w:hAnsi="仿宋" w:eastAsia="仿宋_GB2312" w:cs="Times New Roman"/>
          <w:b/>
          <w:bCs/>
          <w:sz w:val="24"/>
          <w:szCs w:val="24"/>
          <w:highlight w:val="none"/>
          <w:lang w:val="en-US" w:eastAsia="zh-CN"/>
        </w:rPr>
        <w:t>无，标项二东方水岚佳苑），投标人应将费用考虑在报价中。</w:t>
      </w:r>
    </w:p>
    <w:p>
      <w:pPr>
        <w:numPr>
          <w:ilvl w:val="0"/>
          <w:numId w:val="0"/>
        </w:numPr>
        <w:spacing w:line="288" w:lineRule="auto"/>
        <w:ind w:firstLine="482" w:firstLineChars="200"/>
        <w:rPr>
          <w:rFonts w:hint="eastAsia" w:ascii="仿宋_GB2312" w:hAnsi="仿宋" w:eastAsia="仿宋_GB2312" w:cs="Times New Roman"/>
          <w:b/>
          <w:bCs/>
          <w:sz w:val="24"/>
          <w:szCs w:val="24"/>
          <w:highlight w:val="none"/>
          <w:lang w:val="en-US" w:eastAsia="zh-CN"/>
        </w:rPr>
      </w:pPr>
      <w:r>
        <w:rPr>
          <w:rFonts w:hint="eastAsia" w:ascii="仿宋_GB2312" w:hAnsi="仿宋" w:eastAsia="仿宋_GB2312" w:cs="Times New Roman"/>
          <w:b/>
          <w:bCs/>
          <w:sz w:val="24"/>
          <w:szCs w:val="24"/>
          <w:highlight w:val="none"/>
          <w:lang w:val="en-US" w:eastAsia="zh-CN"/>
        </w:rPr>
        <w:t>（4）每一轮合同养护期内承担住宅、历史政府投资商业或办公项目景观亮灯电费，根据测算，标项一约46万元/年、标项二约17万元/年（最终按实为准），养护期间由中标人及时支付各业主单位，电费支付时间为从上一轮养护单位末次抄表之日起算至本轮养护期末次抄表后止。</w:t>
      </w:r>
    </w:p>
    <w:p>
      <w:pPr>
        <w:numPr>
          <w:ilvl w:val="0"/>
          <w:numId w:val="0"/>
        </w:numPr>
        <w:spacing w:line="288" w:lineRule="auto"/>
        <w:ind w:firstLine="482" w:firstLineChars="200"/>
        <w:rPr>
          <w:rFonts w:hint="eastAsia" w:ascii="仿宋_GB2312" w:hAnsi="仿宋" w:eastAsia="仿宋_GB2312" w:cs="Times New Roman"/>
          <w:b/>
          <w:bCs/>
          <w:sz w:val="24"/>
          <w:szCs w:val="24"/>
          <w:highlight w:val="none"/>
          <w:lang w:val="en-US"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lang w:eastAsia="zh-CN"/>
        </w:rPr>
        <w:t>）每一轮合同期内</w:t>
      </w:r>
      <w:r>
        <w:rPr>
          <w:rFonts w:hint="eastAsia" w:ascii="仿宋_GB2312" w:hAnsi="仿宋" w:eastAsia="仿宋_GB2312" w:cs="Times New Roman"/>
          <w:b/>
          <w:bCs/>
          <w:sz w:val="24"/>
          <w:szCs w:val="24"/>
          <w:highlight w:val="none"/>
          <w:lang w:val="en-US" w:eastAsia="zh-CN"/>
        </w:rPr>
        <w:t>新增项目质保期内的巡查、抄表及督促维修等工作（维修由质保期内项目施工单位负责）由相应标段中标人负责，该工作产生的养护费用由投标单位在报价中同步考虑，不再另行支付。</w:t>
      </w:r>
    </w:p>
    <w:p>
      <w:pPr>
        <w:numPr>
          <w:ilvl w:val="0"/>
          <w:numId w:val="0"/>
        </w:numPr>
        <w:spacing w:line="288" w:lineRule="auto"/>
        <w:ind w:firstLine="482" w:firstLineChars="200"/>
        <w:rPr>
          <w:rFonts w:hint="eastAsia" w:ascii="仿宋_GB2312" w:hAnsi="仿宋" w:eastAsia="仿宋_GB2312" w:cs="Times New Roman"/>
          <w:b/>
          <w:bCs/>
          <w:sz w:val="24"/>
          <w:szCs w:val="24"/>
          <w:highlight w:val="none"/>
          <w:lang w:val="en-US" w:eastAsia="zh-CN"/>
        </w:rPr>
      </w:pPr>
      <w:r>
        <w:rPr>
          <w:rFonts w:hint="eastAsia" w:ascii="仿宋_GB2312" w:hAnsi="仿宋" w:eastAsia="仿宋_GB2312" w:cs="Times New Roman"/>
          <w:b/>
          <w:bCs/>
          <w:sz w:val="24"/>
          <w:szCs w:val="24"/>
          <w:highlight w:val="none"/>
          <w:lang w:val="en-US" w:eastAsia="zh-CN"/>
        </w:rPr>
        <w:t>（6）项目中标后第一年合同签订后6个月内对中标标段中部分老旧项目进行更新改造，其中标项一提升改造项目费用不少于30万元（初步排查改造点位为凯恩戴斯、文汇苑等项目，最终将根据现场实际、费用、方案等确定，改造方案需经采购人审核同意后方可实施，费用以第三方单位审核为准。）；标项二提升改造费用不少于72万元（初步排查改造点位为文渊大厦、铭和苑等项目，最终将根据现场实际、费用、方案等确定；改造方案需经采购人审核同意后方可实施，费用以第三方单位审核为准。）。</w:t>
      </w:r>
    </w:p>
    <w:p>
      <w:pPr>
        <w:numPr>
          <w:ilvl w:val="0"/>
          <w:numId w:val="0"/>
        </w:numPr>
        <w:spacing w:line="288" w:lineRule="auto"/>
        <w:ind w:firstLine="482" w:firstLineChars="200"/>
        <w:rPr>
          <w:rFonts w:hint="eastAsia" w:ascii="仿宋_GB2312" w:hAnsi="仿宋" w:eastAsia="仿宋_GB2312" w:cs="Times New Roman"/>
          <w:b/>
          <w:bCs/>
          <w:sz w:val="24"/>
          <w:szCs w:val="24"/>
          <w:highlight w:val="none"/>
          <w:lang w:val="en-US" w:eastAsia="zh-CN"/>
        </w:rPr>
      </w:pPr>
      <w:r>
        <w:rPr>
          <w:rFonts w:hint="eastAsia" w:ascii="仿宋_GB2312" w:hAnsi="仿宋" w:eastAsia="仿宋_GB2312" w:cs="Times New Roman"/>
          <w:b/>
          <w:bCs/>
          <w:sz w:val="24"/>
          <w:szCs w:val="24"/>
          <w:highlight w:val="none"/>
          <w:lang w:val="en-US" w:eastAsia="zh-CN"/>
        </w:rPr>
        <w:t>（7）文泽广场（东广场、西广场）音乐喷泉、金沙大道与海达南路交叉口东北角及东南角共4个喷泉养护工作，不单独报价，含在标段报价中，并同步承担养护期时间内的喷泉水费，经初步测算，水费每月约5000元（最终按实为准）。</w:t>
      </w:r>
    </w:p>
    <w:p>
      <w:pPr>
        <w:spacing w:line="288" w:lineRule="auto"/>
        <w:ind w:firstLine="482" w:firstLineChars="20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8</w:t>
      </w:r>
      <w:r>
        <w:rPr>
          <w:rFonts w:hint="eastAsia" w:ascii="仿宋" w:hAnsi="仿宋" w:eastAsia="仿宋" w:cs="仿宋"/>
          <w:b/>
          <w:bCs/>
          <w:sz w:val="24"/>
          <w:szCs w:val="24"/>
          <w:highlight w:val="none"/>
          <w:lang w:eastAsia="zh-CN"/>
        </w:rPr>
        <w:t>）</w:t>
      </w:r>
      <w:r>
        <w:rPr>
          <w:rFonts w:hint="eastAsia" w:ascii="仿宋_GB2312" w:hAnsi="仿宋" w:eastAsia="仿宋_GB2312" w:cs="Times New Roman"/>
          <w:b/>
          <w:bCs/>
          <w:sz w:val="24"/>
          <w:szCs w:val="24"/>
          <w:highlight w:val="none"/>
          <w:lang w:val="en-US" w:eastAsia="zh-CN"/>
        </w:rPr>
        <w:t>结合实际情况，中标人在每一轮合同期内做好各自标段内雕塑亮灯、雕塑、亮灯小品等养护工作，经初步统计，标段一雕塑共有2个，亮灯小品1个；标段二雕塑共有2个，亮灯小品4个；最终以现场实际为准。</w:t>
      </w:r>
    </w:p>
    <w:p>
      <w:pPr>
        <w:spacing w:line="288" w:lineRule="auto"/>
        <w:ind w:firstLine="482" w:firstLineChars="200"/>
        <w:rPr>
          <w:rFonts w:hint="eastAsia" w:ascii="仿宋_GB2312" w:hAnsi="仿宋" w:eastAsia="仿宋_GB2312" w:cs="Times New Roman"/>
          <w:b/>
          <w:bCs/>
          <w:sz w:val="24"/>
          <w:szCs w:val="24"/>
          <w:highlight w:val="none"/>
          <w:lang w:val="en-US"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9</w:t>
      </w:r>
      <w:r>
        <w:rPr>
          <w:rFonts w:hint="eastAsia" w:ascii="仿宋" w:hAnsi="仿宋" w:eastAsia="仿宋" w:cs="仿宋"/>
          <w:b/>
          <w:bCs/>
          <w:sz w:val="24"/>
          <w:szCs w:val="24"/>
          <w:highlight w:val="none"/>
          <w:lang w:eastAsia="zh-CN"/>
        </w:rPr>
        <w:t>）</w:t>
      </w:r>
      <w:r>
        <w:rPr>
          <w:rFonts w:hint="eastAsia" w:ascii="仿宋_GB2312" w:hAnsi="仿宋" w:eastAsia="仿宋_GB2312" w:cs="Times New Roman"/>
          <w:b/>
          <w:bCs/>
          <w:sz w:val="24"/>
          <w:szCs w:val="24"/>
          <w:highlight w:val="none"/>
        </w:rPr>
        <w:t>中标</w:t>
      </w:r>
      <w:r>
        <w:rPr>
          <w:rFonts w:hint="eastAsia" w:ascii="仿宋_GB2312" w:hAnsi="仿宋" w:eastAsia="仿宋_GB2312" w:cs="Times New Roman"/>
          <w:b/>
          <w:bCs/>
          <w:sz w:val="24"/>
          <w:szCs w:val="24"/>
          <w:highlight w:val="none"/>
          <w:lang w:eastAsia="zh-CN"/>
        </w:rPr>
        <w:t>人在每一轮合同期内</w:t>
      </w:r>
      <w:r>
        <w:rPr>
          <w:rFonts w:hint="eastAsia" w:ascii="仿宋_GB2312" w:hAnsi="仿宋" w:eastAsia="仿宋_GB2312" w:cs="Times New Roman"/>
          <w:b/>
          <w:bCs/>
          <w:sz w:val="24"/>
          <w:szCs w:val="24"/>
          <w:highlight w:val="none"/>
        </w:rPr>
        <w:t>根据实际需要处置</w:t>
      </w:r>
      <w:r>
        <w:rPr>
          <w:rFonts w:hint="eastAsia" w:ascii="仿宋_GB2312" w:hAnsi="仿宋" w:eastAsia="仿宋_GB2312" w:cs="Times New Roman"/>
          <w:b/>
          <w:bCs/>
          <w:sz w:val="24"/>
          <w:szCs w:val="24"/>
          <w:highlight w:val="none"/>
          <w:lang w:eastAsia="zh-CN"/>
        </w:rPr>
        <w:t>各自</w:t>
      </w:r>
      <w:r>
        <w:rPr>
          <w:rFonts w:hint="eastAsia" w:ascii="仿宋_GB2312" w:hAnsi="仿宋" w:eastAsia="仿宋_GB2312" w:cs="Times New Roman"/>
          <w:b/>
          <w:bCs/>
          <w:sz w:val="24"/>
          <w:szCs w:val="24"/>
          <w:highlight w:val="none"/>
        </w:rPr>
        <w:t>管辖范围内的照明设施投诉案件（增亮、微改造），原则上每年不超过3件，预算价每件不超过5万元，</w:t>
      </w:r>
      <w:r>
        <w:rPr>
          <w:rFonts w:hint="eastAsia" w:ascii="仿宋_GB2312" w:hAnsi="仿宋" w:eastAsia="仿宋_GB2312" w:cs="Times New Roman"/>
          <w:b/>
          <w:bCs/>
          <w:sz w:val="24"/>
          <w:szCs w:val="24"/>
          <w:highlight w:val="none"/>
          <w:lang w:val="zh-CN"/>
        </w:rPr>
        <w:t>该费用由中标人</w:t>
      </w:r>
      <w:r>
        <w:rPr>
          <w:rFonts w:hint="eastAsia" w:ascii="仿宋_GB2312" w:hAnsi="仿宋" w:eastAsia="仿宋_GB2312" w:cs="Times New Roman"/>
          <w:b/>
          <w:bCs/>
          <w:sz w:val="24"/>
          <w:szCs w:val="24"/>
          <w:highlight w:val="none"/>
          <w:lang w:val="zh-CN" w:eastAsia="zh-CN"/>
        </w:rPr>
        <w:t>承担，招标人不再另行支付</w:t>
      </w:r>
      <w:r>
        <w:rPr>
          <w:rFonts w:hint="eastAsia" w:ascii="仿宋_GB2312" w:hAnsi="仿宋" w:eastAsia="仿宋_GB2312" w:cs="Times New Roman"/>
          <w:b/>
          <w:bCs/>
          <w:sz w:val="24"/>
          <w:szCs w:val="24"/>
          <w:highlight w:val="none"/>
          <w:lang w:val="en-US" w:eastAsia="zh-CN"/>
        </w:rPr>
        <w:t>；若无此类投诉案件，</w:t>
      </w:r>
      <w:r>
        <w:rPr>
          <w:rFonts w:hint="eastAsia" w:ascii="仿宋_GB2312" w:hAnsi="仿宋" w:eastAsia="仿宋_GB2312" w:cs="Times New Roman"/>
          <w:b/>
          <w:bCs/>
          <w:sz w:val="24"/>
          <w:szCs w:val="24"/>
          <w:highlight w:val="none"/>
          <w:lang w:val="zh-CN" w:eastAsia="zh-CN"/>
        </w:rPr>
        <w:t>年度养护费不予扣减该费用</w:t>
      </w:r>
      <w:r>
        <w:rPr>
          <w:rFonts w:hint="eastAsia" w:ascii="仿宋_GB2312" w:hAnsi="仿宋" w:eastAsia="仿宋_GB2312" w:cs="Times New Roman"/>
          <w:b/>
          <w:bCs/>
          <w:sz w:val="24"/>
          <w:szCs w:val="24"/>
          <w:highlight w:val="none"/>
          <w:lang w:val="en-US" w:eastAsia="zh-CN"/>
        </w:rPr>
        <w:t>;</w:t>
      </w:r>
    </w:p>
    <w:p>
      <w:pPr>
        <w:spacing w:line="288" w:lineRule="auto"/>
        <w:ind w:firstLine="482" w:firstLineChars="200"/>
        <w:rPr>
          <w:rFonts w:hint="default" w:ascii="仿宋_GB2312" w:hAnsi="仿宋" w:eastAsia="仿宋_GB2312" w:cs="Times New Roman"/>
          <w:b/>
          <w:bCs/>
          <w:sz w:val="24"/>
          <w:szCs w:val="24"/>
          <w:highlight w:val="none"/>
          <w:lang w:val="en-US" w:eastAsia="zh-CN"/>
        </w:rPr>
      </w:pPr>
      <w:r>
        <w:rPr>
          <w:rFonts w:hint="eastAsia" w:ascii="仿宋_GB2312" w:hAnsi="仿宋" w:eastAsia="仿宋_GB2312" w:cs="Times New Roman"/>
          <w:b/>
          <w:bCs/>
          <w:sz w:val="24"/>
          <w:szCs w:val="24"/>
          <w:highlight w:val="none"/>
          <w:lang w:val="en-US" w:eastAsia="zh-CN"/>
        </w:rPr>
        <w:t>（10）每一轮合同期间，根据相关要求，中标人完成一个各自标段内（或两个标段合作实施一个）景观灯光伏试点项目，每个标段预算价不超过10万元，</w:t>
      </w:r>
      <w:r>
        <w:rPr>
          <w:rFonts w:hint="eastAsia" w:ascii="仿宋_GB2312" w:hAnsi="仿宋" w:eastAsia="仿宋_GB2312" w:cs="Times New Roman"/>
          <w:b/>
          <w:bCs/>
          <w:sz w:val="24"/>
          <w:szCs w:val="24"/>
          <w:highlight w:val="none"/>
          <w:lang w:val="zh-CN" w:eastAsia="zh-CN"/>
        </w:rPr>
        <w:t>该费用由中标人承担，采购人不再另行支付</w:t>
      </w:r>
      <w:r>
        <w:rPr>
          <w:rFonts w:hint="eastAsia" w:ascii="仿宋_GB2312" w:hAnsi="仿宋" w:eastAsia="仿宋_GB2312" w:cs="Times New Roman"/>
          <w:b/>
          <w:bCs/>
          <w:sz w:val="24"/>
          <w:szCs w:val="24"/>
          <w:highlight w:val="none"/>
          <w:lang w:val="en-US" w:eastAsia="zh-CN"/>
        </w:rPr>
        <w:t>；若无此类要求，则无需实施此项目，</w:t>
      </w:r>
      <w:r>
        <w:rPr>
          <w:rFonts w:hint="eastAsia" w:ascii="仿宋_GB2312" w:hAnsi="仿宋" w:eastAsia="仿宋_GB2312" w:cs="Times New Roman"/>
          <w:b/>
          <w:bCs/>
          <w:sz w:val="24"/>
          <w:szCs w:val="24"/>
          <w:highlight w:val="none"/>
          <w:lang w:val="zh-CN" w:eastAsia="zh-CN"/>
        </w:rPr>
        <w:t>年度养护费不予扣减该费用</w:t>
      </w:r>
      <w:r>
        <w:rPr>
          <w:rFonts w:hint="eastAsia" w:ascii="仿宋_GB2312" w:hAnsi="仿宋" w:eastAsia="仿宋_GB2312" w:cs="Times New Roman"/>
          <w:b/>
          <w:bCs/>
          <w:sz w:val="24"/>
          <w:szCs w:val="24"/>
          <w:highlight w:val="none"/>
          <w:lang w:val="en-US" w:eastAsia="zh-CN"/>
        </w:rPr>
        <w:t>。</w:t>
      </w:r>
    </w:p>
    <w:p>
      <w:pPr>
        <w:spacing w:line="288" w:lineRule="auto"/>
        <w:ind w:firstLine="458" w:firstLineChars="200"/>
        <w:rPr>
          <w:rFonts w:hint="eastAsia" w:ascii="仿宋" w:hAnsi="仿宋" w:eastAsia="仿宋" w:cs="仿宋"/>
          <w:sz w:val="24"/>
          <w:szCs w:val="24"/>
          <w:highlight w:val="none"/>
          <w:lang w:val="en-US" w:eastAsia="zh-CN"/>
        </w:rPr>
      </w:pPr>
      <w:r>
        <w:rPr>
          <w:rFonts w:hint="eastAsia" w:ascii="仿宋" w:hAnsi="仿宋" w:eastAsia="仿宋" w:cs="仿宋"/>
          <w:b/>
          <w:spacing w:val="-6"/>
          <w:sz w:val="24"/>
          <w:szCs w:val="24"/>
          <w:highlight w:val="none"/>
        </w:rPr>
        <w:t>▲（</w:t>
      </w:r>
      <w:r>
        <w:rPr>
          <w:rFonts w:hint="eastAsia" w:ascii="仿宋" w:hAnsi="仿宋" w:eastAsia="仿宋" w:cs="仿宋"/>
          <w:b/>
          <w:sz w:val="24"/>
          <w:szCs w:val="24"/>
          <w:highlight w:val="none"/>
        </w:rPr>
        <w:t>十</w:t>
      </w:r>
      <w:r>
        <w:rPr>
          <w:rFonts w:hint="eastAsia" w:ascii="仿宋" w:hAnsi="仿宋" w:eastAsia="仿宋" w:cs="仿宋"/>
          <w:b/>
          <w:sz w:val="24"/>
          <w:szCs w:val="24"/>
          <w:highlight w:val="none"/>
          <w:lang w:eastAsia="zh-CN"/>
        </w:rPr>
        <w:t>一</w:t>
      </w:r>
      <w:r>
        <w:rPr>
          <w:rFonts w:hint="eastAsia" w:ascii="仿宋" w:hAnsi="仿宋" w:eastAsia="仿宋" w:cs="仿宋"/>
          <w:b/>
          <w:sz w:val="24"/>
          <w:szCs w:val="24"/>
          <w:highlight w:val="none"/>
        </w:rPr>
        <w:t>）其他要求</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（投标人中标后无法按照要求落实本条内容的，则视为无能力胜任养护工作，采购人有权取消其中标资格。）</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中标人须购买自身员工安全险、火灾险、第三者责任险（保费额度不低于</w:t>
      </w:r>
      <w:r>
        <w:rPr>
          <w:rFonts w:ascii="仿宋" w:hAnsi="仿宋" w:eastAsia="仿宋" w:cs="仿宋"/>
          <w:sz w:val="24"/>
          <w:szCs w:val="24"/>
          <w:highlight w:val="none"/>
        </w:rPr>
        <w:t>150</w:t>
      </w:r>
      <w:r>
        <w:rPr>
          <w:rFonts w:hint="eastAsia" w:ascii="仿宋" w:hAnsi="仿宋" w:eastAsia="仿宋" w:cs="仿宋"/>
          <w:sz w:val="24"/>
          <w:szCs w:val="24"/>
          <w:highlight w:val="none"/>
        </w:rPr>
        <w:t>万元），保单在合同签订之前办理完毕，并作为合同生效的必要条件。</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2</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采购人与中标人签定安全生产责任书，养护过程中造成的自身及第三方的安全伤亡事故由中标人全权负责并承担</w:t>
      </w:r>
      <w:r>
        <w:rPr>
          <w:rFonts w:hint="eastAsia" w:ascii="仿宋" w:hAnsi="仿宋" w:eastAsia="仿宋" w:cs="仿宋"/>
          <w:sz w:val="24"/>
          <w:szCs w:val="24"/>
          <w:highlight w:val="none"/>
          <w:lang w:eastAsia="zh-CN"/>
        </w:rPr>
        <w:t>全部</w:t>
      </w:r>
      <w:r>
        <w:rPr>
          <w:rFonts w:hint="eastAsia" w:ascii="仿宋" w:hAnsi="仿宋" w:eastAsia="仿宋" w:cs="仿宋"/>
          <w:sz w:val="24"/>
          <w:szCs w:val="24"/>
          <w:highlight w:val="none"/>
        </w:rPr>
        <w:t>费用。</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3</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中标公告发布</w:t>
      </w:r>
      <w:r>
        <w:rPr>
          <w:rFonts w:ascii="仿宋" w:hAnsi="仿宋" w:eastAsia="仿宋" w:cs="仿宋"/>
          <w:sz w:val="24"/>
          <w:szCs w:val="24"/>
          <w:highlight w:val="none"/>
        </w:rPr>
        <w:t>7</w:t>
      </w:r>
      <w:r>
        <w:rPr>
          <w:rFonts w:hint="eastAsia" w:ascii="仿宋" w:hAnsi="仿宋" w:eastAsia="仿宋" w:cs="仿宋"/>
          <w:sz w:val="24"/>
          <w:szCs w:val="24"/>
          <w:highlight w:val="none"/>
        </w:rPr>
        <w:t>个工作日内，将人员、车辆、场地等清单交采购人备案。</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4</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投标人人均工资不得低于目前杭州市劳动保障部门规定的最低工资标准，落实职工劳保福利待遇和休息休假权利、</w:t>
      </w:r>
      <w:r>
        <w:rPr>
          <w:rFonts w:ascii="仿宋" w:hAnsi="仿宋" w:eastAsia="仿宋" w:cs="仿宋"/>
          <w:sz w:val="24"/>
          <w:szCs w:val="24"/>
          <w:highlight w:val="none"/>
        </w:rPr>
        <w:t>100%</w:t>
      </w:r>
      <w:r>
        <w:rPr>
          <w:rFonts w:hint="eastAsia" w:ascii="仿宋" w:hAnsi="仿宋" w:eastAsia="仿宋" w:cs="仿宋"/>
          <w:sz w:val="24"/>
          <w:szCs w:val="24"/>
          <w:highlight w:val="none"/>
        </w:rPr>
        <w:t>缴纳社会保险费（养老保险、医疗保险、失业保险、工伤保险和生育保险）与住房公积金。</w:t>
      </w:r>
    </w:p>
    <w:p>
      <w:pPr>
        <w:pStyle w:val="24"/>
        <w:spacing w:line="288" w:lineRule="auto"/>
        <w:ind w:firstLine="480" w:firstLineChars="200"/>
        <w:rPr>
          <w:highlight w:val="none"/>
          <w:lang w:val="en-US"/>
        </w:rPr>
      </w:pPr>
      <w:r>
        <w:rPr>
          <w:rFonts w:ascii="仿宋" w:hAnsi="仿宋" w:eastAsia="仿宋" w:cs="仿宋"/>
          <w:szCs w:val="24"/>
          <w:highlight w:val="none"/>
        </w:rPr>
        <w:t>5</w:t>
      </w:r>
      <w:r>
        <w:rPr>
          <w:rFonts w:hint="eastAsia" w:ascii="仿宋" w:hAnsi="仿宋" w:eastAsia="仿宋" w:cs="仿宋"/>
          <w:szCs w:val="24"/>
          <w:highlight w:val="none"/>
          <w:lang w:val="en-US" w:eastAsia="zh-CN"/>
        </w:rPr>
        <w:t>.</w:t>
      </w:r>
      <w:r>
        <w:rPr>
          <w:rFonts w:hint="eastAsia" w:ascii="仿宋" w:hAnsi="仿宋" w:eastAsia="仿宋" w:cs="仿宋"/>
          <w:szCs w:val="24"/>
          <w:highlight w:val="none"/>
          <w:lang w:val="en-US"/>
        </w:rPr>
        <w:t>投标人在投标活动中提供任何虚假材料，其投标无效，并上报监管部门。</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6</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清退</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在服务期限内出现下列情形之一的，可以对中标单位实施清退并追究相关责任：</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1</w:t>
      </w:r>
      <w:r>
        <w:rPr>
          <w:rFonts w:hint="eastAsia" w:ascii="仿宋" w:hAnsi="仿宋" w:eastAsia="仿宋" w:cs="仿宋"/>
          <w:sz w:val="24"/>
          <w:szCs w:val="24"/>
          <w:highlight w:val="none"/>
        </w:rPr>
        <w:t>）未按要求履行合同或者合同履行与投标承诺不符，无法完成养护任务的；</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2</w:t>
      </w:r>
      <w:r>
        <w:rPr>
          <w:rFonts w:hint="eastAsia" w:ascii="仿宋" w:hAnsi="仿宋" w:eastAsia="仿宋" w:cs="仿宋"/>
          <w:sz w:val="24"/>
          <w:szCs w:val="24"/>
          <w:highlight w:val="none"/>
        </w:rPr>
        <w:t>）年度考核不合格的；</w:t>
      </w:r>
    </w:p>
    <w:p>
      <w:pPr>
        <w:spacing w:line="32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w:t>
      </w:r>
      <w:r>
        <w:rPr>
          <w:rFonts w:ascii="仿宋" w:hAnsi="仿宋" w:eastAsia="仿宋" w:cs="仿宋"/>
          <w:sz w:val="24"/>
          <w:szCs w:val="24"/>
          <w:highlight w:val="none"/>
        </w:rPr>
        <w:t>3</w:t>
      </w:r>
      <w:r>
        <w:rPr>
          <w:rFonts w:hint="eastAsia" w:ascii="仿宋" w:hAnsi="仿宋" w:eastAsia="仿宋" w:cs="仿宋"/>
          <w:sz w:val="24"/>
          <w:szCs w:val="24"/>
          <w:highlight w:val="none"/>
        </w:rPr>
        <w:t>）重大违反国家有关法律法规的；</w:t>
      </w:r>
    </w:p>
    <w:p>
      <w:pPr>
        <w:pStyle w:val="132"/>
        <w:spacing w:before="0" w:line="460" w:lineRule="exact"/>
        <w:ind w:firstLine="31680"/>
        <w:jc w:val="left"/>
        <w:rPr>
          <w:rFonts w:ascii="仿宋" w:hAnsi="仿宋" w:eastAsia="仿宋" w:cs="仿宋"/>
          <w:b/>
          <w:szCs w:val="24"/>
          <w:highlight w:val="none"/>
        </w:rPr>
      </w:pPr>
      <w:r>
        <w:rPr>
          <w:rFonts w:hint="eastAsia" w:ascii="仿宋" w:hAnsi="仿宋" w:eastAsia="仿宋" w:cs="仿宋"/>
          <w:szCs w:val="24"/>
          <w:highlight w:val="none"/>
        </w:rPr>
        <w:t>（</w:t>
      </w:r>
      <w:r>
        <w:rPr>
          <w:rFonts w:ascii="仿宋" w:hAnsi="仿宋" w:eastAsia="仿宋" w:cs="仿宋"/>
          <w:szCs w:val="24"/>
          <w:highlight w:val="none"/>
        </w:rPr>
        <w:t>4</w:t>
      </w:r>
      <w:r>
        <w:rPr>
          <w:rFonts w:hint="eastAsia" w:ascii="仿宋" w:hAnsi="仿宋" w:eastAsia="仿宋" w:cs="仿宋"/>
          <w:szCs w:val="24"/>
          <w:highlight w:val="none"/>
        </w:rPr>
        <w:t>）发生严重安全事故的（由安全管理部门认定）。</w:t>
      </w:r>
    </w:p>
    <w:p>
      <w:pPr>
        <w:spacing w:line="288" w:lineRule="auto"/>
        <w:ind w:firstLine="482" w:firstLineChars="200"/>
        <w:rPr>
          <w:rFonts w:ascii="仿宋" w:hAnsi="仿宋" w:eastAsia="仿宋" w:cs="仿宋"/>
          <w:b/>
          <w:sz w:val="24"/>
          <w:szCs w:val="24"/>
          <w:highlight w:val="none"/>
        </w:rPr>
      </w:pPr>
    </w:p>
    <w:p>
      <w:pPr>
        <w:pStyle w:val="132"/>
        <w:spacing w:before="0" w:line="460" w:lineRule="exact"/>
        <w:ind w:firstLine="0" w:firstLineChars="0"/>
        <w:jc w:val="left"/>
        <w:rPr>
          <w:rFonts w:hint="eastAsia" w:ascii="仿宋" w:hAnsi="仿宋" w:eastAsia="仿宋"/>
          <w:b/>
          <w:highlight w:val="none"/>
        </w:rPr>
      </w:pPr>
      <w:r>
        <w:rPr>
          <w:rFonts w:hint="eastAsia" w:ascii="仿宋" w:hAnsi="仿宋" w:eastAsia="仿宋"/>
          <w:b/>
          <w:highlight w:val="none"/>
        </w:rPr>
        <w:t>三、景观灯设施养护清单</w:t>
      </w:r>
    </w:p>
    <w:p>
      <w:pPr>
        <w:pStyle w:val="132"/>
        <w:spacing w:before="0" w:line="460" w:lineRule="exact"/>
        <w:ind w:firstLine="0" w:firstLineChars="0"/>
        <w:jc w:val="center"/>
        <w:rPr>
          <w:rFonts w:hint="eastAsia" w:ascii="仿宋" w:hAnsi="仿宋" w:eastAsia="仿宋"/>
          <w:b/>
          <w:highlight w:val="none"/>
        </w:rPr>
      </w:pPr>
      <w:r>
        <w:rPr>
          <w:rFonts w:hint="eastAsia" w:ascii="仿宋" w:hAnsi="仿宋" w:eastAsia="仿宋"/>
          <w:b/>
          <w:highlight w:val="none"/>
        </w:rPr>
        <w:t>2023-2025年钱塘区景观灯设施量清单（标项一）</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836"/>
        <w:gridCol w:w="1857"/>
        <w:gridCol w:w="1857"/>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序号</w:t>
            </w:r>
          </w:p>
        </w:tc>
        <w:tc>
          <w:tcPr>
            <w:tcW w:w="2836" w:type="dxa"/>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项目名称</w:t>
            </w:r>
          </w:p>
        </w:tc>
        <w:tc>
          <w:tcPr>
            <w:tcW w:w="1857" w:type="dxa"/>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灯具类别</w:t>
            </w:r>
          </w:p>
        </w:tc>
        <w:tc>
          <w:tcPr>
            <w:tcW w:w="1857" w:type="dxa"/>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类别数量（盏）</w:t>
            </w:r>
          </w:p>
        </w:tc>
        <w:tc>
          <w:tcPr>
            <w:tcW w:w="1858" w:type="dxa"/>
            <w:vAlign w:val="center"/>
          </w:tcPr>
          <w:p>
            <w:pPr>
              <w:keepNext w:val="0"/>
              <w:keepLines w:val="0"/>
              <w:widowControl/>
              <w:suppressLineNumbers w:val="0"/>
              <w:jc w:val="center"/>
              <w:textAlignment w:val="center"/>
              <w:rPr>
                <w:rFonts w:hint="eastAsia" w:ascii="仿宋" w:hAnsi="仿宋" w:eastAsia="仿宋" w:cs="仿宋"/>
                <w:b/>
                <w:i w:val="0"/>
                <w:color w:val="000000"/>
                <w:kern w:val="0"/>
                <w:sz w:val="20"/>
                <w:szCs w:val="20"/>
                <w:u w:val="none"/>
                <w:lang w:val="en-US" w:eastAsia="zh-CN" w:bidi="ar"/>
              </w:rPr>
            </w:pPr>
            <w:r>
              <w:rPr>
                <w:rFonts w:hint="eastAsia" w:ascii="仿宋" w:hAnsi="仿宋" w:eastAsia="仿宋" w:cs="仿宋"/>
                <w:b/>
                <w:i w:val="0"/>
                <w:color w:val="000000"/>
                <w:kern w:val="0"/>
                <w:sz w:val="20"/>
                <w:szCs w:val="20"/>
                <w:u w:val="none"/>
                <w:lang w:val="en-US" w:eastAsia="zh-CN" w:bidi="ar"/>
              </w:rPr>
              <w:t>灯具总数量（盏）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保利江语海</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384</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221</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多蓝水岸</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424</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点光源</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59</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线条灯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746</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220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气象雷达站</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28</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点光源</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144</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线条灯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180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12</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杭电软件园（门楼、宿舍楼）</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线条灯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112</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284</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伊比利亚电子</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44</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121</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精欧荣寓</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150</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550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7</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四季名门</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510</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点光源</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68</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梦琴湾</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169</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点光源</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55</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线条灯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576</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9</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伊萨卡一期</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276</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点光源</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线条灯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363</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92</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10</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伊萨卡三期</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140</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LED投光灯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431</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1847</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11</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七格幸福家园</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39</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点光源</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132</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458</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12</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景冉家园</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33</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546</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13</w:t>
            </w:r>
          </w:p>
        </w:tc>
        <w:tc>
          <w:tcPr>
            <w:tcW w:w="283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东海柠檬郡一期</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w:t>
            </w:r>
          </w:p>
        </w:tc>
        <w:tc>
          <w:tcPr>
            <w:tcW w:w="185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14</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东海柠檬郡二期</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196</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点光源</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180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15</w:t>
            </w:r>
          </w:p>
        </w:tc>
        <w:tc>
          <w:tcPr>
            <w:tcW w:w="283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东海柠檬郡三期</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406</w:t>
            </w:r>
          </w:p>
        </w:tc>
        <w:tc>
          <w:tcPr>
            <w:tcW w:w="185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16</w:t>
            </w:r>
          </w:p>
        </w:tc>
        <w:tc>
          <w:tcPr>
            <w:tcW w:w="283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东海柠檬郡四期</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LED投光灯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127</w:t>
            </w:r>
          </w:p>
        </w:tc>
        <w:tc>
          <w:tcPr>
            <w:tcW w:w="185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17</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天元公寓</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122</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522</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18</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世茂一期（碧景湾）</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200</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LED投光灯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420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线条灯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3270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200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19</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世茂二期（瑞景湾）</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220</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LED投光灯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330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点光源</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400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线条灯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3560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20</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世茂三期（峻景湾）</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202</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LED投光灯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1616</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点光源</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210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线条灯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4078</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280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21</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保利东湾四期</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160</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LED投光灯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22</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观澜时代天筑</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718</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LED投光灯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548</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点光源</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662</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23</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观澜时代云邸</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LED投光灯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309</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点光源</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140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492</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24</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观澜时代瀚庭</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LED投光灯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192</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点光源</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56</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25</w:t>
            </w:r>
          </w:p>
        </w:tc>
        <w:tc>
          <w:tcPr>
            <w:tcW w:w="283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观澜时代朗轩</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LED投光灯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686</w:t>
            </w:r>
          </w:p>
        </w:tc>
        <w:tc>
          <w:tcPr>
            <w:tcW w:w="185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26</w:t>
            </w:r>
          </w:p>
        </w:tc>
        <w:tc>
          <w:tcPr>
            <w:tcW w:w="283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保利五期</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1470</w:t>
            </w:r>
          </w:p>
        </w:tc>
        <w:tc>
          <w:tcPr>
            <w:tcW w:w="185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27</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保利玫瑰湾</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262</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LED投光灯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296</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点光源</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96</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28</w:t>
            </w:r>
          </w:p>
        </w:tc>
        <w:tc>
          <w:tcPr>
            <w:tcW w:w="283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中沙东岸嘉园</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线条灯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2300</w:t>
            </w:r>
          </w:p>
        </w:tc>
        <w:tc>
          <w:tcPr>
            <w:tcW w:w="185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29</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头格江景家园</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794</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点光源</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180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海天城</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164</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点光源</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140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342</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w:t>
            </w:r>
          </w:p>
        </w:tc>
        <w:tc>
          <w:tcPr>
            <w:tcW w:w="283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湖景居</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线条灯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w:t>
            </w:r>
          </w:p>
        </w:tc>
        <w:tc>
          <w:tcPr>
            <w:tcW w:w="185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32</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智格新怡家园</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609</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点光源</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162</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296</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33</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香榭里</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18</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线条灯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306</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120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34</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文汇苑</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130</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线条灯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550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104</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35</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凯恩戴斯酒店</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60</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点光源</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43</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线条灯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1100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360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36</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四季风景苑</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309</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点光源</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318</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1365</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37</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朗诗国际街区</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309</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线条灯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318</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133</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38</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农业银行</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LED投光灯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36</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39</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华新电缆</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477</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LED投光灯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471</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40</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新隆食品</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0</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线条灯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0</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41</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西门子厂房</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12</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线条灯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376</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42</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大北四季风情</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71</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点光源</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327</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线条灯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217</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43</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07立面整治（华顺、建行）</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线条灯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542</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44</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自来水公司</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线条灯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108</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45</w:t>
            </w:r>
          </w:p>
        </w:tc>
        <w:tc>
          <w:tcPr>
            <w:tcW w:w="2836"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杭四中</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51</w:t>
            </w:r>
          </w:p>
        </w:tc>
        <w:tc>
          <w:tcPr>
            <w:tcW w:w="1858" w:type="dxa"/>
            <w:vMerge w:val="restart"/>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点光源</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48</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836"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152</w:t>
            </w:r>
          </w:p>
        </w:tc>
        <w:tc>
          <w:tcPr>
            <w:tcW w:w="1858" w:type="dxa"/>
            <w:vMerge w:val="continue"/>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46</w:t>
            </w:r>
          </w:p>
        </w:tc>
        <w:tc>
          <w:tcPr>
            <w:tcW w:w="2836"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德嘉金沙阳光</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1311</w:t>
            </w:r>
          </w:p>
        </w:tc>
        <w:tc>
          <w:tcPr>
            <w:tcW w:w="185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建筑灯具小计</w:t>
            </w: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185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47950</w:t>
            </w:r>
          </w:p>
        </w:tc>
        <w:tc>
          <w:tcPr>
            <w:tcW w:w="185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47950</w:t>
            </w:r>
          </w:p>
        </w:tc>
      </w:tr>
    </w:tbl>
    <w:p>
      <w:pPr>
        <w:pStyle w:val="132"/>
        <w:spacing w:before="0" w:line="460" w:lineRule="exact"/>
        <w:ind w:firstLine="0" w:firstLineChars="0"/>
        <w:jc w:val="center"/>
        <w:rPr>
          <w:rFonts w:hint="eastAsia" w:ascii="仿宋" w:hAnsi="仿宋" w:eastAsia="仿宋"/>
          <w:b/>
          <w:highlight w:val="none"/>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4245"/>
        <w:gridCol w:w="196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w:t>
            </w:r>
          </w:p>
        </w:tc>
        <w:tc>
          <w:tcPr>
            <w:tcW w:w="424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沿江大道（含景观带）（1号大街—6号大街）</w:t>
            </w:r>
          </w:p>
        </w:tc>
        <w:tc>
          <w:tcPr>
            <w:tcW w:w="19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地面灯具</w:t>
            </w:r>
          </w:p>
        </w:tc>
        <w:tc>
          <w:tcPr>
            <w:tcW w:w="225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w:t>
            </w:r>
          </w:p>
        </w:tc>
        <w:tc>
          <w:tcPr>
            <w:tcW w:w="424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河道中心公园</w:t>
            </w:r>
          </w:p>
        </w:tc>
        <w:tc>
          <w:tcPr>
            <w:tcW w:w="19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地面灯具</w:t>
            </w:r>
          </w:p>
        </w:tc>
        <w:tc>
          <w:tcPr>
            <w:tcW w:w="225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w:t>
            </w:r>
          </w:p>
        </w:tc>
        <w:tc>
          <w:tcPr>
            <w:tcW w:w="424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莲花雕塑（5号大街6号大街交叉口转盘内）</w:t>
            </w:r>
          </w:p>
        </w:tc>
        <w:tc>
          <w:tcPr>
            <w:tcW w:w="19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地面投光灯</w:t>
            </w:r>
          </w:p>
        </w:tc>
        <w:tc>
          <w:tcPr>
            <w:tcW w:w="225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w:t>
            </w:r>
          </w:p>
        </w:tc>
        <w:tc>
          <w:tcPr>
            <w:tcW w:w="424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六号大街（1号大街—3号大街）</w:t>
            </w:r>
          </w:p>
        </w:tc>
        <w:tc>
          <w:tcPr>
            <w:tcW w:w="19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树灯</w:t>
            </w:r>
          </w:p>
        </w:tc>
        <w:tc>
          <w:tcPr>
            <w:tcW w:w="225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w:t>
            </w:r>
          </w:p>
        </w:tc>
        <w:tc>
          <w:tcPr>
            <w:tcW w:w="424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六号渠（1号大街—3号大街）</w:t>
            </w:r>
          </w:p>
        </w:tc>
        <w:tc>
          <w:tcPr>
            <w:tcW w:w="19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线条灯</w:t>
            </w:r>
          </w:p>
        </w:tc>
        <w:tc>
          <w:tcPr>
            <w:tcW w:w="225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6</w:t>
            </w:r>
          </w:p>
        </w:tc>
        <w:tc>
          <w:tcPr>
            <w:tcW w:w="424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下沙路（银沙路-1号大街） </w:t>
            </w:r>
          </w:p>
        </w:tc>
        <w:tc>
          <w:tcPr>
            <w:tcW w:w="19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地面灯具</w:t>
            </w:r>
          </w:p>
        </w:tc>
        <w:tc>
          <w:tcPr>
            <w:tcW w:w="225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3"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景观灯具小计</w:t>
            </w:r>
          </w:p>
        </w:tc>
        <w:tc>
          <w:tcPr>
            <w:tcW w:w="1965"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p>
        </w:tc>
        <w:tc>
          <w:tcPr>
            <w:tcW w:w="225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10716</w:t>
            </w:r>
          </w:p>
        </w:tc>
      </w:tr>
    </w:tbl>
    <w:p>
      <w:pPr>
        <w:pStyle w:val="132"/>
        <w:spacing w:before="0" w:line="460" w:lineRule="exact"/>
        <w:ind w:firstLine="0" w:firstLineChars="0"/>
        <w:jc w:val="center"/>
        <w:rPr>
          <w:rFonts w:hint="eastAsia" w:ascii="仿宋" w:hAnsi="仿宋" w:eastAsia="仿宋"/>
          <w:b/>
          <w:highlight w:val="none"/>
        </w:rPr>
      </w:pPr>
    </w:p>
    <w:p>
      <w:pPr>
        <w:pStyle w:val="132"/>
        <w:spacing w:before="0" w:line="460" w:lineRule="exact"/>
        <w:ind w:firstLine="0" w:firstLineChars="0"/>
        <w:jc w:val="center"/>
        <w:rPr>
          <w:rFonts w:hint="eastAsia" w:ascii="仿宋" w:hAnsi="仿宋" w:eastAsia="仿宋"/>
          <w:b/>
          <w:highlight w:val="none"/>
        </w:rPr>
      </w:pPr>
      <w:r>
        <w:rPr>
          <w:rFonts w:hint="eastAsia" w:ascii="仿宋" w:hAnsi="仿宋" w:eastAsia="仿宋"/>
          <w:b/>
          <w:highlight w:val="none"/>
        </w:rPr>
        <w:t>2021年钱塘区景观灯设施养护清单汇总表（二标段）</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396"/>
        <w:gridCol w:w="1548"/>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b/>
                <w:i w:val="0"/>
                <w:color w:val="000000"/>
                <w:kern w:val="0"/>
                <w:sz w:val="20"/>
                <w:szCs w:val="20"/>
                <w:u w:val="none"/>
                <w:lang w:val="en-US" w:eastAsia="zh-CN" w:bidi="ar"/>
              </w:rPr>
              <w:t>序号</w:t>
            </w:r>
          </w:p>
        </w:tc>
        <w:tc>
          <w:tcPr>
            <w:tcW w:w="2396"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b/>
                <w:i w:val="0"/>
                <w:color w:val="000000"/>
                <w:kern w:val="0"/>
                <w:sz w:val="20"/>
                <w:szCs w:val="20"/>
                <w:u w:val="none"/>
                <w:lang w:val="en-US" w:eastAsia="zh-CN" w:bidi="ar"/>
              </w:rPr>
              <w:t>项目名称</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b/>
                <w:i w:val="0"/>
                <w:color w:val="000000"/>
                <w:kern w:val="0"/>
                <w:sz w:val="20"/>
                <w:szCs w:val="20"/>
                <w:u w:val="none"/>
                <w:lang w:val="en-US" w:eastAsia="zh-CN" w:bidi="ar"/>
              </w:rPr>
              <w:t>项目地址</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b/>
                <w:i w:val="0"/>
                <w:color w:val="000000"/>
                <w:kern w:val="0"/>
                <w:sz w:val="20"/>
                <w:szCs w:val="20"/>
                <w:u w:val="none"/>
                <w:lang w:val="en-US" w:eastAsia="zh-CN" w:bidi="ar"/>
              </w:rPr>
              <w:t>灯具类别</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b/>
                <w:i w:val="0"/>
                <w:color w:val="000000"/>
                <w:kern w:val="0"/>
                <w:sz w:val="20"/>
                <w:szCs w:val="20"/>
                <w:u w:val="none"/>
                <w:lang w:val="en-US" w:eastAsia="zh-CN" w:bidi="ar"/>
              </w:rPr>
              <w:t>类别数量</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b/>
                <w:i w:val="0"/>
                <w:color w:val="000000"/>
                <w:kern w:val="0"/>
                <w:sz w:val="20"/>
                <w:szCs w:val="20"/>
                <w:u w:val="none"/>
                <w:lang w:val="en-US" w:eastAsia="zh-CN" w:bidi="ar"/>
              </w:rPr>
              <w:t>灯具总数量（盏）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w:t>
            </w:r>
          </w:p>
        </w:tc>
        <w:tc>
          <w:tcPr>
            <w:tcW w:w="2396"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宝龙云滨湾</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学林街与文淙南路交叉口</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250</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w:t>
            </w:r>
          </w:p>
        </w:tc>
        <w:tc>
          <w:tcPr>
            <w:tcW w:w="2396"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宋都东郡一期</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凌云街海涛路东南</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线条灯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520</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w:t>
            </w:r>
          </w:p>
        </w:tc>
        <w:tc>
          <w:tcPr>
            <w:tcW w:w="2396"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宋都东郡二期</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凌云街海涛路东北</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线条灯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600</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w:t>
            </w:r>
          </w:p>
        </w:tc>
        <w:tc>
          <w:tcPr>
            <w:tcW w:w="2396"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宋都东郡三期</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凌云街海涛路西南</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线条灯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720</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湾南德盛东苑、西苑</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海达北路与松乔街以东</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1547</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内透灯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236</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6</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东方水岚家园</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文渊北路与松乔街以西</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61</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点光源</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774</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内透灯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420</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1175</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7</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元成东盛家园</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文渊北路与松乔街以东</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LED投光灯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212</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点光源</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445</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1993</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8</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杭州师范大学</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学源街与之江东路以西</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128</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LED投光灯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128</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9</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浙江财经大学</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学源街与之江东路以西</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LED投光灯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156</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点光源</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146</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278</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10</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杭州职业技术学院</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学源街与文泽路以东</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42</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LED投光灯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80</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152</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11</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杭州电子科技大学（行政楼、南门、体育馆、科技馆）</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2号大街与3号大街交叉口</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36</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LED投光灯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174</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线条灯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1500</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90</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12</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传媒学院</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文渊路与学源街以东</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50</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LED投光灯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149</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点光源</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42</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数码管</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2922</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82</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13</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福雷德</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学源街与文泽路以西</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LED投光灯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44</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612</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14</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新元金沙家园</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华景街与银沙路以东</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LED投光灯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253</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440</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15</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松合幸福雅苑</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学林街与幸福南路以西</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LED投光灯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263</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点光源</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130</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线条灯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543</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16</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德信中外公寓</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上沙路与华景街以北</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46</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1254</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17</w:t>
            </w:r>
          </w:p>
        </w:tc>
        <w:tc>
          <w:tcPr>
            <w:tcW w:w="2396"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德信早城</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上沙路与学林街以东</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1584</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18</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湖左岸</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海达南路与学林街以东</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300</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612</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内透灯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338</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19</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龙湖滟澜山一期</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海达南路与华景街以东</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156</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343</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20</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龙湖滟澜山二期</w:t>
            </w: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吸顶灯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2122</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285</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壁灯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99</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21</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龙湖滟澜山三期</w:t>
            </w: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264</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1711</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22</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学林铭城</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学林街与松合路以南</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线条灯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1952</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吸顶灯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98</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壁灯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38</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23</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白杨街道海关大楼</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4号大街与5号大街以东</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48</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数码管</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140</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线条灯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110</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24</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康莱特宿舍</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4号大街与3号大街以东</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点光源</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119</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120</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25</w:t>
            </w:r>
          </w:p>
        </w:tc>
        <w:tc>
          <w:tcPr>
            <w:tcW w:w="2396"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和达城</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2号大街与5号大街西南</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548</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26</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大都文苑高层</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2号大街与3号大街东南</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48</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LED投光灯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131</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点光源</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100</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线条灯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678</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27</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大都文苑多层</w:t>
            </w: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88</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线条灯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572</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点光源</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20</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28</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北银公寓</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3号大街与4号大街以东</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53</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点光源</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20</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数码管</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588</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楼道灯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28</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29</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铭都雅苑</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金沙大道与高沙路以南</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573</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点光源</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1055</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壁灯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52</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548</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楼道灯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402</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30</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北美冶金</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4号大街与9号大街西北</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20</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数码管</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264</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32</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育英学院</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4号大街与9号大街以西</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80</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LED投光灯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57</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点光源</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82</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吸顶灯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787</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88</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33</w:t>
            </w:r>
          </w:p>
        </w:tc>
        <w:tc>
          <w:tcPr>
            <w:tcW w:w="2396"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曙江酒店（原文汇酒店）</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2号大街与5号大街西北</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吸顶灯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351</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34</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1"/>
                <w:szCs w:val="21"/>
                <w:u w:val="none"/>
                <w:lang w:val="en-US" w:eastAsia="zh-CN" w:bidi="ar"/>
              </w:rPr>
              <w:t>新沙家园</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学林街与高沙路以西</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数码管</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100</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点光源</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2225</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386</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522</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35</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文渊大厦</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学林街与文渊路以西</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灯带</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1141</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内透灯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1945</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296</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32</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育英学院</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4号大街与9号大街以西</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80</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LED投光灯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57</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点光源</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82</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吸顶灯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787</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88</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33</w:t>
            </w:r>
          </w:p>
        </w:tc>
        <w:tc>
          <w:tcPr>
            <w:tcW w:w="2396"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曙江酒店（原文汇酒店）</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2号大街与5号大街西北</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吸顶灯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351</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34</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1"/>
                <w:szCs w:val="21"/>
                <w:u w:val="none"/>
                <w:lang w:val="en-US" w:eastAsia="zh-CN" w:bidi="ar"/>
              </w:rPr>
              <w:t>新沙家园</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学林街与高沙路以西</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数码管</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100</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点光源</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2225</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386</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522</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35</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文渊大厦</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学林街与文渊路以西</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灯带</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1141</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内透灯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1945</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296</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36</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学源大厦</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学源街与文渊路以西</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48</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点光源</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25</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数码管</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900</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37</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铭雅铭和苑（柳翠坊、桂雨坊、新荷坊、探梅坊）</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学源街（高沙路—海达南路）</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LED投光灯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876</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点光源</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552</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325</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内透灯</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129</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数码管</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223</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38</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晓春城</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凌云街与水云街以南</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灯带</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306</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1230</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壁灯</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128</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39</w:t>
            </w:r>
          </w:p>
        </w:tc>
        <w:tc>
          <w:tcPr>
            <w:tcW w:w="2396"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保利像素</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千帆路与水云街以北</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吸顶灯</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813</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40</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保利城市果岭</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水云街与海涛路以北</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222</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1002</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41</w:t>
            </w:r>
          </w:p>
        </w:tc>
        <w:tc>
          <w:tcPr>
            <w:tcW w:w="2396"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银海公寓</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银海街与文淙南路以东</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洗墙灯</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1371</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Merge w:val="continue"/>
            <w:vAlign w:val="center"/>
          </w:tcPr>
          <w:p>
            <w:pPr>
              <w:jc w:val="center"/>
              <w:rPr>
                <w:rFonts w:hint="eastAsia" w:ascii="仿宋" w:hAnsi="仿宋" w:eastAsia="仿宋" w:cs="仿宋"/>
                <w:b/>
                <w:szCs w:val="24"/>
                <w:highlight w:val="none"/>
                <w:vertAlign w:val="baseline"/>
              </w:rPr>
            </w:pPr>
          </w:p>
        </w:tc>
        <w:tc>
          <w:tcPr>
            <w:tcW w:w="2396"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壁灯</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29</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42</w:t>
            </w:r>
          </w:p>
        </w:tc>
        <w:tc>
          <w:tcPr>
            <w:tcW w:w="2396"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学林街与文淙南路交叉口</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宝龙云滨湾</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250</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43</w:t>
            </w:r>
          </w:p>
        </w:tc>
        <w:tc>
          <w:tcPr>
            <w:tcW w:w="2396"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百翘香江</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凌云街与云涛北路东北</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投光灯</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86</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44</w:t>
            </w:r>
          </w:p>
        </w:tc>
        <w:tc>
          <w:tcPr>
            <w:tcW w:w="2396"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水云城</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凌云街与文淙北路以北</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LED线条灯</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1755</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45</w:t>
            </w:r>
          </w:p>
        </w:tc>
        <w:tc>
          <w:tcPr>
            <w:tcW w:w="2396"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龙湖春江天越</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千帆路与凌云街以南</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LED线条灯</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3766</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46</w:t>
            </w:r>
          </w:p>
        </w:tc>
        <w:tc>
          <w:tcPr>
            <w:tcW w:w="5492" w:type="dxa"/>
            <w:gridSpan w:val="3"/>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合计</w:t>
            </w:r>
          </w:p>
        </w:tc>
        <w:tc>
          <w:tcPr>
            <w:tcW w:w="154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57016</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57016</w:t>
            </w:r>
          </w:p>
        </w:tc>
      </w:tr>
    </w:tbl>
    <w:p>
      <w:pPr>
        <w:pStyle w:val="132"/>
        <w:spacing w:before="0" w:line="460" w:lineRule="exact"/>
        <w:ind w:firstLine="0" w:firstLineChars="0"/>
        <w:jc w:val="left"/>
        <w:rPr>
          <w:rFonts w:hint="eastAsia" w:ascii="仿宋" w:hAnsi="仿宋" w:eastAsia="仿宋" w:cs="仿宋"/>
          <w:b/>
          <w:szCs w:val="24"/>
          <w:highlight w:val="none"/>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2411"/>
        <w:gridCol w:w="1548"/>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b/>
                <w:i w:val="0"/>
                <w:color w:val="000000"/>
                <w:kern w:val="0"/>
                <w:sz w:val="20"/>
                <w:szCs w:val="20"/>
                <w:u w:val="none"/>
                <w:lang w:val="en-US" w:eastAsia="zh-CN" w:bidi="ar"/>
              </w:rPr>
              <w:t>序号</w:t>
            </w:r>
          </w:p>
        </w:tc>
        <w:tc>
          <w:tcPr>
            <w:tcW w:w="2411"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b/>
                <w:i w:val="0"/>
                <w:color w:val="000000"/>
                <w:kern w:val="0"/>
                <w:sz w:val="20"/>
                <w:szCs w:val="20"/>
                <w:u w:val="none"/>
                <w:lang w:val="en-US" w:eastAsia="zh-CN" w:bidi="ar"/>
              </w:rPr>
              <w:t>项目名称</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b/>
                <w:i w:val="0"/>
                <w:color w:val="000000"/>
                <w:kern w:val="0"/>
                <w:sz w:val="20"/>
                <w:szCs w:val="20"/>
                <w:u w:val="none"/>
                <w:lang w:val="en-US" w:eastAsia="zh-CN" w:bidi="ar"/>
              </w:rPr>
              <w:t>项目地址</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b/>
                <w:i w:val="0"/>
                <w:color w:val="000000"/>
                <w:kern w:val="0"/>
                <w:sz w:val="20"/>
                <w:szCs w:val="20"/>
                <w:u w:val="none"/>
                <w:lang w:val="en-US" w:eastAsia="zh-CN" w:bidi="ar"/>
              </w:rPr>
              <w:t>灯具类别</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b/>
                <w:i w:val="0"/>
                <w:color w:val="000000"/>
                <w:kern w:val="0"/>
                <w:sz w:val="20"/>
                <w:szCs w:val="20"/>
                <w:u w:val="none"/>
                <w:lang w:val="en-US" w:eastAsia="zh-CN" w:bidi="ar"/>
              </w:rPr>
              <w:t>类别数量</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b/>
                <w:i w:val="0"/>
                <w:color w:val="000000"/>
                <w:kern w:val="0"/>
                <w:sz w:val="20"/>
                <w:szCs w:val="20"/>
                <w:u w:val="none"/>
                <w:lang w:val="en-US" w:eastAsia="zh-CN" w:bidi="ar"/>
              </w:rPr>
              <w:t>灯具总数量（盏）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w:t>
            </w:r>
          </w:p>
        </w:tc>
        <w:tc>
          <w:tcPr>
            <w:tcW w:w="2411"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学林街（文渊路—之江东路）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草坪灯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156</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w:t>
            </w:r>
          </w:p>
        </w:tc>
        <w:tc>
          <w:tcPr>
            <w:tcW w:w="2411"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学源街（文渊路—之江东路）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草坪灯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527</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w:t>
            </w:r>
          </w:p>
        </w:tc>
        <w:tc>
          <w:tcPr>
            <w:tcW w:w="2411"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高沙渠（幸福南路—银沙路东侧100米）</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庭院灯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197</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w:t>
            </w:r>
          </w:p>
        </w:tc>
        <w:tc>
          <w:tcPr>
            <w:tcW w:w="2411"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三、四号大街（三号大街为2号路与6号路之间、四号大街为1号路与5号路之间）</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地面灯具</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231</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w:t>
            </w:r>
          </w:p>
        </w:tc>
        <w:tc>
          <w:tcPr>
            <w:tcW w:w="2411"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二号路街渠（海达南路—绕城高速）</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庭院灯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488</w:t>
            </w:r>
          </w:p>
        </w:tc>
        <w:tc>
          <w:tcPr>
            <w:tcW w:w="1548" w:type="dxa"/>
            <w:vMerge w:val="restart"/>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13360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jc w:val="center"/>
              <w:rPr>
                <w:rFonts w:hint="eastAsia" w:ascii="仿宋" w:hAnsi="仿宋" w:eastAsia="仿宋" w:cs="仿宋"/>
                <w:b/>
                <w:szCs w:val="24"/>
                <w:highlight w:val="none"/>
                <w:vertAlign w:val="baseline"/>
              </w:rPr>
            </w:pPr>
          </w:p>
        </w:tc>
        <w:tc>
          <w:tcPr>
            <w:tcW w:w="2411"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树灯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589</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jc w:val="center"/>
              <w:rPr>
                <w:rFonts w:hint="eastAsia" w:ascii="仿宋" w:hAnsi="仿宋" w:eastAsia="仿宋" w:cs="仿宋"/>
                <w:b/>
                <w:szCs w:val="24"/>
                <w:highlight w:val="none"/>
                <w:vertAlign w:val="baseline"/>
              </w:rPr>
            </w:pPr>
          </w:p>
        </w:tc>
        <w:tc>
          <w:tcPr>
            <w:tcW w:w="2411"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地埋灯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1829</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jc w:val="center"/>
              <w:rPr>
                <w:rFonts w:hint="eastAsia" w:ascii="仿宋" w:hAnsi="仿宋" w:eastAsia="仿宋" w:cs="仿宋"/>
                <w:b/>
                <w:szCs w:val="24"/>
                <w:highlight w:val="none"/>
                <w:vertAlign w:val="baseline"/>
              </w:rPr>
            </w:pPr>
          </w:p>
        </w:tc>
        <w:tc>
          <w:tcPr>
            <w:tcW w:w="2411"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投影灯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319</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jc w:val="center"/>
              <w:rPr>
                <w:rFonts w:hint="eastAsia" w:ascii="仿宋" w:hAnsi="仿宋" w:eastAsia="仿宋" w:cs="仿宋"/>
                <w:b/>
                <w:szCs w:val="24"/>
                <w:highlight w:val="none"/>
                <w:vertAlign w:val="baseline"/>
              </w:rPr>
            </w:pPr>
          </w:p>
        </w:tc>
        <w:tc>
          <w:tcPr>
            <w:tcW w:w="2411"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草坪灯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210</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jc w:val="center"/>
              <w:rPr>
                <w:rFonts w:hint="eastAsia" w:ascii="仿宋" w:hAnsi="仿宋" w:eastAsia="仿宋" w:cs="仿宋"/>
                <w:b/>
                <w:szCs w:val="24"/>
                <w:highlight w:val="none"/>
                <w:vertAlign w:val="baseline"/>
              </w:rPr>
            </w:pPr>
          </w:p>
        </w:tc>
        <w:tc>
          <w:tcPr>
            <w:tcW w:w="2411"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柔性灯带</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3036</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jc w:val="center"/>
              <w:rPr>
                <w:rFonts w:hint="eastAsia" w:ascii="仿宋" w:hAnsi="仿宋" w:eastAsia="仿宋" w:cs="仿宋"/>
                <w:b/>
                <w:szCs w:val="24"/>
                <w:highlight w:val="none"/>
                <w:vertAlign w:val="baseline"/>
              </w:rPr>
            </w:pPr>
          </w:p>
        </w:tc>
        <w:tc>
          <w:tcPr>
            <w:tcW w:w="2411"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芦苇灯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3222</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jc w:val="center"/>
              <w:rPr>
                <w:rFonts w:hint="eastAsia" w:ascii="仿宋" w:hAnsi="仿宋" w:eastAsia="仿宋" w:cs="仿宋"/>
                <w:b/>
                <w:szCs w:val="24"/>
                <w:highlight w:val="none"/>
                <w:vertAlign w:val="baseline"/>
              </w:rPr>
            </w:pPr>
          </w:p>
        </w:tc>
        <w:tc>
          <w:tcPr>
            <w:tcW w:w="2411"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轮廓灯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3608</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jc w:val="center"/>
              <w:rPr>
                <w:rFonts w:hint="eastAsia" w:ascii="仿宋" w:hAnsi="仿宋" w:eastAsia="仿宋" w:cs="仿宋"/>
                <w:b/>
                <w:szCs w:val="24"/>
                <w:highlight w:val="none"/>
                <w:vertAlign w:val="baseline"/>
              </w:rPr>
            </w:pPr>
          </w:p>
        </w:tc>
        <w:tc>
          <w:tcPr>
            <w:tcW w:w="2411"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互动灯杆</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9</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jc w:val="center"/>
              <w:rPr>
                <w:rFonts w:hint="eastAsia" w:ascii="仿宋" w:hAnsi="仿宋" w:eastAsia="仿宋" w:cs="仿宋"/>
                <w:b/>
                <w:szCs w:val="24"/>
                <w:highlight w:val="none"/>
                <w:vertAlign w:val="baseline"/>
              </w:rPr>
            </w:pPr>
          </w:p>
        </w:tc>
        <w:tc>
          <w:tcPr>
            <w:tcW w:w="2411"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台阶灯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40</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Merge w:val="continue"/>
            <w:vAlign w:val="center"/>
          </w:tcPr>
          <w:p>
            <w:pPr>
              <w:jc w:val="center"/>
              <w:rPr>
                <w:rFonts w:hint="eastAsia" w:ascii="仿宋" w:hAnsi="仿宋" w:eastAsia="仿宋" w:cs="仿宋"/>
                <w:b/>
                <w:szCs w:val="24"/>
                <w:highlight w:val="none"/>
                <w:vertAlign w:val="baseline"/>
              </w:rPr>
            </w:pPr>
          </w:p>
        </w:tc>
        <w:tc>
          <w:tcPr>
            <w:tcW w:w="2411" w:type="dxa"/>
            <w:vMerge w:val="continue"/>
            <w:vAlign w:val="center"/>
          </w:tcPr>
          <w:p>
            <w:pPr>
              <w:jc w:val="center"/>
              <w:rPr>
                <w:rFonts w:hint="eastAsia" w:ascii="仿宋" w:hAnsi="仿宋" w:eastAsia="仿宋" w:cs="仿宋"/>
                <w:b/>
                <w:szCs w:val="24"/>
                <w:highlight w:val="none"/>
                <w:vertAlign w:val="baseline"/>
              </w:rPr>
            </w:pPr>
          </w:p>
        </w:tc>
        <w:tc>
          <w:tcPr>
            <w:tcW w:w="1548" w:type="dxa"/>
            <w:vMerge w:val="continue"/>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时光隧道灯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10</w:t>
            </w:r>
          </w:p>
        </w:tc>
        <w:tc>
          <w:tcPr>
            <w:tcW w:w="1548" w:type="dxa"/>
            <w:vMerge w:val="continue"/>
            <w:vAlign w:val="center"/>
          </w:tcPr>
          <w:p>
            <w:pPr>
              <w:jc w:val="center"/>
              <w:rPr>
                <w:rFonts w:hint="eastAsia" w:ascii="仿宋" w:hAnsi="仿宋" w:eastAsia="仿宋" w:cs="仿宋"/>
                <w:b/>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6</w:t>
            </w:r>
          </w:p>
        </w:tc>
        <w:tc>
          <w:tcPr>
            <w:tcW w:w="2411"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文津路（德胜东路—学林街以南100米）</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草坪灯、庭院灯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122</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7</w:t>
            </w:r>
          </w:p>
        </w:tc>
        <w:tc>
          <w:tcPr>
            <w:tcW w:w="2411"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银沙北路（德胜东路—松乔街）</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庭院灯</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15</w:t>
            </w: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2" w:type="dxa"/>
            <w:gridSpan w:val="3"/>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b/>
                <w:i w:val="0"/>
                <w:color w:val="000000"/>
                <w:kern w:val="0"/>
                <w:sz w:val="20"/>
                <w:szCs w:val="20"/>
                <w:u w:val="none"/>
                <w:lang w:val="en-US" w:eastAsia="zh-CN" w:bidi="ar"/>
              </w:rPr>
              <w:t>小计</w:t>
            </w:r>
          </w:p>
        </w:tc>
        <w:tc>
          <w:tcPr>
            <w:tcW w:w="1548" w:type="dxa"/>
            <w:vAlign w:val="center"/>
          </w:tcPr>
          <w:p>
            <w:pPr>
              <w:jc w:val="center"/>
              <w:rPr>
                <w:rFonts w:hint="eastAsia" w:ascii="仿宋" w:hAnsi="仿宋" w:eastAsia="仿宋" w:cs="仿宋"/>
                <w:b/>
                <w:szCs w:val="24"/>
                <w:highlight w:val="none"/>
                <w:vertAlign w:val="baseline"/>
              </w:rPr>
            </w:pPr>
          </w:p>
        </w:tc>
        <w:tc>
          <w:tcPr>
            <w:tcW w:w="1548" w:type="dxa"/>
            <w:vAlign w:val="center"/>
          </w:tcPr>
          <w:p>
            <w:pPr>
              <w:jc w:val="center"/>
              <w:rPr>
                <w:rFonts w:hint="eastAsia" w:ascii="仿宋" w:hAnsi="仿宋" w:eastAsia="仿宋" w:cs="仿宋"/>
                <w:b/>
                <w:szCs w:val="24"/>
                <w:highlight w:val="none"/>
                <w:vertAlign w:val="baseline"/>
              </w:rPr>
            </w:pPr>
          </w:p>
        </w:tc>
        <w:tc>
          <w:tcPr>
            <w:tcW w:w="154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b/>
                <w:i w:val="0"/>
                <w:color w:val="000000"/>
                <w:kern w:val="0"/>
                <w:sz w:val="20"/>
                <w:szCs w:val="20"/>
                <w:u w:val="none"/>
                <w:lang w:val="en-US" w:eastAsia="zh-CN" w:bidi="ar"/>
              </w:rPr>
              <w:t>14608</w:t>
            </w:r>
          </w:p>
        </w:tc>
      </w:tr>
    </w:tbl>
    <w:p>
      <w:pPr>
        <w:pStyle w:val="132"/>
        <w:spacing w:before="0" w:line="460" w:lineRule="exact"/>
        <w:ind w:firstLine="0" w:firstLineChars="0"/>
        <w:jc w:val="left"/>
        <w:rPr>
          <w:rFonts w:hint="eastAsia" w:ascii="仿宋" w:hAnsi="仿宋" w:eastAsia="仿宋" w:cs="仿宋"/>
          <w:b/>
          <w:szCs w:val="24"/>
          <w:highlight w:val="none"/>
        </w:rPr>
      </w:pP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856"/>
        <w:gridCol w:w="977"/>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keepNext w:val="0"/>
              <w:keepLines w:val="0"/>
              <w:widowControl/>
              <w:suppressLineNumbers w:val="0"/>
              <w:jc w:val="center"/>
              <w:textAlignment w:val="center"/>
              <w:rPr>
                <w:rFonts w:hint="eastAsia" w:ascii="仿宋" w:hAnsi="仿宋" w:eastAsia="仿宋" w:cs="仿宋"/>
                <w:b/>
                <w:szCs w:val="24"/>
                <w:highlight w:val="none"/>
                <w:vertAlign w:val="baseline"/>
              </w:rPr>
            </w:pPr>
            <w:r>
              <w:rPr>
                <w:rFonts w:hint="eastAsia" w:ascii="仿宋" w:hAnsi="仿宋" w:eastAsia="仿宋" w:cs="仿宋"/>
                <w:i w:val="0"/>
                <w:color w:val="000000"/>
                <w:kern w:val="0"/>
                <w:sz w:val="20"/>
                <w:szCs w:val="20"/>
                <w:u w:val="none"/>
                <w:lang w:val="en-US" w:eastAsia="zh-CN" w:bidi="ar"/>
              </w:rPr>
              <w:t>3</w:t>
            </w:r>
          </w:p>
        </w:tc>
        <w:tc>
          <w:tcPr>
            <w:tcW w:w="856" w:type="dxa"/>
            <w:vAlign w:val="center"/>
          </w:tcPr>
          <w:p>
            <w:pPr>
              <w:keepNext w:val="0"/>
              <w:keepLines w:val="0"/>
              <w:widowControl/>
              <w:suppressLineNumbers w:val="0"/>
              <w:jc w:val="center"/>
              <w:textAlignment w:val="center"/>
            </w:pPr>
            <w:r>
              <w:rPr>
                <w:rFonts w:hint="eastAsia" w:ascii="仿宋" w:hAnsi="仿宋" w:eastAsia="仿宋" w:cs="仿宋"/>
                <w:i w:val="0"/>
                <w:color w:val="000000"/>
                <w:kern w:val="0"/>
                <w:sz w:val="20"/>
                <w:szCs w:val="20"/>
                <w:u w:val="none"/>
                <w:lang w:val="en-US" w:eastAsia="zh-CN" w:bidi="ar"/>
              </w:rPr>
              <w:t>二号路街渠（海达南路—绕城高速）喷泉设施</w:t>
            </w:r>
          </w:p>
        </w:tc>
        <w:tc>
          <w:tcPr>
            <w:tcW w:w="977" w:type="dxa"/>
            <w:vAlign w:val="center"/>
          </w:tcPr>
          <w:p>
            <w:pPr>
              <w:keepNext w:val="0"/>
              <w:keepLines w:val="0"/>
              <w:widowControl/>
              <w:suppressLineNumbers w:val="0"/>
              <w:jc w:val="center"/>
              <w:textAlignment w:val="center"/>
            </w:pPr>
            <w:r>
              <w:rPr>
                <w:rFonts w:hint="eastAsia" w:ascii="仿宋" w:hAnsi="仿宋" w:eastAsia="仿宋" w:cs="仿宋"/>
                <w:i w:val="0"/>
                <w:color w:val="000000"/>
                <w:kern w:val="0"/>
                <w:sz w:val="20"/>
                <w:szCs w:val="20"/>
                <w:u w:val="none"/>
                <w:lang w:val="en-US" w:eastAsia="zh-CN" w:bidi="ar"/>
              </w:rPr>
              <w:t>二号路街渠（海达南路—绕城高速）喷泉设施</w:t>
            </w:r>
          </w:p>
        </w:tc>
        <w:tc>
          <w:tcPr>
            <w:tcW w:w="2321" w:type="dxa"/>
            <w:vAlign w:val="center"/>
          </w:tcPr>
          <w:p>
            <w:pPr>
              <w:jc w:val="center"/>
              <w:rPr>
                <w:rFonts w:hint="eastAsia" w:ascii="仿宋" w:hAnsi="仿宋" w:eastAsia="仿宋" w:cs="仿宋"/>
                <w:b/>
                <w:szCs w:val="24"/>
                <w:highlight w:val="none"/>
                <w:vertAlign w:val="baseline"/>
              </w:rPr>
            </w:pPr>
          </w:p>
        </w:tc>
        <w:tc>
          <w:tcPr>
            <w:tcW w:w="2322" w:type="dxa"/>
            <w:vAlign w:val="center"/>
          </w:tcPr>
          <w:p>
            <w:pPr>
              <w:jc w:val="center"/>
              <w:rPr>
                <w:rFonts w:hint="eastAsia" w:ascii="仿宋" w:hAnsi="仿宋" w:eastAsia="仿宋" w:cs="仿宋"/>
                <w:b/>
                <w:szCs w:val="24"/>
                <w:highlight w:val="none"/>
                <w:vertAlign w:val="baseline"/>
              </w:rPr>
            </w:pPr>
          </w:p>
        </w:tc>
        <w:tc>
          <w:tcPr>
            <w:tcW w:w="2322" w:type="dxa"/>
            <w:vAlign w:val="center"/>
          </w:tcPr>
          <w:p>
            <w:pPr>
              <w:jc w:val="center"/>
              <w:rPr>
                <w:rFonts w:hint="eastAsia" w:ascii="仿宋" w:hAnsi="仿宋" w:eastAsia="仿宋" w:cs="仿宋"/>
                <w:b/>
                <w:szCs w:val="24"/>
                <w:highlight w:val="none"/>
                <w:vertAlign w:val="baseline"/>
              </w:rPr>
            </w:pPr>
          </w:p>
        </w:tc>
      </w:tr>
    </w:tbl>
    <w:p>
      <w:pPr>
        <w:pStyle w:val="132"/>
        <w:spacing w:before="0" w:line="460" w:lineRule="exact"/>
        <w:ind w:firstLine="0" w:firstLineChars="0"/>
        <w:jc w:val="left"/>
        <w:rPr>
          <w:rFonts w:hint="eastAsia" w:ascii="仿宋" w:hAnsi="仿宋" w:eastAsia="仿宋" w:cs="仿宋"/>
          <w:b/>
          <w:szCs w:val="24"/>
          <w:highlight w:val="none"/>
        </w:rPr>
      </w:pPr>
    </w:p>
    <w:p>
      <w:pPr>
        <w:pStyle w:val="132"/>
        <w:spacing w:before="0" w:line="460" w:lineRule="exact"/>
        <w:ind w:firstLine="0" w:firstLineChars="0"/>
        <w:jc w:val="left"/>
        <w:rPr>
          <w:rFonts w:hint="eastAsia" w:ascii="仿宋" w:hAnsi="仿宋" w:eastAsia="仿宋" w:cs="仿宋"/>
          <w:b/>
          <w:szCs w:val="24"/>
          <w:highlight w:val="none"/>
        </w:rPr>
      </w:pPr>
    </w:p>
    <w:p>
      <w:pPr>
        <w:pStyle w:val="132"/>
        <w:spacing w:before="0" w:line="460" w:lineRule="exact"/>
        <w:ind w:firstLine="0" w:firstLineChars="0"/>
        <w:jc w:val="left"/>
        <w:rPr>
          <w:rFonts w:hint="eastAsia" w:ascii="仿宋" w:hAnsi="仿宋" w:eastAsia="仿宋" w:cs="仿宋"/>
          <w:b/>
          <w:szCs w:val="24"/>
          <w:highlight w:val="none"/>
          <w:lang w:eastAsia="zh-CN"/>
        </w:rPr>
      </w:pPr>
      <w:r>
        <w:rPr>
          <w:rFonts w:hint="eastAsia" w:ascii="仿宋" w:hAnsi="仿宋" w:eastAsia="仿宋" w:cs="仿宋"/>
          <w:b/>
          <w:szCs w:val="24"/>
          <w:highlight w:val="none"/>
        </w:rPr>
        <w:t>如技术要求中未特别注明需执行的国家相关标准、行业标准、地方标准或者其他标准、规范，则统一执行最新标准、规范</w:t>
      </w:r>
      <w:r>
        <w:rPr>
          <w:rFonts w:hint="eastAsia" w:ascii="仿宋" w:hAnsi="仿宋" w:eastAsia="仿宋" w:cs="仿宋"/>
          <w:b/>
          <w:szCs w:val="24"/>
          <w:highlight w:val="none"/>
          <w:lang w:eastAsia="zh-CN"/>
        </w:rPr>
        <w:t>。</w:t>
      </w:r>
    </w:p>
    <w:p>
      <w:pPr>
        <w:pStyle w:val="132"/>
        <w:spacing w:before="0" w:line="460" w:lineRule="exact"/>
        <w:ind w:firstLine="0" w:firstLineChars="0"/>
        <w:jc w:val="left"/>
        <w:rPr>
          <w:rFonts w:hint="eastAsia" w:ascii="仿宋" w:hAnsi="仿宋" w:eastAsia="仿宋" w:cs="仿宋"/>
          <w:b/>
          <w:szCs w:val="24"/>
          <w:highlight w:val="none"/>
          <w:lang w:eastAsia="zh-CN"/>
        </w:rPr>
      </w:pPr>
    </w:p>
    <w:p>
      <w:pPr>
        <w:pStyle w:val="132"/>
        <w:spacing w:before="0" w:line="460" w:lineRule="exact"/>
        <w:ind w:firstLine="0" w:firstLineChars="0"/>
        <w:jc w:val="left"/>
        <w:rPr>
          <w:rFonts w:hint="eastAsia" w:ascii="仿宋" w:hAnsi="仿宋" w:eastAsia="仿宋" w:cs="仿宋"/>
          <w:b/>
          <w:szCs w:val="24"/>
          <w:highlight w:val="none"/>
          <w:lang w:eastAsia="zh-CN"/>
        </w:rPr>
      </w:pPr>
    </w:p>
    <w:p>
      <w:pPr>
        <w:rPr>
          <w:rFonts w:hint="eastAsia" w:ascii="小标宋" w:hAnsi="Times New Roman" w:eastAsia="小标宋" w:cs="Times New Roman"/>
          <w:sz w:val="44"/>
          <w:szCs w:val="44"/>
          <w:lang w:val="en-US" w:eastAsia="zh-CN"/>
        </w:rPr>
      </w:pPr>
      <w:r>
        <w:rPr>
          <w:rFonts w:hint="eastAsia" w:ascii="小标宋" w:hAnsi="Times New Roman" w:eastAsia="小标宋" w:cs="Times New Roman"/>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Times New Roman" w:eastAsia="小标宋" w:cs="Times New Roman"/>
          <w:sz w:val="44"/>
          <w:szCs w:val="44"/>
          <w:lang w:val="en-US" w:eastAsia="zh-CN"/>
        </w:rPr>
      </w:pPr>
      <w:r>
        <w:rPr>
          <w:rFonts w:hint="eastAsia" w:ascii="小标宋" w:hAnsi="Times New Roman" w:eastAsia="小标宋" w:cs="Times New Roman"/>
          <w:sz w:val="44"/>
          <w:szCs w:val="44"/>
          <w:lang w:val="en-US" w:eastAsia="zh-CN"/>
        </w:rPr>
        <w:t>杭州市钱塘区综合行政执法局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Times New Roman" w:eastAsia="小标宋" w:cs="Times New Roman"/>
          <w:sz w:val="44"/>
          <w:szCs w:val="44"/>
          <w:lang w:val="en-US" w:eastAsia="zh-CN"/>
        </w:rPr>
      </w:pPr>
      <w:r>
        <w:rPr>
          <w:rFonts w:hint="eastAsia" w:ascii="小标宋" w:hAnsi="Times New Roman" w:eastAsia="小标宋" w:cs="Times New Roman"/>
          <w:sz w:val="44"/>
          <w:szCs w:val="44"/>
          <w:lang w:val="en-US" w:eastAsia="zh-CN"/>
        </w:rPr>
        <w:t xml:space="preserve">  景观照明设施养护作业标准及考核办法</w:t>
      </w:r>
    </w:p>
    <w:p>
      <w:pPr>
        <w:keepNext w:val="0"/>
        <w:keepLines w:val="0"/>
        <w:pageBreakBefore w:val="0"/>
        <w:kinsoku/>
        <w:wordWrap/>
        <w:overflowPunct/>
        <w:topLinePunct w:val="0"/>
        <w:autoSpaceDE/>
        <w:autoSpaceDN/>
        <w:bidi w:val="0"/>
        <w:snapToGrid/>
        <w:spacing w:line="580" w:lineRule="exact"/>
        <w:ind w:firstLine="664" w:firstLineChars="200"/>
        <w:textAlignment w:val="auto"/>
        <w:rPr>
          <w:rFonts w:hint="eastAsia" w:ascii="方正小标宋_GBK" w:eastAsia="方正小标宋_GBK"/>
          <w:spacing w:val="30"/>
          <w:w w:val="85"/>
          <w:sz w:val="32"/>
          <w:szCs w:val="32"/>
        </w:rPr>
      </w:pPr>
    </w:p>
    <w:p>
      <w:pPr>
        <w:keepNext w:val="0"/>
        <w:keepLines w:val="0"/>
        <w:pageBreakBefore w:val="0"/>
        <w:kinsoku/>
        <w:wordWrap/>
        <w:overflowPunct/>
        <w:topLinePunct w:val="0"/>
        <w:autoSpaceDE/>
        <w:autoSpaceDN/>
        <w:bidi w:val="0"/>
        <w:snapToGrid/>
        <w:spacing w:line="580" w:lineRule="exact"/>
        <w:ind w:firstLine="643" w:firstLineChars="200"/>
        <w:textAlignment w:val="auto"/>
        <w:rPr>
          <w:rFonts w:hint="eastAsia" w:ascii="仿宋_GB2312" w:eastAsia="仿宋_GB2312"/>
          <w:sz w:val="32"/>
          <w:szCs w:val="32"/>
        </w:rPr>
      </w:pPr>
      <w:r>
        <w:rPr>
          <w:rFonts w:hint="eastAsia" w:ascii="楷体_GB2312" w:eastAsia="楷体_GB2312"/>
          <w:b/>
          <w:sz w:val="32"/>
          <w:szCs w:val="32"/>
        </w:rPr>
        <w:t>第一条</w:t>
      </w:r>
      <w:r>
        <w:rPr>
          <w:rFonts w:hint="eastAsia" w:ascii="仿宋_GB2312" w:eastAsia="仿宋_GB2312"/>
          <w:sz w:val="32"/>
          <w:szCs w:val="32"/>
        </w:rPr>
        <w:t xml:space="preserve"> 为进一步提升钱塘区夜间景观照明效果，规范景观亮灯养护作业标准，特制定本考核办法。</w:t>
      </w:r>
    </w:p>
    <w:p>
      <w:pPr>
        <w:keepNext w:val="0"/>
        <w:keepLines w:val="0"/>
        <w:pageBreakBefore w:val="0"/>
        <w:kinsoku/>
        <w:wordWrap/>
        <w:overflowPunct/>
        <w:topLinePunct w:val="0"/>
        <w:autoSpaceDE/>
        <w:autoSpaceDN/>
        <w:bidi w:val="0"/>
        <w:snapToGrid/>
        <w:spacing w:line="580" w:lineRule="exact"/>
        <w:ind w:firstLine="643" w:firstLineChars="200"/>
        <w:textAlignment w:val="auto"/>
        <w:rPr>
          <w:rFonts w:hint="eastAsia" w:ascii="仿宋_GB2312" w:eastAsia="仿宋_GB2312"/>
          <w:sz w:val="32"/>
          <w:szCs w:val="32"/>
        </w:rPr>
      </w:pPr>
      <w:r>
        <w:rPr>
          <w:rFonts w:hint="eastAsia" w:ascii="楷体_GB2312" w:eastAsia="楷体_GB2312"/>
          <w:b/>
          <w:sz w:val="32"/>
          <w:szCs w:val="32"/>
        </w:rPr>
        <w:t>第二条</w:t>
      </w:r>
      <w:r>
        <w:rPr>
          <w:rFonts w:hint="eastAsia" w:ascii="仿宋_GB2312" w:eastAsia="仿宋_GB2312"/>
          <w:sz w:val="32"/>
          <w:szCs w:val="32"/>
        </w:rPr>
        <w:t xml:space="preserve">  考核对象</w:t>
      </w:r>
    </w:p>
    <w:p>
      <w:pPr>
        <w:keepNext w:val="0"/>
        <w:keepLines w:val="0"/>
        <w:pageBreakBefore w:val="0"/>
        <w:kinsoku/>
        <w:wordWrap/>
        <w:overflowPunct/>
        <w:topLinePunct w:val="0"/>
        <w:autoSpaceDE/>
        <w:autoSpaceDN/>
        <w:bidi w:val="0"/>
        <w:snapToGrid/>
        <w:spacing w:line="58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钱塘区</w:t>
      </w:r>
      <w:r>
        <w:rPr>
          <w:rFonts w:hint="eastAsia" w:ascii="仿宋_GB2312" w:eastAsia="仿宋_GB2312"/>
          <w:sz w:val="32"/>
          <w:szCs w:val="32"/>
          <w:lang w:eastAsia="zh-CN"/>
        </w:rPr>
        <w:t>综合行政执法局所属</w:t>
      </w:r>
      <w:r>
        <w:rPr>
          <w:rFonts w:hint="eastAsia" w:ascii="仿宋_GB2312" w:eastAsia="仿宋_GB2312"/>
          <w:sz w:val="32"/>
          <w:szCs w:val="32"/>
        </w:rPr>
        <w:t>景观照明设施养护单位、景观照明集控设施养护单位。</w:t>
      </w:r>
    </w:p>
    <w:p>
      <w:pPr>
        <w:keepNext w:val="0"/>
        <w:keepLines w:val="0"/>
        <w:pageBreakBefore w:val="0"/>
        <w:numPr>
          <w:ilvl w:val="0"/>
          <w:numId w:val="3"/>
        </w:numPr>
        <w:kinsoku/>
        <w:wordWrap/>
        <w:overflowPunct/>
        <w:topLinePunct w:val="0"/>
        <w:autoSpaceDE/>
        <w:autoSpaceDN/>
        <w:bidi w:val="0"/>
        <w:snapToGrid/>
        <w:spacing w:line="580" w:lineRule="exact"/>
        <w:textAlignment w:val="auto"/>
        <w:rPr>
          <w:rFonts w:hint="eastAsia" w:ascii="仿宋_GB2312" w:eastAsia="仿宋_GB2312"/>
          <w:b/>
          <w:sz w:val="32"/>
          <w:szCs w:val="32"/>
        </w:rPr>
      </w:pPr>
      <w:r>
        <w:rPr>
          <w:rFonts w:hint="eastAsia" w:ascii="仿宋_GB2312" w:eastAsia="仿宋_GB2312"/>
          <w:b/>
          <w:sz w:val="32"/>
          <w:szCs w:val="32"/>
        </w:rPr>
        <w:t xml:space="preserve"> </w:t>
      </w:r>
      <w:r>
        <w:rPr>
          <w:rFonts w:hint="eastAsia" w:ascii="仿宋_GB2312" w:eastAsia="仿宋_GB2312"/>
          <w:sz w:val="32"/>
          <w:szCs w:val="32"/>
        </w:rPr>
        <w:t>实施主体</w:t>
      </w:r>
    </w:p>
    <w:p>
      <w:pPr>
        <w:keepNext w:val="0"/>
        <w:keepLines w:val="0"/>
        <w:pageBreakBefore w:val="0"/>
        <w:kinsoku/>
        <w:wordWrap/>
        <w:overflowPunct/>
        <w:topLinePunct w:val="0"/>
        <w:autoSpaceDE/>
        <w:autoSpaceDN/>
        <w:bidi w:val="0"/>
        <w:snapToGrid/>
        <w:spacing w:line="580" w:lineRule="exact"/>
        <w:ind w:left="639"/>
        <w:textAlignment w:val="auto"/>
        <w:rPr>
          <w:rFonts w:hint="eastAsia" w:ascii="仿宋_GB2312" w:eastAsia="仿宋_GB2312"/>
          <w:sz w:val="32"/>
          <w:szCs w:val="32"/>
        </w:rPr>
      </w:pPr>
      <w:r>
        <w:rPr>
          <w:rFonts w:hint="eastAsia" w:ascii="仿宋_GB2312" w:eastAsia="仿宋_GB2312"/>
          <w:sz w:val="32"/>
          <w:szCs w:val="32"/>
        </w:rPr>
        <w:t>杭州市钱塘区综合行政执法局。</w:t>
      </w:r>
    </w:p>
    <w:p>
      <w:pPr>
        <w:keepNext w:val="0"/>
        <w:keepLines w:val="0"/>
        <w:pageBreakBefore w:val="0"/>
        <w:widowControl/>
        <w:kinsoku/>
        <w:wordWrap/>
        <w:overflowPunct/>
        <w:topLinePunct w:val="0"/>
        <w:autoSpaceDE/>
        <w:autoSpaceDN/>
        <w:bidi w:val="0"/>
        <w:adjustRightInd w:val="0"/>
        <w:snapToGrid/>
        <w:spacing w:after="120" w:line="580" w:lineRule="exact"/>
        <w:ind w:firstLine="630" w:firstLineChars="196"/>
        <w:jc w:val="left"/>
        <w:textAlignment w:val="auto"/>
        <w:rPr>
          <w:rFonts w:hint="eastAsia" w:ascii="仿宋_GB2312" w:hAnsi="ˎ̥" w:eastAsia="仿宋_GB2312" w:cs="宋体"/>
          <w:b/>
          <w:color w:val="000000"/>
          <w:kern w:val="0"/>
          <w:sz w:val="32"/>
          <w:szCs w:val="32"/>
        </w:rPr>
      </w:pPr>
      <w:r>
        <w:rPr>
          <w:rFonts w:hint="eastAsia" w:ascii="仿宋_GB2312" w:hAnsi="ˎ̥" w:eastAsia="仿宋_GB2312" w:cs="宋体"/>
          <w:b/>
          <w:color w:val="000000"/>
          <w:kern w:val="0"/>
          <w:sz w:val="32"/>
          <w:szCs w:val="32"/>
        </w:rPr>
        <w:t xml:space="preserve">第四条  </w:t>
      </w:r>
      <w:r>
        <w:rPr>
          <w:rFonts w:hint="eastAsia" w:ascii="仿宋_GB2312" w:eastAsia="仿宋_GB2312"/>
          <w:sz w:val="32"/>
          <w:szCs w:val="32"/>
        </w:rPr>
        <w:t>考核依据</w:t>
      </w:r>
    </w:p>
    <w:p>
      <w:pPr>
        <w:keepNext w:val="0"/>
        <w:keepLines w:val="0"/>
        <w:pageBreakBefore w:val="0"/>
        <w:widowControl/>
        <w:kinsoku/>
        <w:wordWrap/>
        <w:overflowPunct/>
        <w:topLinePunct w:val="0"/>
        <w:autoSpaceDE/>
        <w:autoSpaceDN/>
        <w:bidi w:val="0"/>
        <w:adjustRightInd w:val="0"/>
        <w:snapToGrid/>
        <w:spacing w:line="580" w:lineRule="exact"/>
        <w:ind w:firstLine="630"/>
        <w:jc w:val="left"/>
        <w:textAlignment w:val="auto"/>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（一）《城市照明管理规定》（</w:t>
      </w:r>
      <w:r>
        <w:rPr>
          <w:rFonts w:hint="eastAsia" w:ascii="仿宋_GB2312" w:eastAsia="仿宋_GB2312"/>
          <w:sz w:val="32"/>
          <w:szCs w:val="32"/>
        </w:rPr>
        <w:t>中华人民共和国住房和城乡建设部令第4号</w:t>
      </w:r>
      <w:r>
        <w:rPr>
          <w:rFonts w:hint="eastAsia" w:ascii="仿宋_GB2312" w:eastAsia="仿宋_GB2312"/>
          <w:sz w:val="32"/>
          <w:szCs w:val="32"/>
          <w:lang w:eastAsia="zh-CN"/>
        </w:rPr>
        <w:t>令</w:t>
      </w:r>
      <w:r>
        <w:rPr>
          <w:rFonts w:hint="eastAsia" w:ascii="仿宋_GB2312" w:hAnsi="宋体" w:eastAsia="仿宋_GB2312" w:cs="宋体"/>
          <w:bCs/>
          <w:color w:val="000000"/>
          <w:kern w:val="0"/>
          <w:sz w:val="32"/>
          <w:szCs w:val="32"/>
        </w:rPr>
        <w:t>）</w:t>
      </w:r>
    </w:p>
    <w:p>
      <w:pPr>
        <w:keepNext w:val="0"/>
        <w:keepLines w:val="0"/>
        <w:pageBreakBefore w:val="0"/>
        <w:widowControl/>
        <w:kinsoku/>
        <w:wordWrap/>
        <w:overflowPunct/>
        <w:topLinePunct w:val="0"/>
        <w:autoSpaceDE/>
        <w:autoSpaceDN/>
        <w:bidi w:val="0"/>
        <w:adjustRightInd w:val="0"/>
        <w:snapToGrid/>
        <w:spacing w:line="580" w:lineRule="exact"/>
        <w:ind w:firstLine="630"/>
        <w:jc w:val="left"/>
        <w:textAlignment w:val="auto"/>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（二）《城市市容和环境卫生管理条例》(</w:t>
      </w:r>
      <w:r>
        <w:rPr>
          <w:rFonts w:hint="eastAsia" w:ascii="仿宋_GB2312" w:hAnsi="Verdana" w:eastAsia="仿宋_GB2312" w:cs="宋体"/>
          <w:color w:val="000000"/>
          <w:kern w:val="0"/>
          <w:sz w:val="32"/>
          <w:szCs w:val="32"/>
        </w:rPr>
        <w:t>中华人民共和国国务院令第101号)</w:t>
      </w:r>
    </w:p>
    <w:p>
      <w:pPr>
        <w:keepNext w:val="0"/>
        <w:keepLines w:val="0"/>
        <w:pageBreakBefore w:val="0"/>
        <w:widowControl/>
        <w:kinsoku/>
        <w:wordWrap/>
        <w:overflowPunct/>
        <w:topLinePunct w:val="0"/>
        <w:autoSpaceDE/>
        <w:autoSpaceDN/>
        <w:bidi w:val="0"/>
        <w:adjustRightInd w:val="0"/>
        <w:snapToGrid/>
        <w:spacing w:line="580" w:lineRule="exact"/>
        <w:ind w:firstLine="630"/>
        <w:jc w:val="left"/>
        <w:textAlignment w:val="auto"/>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（三）</w:t>
      </w:r>
      <w:r>
        <w:rPr>
          <w:rFonts w:hint="eastAsia" w:ascii="仿宋_GB2312" w:hAnsi="宋体" w:eastAsia="仿宋_GB2312" w:cs="宋体"/>
          <w:color w:val="000000"/>
          <w:kern w:val="0"/>
          <w:sz w:val="32"/>
          <w:szCs w:val="32"/>
        </w:rPr>
        <w:t>《城市夜景照明设计规范》（JGJ/T163-2008）</w:t>
      </w:r>
    </w:p>
    <w:p>
      <w:pPr>
        <w:keepNext w:val="0"/>
        <w:keepLines w:val="0"/>
        <w:pageBreakBefore w:val="0"/>
        <w:widowControl/>
        <w:kinsoku/>
        <w:wordWrap/>
        <w:overflowPunct/>
        <w:topLinePunct w:val="0"/>
        <w:autoSpaceDE/>
        <w:autoSpaceDN/>
        <w:bidi w:val="0"/>
        <w:adjustRightInd w:val="0"/>
        <w:snapToGrid/>
        <w:spacing w:line="580" w:lineRule="exact"/>
        <w:ind w:firstLine="630"/>
        <w:jc w:val="left"/>
        <w:textAlignment w:val="auto"/>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（四）《杭州市城市市容和环境卫生管理条例》</w:t>
      </w:r>
    </w:p>
    <w:p>
      <w:pPr>
        <w:keepNext w:val="0"/>
        <w:keepLines w:val="0"/>
        <w:pageBreakBefore w:val="0"/>
        <w:widowControl/>
        <w:kinsoku/>
        <w:wordWrap/>
        <w:overflowPunct/>
        <w:topLinePunct w:val="0"/>
        <w:autoSpaceDE/>
        <w:autoSpaceDN/>
        <w:bidi w:val="0"/>
        <w:adjustRightInd w:val="0"/>
        <w:snapToGrid/>
        <w:spacing w:line="580" w:lineRule="exact"/>
        <w:ind w:firstLine="630"/>
        <w:jc w:val="left"/>
        <w:textAlignment w:val="auto"/>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（五）《杭州市夜景灯光设置管理办法》(市政府令第130号)</w:t>
      </w:r>
    </w:p>
    <w:p>
      <w:pPr>
        <w:keepNext w:val="0"/>
        <w:keepLines w:val="0"/>
        <w:pageBreakBefore w:val="0"/>
        <w:widowControl/>
        <w:kinsoku/>
        <w:wordWrap/>
        <w:overflowPunct/>
        <w:topLinePunct w:val="0"/>
        <w:autoSpaceDE/>
        <w:autoSpaceDN/>
        <w:bidi w:val="0"/>
        <w:adjustRightInd w:val="0"/>
        <w:snapToGrid/>
        <w:spacing w:line="580" w:lineRule="exact"/>
        <w:ind w:firstLine="630"/>
        <w:jc w:val="left"/>
        <w:textAlignment w:val="auto"/>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w:t>
      </w:r>
      <w:r>
        <w:rPr>
          <w:rFonts w:hint="eastAsia" w:ascii="仿宋_GB2312" w:hAnsi="宋体" w:eastAsia="仿宋_GB2312" w:cs="宋体"/>
          <w:bCs/>
          <w:color w:val="000000"/>
          <w:kern w:val="0"/>
          <w:sz w:val="32"/>
          <w:szCs w:val="32"/>
          <w:lang w:eastAsia="zh-CN"/>
        </w:rPr>
        <w:t>六</w:t>
      </w:r>
      <w:r>
        <w:rPr>
          <w:rFonts w:hint="eastAsia" w:ascii="仿宋_GB2312" w:hAnsi="宋体" w:eastAsia="仿宋_GB2312" w:cs="宋体"/>
          <w:bCs/>
          <w:color w:val="000000"/>
          <w:kern w:val="0"/>
          <w:sz w:val="32"/>
          <w:szCs w:val="32"/>
        </w:rPr>
        <w:t>）《杭州市城市照明管理办法》（杭州市人民政府令第305号）</w:t>
      </w:r>
    </w:p>
    <w:p>
      <w:pPr>
        <w:keepNext w:val="0"/>
        <w:keepLines w:val="0"/>
        <w:pageBreakBefore w:val="0"/>
        <w:widowControl/>
        <w:kinsoku/>
        <w:wordWrap/>
        <w:overflowPunct/>
        <w:topLinePunct w:val="0"/>
        <w:autoSpaceDE/>
        <w:autoSpaceDN/>
        <w:bidi w:val="0"/>
        <w:adjustRightInd w:val="0"/>
        <w:snapToGrid/>
        <w:spacing w:line="580" w:lineRule="exact"/>
        <w:ind w:firstLine="630"/>
        <w:jc w:val="left"/>
        <w:textAlignment w:val="auto"/>
        <w:rPr>
          <w:rFonts w:hint="eastAsia" w:ascii="仿宋_GB2312" w:hAnsi="宋体" w:eastAsia="仿宋_GB2312" w:cs="宋体"/>
          <w:bCs/>
          <w:color w:val="000000"/>
          <w:kern w:val="0"/>
          <w:sz w:val="32"/>
          <w:szCs w:val="32"/>
          <w:highlight w:val="none"/>
          <w:lang w:eastAsia="zh-CN"/>
        </w:rPr>
      </w:pPr>
      <w:r>
        <w:rPr>
          <w:rFonts w:hint="eastAsia" w:ascii="仿宋_GB2312" w:hAnsi="宋体" w:eastAsia="仿宋_GB2312" w:cs="宋体"/>
          <w:bCs/>
          <w:color w:val="000000"/>
          <w:kern w:val="0"/>
          <w:sz w:val="32"/>
          <w:szCs w:val="32"/>
          <w:highlight w:val="none"/>
          <w:lang w:eastAsia="zh-CN"/>
        </w:rPr>
        <w:t>（七）《关于印发杭州市市区景观亮化运行管理工作方案的通知》（杭政办函</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val="en-US" w:eastAsia="zh-CN"/>
        </w:rPr>
        <w:t>2016</w:t>
      </w:r>
      <w:r>
        <w:rPr>
          <w:rFonts w:hint="eastAsia"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lang w:val="en-US" w:eastAsia="zh-CN"/>
        </w:rPr>
        <w:t>132</w:t>
      </w:r>
      <w:r>
        <w:rPr>
          <w:rFonts w:hint="eastAsia" w:ascii="仿宋_GB2312" w:hAnsi="宋体" w:eastAsia="仿宋_GB2312" w:cs="宋体"/>
          <w:color w:val="000000"/>
          <w:kern w:val="0"/>
          <w:sz w:val="32"/>
          <w:szCs w:val="32"/>
          <w:highlight w:val="none"/>
        </w:rPr>
        <w:t>号</w:t>
      </w:r>
      <w:r>
        <w:rPr>
          <w:rFonts w:hint="eastAsia" w:ascii="仿宋_GB2312" w:hAnsi="宋体" w:eastAsia="仿宋_GB2312" w:cs="宋体"/>
          <w:bCs/>
          <w:color w:val="000000"/>
          <w:kern w:val="0"/>
          <w:sz w:val="32"/>
          <w:szCs w:val="32"/>
          <w:highlight w:val="none"/>
          <w:lang w:eastAsia="zh-CN"/>
        </w:rPr>
        <w:t>）</w:t>
      </w:r>
    </w:p>
    <w:p>
      <w:pPr>
        <w:keepNext w:val="0"/>
        <w:keepLines w:val="0"/>
        <w:pageBreakBefore w:val="0"/>
        <w:kinsoku/>
        <w:wordWrap/>
        <w:overflowPunct/>
        <w:topLinePunct w:val="0"/>
        <w:autoSpaceDE/>
        <w:autoSpaceDN/>
        <w:bidi w:val="0"/>
        <w:snapToGrid/>
        <w:spacing w:line="580" w:lineRule="exact"/>
        <w:ind w:left="639"/>
        <w:textAlignment w:val="auto"/>
        <w:rPr>
          <w:rFonts w:hint="eastAsia" w:ascii="仿宋_GB2312" w:eastAsia="仿宋_GB2312"/>
          <w:sz w:val="32"/>
          <w:szCs w:val="32"/>
        </w:rPr>
      </w:pPr>
      <w:r>
        <w:rPr>
          <w:rFonts w:hint="eastAsia" w:ascii="仿宋_GB2312" w:eastAsia="仿宋_GB2312"/>
          <w:b/>
          <w:sz w:val="32"/>
          <w:szCs w:val="32"/>
        </w:rPr>
        <w:t xml:space="preserve">第五条 </w:t>
      </w:r>
      <w:r>
        <w:rPr>
          <w:rFonts w:hint="eastAsia" w:ascii="仿宋_GB2312" w:eastAsia="仿宋_GB2312"/>
          <w:sz w:val="32"/>
          <w:szCs w:val="32"/>
        </w:rPr>
        <w:t>考核方法</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由内业考核、外业考核、创新创优考核及负面清单考核四部分组成。</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（一）内业考核：主要检查台账资料，以月度检查为主，年底汇总。</w:t>
      </w:r>
    </w:p>
    <w:p>
      <w:pPr>
        <w:keepNext w:val="0"/>
        <w:keepLines w:val="0"/>
        <w:pageBreakBefore w:val="0"/>
        <w:kinsoku/>
        <w:wordWrap/>
        <w:overflowPunct/>
        <w:topLinePunct w:val="0"/>
        <w:autoSpaceDE/>
        <w:autoSpaceDN/>
        <w:bidi w:val="0"/>
        <w:snapToGrid/>
        <w:spacing w:line="580" w:lineRule="exact"/>
        <w:ind w:firstLine="480" w:firstLineChars="150"/>
        <w:textAlignment w:val="auto"/>
        <w:rPr>
          <w:rFonts w:hint="eastAsia" w:ascii="仿宋_GB2312" w:eastAsia="仿宋_GB2312"/>
          <w:sz w:val="32"/>
          <w:szCs w:val="32"/>
        </w:rPr>
      </w:pPr>
      <w:r>
        <w:rPr>
          <w:rFonts w:hint="eastAsia" w:ascii="仿宋_GB2312" w:eastAsia="仿宋_GB2312"/>
          <w:sz w:val="32"/>
          <w:szCs w:val="32"/>
        </w:rPr>
        <w:t>（二）外业考核：主要检查养护作业情况、环境整治情况、亚运专项整治情况、项目部情况、信访投诉情况等涉及养护的所有工作，以日常检查为主，月底汇总。</w:t>
      </w:r>
    </w:p>
    <w:p>
      <w:pPr>
        <w:keepNext w:val="0"/>
        <w:keepLines w:val="0"/>
        <w:pageBreakBefore w:val="0"/>
        <w:kinsoku/>
        <w:wordWrap/>
        <w:overflowPunct/>
        <w:topLinePunct w:val="0"/>
        <w:autoSpaceDE/>
        <w:autoSpaceDN/>
        <w:bidi w:val="0"/>
        <w:snapToGrid/>
        <w:spacing w:line="580" w:lineRule="exact"/>
        <w:ind w:firstLine="480" w:firstLineChars="150"/>
        <w:textAlignment w:val="auto"/>
        <w:rPr>
          <w:rFonts w:hint="eastAsia" w:ascii="仿宋_GB2312" w:eastAsia="仿宋_GB2312"/>
          <w:sz w:val="32"/>
          <w:szCs w:val="32"/>
        </w:rPr>
      </w:pPr>
      <w:r>
        <w:rPr>
          <w:rFonts w:hint="eastAsia" w:ascii="仿宋_GB2312" w:eastAsia="仿宋_GB2312"/>
          <w:sz w:val="32"/>
          <w:szCs w:val="32"/>
        </w:rPr>
        <w:t>（三）创新创优考核：作为加分项，具体为养护单位在养护工作上的突出表现，获得的表彰奖励、领导批示等，按次考核核减扣款，月底汇总。</w:t>
      </w:r>
    </w:p>
    <w:p>
      <w:pPr>
        <w:keepNext w:val="0"/>
        <w:keepLines w:val="0"/>
        <w:pageBreakBefore w:val="0"/>
        <w:kinsoku/>
        <w:wordWrap/>
        <w:overflowPunct/>
        <w:topLinePunct w:val="0"/>
        <w:autoSpaceDE/>
        <w:autoSpaceDN/>
        <w:bidi w:val="0"/>
        <w:snapToGrid/>
        <w:spacing w:line="580" w:lineRule="exact"/>
        <w:ind w:firstLine="480" w:firstLineChars="150"/>
        <w:textAlignment w:val="auto"/>
        <w:rPr>
          <w:rFonts w:hint="eastAsia" w:ascii="仿宋_GB2312" w:eastAsia="仿宋_GB2312"/>
          <w:sz w:val="32"/>
          <w:szCs w:val="32"/>
        </w:rPr>
      </w:pPr>
      <w:r>
        <w:rPr>
          <w:rFonts w:hint="eastAsia" w:ascii="仿宋_GB2312" w:eastAsia="仿宋_GB2312"/>
          <w:sz w:val="32"/>
          <w:szCs w:val="32"/>
        </w:rPr>
        <w:t>（四）负面清单考核：作为扣分项，具体为养护单位在养护工作上出现的安全管理、负面舆情、领导交办、专项督查等方面，按次考核扣款，月底汇总</w:t>
      </w:r>
    </w:p>
    <w:p>
      <w:pPr>
        <w:keepNext w:val="0"/>
        <w:keepLines w:val="0"/>
        <w:pageBreakBefore w:val="0"/>
        <w:kinsoku/>
        <w:wordWrap/>
        <w:overflowPunct/>
        <w:topLinePunct w:val="0"/>
        <w:autoSpaceDE/>
        <w:autoSpaceDN/>
        <w:bidi w:val="0"/>
        <w:snapToGrid/>
        <w:spacing w:line="580" w:lineRule="exact"/>
        <w:ind w:left="643"/>
        <w:textAlignment w:val="auto"/>
        <w:rPr>
          <w:rFonts w:hint="eastAsia" w:ascii="仿宋_GB2312" w:eastAsia="仿宋_GB2312"/>
          <w:b/>
          <w:sz w:val="32"/>
          <w:szCs w:val="32"/>
        </w:rPr>
      </w:pPr>
      <w:r>
        <w:rPr>
          <w:rFonts w:hint="eastAsia" w:ascii="仿宋_GB2312" w:eastAsia="仿宋_GB2312"/>
          <w:b/>
          <w:sz w:val="32"/>
          <w:szCs w:val="32"/>
        </w:rPr>
        <w:t xml:space="preserve">第六条  </w:t>
      </w:r>
      <w:r>
        <w:rPr>
          <w:rFonts w:hint="eastAsia" w:ascii="仿宋_GB2312" w:eastAsia="仿宋_GB2312"/>
          <w:sz w:val="32"/>
          <w:szCs w:val="32"/>
        </w:rPr>
        <w:t>作业标准（详见附件1）</w:t>
      </w:r>
    </w:p>
    <w:p>
      <w:pPr>
        <w:keepNext w:val="0"/>
        <w:keepLines w:val="0"/>
        <w:pageBreakBefore w:val="0"/>
        <w:kinsoku/>
        <w:wordWrap/>
        <w:overflowPunct/>
        <w:topLinePunct w:val="0"/>
        <w:autoSpaceDE/>
        <w:autoSpaceDN/>
        <w:bidi w:val="0"/>
        <w:snapToGrid/>
        <w:spacing w:line="580" w:lineRule="exact"/>
        <w:ind w:left="643"/>
        <w:textAlignment w:val="auto"/>
        <w:rPr>
          <w:rFonts w:hint="eastAsia" w:ascii="仿宋_GB2312" w:eastAsia="仿宋_GB2312"/>
          <w:b/>
          <w:sz w:val="32"/>
          <w:szCs w:val="32"/>
        </w:rPr>
      </w:pPr>
      <w:r>
        <w:rPr>
          <w:rFonts w:hint="eastAsia" w:ascii="仿宋_GB2312" w:eastAsia="仿宋_GB2312"/>
          <w:b/>
          <w:sz w:val="32"/>
          <w:szCs w:val="32"/>
        </w:rPr>
        <w:t xml:space="preserve">第七条  </w:t>
      </w:r>
      <w:r>
        <w:rPr>
          <w:rFonts w:hint="eastAsia" w:ascii="仿宋_GB2312" w:eastAsia="仿宋_GB2312"/>
          <w:sz w:val="32"/>
          <w:szCs w:val="32"/>
        </w:rPr>
        <w:t>扣款标准（详见附件2）</w:t>
      </w:r>
    </w:p>
    <w:p>
      <w:pPr>
        <w:keepNext w:val="0"/>
        <w:keepLines w:val="0"/>
        <w:pageBreakBefore w:val="0"/>
        <w:kinsoku/>
        <w:wordWrap/>
        <w:overflowPunct/>
        <w:topLinePunct w:val="0"/>
        <w:autoSpaceDE/>
        <w:autoSpaceDN/>
        <w:bidi w:val="0"/>
        <w:snapToGrid/>
        <w:spacing w:line="580" w:lineRule="exact"/>
        <w:ind w:left="643"/>
        <w:textAlignment w:val="auto"/>
        <w:rPr>
          <w:rFonts w:hint="eastAsia" w:ascii="仿宋_GB2312" w:eastAsia="仿宋_GB2312"/>
          <w:sz w:val="32"/>
          <w:szCs w:val="32"/>
        </w:rPr>
      </w:pPr>
      <w:r>
        <w:rPr>
          <w:rFonts w:hint="eastAsia" w:ascii="仿宋_GB2312" w:eastAsia="仿宋_GB2312"/>
          <w:b/>
          <w:sz w:val="32"/>
          <w:szCs w:val="32"/>
        </w:rPr>
        <w:t xml:space="preserve">第八条  </w:t>
      </w:r>
      <w:r>
        <w:rPr>
          <w:rFonts w:hint="eastAsia" w:ascii="仿宋_GB2312" w:eastAsia="仿宋_GB2312"/>
          <w:sz w:val="32"/>
          <w:szCs w:val="32"/>
        </w:rPr>
        <w:t>扣款方式</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在区财政向养护单位核拨养护经费时扣除（含数字城管考核扣款）。</w:t>
      </w:r>
    </w:p>
    <w:p>
      <w:pPr>
        <w:keepNext w:val="0"/>
        <w:keepLines w:val="0"/>
        <w:pageBreakBefore w:val="0"/>
        <w:kinsoku/>
        <w:wordWrap/>
        <w:overflowPunct/>
        <w:topLinePunct w:val="0"/>
        <w:autoSpaceDE/>
        <w:autoSpaceDN/>
        <w:bidi w:val="0"/>
        <w:snapToGrid/>
        <w:spacing w:line="58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第九条  成绩评定</w:t>
      </w:r>
    </w:p>
    <w:p>
      <w:pPr>
        <w:keepNext w:val="0"/>
        <w:keepLines w:val="0"/>
        <w:pageBreakBefore w:val="0"/>
        <w:kinsoku/>
        <w:wordWrap/>
        <w:overflowPunct/>
        <w:topLinePunct w:val="0"/>
        <w:autoSpaceDE/>
        <w:autoSpaceDN/>
        <w:bidi w:val="0"/>
        <w:snapToGrid/>
        <w:spacing w:line="58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（一）月度考核成绩评定</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月度考核成绩设合格与不合格两档。</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rPr>
        <w:t>合格：月度考核扣款额占月度养护费总额</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%（不含）以下。</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不合格：月度考核扣款额占月度养护费总额</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%（含）以上。</w:t>
      </w:r>
    </w:p>
    <w:p>
      <w:pPr>
        <w:keepNext w:val="0"/>
        <w:keepLines w:val="0"/>
        <w:pageBreakBefore w:val="0"/>
        <w:kinsoku/>
        <w:wordWrap/>
        <w:overflowPunct/>
        <w:topLinePunct w:val="0"/>
        <w:autoSpaceDE/>
        <w:autoSpaceDN/>
        <w:bidi w:val="0"/>
        <w:snapToGrid/>
        <w:spacing w:line="580" w:lineRule="exact"/>
        <w:ind w:firstLine="643" w:firstLineChars="200"/>
        <w:textAlignment w:val="auto"/>
        <w:rPr>
          <w:rFonts w:hint="eastAsia" w:ascii="仿宋_GB2312" w:eastAsia="仿宋_GB2312"/>
          <w:b/>
          <w:sz w:val="32"/>
          <w:szCs w:val="32"/>
          <w:highlight w:val="none"/>
        </w:rPr>
      </w:pPr>
      <w:r>
        <w:rPr>
          <w:rFonts w:hint="eastAsia" w:ascii="仿宋_GB2312" w:eastAsia="仿宋_GB2312"/>
          <w:b/>
          <w:sz w:val="32"/>
          <w:szCs w:val="32"/>
          <w:highlight w:val="none"/>
        </w:rPr>
        <w:t>（二）年度考核成绩评定</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rPr>
        <w:t>年度考核成绩设优秀、合格和不合格三</w:t>
      </w:r>
      <w:r>
        <w:rPr>
          <w:rFonts w:hint="eastAsia" w:ascii="仿宋_GB2312" w:eastAsia="仿宋_GB2312"/>
          <w:sz w:val="32"/>
          <w:szCs w:val="32"/>
          <w:highlight w:val="none"/>
        </w:rPr>
        <w:t>档。</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优秀：年度考核扣款额占全年养护费总额</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%（不含）以下，且当年月度考核均为合格。</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合格：年度考核扣款额占全年养护费总额</w:t>
      </w:r>
      <w:r>
        <w:rPr>
          <w:rFonts w:hint="eastAsia" w:ascii="仿宋_GB2312" w:eastAsia="仿宋_GB2312"/>
          <w:sz w:val="32"/>
          <w:szCs w:val="32"/>
          <w:highlight w:val="none"/>
          <w:lang w:val="en-US" w:eastAsia="zh-CN"/>
        </w:rPr>
        <w:t>10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（含）</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%（不含），且当年月度考核成绩不合格次数少于2次。</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highlight w:val="none"/>
        </w:rPr>
        <w:t>不合格：年度考核扣款额占全年养护费总额</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w:t>
      </w:r>
      <w:r>
        <w:rPr>
          <w:rFonts w:hint="eastAsia" w:ascii="仿宋_GB2312" w:eastAsia="仿宋_GB2312"/>
          <w:sz w:val="32"/>
          <w:szCs w:val="32"/>
        </w:rPr>
        <w:t>含）</w:t>
      </w:r>
      <w:r>
        <w:rPr>
          <w:rFonts w:hint="eastAsia" w:ascii="仿宋_GB2312" w:eastAsia="仿宋_GB2312"/>
          <w:sz w:val="32"/>
          <w:szCs w:val="32"/>
          <w:highlight w:val="none"/>
        </w:rPr>
        <w:t>以上</w:t>
      </w:r>
      <w:r>
        <w:rPr>
          <w:rFonts w:hint="eastAsia" w:ascii="仿宋_GB2312" w:eastAsia="仿宋_GB2312"/>
          <w:sz w:val="32"/>
          <w:szCs w:val="32"/>
        </w:rPr>
        <w:t>，或当年出现2次（含）以上月度考核不合格。</w:t>
      </w:r>
    </w:p>
    <w:p>
      <w:pPr>
        <w:keepNext w:val="0"/>
        <w:keepLines w:val="0"/>
        <w:pageBreakBefore w:val="0"/>
        <w:kinsoku/>
        <w:wordWrap/>
        <w:overflowPunct/>
        <w:topLinePunct w:val="0"/>
        <w:autoSpaceDE/>
        <w:autoSpaceDN/>
        <w:bidi w:val="0"/>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月度、年度考核成绩出现不合格的单位，视情节轻重，抄送</w:t>
      </w:r>
      <w:r>
        <w:rPr>
          <w:rFonts w:hint="eastAsia" w:ascii="仿宋_GB2312" w:eastAsia="仿宋_GB2312"/>
          <w:sz w:val="32"/>
          <w:szCs w:val="32"/>
          <w:highlight w:val="none"/>
        </w:rPr>
        <w:t>招投标</w:t>
      </w:r>
      <w:r>
        <w:rPr>
          <w:rFonts w:hint="eastAsia" w:ascii="仿宋_GB2312" w:eastAsia="仿宋_GB2312"/>
          <w:sz w:val="32"/>
          <w:szCs w:val="32"/>
          <w:highlight w:val="none"/>
          <w:lang w:eastAsia="zh-CN"/>
        </w:rPr>
        <w:t>（采购）</w:t>
      </w:r>
      <w:r>
        <w:rPr>
          <w:rFonts w:hint="eastAsia" w:ascii="仿宋_GB2312" w:eastAsia="仿宋_GB2312"/>
          <w:sz w:val="32"/>
          <w:szCs w:val="32"/>
        </w:rPr>
        <w:t>管理部门。</w:t>
      </w:r>
    </w:p>
    <w:p>
      <w:pPr>
        <w:keepNext w:val="0"/>
        <w:keepLines w:val="0"/>
        <w:pageBreakBefore w:val="0"/>
        <w:kinsoku/>
        <w:wordWrap/>
        <w:overflowPunct/>
        <w:topLinePunct w:val="0"/>
        <w:autoSpaceDE/>
        <w:autoSpaceDN/>
        <w:bidi w:val="0"/>
        <w:snapToGrid/>
        <w:spacing w:line="580" w:lineRule="exact"/>
        <w:ind w:firstLine="643" w:firstLineChars="200"/>
        <w:textAlignment w:val="auto"/>
        <w:rPr>
          <w:rFonts w:hint="default" w:ascii="楷体_GB2312" w:hAnsi="Times New Roman" w:eastAsia="楷体_GB2312" w:cs="Times New Roman"/>
          <w:b/>
          <w:sz w:val="32"/>
          <w:szCs w:val="32"/>
          <w:lang w:val="en-US" w:eastAsia="zh-CN"/>
        </w:rPr>
      </w:pPr>
      <w:r>
        <w:rPr>
          <w:rFonts w:hint="eastAsia" w:ascii="楷体_GB2312" w:hAnsi="Times New Roman" w:eastAsia="楷体_GB2312" w:cs="Times New Roman"/>
          <w:b/>
          <w:sz w:val="32"/>
          <w:szCs w:val="32"/>
          <w:lang w:val="en-US" w:eastAsia="zh-CN"/>
        </w:rPr>
        <w:t xml:space="preserve">第十条   </w:t>
      </w:r>
      <w:r>
        <w:rPr>
          <w:rFonts w:hint="eastAsia" w:ascii="仿宋_GB2312" w:hAnsi="Times New Roman" w:eastAsia="仿宋_GB2312" w:cs="Times New Roman"/>
          <w:sz w:val="32"/>
          <w:szCs w:val="32"/>
          <w:lang w:val="en-US" w:eastAsia="zh-CN"/>
        </w:rPr>
        <w:t>考核运用：若合同中约定考核优秀方可续签下一年合同的项目，结合考核结果为无法续签的，则区综合行政执法局立即启动养护采购工作，采购期间的养护仍由原单位按原合同价及养护标准做好长效养护，待新单位产生后立即进行交接，交接完成后原养护单位养护期和养护合同终止。</w:t>
      </w:r>
    </w:p>
    <w:p>
      <w:pPr>
        <w:keepNext w:val="0"/>
        <w:keepLines w:val="0"/>
        <w:pageBreakBefore w:val="0"/>
        <w:kinsoku/>
        <w:wordWrap/>
        <w:overflowPunct/>
        <w:topLinePunct w:val="0"/>
        <w:autoSpaceDE/>
        <w:autoSpaceDN/>
        <w:bidi w:val="0"/>
        <w:snapToGrid/>
        <w:spacing w:line="580" w:lineRule="exact"/>
        <w:ind w:firstLine="643" w:firstLineChars="200"/>
        <w:textAlignment w:val="auto"/>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eastAsia="zh-CN"/>
        </w:rPr>
        <w:t>一</w:t>
      </w:r>
      <w:r>
        <w:rPr>
          <w:rFonts w:hint="eastAsia" w:ascii="楷体_GB2312" w:eastAsia="楷体_GB2312"/>
          <w:b/>
          <w:sz w:val="32"/>
          <w:szCs w:val="32"/>
        </w:rPr>
        <w:t>条</w:t>
      </w:r>
      <w:r>
        <w:rPr>
          <w:rFonts w:hint="eastAsia" w:ascii="仿宋_GB2312" w:eastAsia="仿宋_GB2312"/>
          <w:sz w:val="32"/>
          <w:szCs w:val="32"/>
        </w:rPr>
        <w:t xml:space="preserve">  本考核办法解释权归杭州市钱塘区综合行政执法局。</w:t>
      </w:r>
    </w:p>
    <w:p>
      <w:pPr>
        <w:keepNext w:val="0"/>
        <w:keepLines w:val="0"/>
        <w:pageBreakBefore w:val="0"/>
        <w:kinsoku/>
        <w:wordWrap/>
        <w:overflowPunct/>
        <w:topLinePunct w:val="0"/>
        <w:autoSpaceDE/>
        <w:autoSpaceDN/>
        <w:bidi w:val="0"/>
        <w:snapToGrid/>
        <w:spacing w:line="580" w:lineRule="exact"/>
        <w:ind w:firstLine="643" w:firstLineChars="200"/>
        <w:textAlignment w:val="auto"/>
        <w:rPr>
          <w:rFonts w:hint="eastAsia" w:ascii="仿宋_GB2312" w:eastAsia="仿宋_GB2312"/>
          <w:sz w:val="32"/>
          <w:szCs w:val="32"/>
        </w:rPr>
      </w:pPr>
      <w:r>
        <w:rPr>
          <w:rFonts w:hint="eastAsia" w:ascii="楷体_GB2312" w:eastAsia="楷体_GB2312"/>
          <w:b/>
          <w:sz w:val="32"/>
          <w:szCs w:val="32"/>
        </w:rPr>
        <w:t>第十</w:t>
      </w:r>
      <w:r>
        <w:rPr>
          <w:rFonts w:hint="eastAsia" w:ascii="楷体_GB2312" w:eastAsia="楷体_GB2312"/>
          <w:b/>
          <w:sz w:val="32"/>
          <w:szCs w:val="32"/>
          <w:lang w:eastAsia="zh-CN"/>
        </w:rPr>
        <w:t>二</w:t>
      </w:r>
      <w:r>
        <w:rPr>
          <w:rFonts w:hint="eastAsia" w:ascii="楷体_GB2312" w:eastAsia="楷体_GB2312"/>
          <w:b/>
          <w:sz w:val="32"/>
          <w:szCs w:val="32"/>
        </w:rPr>
        <w:t>条</w:t>
      </w:r>
      <w:r>
        <w:rPr>
          <w:rFonts w:hint="eastAsia" w:ascii="仿宋_GB2312" w:eastAsia="仿宋_GB2312"/>
          <w:sz w:val="32"/>
          <w:szCs w:val="32"/>
        </w:rPr>
        <w:t xml:space="preserve">  本考核办法从20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月1日起正式实施。</w:t>
      </w:r>
    </w:p>
    <w:p>
      <w:pPr>
        <w:keepNext w:val="0"/>
        <w:keepLines w:val="0"/>
        <w:pageBreakBefore w:val="0"/>
        <w:kinsoku/>
        <w:wordWrap/>
        <w:overflowPunct/>
        <w:topLinePunct w:val="0"/>
        <w:autoSpaceDE/>
        <w:autoSpaceDN/>
        <w:bidi w:val="0"/>
        <w:snapToGrid/>
        <w:spacing w:line="580" w:lineRule="exact"/>
        <w:ind w:firstLine="593" w:firstLineChars="197"/>
        <w:textAlignment w:val="auto"/>
        <w:rPr>
          <w:rFonts w:hint="eastAsia" w:ascii="楷体_GB2312" w:eastAsia="楷体_GB2312"/>
          <w:b/>
          <w:sz w:val="30"/>
          <w:szCs w:val="30"/>
        </w:rPr>
      </w:pPr>
    </w:p>
    <w:p>
      <w:pPr>
        <w:keepNext w:val="0"/>
        <w:keepLines w:val="0"/>
        <w:pageBreakBefore w:val="0"/>
        <w:kinsoku/>
        <w:wordWrap/>
        <w:overflowPunct/>
        <w:topLinePunct w:val="0"/>
        <w:autoSpaceDE/>
        <w:autoSpaceDN/>
        <w:bidi w:val="0"/>
        <w:snapToGrid/>
        <w:spacing w:line="58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楷体_GB2312" w:eastAsia="楷体_GB2312"/>
          <w:b/>
          <w:sz w:val="32"/>
          <w:szCs w:val="32"/>
        </w:rPr>
        <w:t>附件：</w:t>
      </w:r>
      <w:r>
        <w:rPr>
          <w:rFonts w:hint="eastAsia" w:ascii="仿宋_GB2312" w:hAnsi="Times New Roman" w:eastAsia="仿宋_GB2312" w:cs="Times New Roman"/>
          <w:sz w:val="32"/>
          <w:szCs w:val="32"/>
          <w:lang w:val="en-US" w:eastAsia="zh-CN"/>
        </w:rPr>
        <w:t>1.景观照明养护作业标准</w:t>
      </w:r>
    </w:p>
    <w:p>
      <w:pPr>
        <w:keepNext w:val="0"/>
        <w:keepLines w:val="0"/>
        <w:pageBreakBefore w:val="0"/>
        <w:kinsoku/>
        <w:wordWrap/>
        <w:overflowPunct/>
        <w:topLinePunct w:val="0"/>
        <w:autoSpaceDE/>
        <w:autoSpaceDN/>
        <w:bidi w:val="0"/>
        <w:snapToGrid/>
        <w:spacing w:after="156" w:afterLines="50" w:line="580" w:lineRule="exact"/>
        <w:jc w:val="center"/>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2.景观照明养护作业考核扣款（奖励）标准</w:t>
      </w:r>
    </w:p>
    <w:p>
      <w:pPr>
        <w:pStyle w:val="27"/>
        <w:rPr>
          <w:rFonts w:hint="eastAsia"/>
        </w:rPr>
      </w:pPr>
    </w:p>
    <w:p>
      <w:pPr>
        <w:rPr>
          <w:rFonts w:hint="eastAsia" w:ascii="仿宋_GB2312" w:hAnsi="仿宋" w:eastAsia="仿宋_GB2312" w:cs="仿宋_GB2312"/>
          <w:b/>
          <w:sz w:val="36"/>
          <w:szCs w:val="20"/>
          <w:highlight w:val="none"/>
          <w:lang w:eastAsia="zh-CN"/>
        </w:rPr>
      </w:pPr>
    </w:p>
    <w:p>
      <w:pPr>
        <w:rPr>
          <w:rFonts w:hint="eastAsia" w:ascii="仿宋_GB2312" w:hAnsi="仿宋" w:eastAsia="仿宋_GB2312" w:cs="仿宋_GB2312"/>
          <w:b/>
          <w:sz w:val="36"/>
          <w:szCs w:val="20"/>
          <w:highlight w:val="none"/>
          <w:lang w:eastAsia="zh-CN"/>
        </w:rPr>
      </w:pPr>
    </w:p>
    <w:p>
      <w:pPr>
        <w:rPr>
          <w:rFonts w:hint="eastAsia" w:ascii="仿宋_GB2312" w:hAnsi="仿宋" w:eastAsia="仿宋_GB2312" w:cs="仿宋_GB2312"/>
          <w:b/>
          <w:sz w:val="36"/>
          <w:szCs w:val="20"/>
          <w:highlight w:val="none"/>
          <w:lang w:eastAsia="zh-CN"/>
        </w:rPr>
      </w:pPr>
      <w:r>
        <w:rPr>
          <w:rFonts w:hint="eastAsia" w:ascii="仿宋_GB2312" w:hAnsi="仿宋" w:eastAsia="仿宋_GB2312" w:cs="仿宋_GB2312"/>
          <w:b/>
          <w:sz w:val="36"/>
          <w:szCs w:val="20"/>
          <w:highlight w:val="none"/>
          <w:lang w:eastAsia="zh-CN"/>
        </w:rPr>
        <w:br w:type="page"/>
      </w:r>
    </w:p>
    <w:p>
      <w:pPr>
        <w:jc w:val="center"/>
        <w:rPr>
          <w:rFonts w:hint="eastAsia" w:ascii="仿宋_GB2312" w:hAnsi="仿宋" w:eastAsia="仿宋_GB2312" w:cs="仿宋_GB2312"/>
          <w:b/>
          <w:sz w:val="36"/>
          <w:szCs w:val="20"/>
          <w:highlight w:val="none"/>
          <w:lang w:val="en-US" w:eastAsia="zh-CN"/>
        </w:rPr>
      </w:pPr>
      <w:r>
        <w:rPr>
          <w:rFonts w:hint="eastAsia" w:ascii="仿宋_GB2312" w:hAnsi="仿宋" w:eastAsia="仿宋_GB2312" w:cs="仿宋_GB2312"/>
          <w:b/>
          <w:sz w:val="36"/>
          <w:szCs w:val="20"/>
          <w:highlight w:val="none"/>
          <w:lang w:eastAsia="zh-CN"/>
        </w:rPr>
        <w:t>附件</w:t>
      </w:r>
      <w:r>
        <w:rPr>
          <w:rFonts w:hint="eastAsia" w:ascii="仿宋_GB2312" w:hAnsi="仿宋" w:eastAsia="仿宋_GB2312" w:cs="仿宋_GB2312"/>
          <w:b/>
          <w:sz w:val="36"/>
          <w:szCs w:val="20"/>
          <w:highlight w:val="none"/>
          <w:lang w:val="en-US" w:eastAsia="zh-CN"/>
        </w:rPr>
        <w:t>1：景观照明养护作业标准</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1560"/>
        <w:gridCol w:w="6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分类</w:t>
            </w: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项目</w:t>
            </w:r>
          </w:p>
        </w:tc>
        <w:tc>
          <w:tcPr>
            <w:tcW w:w="6878"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restart"/>
            <w:textDirection w:val="tbRlV"/>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内   业</w:t>
            </w: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制度建设</w:t>
            </w:r>
          </w:p>
        </w:tc>
        <w:tc>
          <w:tcPr>
            <w:tcW w:w="6878" w:type="dxa"/>
            <w:vAlign w:val="center"/>
          </w:tcPr>
          <w:p>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u w:val="none"/>
                <w:lang w:val="en-US" w:eastAsia="zh-CN" w:bidi="ar"/>
              </w:rPr>
              <w:t>建立人员管理、物资管理、日常巡查、安全管理、应急处置、养护作业安全操作规程、档案管理等景观照明设施养护相关制度，明确内部处置流程。巡查车辆GPS巡查轨迹符合合同约定要求。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pPr>
              <w:jc w:val="center"/>
              <w:rPr>
                <w:rFonts w:ascii="仿宋_GB2312" w:hAnsi="仿宋" w:eastAsia="仿宋_GB2312" w:cs="仿宋_GB2312"/>
                <w:b/>
                <w:sz w:val="36"/>
                <w:szCs w:val="20"/>
                <w:highlight w:val="none"/>
                <w:vertAlign w:val="baseline"/>
              </w:rPr>
            </w:pP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应急处置</w:t>
            </w:r>
          </w:p>
        </w:tc>
        <w:tc>
          <w:tcPr>
            <w:tcW w:w="6878" w:type="dxa"/>
            <w:vAlign w:val="center"/>
          </w:tcPr>
          <w:p>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u w:val="none"/>
                <w:lang w:val="en-US" w:eastAsia="zh-CN" w:bidi="ar"/>
              </w:rPr>
              <w:t>建立各类突发事件的处置预案，落实台风、暴雨、冰雪等自然灾害来临前的防护措施和灾后修复工作，并建立相应工作台帐；建立景观灯信访投诉件的处理台帐;建立应急处置设施、故障的台账。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pPr>
              <w:jc w:val="center"/>
              <w:rPr>
                <w:rFonts w:ascii="仿宋_GB2312" w:hAnsi="仿宋" w:eastAsia="仿宋_GB2312" w:cs="仿宋_GB2312"/>
                <w:b/>
                <w:sz w:val="36"/>
                <w:szCs w:val="20"/>
                <w:highlight w:val="none"/>
                <w:vertAlign w:val="baseline"/>
              </w:rPr>
            </w:pP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基础资料</w:t>
            </w:r>
          </w:p>
        </w:tc>
        <w:tc>
          <w:tcPr>
            <w:tcW w:w="6878" w:type="dxa"/>
            <w:vAlign w:val="top"/>
          </w:tcPr>
          <w:p>
            <w:pPr>
              <w:keepNext w:val="0"/>
              <w:keepLines w:val="0"/>
              <w:widowControl/>
              <w:suppressLineNumbers w:val="0"/>
              <w:jc w:val="left"/>
              <w:textAlignment w:val="auto"/>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u w:val="none"/>
                <w:lang w:val="en-US" w:eastAsia="zh-CN" w:bidi="ar"/>
              </w:rPr>
              <w:t xml:space="preserve">建立景观灯基础资料、维护机（器）械设备、维护人员、出（入）库、巡查、检修、灯杆（光源、灯罩）清洗台帐；做好景观灯维护日报和月报制度，每月定期上报月报表和月度总结及下月工作计划，并建立相应工作台帐；积极做好大型活动、领导检查、专项保障等工作，并建立相应工作台帐；参加专项会议、专项审查、专项验收等工作，并建立相应工作台账。按照市、区级宣传考核要求，每月按数量要求上报微信、微博、抖音、简讯等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pPr>
              <w:jc w:val="center"/>
              <w:rPr>
                <w:rFonts w:ascii="仿宋_GB2312" w:hAnsi="仿宋" w:eastAsia="仿宋_GB2312" w:cs="仿宋_GB2312"/>
                <w:b/>
                <w:sz w:val="36"/>
                <w:szCs w:val="20"/>
                <w:highlight w:val="none"/>
                <w:vertAlign w:val="baseline"/>
              </w:rPr>
            </w:pP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安全保障</w:t>
            </w:r>
          </w:p>
        </w:tc>
        <w:tc>
          <w:tcPr>
            <w:tcW w:w="6878" w:type="dxa"/>
            <w:vAlign w:val="center"/>
          </w:tcPr>
          <w:p>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u w:val="none"/>
                <w:lang w:val="en-US" w:eastAsia="zh-CN" w:bidi="ar"/>
              </w:rPr>
              <w:t>建立并落实安全职责、安全维护责任制，并按要求做好日常监督、专项治理等台账；严格执行维护作业安全制度，作业现场有安全监督专门负责人，仓库及项目部有安全管理制服及安全设施，并做好相应监督（管理）台账；按要求购买作业人员保险及第三者责任险，并登记在册;特殊工种作业人员证照齐全，并做好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restart"/>
            <w:textDirection w:val="tbRlV"/>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外     业</w:t>
            </w: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亮灯情况</w:t>
            </w:r>
          </w:p>
        </w:tc>
        <w:tc>
          <w:tcPr>
            <w:tcW w:w="6878" w:type="dxa"/>
            <w:vAlign w:val="center"/>
          </w:tcPr>
          <w:p>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u w:val="none"/>
                <w:lang w:val="en-US" w:eastAsia="zh-CN" w:bidi="ar"/>
              </w:rPr>
              <w:t>灯具运行安全、稳定、正常;景观灯亮灯率达98%以上;灯具不出现整体不亮现象;灯具不出现断亮、缺亮、跳亮等现象。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pPr>
              <w:jc w:val="center"/>
              <w:rPr>
                <w:rFonts w:ascii="仿宋_GB2312" w:hAnsi="仿宋" w:eastAsia="仿宋_GB2312" w:cs="仿宋_GB2312"/>
                <w:b/>
                <w:sz w:val="36"/>
                <w:szCs w:val="20"/>
                <w:highlight w:val="none"/>
                <w:vertAlign w:val="baseline"/>
              </w:rPr>
            </w:pP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灯具设备</w:t>
            </w:r>
          </w:p>
        </w:tc>
        <w:tc>
          <w:tcPr>
            <w:tcW w:w="6878" w:type="dxa"/>
            <w:vAlign w:val="center"/>
          </w:tcPr>
          <w:p>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u w:val="none"/>
                <w:lang w:val="en-US" w:eastAsia="zh-CN" w:bidi="ar"/>
              </w:rPr>
              <w:t>地面灯具基础周围土质坚实无松动；灯具各部件无松动、破损、污染、脱落；灯具固定支架无锈蚀、腐蚀、移位、污染、脱落；灯具内部无积水、污物，灯具的投射方向与角度正确；灯杆、灯具无乱吊、乱挂等现象；灯具设施无破碎、腐蚀、裂纹，出光部位无污染；引线绝缘可靠、保护软管良好，接地保护线牢固可靠；更换的灯具设备亮度、稳定性等符合要求。所有外露铁件做好油漆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pPr>
              <w:jc w:val="center"/>
              <w:rPr>
                <w:rFonts w:ascii="仿宋_GB2312" w:hAnsi="仿宋" w:eastAsia="仿宋_GB2312" w:cs="仿宋_GB2312"/>
                <w:b/>
                <w:sz w:val="36"/>
                <w:szCs w:val="20"/>
                <w:highlight w:val="none"/>
                <w:vertAlign w:val="baseline"/>
              </w:rPr>
            </w:pP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附属设备</w:t>
            </w:r>
          </w:p>
        </w:tc>
        <w:tc>
          <w:tcPr>
            <w:tcW w:w="6878" w:type="dxa"/>
            <w:vAlign w:val="center"/>
          </w:tcPr>
          <w:p>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u w:val="none"/>
                <w:lang w:val="en-US" w:eastAsia="zh-CN" w:bidi="ar"/>
              </w:rPr>
              <w:t>箱（柜）体门连轴完好，开关正常，配电箱、控制柜不渗水、无锈蚀，防尘防水及其他防护设施完好可靠，仪表、信号灯齐全完好，工作正常；各级保护电器整定值符合设计值、给定值，照明控制程序安全可靠并符合设计要求；箱内开关等设备的动作灵活可靠，接地系统安全可靠，箱内无外接电源线路凌乱、外露、绑扎不牢固情况。所有外露铁件做好油漆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pPr>
              <w:jc w:val="center"/>
              <w:rPr>
                <w:rFonts w:ascii="仿宋_GB2312" w:hAnsi="仿宋" w:eastAsia="仿宋_GB2312" w:cs="仿宋_GB2312"/>
                <w:b/>
                <w:sz w:val="36"/>
                <w:szCs w:val="20"/>
                <w:highlight w:val="none"/>
                <w:vertAlign w:val="baseline"/>
              </w:rPr>
            </w:pP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亮灯控制</w:t>
            </w:r>
          </w:p>
        </w:tc>
        <w:tc>
          <w:tcPr>
            <w:tcW w:w="6878" w:type="dxa"/>
            <w:vAlign w:val="center"/>
          </w:tcPr>
          <w:p>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u w:val="none"/>
                <w:lang w:val="en-US" w:eastAsia="zh-CN" w:bidi="ar"/>
              </w:rPr>
              <w:t>亮灯集控单位做好与亮灯养护单位的衔接,及时发现养护区域内不受控项目，并报执法局。集控单位须对规定亮灯时间未亮灯和不在亮灯时间内亮灯的项目做好处理,并报执法局备案。发生媒体曝光和群众投诉的涉及亮灯控制的各类事件，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pPr>
              <w:jc w:val="center"/>
              <w:rPr>
                <w:rFonts w:ascii="仿宋_GB2312" w:hAnsi="仿宋" w:eastAsia="仿宋_GB2312" w:cs="仿宋_GB2312"/>
                <w:b/>
                <w:sz w:val="36"/>
                <w:szCs w:val="20"/>
                <w:highlight w:val="none"/>
                <w:vertAlign w:val="baseline"/>
              </w:rPr>
            </w:pP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设备检修</w:t>
            </w:r>
          </w:p>
        </w:tc>
        <w:tc>
          <w:tcPr>
            <w:tcW w:w="6878" w:type="dxa"/>
            <w:vAlign w:val="center"/>
          </w:tcPr>
          <w:p>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u w:val="none"/>
                <w:lang w:val="en-US" w:eastAsia="zh-CN" w:bidi="ar"/>
              </w:rPr>
              <w:t>落实专人定期巡查、巡检；地面景观灯一般线路问题48小时内修复，灯具损坏24小时内更换或修复，电缆偷盗设备故障问题72小时内修复；楼宇景观灯一般线路问题及灯具损坏在72小时内更换或修复；接投诉或存在安全隐患的必须30分内进行现场核实；将结果向执法局报告，并且在24小时内处理到位；正常检修提前告知检修完毕随即关灯；因正常检修而亮灯必须现场设置告知标识；维修作业过程中必须有专人监护；白天开灯维修作业，需事先报告执法局备案。出现突发应急事件，在30分钟内进行现场核实后上报执法局，并按要求落实各项应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pPr>
              <w:jc w:val="center"/>
              <w:rPr>
                <w:rFonts w:ascii="仿宋_GB2312" w:hAnsi="仿宋" w:eastAsia="仿宋_GB2312" w:cs="仿宋_GB2312"/>
                <w:b/>
                <w:sz w:val="36"/>
                <w:szCs w:val="20"/>
                <w:highlight w:val="none"/>
                <w:vertAlign w:val="baseline"/>
              </w:rPr>
            </w:pP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安全作业</w:t>
            </w:r>
          </w:p>
        </w:tc>
        <w:tc>
          <w:tcPr>
            <w:tcW w:w="6878" w:type="dxa"/>
            <w:vAlign w:val="center"/>
          </w:tcPr>
          <w:p>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u w:val="none"/>
                <w:lang w:val="en-US" w:eastAsia="zh-CN" w:bidi="ar"/>
              </w:rPr>
              <w:t>维修作业人员须着单位统一的工作服，特殊工种必须持证上岗；正确使用劳保用品，相关产品应具有合格证及检测报告；停车占道维修，设置警示标志；灯具维修与物业管理方做好沟协调通，无投诉现象；灯具维修完毕后现场需清理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pPr>
              <w:jc w:val="center"/>
              <w:rPr>
                <w:rFonts w:ascii="仿宋_GB2312" w:hAnsi="仿宋" w:eastAsia="仿宋_GB2312" w:cs="仿宋_GB2312"/>
                <w:b/>
                <w:sz w:val="36"/>
                <w:szCs w:val="20"/>
                <w:highlight w:val="none"/>
                <w:vertAlign w:val="baseline"/>
              </w:rPr>
            </w:pP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其他</w:t>
            </w:r>
          </w:p>
        </w:tc>
        <w:tc>
          <w:tcPr>
            <w:tcW w:w="6878" w:type="dxa"/>
            <w:vAlign w:val="center"/>
          </w:tcPr>
          <w:p>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u w:val="none"/>
                <w:lang w:val="en-US" w:eastAsia="zh-CN" w:bidi="ar"/>
              </w:rPr>
              <w:t>根据区执法局要求，落实并完成其他相关养护内容。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分类</w:t>
            </w: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项目</w:t>
            </w:r>
          </w:p>
        </w:tc>
        <w:tc>
          <w:tcPr>
            <w:tcW w:w="6878"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restart"/>
            <w:textDirection w:val="tbRlV"/>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内     业</w:t>
            </w: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制度建设</w:t>
            </w:r>
          </w:p>
        </w:tc>
        <w:tc>
          <w:tcPr>
            <w:tcW w:w="6878" w:type="dxa"/>
            <w:vAlign w:val="center"/>
          </w:tcPr>
          <w:p>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u w:val="none"/>
                <w:lang w:val="en-US" w:eastAsia="zh-CN" w:bidi="ar"/>
              </w:rPr>
              <w:t>建立人员管理、物资管理、日常巡查、安全管理、应急处置、养护作业安全操作规程、档案管理等景观照明设施养护相关制度，明确内部处置流程。巡查车辆GPS巡查轨迹符合合同约定要求。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pPr>
              <w:jc w:val="center"/>
              <w:rPr>
                <w:rFonts w:ascii="仿宋_GB2312" w:hAnsi="仿宋" w:eastAsia="仿宋_GB2312" w:cs="仿宋_GB2312"/>
                <w:b/>
                <w:sz w:val="36"/>
                <w:szCs w:val="20"/>
                <w:highlight w:val="none"/>
                <w:vertAlign w:val="baseline"/>
              </w:rPr>
            </w:pP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应急处置</w:t>
            </w:r>
          </w:p>
        </w:tc>
        <w:tc>
          <w:tcPr>
            <w:tcW w:w="6878" w:type="dxa"/>
            <w:vAlign w:val="center"/>
          </w:tcPr>
          <w:p>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u w:val="none"/>
                <w:lang w:val="en-US" w:eastAsia="zh-CN" w:bidi="ar"/>
              </w:rPr>
              <w:t>建立各类突发事件的处置预案，落实台风、暴雨、冰雪等自然灾害来临前的防护措施和灾后修复工作，并建立相应工作台帐；建立景观灯信访投诉件的处理台帐;建立应急处置设施、故障的台账。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pPr>
              <w:jc w:val="center"/>
              <w:rPr>
                <w:rFonts w:ascii="仿宋_GB2312" w:hAnsi="仿宋" w:eastAsia="仿宋_GB2312" w:cs="仿宋_GB2312"/>
                <w:b/>
                <w:sz w:val="36"/>
                <w:szCs w:val="20"/>
                <w:highlight w:val="none"/>
                <w:vertAlign w:val="baseline"/>
              </w:rPr>
            </w:pP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基础资料</w:t>
            </w:r>
          </w:p>
        </w:tc>
        <w:tc>
          <w:tcPr>
            <w:tcW w:w="6878" w:type="dxa"/>
            <w:vAlign w:val="top"/>
          </w:tcPr>
          <w:p>
            <w:pPr>
              <w:keepNext w:val="0"/>
              <w:keepLines w:val="0"/>
              <w:widowControl/>
              <w:suppressLineNumbers w:val="0"/>
              <w:jc w:val="left"/>
              <w:textAlignment w:val="auto"/>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u w:val="none"/>
                <w:lang w:val="en-US" w:eastAsia="zh-CN" w:bidi="ar"/>
              </w:rPr>
              <w:t xml:space="preserve">建立景观灯基础资料、维护机（器）械设备、维护人员、出（入）库、巡查、检修、灯杆（光源、灯罩）清洗台帐；做好景观灯维护日报和月报制度，每月定期上报月报表和月度总结及下月工作计划，并建立相应工作台帐；积极做好大型活动、领导检查、专项保障等工作，并建立相应工作台帐；参加专项会议、专项审查、专项验收等工作，并建立相应工作台账。按照市、区级宣传考核要求，每月按数量要求上报微信、微博、抖音、简讯等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pPr>
              <w:jc w:val="center"/>
              <w:rPr>
                <w:rFonts w:ascii="仿宋_GB2312" w:hAnsi="仿宋" w:eastAsia="仿宋_GB2312" w:cs="仿宋_GB2312"/>
                <w:b/>
                <w:sz w:val="36"/>
                <w:szCs w:val="20"/>
                <w:highlight w:val="none"/>
                <w:vertAlign w:val="baseline"/>
              </w:rPr>
            </w:pP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安全保障</w:t>
            </w:r>
          </w:p>
        </w:tc>
        <w:tc>
          <w:tcPr>
            <w:tcW w:w="6878" w:type="dxa"/>
            <w:vAlign w:val="center"/>
          </w:tcPr>
          <w:p>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u w:val="none"/>
                <w:lang w:val="en-US" w:eastAsia="zh-CN" w:bidi="ar"/>
              </w:rPr>
              <w:t>建立并落实安全职责、安全维护责任制，并按要求做好日常监督、专项治理等台账；严格执行维护作业安全制度，作业现场有安全监督专门负责人，仓库及项目部有安全管理制服及安全设施，并做好相应监督（管理）台账；按要求购买作业人员保险及第三者责任险，并登记在册;特殊工种作业人员证照齐全，并做好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restart"/>
            <w:textDirection w:val="tbRlV"/>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外     业</w:t>
            </w: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亮灯情况</w:t>
            </w:r>
          </w:p>
        </w:tc>
        <w:tc>
          <w:tcPr>
            <w:tcW w:w="6878" w:type="dxa"/>
            <w:vAlign w:val="center"/>
          </w:tcPr>
          <w:p>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u w:val="none"/>
                <w:lang w:val="en-US" w:eastAsia="zh-CN" w:bidi="ar"/>
              </w:rPr>
              <w:t>灯具运行安全、稳定、正常;景观灯亮灯率达98%以上;灯具不出现整体不亮现象;灯具不出现断亮、缺亮、跳亮等现象。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pPr>
              <w:jc w:val="center"/>
              <w:rPr>
                <w:rFonts w:ascii="仿宋_GB2312" w:hAnsi="仿宋" w:eastAsia="仿宋_GB2312" w:cs="仿宋_GB2312"/>
                <w:b/>
                <w:sz w:val="36"/>
                <w:szCs w:val="20"/>
                <w:highlight w:val="none"/>
                <w:vertAlign w:val="baseline"/>
              </w:rPr>
            </w:pP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灯具设备</w:t>
            </w:r>
          </w:p>
        </w:tc>
        <w:tc>
          <w:tcPr>
            <w:tcW w:w="6878" w:type="dxa"/>
            <w:vAlign w:val="center"/>
          </w:tcPr>
          <w:p>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u w:val="none"/>
                <w:lang w:val="en-US" w:eastAsia="zh-CN" w:bidi="ar"/>
              </w:rPr>
              <w:t>地面灯具基础周围土质坚实无松动；灯具各部件无松动、破损、污染、脱落；灯具固定支架无锈蚀、腐蚀、移位、污染、脱落；灯具内部无积水、污物，灯具的投射方向与角度正确；灯杆、灯具无乱吊、乱挂等现象；灯具设施无破碎、腐蚀、裂纹，出光部位无污染；引线绝缘可靠、保护软管良好，接地保护线牢固可靠；更换的灯具设备亮度、稳定性等符合要求。所有外露铁件做好油漆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pPr>
              <w:jc w:val="center"/>
              <w:rPr>
                <w:rFonts w:ascii="仿宋_GB2312" w:hAnsi="仿宋" w:eastAsia="仿宋_GB2312" w:cs="仿宋_GB2312"/>
                <w:b/>
                <w:sz w:val="36"/>
                <w:szCs w:val="20"/>
                <w:highlight w:val="none"/>
                <w:vertAlign w:val="baseline"/>
              </w:rPr>
            </w:pP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附属设备</w:t>
            </w:r>
          </w:p>
        </w:tc>
        <w:tc>
          <w:tcPr>
            <w:tcW w:w="6878" w:type="dxa"/>
            <w:vAlign w:val="center"/>
          </w:tcPr>
          <w:p>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u w:val="none"/>
                <w:lang w:val="en-US" w:eastAsia="zh-CN" w:bidi="ar"/>
              </w:rPr>
              <w:t>箱（柜）体门连轴完好，开关正常，配电箱、控制柜不渗水、无锈蚀，防尘防水及其他防护设施完好可靠，仪表、信号灯齐全完好，工作正常；各级保护电器整定值符合设计值、给定值，照明控制程序安全可靠并符合设计要求；箱内开关等设备的动作灵活可靠，接地系统安全可靠，箱内无外接电源线路凌乱、外露、绑扎不牢固情况。所有外露铁件做好油漆防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pPr>
              <w:jc w:val="center"/>
              <w:rPr>
                <w:rFonts w:ascii="仿宋_GB2312" w:hAnsi="仿宋" w:eastAsia="仿宋_GB2312" w:cs="仿宋_GB2312"/>
                <w:b/>
                <w:sz w:val="36"/>
                <w:szCs w:val="20"/>
                <w:highlight w:val="none"/>
                <w:vertAlign w:val="baseline"/>
              </w:rPr>
            </w:pP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亮灯控制</w:t>
            </w:r>
          </w:p>
        </w:tc>
        <w:tc>
          <w:tcPr>
            <w:tcW w:w="6878" w:type="dxa"/>
            <w:vAlign w:val="center"/>
          </w:tcPr>
          <w:p>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u w:val="none"/>
                <w:lang w:val="en-US" w:eastAsia="zh-CN" w:bidi="ar"/>
              </w:rPr>
              <w:t>亮灯集控单位做好与亮灯养护单位的衔接,及时发现养护区域内不受控项目，并报执法局。集控单位须对规定亮灯时间未亮灯和不在亮灯时间内亮灯的项目做好处理,并报执法局备案。发生媒体曝光和群众投诉的涉及亮灯控制的各类事件，及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pPr>
              <w:jc w:val="center"/>
              <w:rPr>
                <w:rFonts w:ascii="仿宋_GB2312" w:hAnsi="仿宋" w:eastAsia="仿宋_GB2312" w:cs="仿宋_GB2312"/>
                <w:b/>
                <w:sz w:val="36"/>
                <w:szCs w:val="20"/>
                <w:highlight w:val="none"/>
                <w:vertAlign w:val="baseline"/>
              </w:rPr>
            </w:pP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设备检修</w:t>
            </w:r>
          </w:p>
        </w:tc>
        <w:tc>
          <w:tcPr>
            <w:tcW w:w="6878" w:type="dxa"/>
            <w:vAlign w:val="center"/>
          </w:tcPr>
          <w:p>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u w:val="none"/>
                <w:lang w:val="en-US" w:eastAsia="zh-CN" w:bidi="ar"/>
              </w:rPr>
              <w:t>落实专人定期巡查、巡检；地面景观灯一般线路问题48小时内修复，灯具损坏24小时内更换或修复，电缆偷盗设备故障问题72小时内修复；楼宇景观灯一般线路问题及灯具损坏在72小时内更换或修复；接投诉或存在安全隐患的必须30分内进行现场核实；将结果向执法局报告，并且在24小时内处理到位；正常检修提前告知检修完毕随即关灯；因正常检修而亮灯必须现场设置告知标识；维修作业过程中必须有专人监护；白天开灯维修作业，需事先报告执法局备案。出现突发应急事件，在30分钟内进行现场核实后上报执法局，并按要求落实各项应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pPr>
              <w:jc w:val="center"/>
              <w:rPr>
                <w:rFonts w:ascii="仿宋_GB2312" w:hAnsi="仿宋" w:eastAsia="仿宋_GB2312" w:cs="仿宋_GB2312"/>
                <w:b/>
                <w:sz w:val="36"/>
                <w:szCs w:val="20"/>
                <w:highlight w:val="none"/>
                <w:vertAlign w:val="baseline"/>
              </w:rPr>
            </w:pP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安全作业</w:t>
            </w:r>
          </w:p>
        </w:tc>
        <w:tc>
          <w:tcPr>
            <w:tcW w:w="6878" w:type="dxa"/>
            <w:vAlign w:val="center"/>
          </w:tcPr>
          <w:p>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u w:val="none"/>
                <w:lang w:val="en-US" w:eastAsia="zh-CN" w:bidi="ar"/>
              </w:rPr>
              <w:t>维修作业人员须着单位统一的工作服，特殊工种必须持证上岗；正确使用劳保用品，相关产品应具有合格证及检测报告；停车占道维修，设置警示标志；灯具维修与物业管理方做好沟协调通，无投诉现象；灯具维修完毕后现场需清理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Merge w:val="continue"/>
            <w:textDirection w:val="tbRlV"/>
            <w:vAlign w:val="center"/>
          </w:tcPr>
          <w:p>
            <w:pPr>
              <w:jc w:val="center"/>
              <w:rPr>
                <w:rFonts w:ascii="仿宋_GB2312" w:hAnsi="仿宋" w:eastAsia="仿宋_GB2312" w:cs="仿宋_GB2312"/>
                <w:b/>
                <w:sz w:val="36"/>
                <w:szCs w:val="20"/>
                <w:highlight w:val="none"/>
                <w:vertAlign w:val="baseline"/>
              </w:rPr>
            </w:pPr>
          </w:p>
        </w:tc>
        <w:tc>
          <w:tcPr>
            <w:tcW w:w="1560" w:type="dxa"/>
            <w:vAlign w:val="center"/>
          </w:tcPr>
          <w:p>
            <w:pPr>
              <w:keepNext w:val="0"/>
              <w:keepLines w:val="0"/>
              <w:widowControl/>
              <w:suppressLineNumbers w:val="0"/>
              <w:jc w:val="center"/>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b/>
                <w:i w:val="0"/>
                <w:color w:val="000000"/>
                <w:kern w:val="0"/>
                <w:sz w:val="22"/>
                <w:szCs w:val="22"/>
                <w:u w:val="none"/>
                <w:lang w:val="en-US" w:eastAsia="zh-CN" w:bidi="ar"/>
              </w:rPr>
              <w:t>其他</w:t>
            </w:r>
          </w:p>
        </w:tc>
        <w:tc>
          <w:tcPr>
            <w:tcW w:w="6878" w:type="dxa"/>
            <w:vAlign w:val="center"/>
          </w:tcPr>
          <w:p>
            <w:pPr>
              <w:keepNext w:val="0"/>
              <w:keepLines w:val="0"/>
              <w:widowControl/>
              <w:suppressLineNumbers w:val="0"/>
              <w:jc w:val="left"/>
              <w:textAlignment w:val="center"/>
              <w:rPr>
                <w:rFonts w:ascii="仿宋_GB2312" w:hAnsi="仿宋" w:eastAsia="仿宋_GB2312" w:cs="仿宋_GB2312"/>
                <w:b/>
                <w:sz w:val="36"/>
                <w:szCs w:val="20"/>
                <w:highlight w:val="none"/>
                <w:vertAlign w:val="baseline"/>
              </w:rPr>
            </w:pPr>
            <w:r>
              <w:rPr>
                <w:rFonts w:hint="eastAsia" w:ascii="仿宋_GB2312" w:hAnsi="宋体" w:eastAsia="仿宋_GB2312" w:cs="仿宋_GB2312"/>
                <w:i w:val="0"/>
                <w:color w:val="000000"/>
                <w:kern w:val="0"/>
                <w:sz w:val="22"/>
                <w:szCs w:val="22"/>
                <w:u w:val="none"/>
                <w:lang w:val="en-US" w:eastAsia="zh-CN" w:bidi="ar"/>
              </w:rPr>
              <w:t>根据区执法局要求，落实并完成其他相关养护内容。</w:t>
            </w:r>
          </w:p>
        </w:tc>
      </w:tr>
    </w:tbl>
    <w:p>
      <w:pPr>
        <w:rPr>
          <w:rFonts w:ascii="仿宋_GB2312" w:hAnsi="仿宋" w:eastAsia="仿宋_GB2312" w:cs="仿宋_GB2312"/>
          <w:b/>
          <w:sz w:val="36"/>
          <w:szCs w:val="20"/>
          <w:highlight w:val="none"/>
        </w:rPr>
      </w:pPr>
    </w:p>
    <w:p>
      <w:pPr>
        <w:pStyle w:val="27"/>
      </w:pPr>
    </w:p>
    <w:p>
      <w:pPr>
        <w:rPr>
          <w:rFonts w:hint="eastAsia" w:ascii="楷体_GB2312" w:eastAsia="楷体_GB2312"/>
          <w:b/>
          <w:sz w:val="28"/>
          <w:szCs w:val="28"/>
        </w:rPr>
      </w:pPr>
      <w:r>
        <w:rPr>
          <w:rFonts w:hint="eastAsia" w:ascii="楷体_GB2312" w:eastAsia="楷体_GB2312"/>
          <w:b/>
          <w:sz w:val="28"/>
          <w:szCs w:val="28"/>
        </w:rPr>
        <w:br w:type="page"/>
      </w:r>
    </w:p>
    <w:p>
      <w:pPr>
        <w:rPr>
          <w:rFonts w:hint="eastAsia" w:ascii="楷体_GB2312" w:eastAsia="楷体_GB2312"/>
          <w:b/>
          <w:sz w:val="28"/>
          <w:szCs w:val="28"/>
        </w:rPr>
      </w:pPr>
      <w:r>
        <w:rPr>
          <w:rFonts w:hint="eastAsia" w:ascii="楷体_GB2312" w:eastAsia="楷体_GB2312"/>
          <w:b/>
          <w:sz w:val="28"/>
          <w:szCs w:val="28"/>
        </w:rPr>
        <w:t>附件2：</w:t>
      </w:r>
    </w:p>
    <w:p>
      <w:pPr>
        <w:pStyle w:val="27"/>
        <w:rPr>
          <w:rFonts w:hint="eastAsia"/>
        </w:rPr>
      </w:pPr>
    </w:p>
    <w:p>
      <w:pPr>
        <w:spacing w:after="156" w:afterLines="50" w:line="600" w:lineRule="exact"/>
        <w:jc w:val="center"/>
        <w:rPr>
          <w:rFonts w:hint="eastAsia" w:ascii="方正小标宋_GBK" w:hAnsi="宋体" w:eastAsia="方正小标宋_GBK"/>
          <w:b/>
          <w:spacing w:val="20"/>
          <w:w w:val="90"/>
          <w:sz w:val="36"/>
          <w:szCs w:val="36"/>
        </w:rPr>
      </w:pPr>
      <w:r>
        <w:rPr>
          <w:rFonts w:hint="eastAsia" w:ascii="方正小标宋_GBK" w:hAnsi="宋体" w:eastAsia="方正小标宋_GBK"/>
          <w:b/>
          <w:spacing w:val="20"/>
          <w:w w:val="90"/>
          <w:sz w:val="36"/>
          <w:szCs w:val="36"/>
        </w:rPr>
        <w:t>景观照明养护作业考核扣款</w:t>
      </w:r>
      <w:r>
        <w:rPr>
          <w:rFonts w:hint="eastAsia" w:ascii="方正小标宋_GBK" w:hAnsi="宋体" w:eastAsia="方正小标宋_GBK"/>
          <w:b/>
          <w:spacing w:val="20"/>
          <w:w w:val="90"/>
          <w:sz w:val="36"/>
          <w:szCs w:val="36"/>
          <w:lang w:eastAsia="zh-CN"/>
        </w:rPr>
        <w:t>（奖励）</w:t>
      </w:r>
      <w:r>
        <w:rPr>
          <w:rFonts w:hint="eastAsia" w:ascii="方正小标宋_GBK" w:hAnsi="宋体" w:eastAsia="方正小标宋_GBK"/>
          <w:b/>
          <w:spacing w:val="20"/>
          <w:w w:val="90"/>
          <w:sz w:val="36"/>
          <w:szCs w:val="36"/>
        </w:rPr>
        <w:t>标准</w:t>
      </w:r>
    </w:p>
    <w:tbl>
      <w:tblPr>
        <w:tblStyle w:val="63"/>
        <w:tblW w:w="98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68"/>
        <w:gridCol w:w="24"/>
        <w:gridCol w:w="1776"/>
        <w:gridCol w:w="1800"/>
        <w:gridCol w:w="2880"/>
        <w:gridCol w:w="20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988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eastAsia="黑体"/>
                <w:b/>
                <w:sz w:val="28"/>
                <w:szCs w:val="28"/>
              </w:rPr>
            </w:pPr>
            <w:r>
              <w:rPr>
                <w:rFonts w:hint="eastAsia" w:ascii="黑体" w:eastAsia="黑体"/>
                <w:b/>
                <w:sz w:val="28"/>
                <w:szCs w:val="28"/>
              </w:rPr>
              <w:t>外业考核扣款标准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7" w:hRule="atLeast"/>
          <w:jc w:val="center"/>
        </w:trPr>
        <w:tc>
          <w:tcPr>
            <w:tcW w:w="1368"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jc w:val="center"/>
              <w:rPr>
                <w:rFonts w:hint="eastAsia" w:ascii="黑体" w:eastAsia="黑体"/>
                <w:b/>
                <w:sz w:val="24"/>
              </w:rPr>
            </w:pPr>
            <w:r>
              <w:rPr>
                <w:rFonts w:hint="eastAsia" w:ascii="黑体" w:eastAsia="黑体"/>
                <w:b/>
                <w:sz w:val="24"/>
              </w:rPr>
              <w:t xml:space="preserve">    抄告</w:t>
            </w:r>
          </w:p>
          <w:p>
            <w:pPr>
              <w:jc w:val="center"/>
              <w:rPr>
                <w:rFonts w:hint="eastAsia" w:ascii="黑体" w:eastAsia="黑体"/>
                <w:b/>
                <w:sz w:val="24"/>
              </w:rPr>
            </w:pPr>
            <w:r>
              <w:rPr>
                <w:rFonts w:hint="eastAsia" w:ascii="黑体" w:eastAsia="黑体"/>
                <w:b/>
                <w:sz w:val="24"/>
              </w:rPr>
              <w:t xml:space="preserve">    次数</w:t>
            </w:r>
          </w:p>
          <w:p>
            <w:pPr>
              <w:rPr>
                <w:rFonts w:hint="eastAsia" w:ascii="黑体" w:eastAsia="黑体"/>
                <w:b/>
                <w:sz w:val="24"/>
              </w:rPr>
            </w:pPr>
            <w:r>
              <w:rPr>
                <w:rFonts w:hint="eastAsia" w:ascii="黑体" w:eastAsia="黑体"/>
                <w:b/>
                <w:sz w:val="24"/>
              </w:rPr>
              <w:t>检查</w:t>
            </w:r>
          </w:p>
          <w:p>
            <w:pPr>
              <w:rPr>
                <w:rFonts w:hint="eastAsia" w:ascii="黑体" w:eastAsia="黑体"/>
                <w:b/>
                <w:sz w:val="24"/>
              </w:rPr>
            </w:pPr>
            <w:r>
              <w:rPr>
                <w:rFonts w:hint="eastAsia" w:ascii="黑体" w:eastAsia="黑体"/>
                <w:b/>
                <w:sz w:val="24"/>
              </w:rPr>
              <w:t>级别</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eastAsia="黑体"/>
                <w:b/>
                <w:sz w:val="24"/>
              </w:rPr>
            </w:pPr>
            <w:r>
              <w:rPr>
                <w:rFonts w:hint="eastAsia" w:ascii="黑体" w:eastAsia="黑体"/>
                <w:b/>
                <w:sz w:val="24"/>
              </w:rPr>
              <w:t>一次抄告</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eastAsia="黑体"/>
                <w:b/>
                <w:sz w:val="24"/>
              </w:rPr>
            </w:pPr>
            <w:r>
              <w:rPr>
                <w:rFonts w:hint="eastAsia" w:ascii="黑体" w:eastAsia="黑体"/>
                <w:b/>
                <w:sz w:val="24"/>
              </w:rPr>
              <w:t>二次抄告</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eastAsia="黑体"/>
                <w:b/>
                <w:sz w:val="24"/>
              </w:rPr>
            </w:pPr>
            <w:r>
              <w:rPr>
                <w:rFonts w:hint="eastAsia" w:ascii="黑体" w:eastAsia="黑体"/>
                <w:b/>
                <w:sz w:val="24"/>
              </w:rPr>
              <w:t>三次抄告</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eastAsia="黑体"/>
                <w:b/>
                <w:sz w:val="24"/>
              </w:rPr>
            </w:pPr>
            <w:r>
              <w:rPr>
                <w:rFonts w:hint="eastAsia" w:ascii="黑体" w:eastAsia="黑体"/>
                <w:b/>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118" w:firstLineChars="49"/>
              <w:rPr>
                <w:rFonts w:hint="eastAsia" w:ascii="仿宋_GB2312" w:eastAsia="仿宋_GB2312"/>
                <w:sz w:val="24"/>
              </w:rPr>
            </w:pPr>
            <w:r>
              <w:rPr>
                <w:rFonts w:hint="eastAsia" w:ascii="黑体" w:eastAsia="黑体"/>
                <w:b/>
                <w:sz w:val="24"/>
              </w:rPr>
              <w:t>区级检查</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eastAsia="仿宋_GB2312"/>
                <w:sz w:val="24"/>
              </w:rPr>
            </w:pPr>
            <w:r>
              <w:rPr>
                <w:rFonts w:hint="eastAsia" w:ascii="仿宋_GB2312" w:eastAsia="仿宋_GB2312"/>
                <w:sz w:val="24"/>
              </w:rPr>
              <w:t>每个问题扣300元。</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eastAsia="仿宋_GB2312"/>
                <w:sz w:val="24"/>
              </w:rPr>
            </w:pPr>
            <w:r>
              <w:rPr>
                <w:rFonts w:hint="eastAsia" w:ascii="仿宋_GB2312" w:eastAsia="仿宋_GB2312"/>
                <w:sz w:val="24"/>
              </w:rPr>
              <w:t>每个问题扣3000元。</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eastAsia="仿宋_GB2312"/>
                <w:sz w:val="24"/>
              </w:rPr>
            </w:pPr>
            <w:r>
              <w:rPr>
                <w:rFonts w:hint="eastAsia" w:ascii="仿宋_GB2312" w:eastAsia="仿宋_GB2312"/>
                <w:sz w:val="24"/>
              </w:rPr>
              <w:t>每个问题扣3万元，并实施代整治，代整治经费从养护经费中扣除。</w:t>
            </w:r>
          </w:p>
        </w:tc>
        <w:tc>
          <w:tcPr>
            <w:tcW w:w="203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9"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黑体" w:eastAsia="黑体"/>
                <w:b/>
                <w:sz w:val="24"/>
              </w:rPr>
            </w:pPr>
            <w:r>
              <w:rPr>
                <w:rFonts w:hint="eastAsia" w:ascii="黑体" w:eastAsia="黑体"/>
                <w:b/>
                <w:sz w:val="24"/>
              </w:rPr>
              <w:t>专项检查市级检查环境整治亚运保障信访投诉</w:t>
            </w:r>
          </w:p>
        </w:tc>
        <w:tc>
          <w:tcPr>
            <w:tcW w:w="180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eastAsia="仿宋_GB2312"/>
                <w:sz w:val="24"/>
              </w:rPr>
            </w:pPr>
            <w:r>
              <w:rPr>
                <w:rFonts w:hint="eastAsia" w:ascii="仿宋_GB2312" w:eastAsia="仿宋_GB2312"/>
                <w:sz w:val="24"/>
              </w:rPr>
              <w:t>每个问题扣3000元。</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eastAsia="仿宋_GB2312"/>
                <w:sz w:val="24"/>
              </w:rPr>
            </w:pPr>
            <w:r>
              <w:rPr>
                <w:rFonts w:hint="eastAsia" w:ascii="仿宋_GB2312" w:eastAsia="仿宋_GB2312"/>
                <w:sz w:val="24"/>
              </w:rPr>
              <w:t>每个问题扣30000元。</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eastAsia="仿宋_GB2312"/>
                <w:sz w:val="24"/>
              </w:rPr>
            </w:pPr>
            <w:r>
              <w:rPr>
                <w:rFonts w:hint="eastAsia" w:ascii="仿宋_GB2312" w:eastAsia="仿宋_GB2312"/>
                <w:sz w:val="24"/>
              </w:rPr>
              <w:t>每个问题扣10万元，并实施代整治，代整治经费从养护经费中扣除。</w:t>
            </w:r>
          </w:p>
        </w:tc>
        <w:tc>
          <w:tcPr>
            <w:tcW w:w="203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1368" w:type="dxa"/>
            <w:tcBorders>
              <w:top w:val="single" w:color="auto" w:sz="4" w:space="0"/>
              <w:left w:val="single" w:color="auto" w:sz="4" w:space="0"/>
              <w:right w:val="single" w:color="auto" w:sz="4" w:space="0"/>
            </w:tcBorders>
            <w:noWrap w:val="0"/>
            <w:vAlign w:val="center"/>
          </w:tcPr>
          <w:p>
            <w:pPr>
              <w:spacing w:line="280" w:lineRule="exact"/>
              <w:jc w:val="center"/>
              <w:rPr>
                <w:rFonts w:hint="eastAsia" w:ascii="黑体" w:eastAsia="黑体"/>
                <w:b/>
                <w:sz w:val="24"/>
              </w:rPr>
            </w:pPr>
            <w:r>
              <w:rPr>
                <w:rFonts w:hint="eastAsia" w:ascii="黑体" w:eastAsia="黑体"/>
                <w:b/>
                <w:sz w:val="24"/>
              </w:rPr>
              <w:t>负面清单考核</w:t>
            </w:r>
          </w:p>
        </w:tc>
        <w:tc>
          <w:tcPr>
            <w:tcW w:w="1800" w:type="dxa"/>
            <w:gridSpan w:val="2"/>
            <w:tcBorders>
              <w:top w:val="single" w:color="auto" w:sz="4" w:space="0"/>
              <w:left w:val="single" w:color="auto" w:sz="4" w:space="0"/>
              <w:right w:val="single" w:color="auto" w:sz="4" w:space="0"/>
            </w:tcBorders>
            <w:noWrap w:val="0"/>
            <w:vAlign w:val="center"/>
          </w:tcPr>
          <w:p>
            <w:pPr>
              <w:spacing w:line="280" w:lineRule="exact"/>
              <w:rPr>
                <w:rFonts w:hint="eastAsia" w:ascii="仿宋_GB2312" w:eastAsia="仿宋_GB2312"/>
                <w:sz w:val="24"/>
              </w:rPr>
            </w:pPr>
            <w:r>
              <w:rPr>
                <w:rFonts w:hint="eastAsia" w:ascii="仿宋_GB2312" w:eastAsia="仿宋_GB2312"/>
                <w:sz w:val="24"/>
              </w:rPr>
              <w:t>每个问题扣5000元</w:t>
            </w:r>
          </w:p>
        </w:tc>
        <w:tc>
          <w:tcPr>
            <w:tcW w:w="1800" w:type="dxa"/>
            <w:tcBorders>
              <w:top w:val="single" w:color="auto" w:sz="4" w:space="0"/>
              <w:left w:val="single" w:color="auto" w:sz="4" w:space="0"/>
              <w:right w:val="single" w:color="auto" w:sz="4" w:space="0"/>
            </w:tcBorders>
            <w:noWrap w:val="0"/>
            <w:vAlign w:val="center"/>
          </w:tcPr>
          <w:p>
            <w:pPr>
              <w:spacing w:line="280" w:lineRule="exact"/>
              <w:rPr>
                <w:rFonts w:hint="eastAsia" w:ascii="仿宋_GB2312" w:eastAsia="仿宋_GB2312"/>
                <w:sz w:val="24"/>
              </w:rPr>
            </w:pPr>
            <w:r>
              <w:rPr>
                <w:rFonts w:hint="eastAsia" w:ascii="仿宋_GB2312" w:eastAsia="仿宋_GB2312"/>
                <w:sz w:val="24"/>
              </w:rPr>
              <w:t>每个问题扣10000元</w:t>
            </w:r>
          </w:p>
        </w:tc>
        <w:tc>
          <w:tcPr>
            <w:tcW w:w="2880" w:type="dxa"/>
            <w:tcBorders>
              <w:top w:val="single" w:color="auto" w:sz="4" w:space="0"/>
              <w:left w:val="single" w:color="auto" w:sz="4" w:space="0"/>
              <w:right w:val="single" w:color="auto" w:sz="4" w:space="0"/>
            </w:tcBorders>
            <w:noWrap w:val="0"/>
            <w:vAlign w:val="center"/>
          </w:tcPr>
          <w:p>
            <w:pPr>
              <w:spacing w:line="280" w:lineRule="exact"/>
              <w:rPr>
                <w:rFonts w:hint="eastAsia" w:ascii="仿宋_GB2312" w:eastAsia="仿宋_GB2312"/>
                <w:sz w:val="24"/>
              </w:rPr>
            </w:pPr>
            <w:r>
              <w:rPr>
                <w:rFonts w:hint="eastAsia" w:ascii="仿宋_GB2312" w:eastAsia="仿宋_GB2312"/>
                <w:sz w:val="24"/>
              </w:rPr>
              <w:t>每个问题扣10万元，实施代整治，代整治经费从养护经费中扣除。并视情况通报相关部门。</w:t>
            </w:r>
          </w:p>
        </w:tc>
        <w:tc>
          <w:tcPr>
            <w:tcW w:w="203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1368" w:type="dxa"/>
            <w:tcBorders>
              <w:left w:val="single" w:color="auto" w:sz="4" w:space="0"/>
              <w:bottom w:val="single" w:color="auto" w:sz="4" w:space="0"/>
              <w:right w:val="single" w:color="auto" w:sz="4" w:space="0"/>
            </w:tcBorders>
            <w:noWrap w:val="0"/>
            <w:vAlign w:val="center"/>
          </w:tcPr>
          <w:p>
            <w:pPr>
              <w:spacing w:line="280" w:lineRule="exact"/>
              <w:jc w:val="center"/>
              <w:rPr>
                <w:rFonts w:hint="eastAsia" w:ascii="黑体" w:eastAsia="黑体"/>
                <w:b/>
                <w:sz w:val="24"/>
              </w:rPr>
            </w:pPr>
            <w:r>
              <w:rPr>
                <w:rFonts w:hint="eastAsia" w:ascii="黑体" w:eastAsia="黑体"/>
                <w:b/>
                <w:sz w:val="24"/>
              </w:rPr>
              <w:t>数字城管考核</w:t>
            </w:r>
          </w:p>
        </w:tc>
        <w:tc>
          <w:tcPr>
            <w:tcW w:w="8516" w:type="dxa"/>
            <w:gridSpan w:val="5"/>
            <w:tcBorders>
              <w:left w:val="single" w:color="auto" w:sz="4" w:space="0"/>
              <w:bottom w:val="single" w:color="auto" w:sz="4" w:space="0"/>
              <w:right w:val="single" w:color="auto" w:sz="4" w:space="0"/>
            </w:tcBorders>
            <w:noWrap w:val="0"/>
            <w:vAlign w:val="center"/>
          </w:tcPr>
          <w:p>
            <w:pPr>
              <w:spacing w:line="280" w:lineRule="exact"/>
              <w:rPr>
                <w:rFonts w:hint="eastAsia" w:ascii="仿宋_GB2312" w:eastAsia="仿宋_GB2312"/>
                <w:sz w:val="24"/>
              </w:rPr>
            </w:pPr>
            <w:r>
              <w:rPr>
                <w:rFonts w:hint="eastAsia" w:ascii="仿宋_GB2312" w:eastAsia="仿宋_GB2312"/>
                <w:sz w:val="24"/>
              </w:rPr>
              <w:t>数字城管抄告每月20个（含）以内不予扣款；20个（不含）-30个（含）每个问题扣300元；30个（不含）-40个（含）每个问题扣400元；40个（不含）-50个（含）每个问题扣500元；50个（不含）以上每个问题扣600元。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3"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黑体" w:eastAsia="黑体"/>
                <w:b/>
                <w:sz w:val="24"/>
              </w:rPr>
            </w:pPr>
            <w:r>
              <w:rPr>
                <w:rFonts w:hint="eastAsia" w:ascii="黑体" w:eastAsia="黑体"/>
                <w:b/>
                <w:sz w:val="24"/>
              </w:rPr>
              <w:t>其他</w:t>
            </w:r>
          </w:p>
        </w:tc>
        <w:tc>
          <w:tcPr>
            <w:tcW w:w="8516"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eastAsia="仿宋_GB2312"/>
                <w:sz w:val="24"/>
              </w:rPr>
            </w:pPr>
            <w:r>
              <w:rPr>
                <w:rFonts w:hint="eastAsia" w:ascii="仿宋_GB2312" w:eastAsia="仿宋_GB2312"/>
                <w:sz w:val="24"/>
              </w:rPr>
              <w:t>未响应区执法局其他相关养护内容或要求，每次扣5000元。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988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w w:val="90"/>
              </w:rPr>
            </w:pPr>
            <w:r>
              <w:rPr>
                <w:rFonts w:hint="eastAsia" w:ascii="黑体" w:eastAsia="黑体"/>
                <w:b/>
                <w:sz w:val="28"/>
                <w:szCs w:val="28"/>
              </w:rPr>
              <w:t>内业考核扣款标准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w w:val="90"/>
                <w:sz w:val="24"/>
              </w:rPr>
            </w:pPr>
            <w:r>
              <w:rPr>
                <w:rFonts w:hint="eastAsia" w:ascii="黑体" w:hAnsi="黑体" w:eastAsia="黑体"/>
                <w:b/>
                <w:w w:val="90"/>
                <w:sz w:val="24"/>
              </w:rPr>
              <w:t>制度建设</w:t>
            </w:r>
          </w:p>
        </w:tc>
        <w:tc>
          <w:tcPr>
            <w:tcW w:w="8492"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w w:val="90"/>
                <w:sz w:val="24"/>
                <w:highlight w:val="none"/>
              </w:rPr>
            </w:pPr>
            <w:r>
              <w:rPr>
                <w:rFonts w:hint="eastAsia" w:ascii="仿宋_GB2312" w:eastAsia="仿宋_GB2312"/>
                <w:sz w:val="24"/>
                <w:highlight w:val="none"/>
              </w:rPr>
              <w:t>未建立相关制度</w:t>
            </w:r>
            <w:r>
              <w:rPr>
                <w:rFonts w:hint="eastAsia" w:ascii="仿宋_GB2312" w:eastAsia="仿宋_GB2312"/>
                <w:sz w:val="24"/>
                <w:highlight w:val="none"/>
                <w:lang w:eastAsia="zh-CN"/>
              </w:rPr>
              <w:t>、管理内容及</w:t>
            </w:r>
            <w:r>
              <w:rPr>
                <w:rFonts w:hint="eastAsia" w:ascii="仿宋_GB2312" w:eastAsia="仿宋_GB2312"/>
                <w:sz w:val="24"/>
                <w:highlight w:val="none"/>
              </w:rPr>
              <w:t>未明确内部处置流程，每项扣5000元，未按相关制度落实各项工作或要求，每次扣5000元。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w w:val="90"/>
                <w:sz w:val="24"/>
              </w:rPr>
            </w:pPr>
            <w:r>
              <w:rPr>
                <w:rFonts w:hint="eastAsia" w:ascii="黑体" w:hAnsi="黑体" w:eastAsia="黑体"/>
                <w:b/>
                <w:w w:val="90"/>
                <w:sz w:val="24"/>
              </w:rPr>
              <w:t>应急处置</w:t>
            </w:r>
          </w:p>
        </w:tc>
        <w:tc>
          <w:tcPr>
            <w:tcW w:w="8492"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w w:val="90"/>
                <w:sz w:val="24"/>
              </w:rPr>
            </w:pPr>
            <w:r>
              <w:rPr>
                <w:rFonts w:hint="eastAsia" w:ascii="仿宋_GB2312" w:eastAsia="仿宋_GB2312"/>
                <w:sz w:val="24"/>
              </w:rPr>
              <w:t>未制定应急预案的每少一项扣5000元；应急处置人员、设备未按要求落实到位的每次视情扣2000-10000元；应急措施未按预案要求落实或落实不力每次扣20000元；造成严重后果的视情扣50000</w:t>
            </w:r>
            <w:r>
              <w:rPr>
                <w:rFonts w:hint="eastAsia" w:ascii="仿宋_GB2312" w:eastAsia="仿宋_GB2312"/>
                <w:sz w:val="24"/>
                <w:lang w:val="en-US" w:eastAsia="zh-CN"/>
              </w:rPr>
              <w:t>-</w:t>
            </w:r>
            <w:r>
              <w:rPr>
                <w:rFonts w:hint="eastAsia" w:ascii="仿宋_GB2312" w:eastAsia="仿宋_GB2312"/>
                <w:sz w:val="24"/>
              </w:rPr>
              <w:t>100000元。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w w:val="90"/>
                <w:sz w:val="24"/>
              </w:rPr>
            </w:pPr>
            <w:r>
              <w:rPr>
                <w:rFonts w:hint="eastAsia" w:ascii="黑体" w:hAnsi="黑体" w:eastAsia="黑体"/>
                <w:b/>
                <w:w w:val="90"/>
                <w:sz w:val="24"/>
              </w:rPr>
              <w:t>基础资料</w:t>
            </w:r>
          </w:p>
        </w:tc>
        <w:tc>
          <w:tcPr>
            <w:tcW w:w="8492"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highlight w:val="none"/>
              </w:rPr>
            </w:pPr>
            <w:r>
              <w:rPr>
                <w:rFonts w:hint="eastAsia" w:ascii="仿宋_GB2312" w:eastAsia="仿宋_GB2312"/>
                <w:sz w:val="24"/>
                <w:highlight w:val="none"/>
              </w:rPr>
              <w:t>相关资料不</w:t>
            </w:r>
            <w:r>
              <w:rPr>
                <w:rFonts w:hint="eastAsia" w:ascii="仿宋_GB2312" w:eastAsia="仿宋_GB2312"/>
                <w:sz w:val="24"/>
                <w:highlight w:val="none"/>
                <w:lang w:eastAsia="zh-CN"/>
              </w:rPr>
              <w:t>齐全、相关工作不落实</w:t>
            </w:r>
            <w:r>
              <w:rPr>
                <w:rFonts w:hint="eastAsia" w:ascii="仿宋_GB2312" w:eastAsia="仿宋_GB2312"/>
                <w:sz w:val="24"/>
                <w:highlight w:val="none"/>
              </w:rPr>
              <w:t>，每项视情扣2000</w:t>
            </w:r>
            <w:r>
              <w:rPr>
                <w:rFonts w:hint="eastAsia" w:ascii="仿宋_GB2312" w:eastAsia="仿宋_GB2312"/>
                <w:sz w:val="24"/>
                <w:highlight w:val="none"/>
                <w:lang w:val="en-US" w:eastAsia="zh-CN"/>
              </w:rPr>
              <w:t>-</w:t>
            </w:r>
            <w:r>
              <w:rPr>
                <w:rFonts w:hint="eastAsia" w:ascii="仿宋_GB2312" w:eastAsia="仿宋_GB2312"/>
                <w:sz w:val="24"/>
                <w:highlight w:val="none"/>
              </w:rPr>
              <w:t>10000元。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w w:val="90"/>
                <w:sz w:val="24"/>
              </w:rPr>
            </w:pPr>
            <w:r>
              <w:rPr>
                <w:rFonts w:hint="eastAsia" w:ascii="黑体" w:hAnsi="黑体" w:eastAsia="黑体"/>
                <w:b/>
                <w:w w:val="90"/>
                <w:sz w:val="24"/>
              </w:rPr>
              <w:t>安全保障</w:t>
            </w:r>
          </w:p>
        </w:tc>
        <w:tc>
          <w:tcPr>
            <w:tcW w:w="8492"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highlight w:val="none"/>
              </w:rPr>
            </w:pPr>
            <w:r>
              <w:rPr>
                <w:rFonts w:hint="eastAsia" w:ascii="仿宋_GB2312" w:eastAsia="仿宋_GB2312"/>
                <w:sz w:val="24"/>
                <w:highlight w:val="none"/>
              </w:rPr>
              <w:t>制度未建立、作业不规范、施工不文明、监督不到位、</w:t>
            </w:r>
            <w:r>
              <w:rPr>
                <w:rFonts w:hint="eastAsia" w:ascii="仿宋_GB2312" w:eastAsia="仿宋_GB2312"/>
                <w:sz w:val="24"/>
                <w:highlight w:val="none"/>
                <w:lang w:eastAsia="zh-CN"/>
              </w:rPr>
              <w:t>管理不到位、</w:t>
            </w:r>
            <w:r>
              <w:rPr>
                <w:rFonts w:hint="eastAsia" w:ascii="仿宋_GB2312" w:eastAsia="仿宋_GB2312"/>
                <w:sz w:val="24"/>
                <w:highlight w:val="none"/>
              </w:rPr>
              <w:t>处置不及时、未按要求购买作业人员保险及第三者责任险、特殊工种作业人员证照不齐全,每次视情扣5000</w:t>
            </w:r>
            <w:r>
              <w:rPr>
                <w:rFonts w:hint="eastAsia" w:ascii="仿宋_GB2312" w:eastAsia="仿宋_GB2312"/>
                <w:sz w:val="24"/>
                <w:highlight w:val="none"/>
                <w:lang w:val="en-US" w:eastAsia="zh-CN"/>
              </w:rPr>
              <w:t>-</w:t>
            </w:r>
            <w:r>
              <w:rPr>
                <w:rFonts w:hint="eastAsia" w:ascii="仿宋_GB2312" w:eastAsia="仿宋_GB2312"/>
                <w:sz w:val="24"/>
                <w:highlight w:val="none"/>
              </w:rPr>
              <w:t>50000元。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w w:val="90"/>
                <w:sz w:val="24"/>
              </w:rPr>
            </w:pPr>
            <w:r>
              <w:rPr>
                <w:rFonts w:hint="eastAsia" w:ascii="黑体" w:hAnsi="黑体" w:eastAsia="黑体"/>
                <w:b/>
                <w:w w:val="90"/>
                <w:sz w:val="24"/>
              </w:rPr>
              <w:t>其他</w:t>
            </w:r>
          </w:p>
        </w:tc>
        <w:tc>
          <w:tcPr>
            <w:tcW w:w="8492"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未响应区执法局其他内业相关养护内容或工作要求，每次扣5000元。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4" w:hRule="atLeast"/>
          <w:jc w:val="center"/>
        </w:trPr>
        <w:tc>
          <w:tcPr>
            <w:tcW w:w="9884"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w w:val="90"/>
                <w:sz w:val="24"/>
              </w:rPr>
            </w:pPr>
            <w:r>
              <w:rPr>
                <w:rFonts w:hint="eastAsia" w:ascii="黑体" w:eastAsia="黑体"/>
                <w:b/>
                <w:sz w:val="28"/>
                <w:szCs w:val="28"/>
              </w:rPr>
              <w:t>创新创优考核奖励标准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6" w:hRule="atLeast"/>
          <w:jc w:val="center"/>
        </w:trPr>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w w:val="90"/>
                <w:sz w:val="24"/>
              </w:rPr>
            </w:pPr>
            <w:r>
              <w:rPr>
                <w:rFonts w:hint="eastAsia" w:ascii="黑体" w:hAnsi="黑体" w:eastAsia="黑体"/>
                <w:b/>
                <w:w w:val="90"/>
                <w:sz w:val="24"/>
              </w:rPr>
              <w:t>表彰奖励</w:t>
            </w:r>
          </w:p>
        </w:tc>
        <w:tc>
          <w:tcPr>
            <w:tcW w:w="8492"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养护单位所在钱塘区养护工作获得区级相关荣誉奖励，每次核减区级一次抄告问题5个；获得市级相关荣誉奖励，每次核减区级一次抄告问题10个；获得省级相关荣誉奖励，每次核减区级一次抄告问题20个。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jc w:val="center"/>
        </w:trPr>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w w:val="90"/>
                <w:sz w:val="24"/>
              </w:rPr>
            </w:pPr>
            <w:r>
              <w:rPr>
                <w:rFonts w:hint="eastAsia" w:ascii="黑体" w:hAnsi="黑体" w:eastAsia="黑体"/>
                <w:b/>
                <w:w w:val="90"/>
                <w:sz w:val="24"/>
              </w:rPr>
              <w:t>领导批示</w:t>
            </w:r>
          </w:p>
        </w:tc>
        <w:tc>
          <w:tcPr>
            <w:tcW w:w="8492"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养护单位所在钱塘区养护工作获得区级领导批示的，每次核减区级抄告问题10个；获得市级领导批示的，每次核减区级抄告问题20个；获得省级领导批示的，每次核减区级抄告问题30个；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4" w:hRule="atLeast"/>
          <w:jc w:val="center"/>
        </w:trPr>
        <w:tc>
          <w:tcPr>
            <w:tcW w:w="13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w w:val="90"/>
                <w:sz w:val="24"/>
              </w:rPr>
            </w:pPr>
            <w:r>
              <w:rPr>
                <w:rFonts w:hint="eastAsia" w:ascii="黑体" w:hAnsi="黑体" w:eastAsia="黑体"/>
                <w:b/>
                <w:w w:val="90"/>
                <w:sz w:val="24"/>
              </w:rPr>
              <w:t>创新评优</w:t>
            </w:r>
          </w:p>
        </w:tc>
        <w:tc>
          <w:tcPr>
            <w:tcW w:w="8492"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养护单位养护工作获得先进工作法、先进做法等奖励的</w:t>
            </w:r>
            <w:r>
              <w:rPr>
                <w:rFonts w:hint="eastAsia" w:ascii="仿宋_GB2312" w:eastAsia="仿宋_GB2312"/>
                <w:sz w:val="24"/>
                <w:lang w:eastAsia="zh-CN"/>
              </w:rPr>
              <w:t>；养护单位积极响应除景观灯养护工作外事项并取得一定成效或者执法局认可的，</w:t>
            </w:r>
            <w:r>
              <w:rPr>
                <w:rFonts w:hint="eastAsia" w:ascii="仿宋_GB2312" w:eastAsia="仿宋_GB2312"/>
                <w:sz w:val="24"/>
              </w:rPr>
              <w:t>每次核减区级抄告20个。</w:t>
            </w:r>
          </w:p>
        </w:tc>
      </w:tr>
    </w:tbl>
    <w:p>
      <w:pPr>
        <w:ind w:firstLine="434" w:firstLineChars="200"/>
        <w:rPr>
          <w:rFonts w:hint="eastAsia" w:ascii="黑体" w:hAnsi="黑体" w:eastAsia="黑体"/>
          <w:b/>
          <w:w w:val="90"/>
          <w:sz w:val="24"/>
        </w:rPr>
      </w:pPr>
    </w:p>
    <w:p>
      <w:pPr>
        <w:ind w:firstLine="434" w:firstLineChars="200"/>
        <w:rPr>
          <w:rFonts w:hint="eastAsia"/>
        </w:rPr>
      </w:pPr>
      <w:r>
        <w:rPr>
          <w:rFonts w:hint="eastAsia" w:ascii="黑体" w:hAnsi="黑体" w:eastAsia="黑体"/>
          <w:b/>
          <w:w w:val="90"/>
          <w:sz w:val="24"/>
        </w:rPr>
        <w:t>备注：</w:t>
      </w:r>
      <w:r>
        <w:rPr>
          <w:rFonts w:hint="eastAsia" w:ascii="仿宋_GB2312" w:eastAsia="仿宋_GB2312"/>
          <w:sz w:val="24"/>
        </w:rPr>
        <w:t>发生有责事故，养护单位除承担相关法律责任和经济赔偿外，每次视情轻重再扣除100000-500000元养护款。</w:t>
      </w:r>
    </w:p>
    <w:p>
      <w:pPr>
        <w:pStyle w:val="132"/>
        <w:spacing w:before="0" w:line="460" w:lineRule="exact"/>
        <w:ind w:firstLine="0" w:firstLineChars="0"/>
        <w:jc w:val="left"/>
        <w:rPr>
          <w:rFonts w:hint="eastAsia" w:ascii="仿宋" w:hAnsi="仿宋" w:eastAsia="仿宋" w:cs="仿宋"/>
          <w:b/>
          <w:szCs w:val="24"/>
          <w:highlight w:val="none"/>
          <w:lang w:eastAsia="zh-CN"/>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pPr>
        <w:rPr>
          <w:rFonts w:hint="eastAsia" w:ascii="仿宋" w:hAnsi="仿宋" w:eastAsia="仿宋" w:cs="仿宋"/>
          <w:b/>
          <w:sz w:val="36"/>
          <w:szCs w:val="36"/>
        </w:rPr>
      </w:pPr>
    </w:p>
    <w:p>
      <w:pPr>
        <w:snapToGrid w:val="0"/>
        <w:spacing w:line="360" w:lineRule="auto"/>
        <w:jc w:val="center"/>
        <w:rPr>
          <w:rFonts w:ascii="仿宋" w:hAnsi="仿宋" w:eastAsia="仿宋" w:cs="仿宋"/>
          <w:b/>
          <w:sz w:val="36"/>
          <w:szCs w:val="36"/>
        </w:rPr>
      </w:pPr>
      <w:r>
        <w:rPr>
          <w:rFonts w:hint="eastAsia" w:ascii="仿宋" w:hAnsi="仿宋" w:eastAsia="仿宋" w:cs="仿宋"/>
          <w:b/>
          <w:sz w:val="36"/>
          <w:szCs w:val="36"/>
        </w:rPr>
        <w:t xml:space="preserve">第四部分   </w:t>
      </w:r>
      <w:bookmarkStart w:id="28" w:name="_Toc184314471"/>
      <w:bookmarkEnd w:id="28"/>
      <w:bookmarkStart w:id="29" w:name="_Toc184314464"/>
      <w:bookmarkEnd w:id="29"/>
      <w:bookmarkStart w:id="30" w:name="_Toc184308098"/>
      <w:bookmarkEnd w:id="30"/>
      <w:bookmarkStart w:id="31" w:name="_Toc184310326"/>
      <w:bookmarkEnd w:id="31"/>
      <w:bookmarkStart w:id="32" w:name="_Toc184313248"/>
      <w:bookmarkEnd w:id="32"/>
      <w:bookmarkStart w:id="33" w:name="_Toc184313257"/>
      <w:bookmarkEnd w:id="33"/>
      <w:bookmarkStart w:id="34" w:name="_Toc184313303"/>
      <w:bookmarkEnd w:id="34"/>
      <w:bookmarkStart w:id="35" w:name="_Toc184313250"/>
      <w:bookmarkEnd w:id="35"/>
      <w:bookmarkStart w:id="36" w:name="_Toc184310293"/>
      <w:bookmarkEnd w:id="36"/>
      <w:bookmarkStart w:id="37" w:name="_Toc184313263"/>
      <w:bookmarkEnd w:id="37"/>
      <w:bookmarkStart w:id="38" w:name="_Toc184314438"/>
      <w:bookmarkEnd w:id="38"/>
      <w:bookmarkStart w:id="39" w:name="_Toc184310283"/>
      <w:bookmarkEnd w:id="39"/>
      <w:bookmarkStart w:id="40" w:name="_Toc184313286"/>
      <w:bookmarkEnd w:id="40"/>
      <w:bookmarkStart w:id="41" w:name="_Toc184314450"/>
      <w:bookmarkEnd w:id="41"/>
      <w:bookmarkStart w:id="42" w:name="_Toc184310311"/>
      <w:bookmarkEnd w:id="42"/>
      <w:bookmarkStart w:id="43" w:name="_Toc184308072"/>
      <w:bookmarkEnd w:id="43"/>
      <w:bookmarkStart w:id="44" w:name="_Toc184308045"/>
      <w:bookmarkEnd w:id="44"/>
      <w:bookmarkStart w:id="45" w:name="_Toc184310296"/>
      <w:bookmarkEnd w:id="45"/>
      <w:bookmarkStart w:id="46" w:name="_Toc184308039"/>
      <w:bookmarkEnd w:id="46"/>
      <w:bookmarkStart w:id="47" w:name="_Toc184310278"/>
      <w:bookmarkEnd w:id="47"/>
      <w:bookmarkStart w:id="48" w:name="_Toc184314445"/>
      <w:bookmarkEnd w:id="48"/>
      <w:bookmarkStart w:id="49" w:name="_Toc184310342"/>
      <w:bookmarkEnd w:id="49"/>
      <w:bookmarkStart w:id="50" w:name="_Toc184312118"/>
      <w:bookmarkEnd w:id="50"/>
      <w:bookmarkStart w:id="51" w:name="_Toc184312138"/>
      <w:bookmarkEnd w:id="51"/>
      <w:bookmarkStart w:id="52" w:name="_Toc184314458"/>
      <w:bookmarkEnd w:id="52"/>
      <w:bookmarkStart w:id="53" w:name="_Toc184310327"/>
      <w:bookmarkEnd w:id="53"/>
      <w:bookmarkStart w:id="54" w:name="_Toc184314478"/>
      <w:bookmarkEnd w:id="54"/>
      <w:bookmarkStart w:id="55" w:name="_Toc184308100"/>
      <w:bookmarkEnd w:id="55"/>
      <w:bookmarkStart w:id="56" w:name="_Toc184314416"/>
      <w:bookmarkEnd w:id="56"/>
      <w:bookmarkStart w:id="57" w:name="_Toc184313280"/>
      <w:bookmarkEnd w:id="57"/>
      <w:bookmarkStart w:id="58" w:name="_Toc184313260"/>
      <w:bookmarkEnd w:id="58"/>
      <w:bookmarkStart w:id="59" w:name="_Toc184314428"/>
      <w:bookmarkEnd w:id="59"/>
      <w:bookmarkStart w:id="60" w:name="_Toc184314419"/>
      <w:bookmarkEnd w:id="60"/>
      <w:bookmarkStart w:id="61" w:name="_Toc184308041"/>
      <w:bookmarkEnd w:id="61"/>
      <w:bookmarkStart w:id="62" w:name="_Toc184314452"/>
      <w:bookmarkEnd w:id="62"/>
      <w:bookmarkStart w:id="63" w:name="_Toc184313296"/>
      <w:bookmarkEnd w:id="63"/>
      <w:bookmarkStart w:id="64" w:name="_Toc184313252"/>
      <w:bookmarkEnd w:id="64"/>
      <w:bookmarkStart w:id="65" w:name="_Toc184310298"/>
      <w:bookmarkEnd w:id="65"/>
      <w:bookmarkStart w:id="66" w:name="_Toc184314451"/>
      <w:bookmarkEnd w:id="66"/>
      <w:bookmarkStart w:id="67" w:name="_Toc184308093"/>
      <w:bookmarkEnd w:id="67"/>
      <w:bookmarkStart w:id="68" w:name="_Toc184314453"/>
      <w:bookmarkEnd w:id="68"/>
      <w:bookmarkStart w:id="69" w:name="_Toc184314442"/>
      <w:bookmarkEnd w:id="69"/>
      <w:bookmarkStart w:id="70" w:name="_Toc184310299"/>
      <w:bookmarkEnd w:id="70"/>
      <w:bookmarkStart w:id="71" w:name="_Toc184313265"/>
      <w:bookmarkEnd w:id="71"/>
      <w:bookmarkStart w:id="72" w:name="_Toc184312084"/>
      <w:bookmarkEnd w:id="72"/>
      <w:bookmarkStart w:id="73" w:name="_Toc184313245"/>
      <w:bookmarkEnd w:id="73"/>
      <w:bookmarkStart w:id="74" w:name="_Toc184310281"/>
      <w:bookmarkEnd w:id="74"/>
      <w:bookmarkStart w:id="75" w:name="_Toc184314440"/>
      <w:bookmarkEnd w:id="75"/>
      <w:bookmarkStart w:id="76" w:name="_Toc184312100"/>
      <w:bookmarkEnd w:id="76"/>
      <w:bookmarkStart w:id="77" w:name="_Toc184314434"/>
      <w:bookmarkEnd w:id="77"/>
      <w:bookmarkStart w:id="78" w:name="_Toc184308046"/>
      <w:bookmarkEnd w:id="78"/>
      <w:bookmarkStart w:id="79" w:name="_Toc184314455"/>
      <w:bookmarkEnd w:id="79"/>
      <w:bookmarkStart w:id="80" w:name="_Toc184314418"/>
      <w:bookmarkEnd w:id="80"/>
      <w:bookmarkStart w:id="81" w:name="_Toc184312097"/>
      <w:bookmarkEnd w:id="81"/>
      <w:bookmarkStart w:id="82" w:name="_Toc184313258"/>
      <w:bookmarkEnd w:id="82"/>
      <w:bookmarkStart w:id="83" w:name="_Toc184308099"/>
      <w:bookmarkEnd w:id="83"/>
      <w:bookmarkStart w:id="84" w:name="_Toc184308043"/>
      <w:bookmarkEnd w:id="84"/>
      <w:bookmarkStart w:id="85" w:name="_Toc184310315"/>
      <w:bookmarkEnd w:id="85"/>
      <w:bookmarkStart w:id="86" w:name="_Toc184308105"/>
      <w:bookmarkEnd w:id="86"/>
      <w:bookmarkStart w:id="87" w:name="_Toc184312131"/>
      <w:bookmarkEnd w:id="87"/>
      <w:bookmarkStart w:id="88" w:name="_Toc184312119"/>
      <w:bookmarkEnd w:id="88"/>
      <w:bookmarkStart w:id="89" w:name="_Toc184314430"/>
      <w:bookmarkEnd w:id="89"/>
      <w:bookmarkStart w:id="90" w:name="_Toc184310286"/>
      <w:bookmarkEnd w:id="90"/>
      <w:bookmarkStart w:id="91" w:name="_Toc184313253"/>
      <w:bookmarkEnd w:id="91"/>
      <w:bookmarkStart w:id="92" w:name="_Toc184314431"/>
      <w:bookmarkEnd w:id="92"/>
      <w:bookmarkStart w:id="93" w:name="_Toc184313240"/>
      <w:bookmarkEnd w:id="93"/>
      <w:bookmarkStart w:id="94" w:name="_Toc184313261"/>
      <w:bookmarkEnd w:id="94"/>
      <w:bookmarkStart w:id="95" w:name="_Toc184308108"/>
      <w:bookmarkEnd w:id="95"/>
      <w:bookmarkStart w:id="96" w:name="_Toc184312110"/>
      <w:bookmarkEnd w:id="96"/>
      <w:bookmarkStart w:id="97" w:name="_Toc184314463"/>
      <w:bookmarkEnd w:id="97"/>
      <w:bookmarkStart w:id="98" w:name="_Toc184308066"/>
      <w:bookmarkEnd w:id="98"/>
      <w:bookmarkStart w:id="99" w:name="_Toc184308069"/>
      <w:bookmarkEnd w:id="99"/>
      <w:bookmarkStart w:id="100" w:name="_Toc184314476"/>
      <w:bookmarkEnd w:id="100"/>
      <w:bookmarkStart w:id="101" w:name="_Toc184308056"/>
      <w:bookmarkEnd w:id="101"/>
      <w:bookmarkStart w:id="102" w:name="_Toc184313264"/>
      <w:bookmarkEnd w:id="102"/>
      <w:bookmarkStart w:id="103" w:name="_Toc184308042"/>
      <w:bookmarkEnd w:id="103"/>
      <w:bookmarkStart w:id="104" w:name="_Toc184313281"/>
      <w:bookmarkEnd w:id="104"/>
      <w:bookmarkStart w:id="105" w:name="_Toc184313246"/>
      <w:bookmarkEnd w:id="105"/>
      <w:bookmarkStart w:id="106" w:name="_Toc184310329"/>
      <w:bookmarkEnd w:id="106"/>
      <w:bookmarkStart w:id="107" w:name="_Toc184310297"/>
      <w:bookmarkEnd w:id="107"/>
      <w:bookmarkStart w:id="108" w:name="_Toc184313279"/>
      <w:bookmarkEnd w:id="108"/>
      <w:bookmarkStart w:id="109" w:name="_Toc184314479"/>
      <w:bookmarkEnd w:id="109"/>
      <w:bookmarkStart w:id="110" w:name="_Toc184310344"/>
      <w:bookmarkEnd w:id="110"/>
      <w:bookmarkStart w:id="111" w:name="_Toc184310313"/>
      <w:bookmarkEnd w:id="111"/>
      <w:bookmarkStart w:id="112" w:name="_Toc184312074"/>
      <w:bookmarkEnd w:id="112"/>
      <w:bookmarkStart w:id="113" w:name="_Toc184314444"/>
      <w:bookmarkEnd w:id="113"/>
      <w:bookmarkStart w:id="114" w:name="_Toc184314481"/>
      <w:bookmarkEnd w:id="114"/>
      <w:bookmarkStart w:id="115" w:name="_Toc184312130"/>
      <w:bookmarkEnd w:id="115"/>
      <w:bookmarkStart w:id="116" w:name="_Toc184312128"/>
      <w:bookmarkEnd w:id="116"/>
      <w:bookmarkStart w:id="117" w:name="_Toc184314439"/>
      <w:bookmarkEnd w:id="117"/>
      <w:bookmarkStart w:id="118" w:name="_Toc184314456"/>
      <w:bookmarkEnd w:id="118"/>
      <w:bookmarkStart w:id="119" w:name="_Toc184308078"/>
      <w:bookmarkEnd w:id="119"/>
      <w:bookmarkStart w:id="120" w:name="_Toc184308061"/>
      <w:bookmarkEnd w:id="120"/>
      <w:bookmarkStart w:id="121" w:name="_Toc184308064"/>
      <w:bookmarkEnd w:id="121"/>
      <w:bookmarkStart w:id="122" w:name="_Toc184310322"/>
      <w:bookmarkEnd w:id="122"/>
      <w:bookmarkStart w:id="123" w:name="_Toc184312085"/>
      <w:bookmarkEnd w:id="123"/>
      <w:bookmarkStart w:id="124" w:name="_Toc184314447"/>
      <w:bookmarkEnd w:id="124"/>
      <w:bookmarkStart w:id="125" w:name="_Toc184314480"/>
      <w:bookmarkEnd w:id="125"/>
      <w:bookmarkStart w:id="126" w:name="_Toc184314410"/>
      <w:bookmarkEnd w:id="126"/>
      <w:bookmarkStart w:id="127" w:name="_Toc184308073"/>
      <w:bookmarkEnd w:id="127"/>
      <w:bookmarkStart w:id="128" w:name="_Toc184312098"/>
      <w:bookmarkEnd w:id="128"/>
      <w:bookmarkStart w:id="129" w:name="_Toc184310310"/>
      <w:bookmarkEnd w:id="129"/>
      <w:bookmarkStart w:id="130" w:name="_Toc184312121"/>
      <w:bookmarkEnd w:id="130"/>
      <w:bookmarkStart w:id="131" w:name="_Toc184313298"/>
      <w:bookmarkEnd w:id="131"/>
      <w:bookmarkStart w:id="132" w:name="_Toc184314413"/>
      <w:bookmarkEnd w:id="132"/>
      <w:bookmarkStart w:id="133" w:name="_Toc184308055"/>
      <w:bookmarkEnd w:id="133"/>
      <w:bookmarkStart w:id="134" w:name="_Toc184310289"/>
      <w:bookmarkEnd w:id="134"/>
      <w:bookmarkStart w:id="135" w:name="_Toc184310338"/>
      <w:bookmarkEnd w:id="135"/>
      <w:bookmarkStart w:id="136" w:name="_Toc184314435"/>
      <w:bookmarkEnd w:id="136"/>
      <w:bookmarkStart w:id="137" w:name="_Toc184313277"/>
      <w:bookmarkEnd w:id="137"/>
      <w:bookmarkStart w:id="138" w:name="_Toc184310318"/>
      <w:bookmarkEnd w:id="138"/>
      <w:bookmarkStart w:id="139" w:name="_Toc184310312"/>
      <w:bookmarkEnd w:id="139"/>
      <w:bookmarkStart w:id="140" w:name="_Toc184314441"/>
      <w:bookmarkEnd w:id="140"/>
      <w:bookmarkStart w:id="141" w:name="_Toc184313283"/>
      <w:bookmarkEnd w:id="141"/>
      <w:bookmarkStart w:id="142" w:name="_Toc184310334"/>
      <w:bookmarkEnd w:id="142"/>
      <w:bookmarkStart w:id="143" w:name="_Toc184312078"/>
      <w:bookmarkEnd w:id="143"/>
      <w:bookmarkStart w:id="144" w:name="_Toc184312124"/>
      <w:bookmarkEnd w:id="144"/>
      <w:bookmarkStart w:id="145" w:name="_Toc184312079"/>
      <w:bookmarkEnd w:id="145"/>
      <w:bookmarkStart w:id="146" w:name="_Toc184308104"/>
      <w:bookmarkEnd w:id="146"/>
      <w:bookmarkStart w:id="147" w:name="_Toc184312127"/>
      <w:bookmarkEnd w:id="147"/>
      <w:bookmarkStart w:id="148" w:name="_Toc184313249"/>
      <w:bookmarkEnd w:id="148"/>
      <w:bookmarkStart w:id="149" w:name="_Toc184312094"/>
      <w:bookmarkEnd w:id="149"/>
      <w:bookmarkStart w:id="150" w:name="_Toc184312108"/>
      <w:bookmarkEnd w:id="150"/>
      <w:bookmarkStart w:id="151" w:name="_Toc184308089"/>
      <w:bookmarkEnd w:id="151"/>
      <w:bookmarkStart w:id="152" w:name="_Toc184310307"/>
      <w:bookmarkEnd w:id="152"/>
      <w:bookmarkStart w:id="153" w:name="_Toc184312117"/>
      <w:bookmarkEnd w:id="153"/>
      <w:bookmarkStart w:id="154" w:name="_Toc184313271"/>
      <w:bookmarkEnd w:id="154"/>
      <w:bookmarkStart w:id="155" w:name="_Toc184312133"/>
      <w:bookmarkEnd w:id="155"/>
      <w:bookmarkStart w:id="156" w:name="_Toc184310282"/>
      <w:bookmarkEnd w:id="156"/>
      <w:bookmarkStart w:id="157" w:name="_Toc184312101"/>
      <w:bookmarkEnd w:id="157"/>
      <w:bookmarkStart w:id="158" w:name="_Toc184310302"/>
      <w:bookmarkEnd w:id="158"/>
      <w:bookmarkStart w:id="159" w:name="_Toc184310280"/>
      <w:bookmarkEnd w:id="159"/>
      <w:bookmarkStart w:id="160" w:name="_Toc184308090"/>
      <w:bookmarkEnd w:id="160"/>
      <w:bookmarkStart w:id="161" w:name="_Toc184308088"/>
      <w:bookmarkEnd w:id="161"/>
      <w:bookmarkStart w:id="162" w:name="_Toc184312089"/>
      <w:bookmarkEnd w:id="162"/>
      <w:bookmarkStart w:id="163" w:name="_Toc184313294"/>
      <w:bookmarkEnd w:id="163"/>
      <w:bookmarkStart w:id="164" w:name="_Toc184308080"/>
      <w:bookmarkEnd w:id="164"/>
      <w:bookmarkStart w:id="165" w:name="_Toc184314417"/>
      <w:bookmarkEnd w:id="165"/>
      <w:bookmarkStart w:id="166" w:name="_Toc184310291"/>
      <w:bookmarkEnd w:id="166"/>
      <w:bookmarkStart w:id="167" w:name="_Toc184313254"/>
      <w:bookmarkEnd w:id="167"/>
      <w:bookmarkStart w:id="168" w:name="_Toc184310330"/>
      <w:bookmarkEnd w:id="168"/>
      <w:bookmarkStart w:id="169" w:name="_Toc184308062"/>
      <w:bookmarkEnd w:id="169"/>
      <w:bookmarkStart w:id="170" w:name="_Toc184312095"/>
      <w:bookmarkEnd w:id="170"/>
      <w:bookmarkStart w:id="171" w:name="_Toc184313255"/>
      <w:bookmarkEnd w:id="171"/>
      <w:bookmarkStart w:id="172" w:name="_Toc184314482"/>
      <w:bookmarkEnd w:id="172"/>
      <w:bookmarkStart w:id="173" w:name="_Toc184313310"/>
      <w:bookmarkEnd w:id="173"/>
      <w:bookmarkStart w:id="174" w:name="_Toc184312069"/>
      <w:bookmarkEnd w:id="174"/>
      <w:bookmarkStart w:id="175" w:name="_Toc184314459"/>
      <w:bookmarkEnd w:id="175"/>
      <w:bookmarkStart w:id="176" w:name="_Toc184314432"/>
      <w:bookmarkEnd w:id="176"/>
      <w:bookmarkStart w:id="177" w:name="_Toc184313267"/>
      <w:bookmarkEnd w:id="177"/>
      <w:bookmarkStart w:id="178" w:name="_Toc184310333"/>
      <w:bookmarkEnd w:id="178"/>
      <w:bookmarkStart w:id="179" w:name="_Toc184308058"/>
      <w:bookmarkEnd w:id="179"/>
      <w:bookmarkStart w:id="180" w:name="_Toc184310325"/>
      <w:bookmarkEnd w:id="180"/>
      <w:bookmarkStart w:id="181" w:name="_Toc184314461"/>
      <w:bookmarkEnd w:id="181"/>
      <w:bookmarkStart w:id="182" w:name="_Toc184312102"/>
      <w:bookmarkEnd w:id="182"/>
      <w:bookmarkStart w:id="183" w:name="_Toc184313259"/>
      <w:bookmarkEnd w:id="183"/>
      <w:bookmarkStart w:id="184" w:name="_Toc184310320"/>
      <w:bookmarkEnd w:id="184"/>
      <w:bookmarkStart w:id="185" w:name="_Toc184314420"/>
      <w:bookmarkEnd w:id="185"/>
      <w:bookmarkStart w:id="186" w:name="_Toc184312073"/>
      <w:bookmarkEnd w:id="186"/>
      <w:bookmarkStart w:id="187" w:name="_Toc184314448"/>
      <w:bookmarkEnd w:id="187"/>
      <w:bookmarkStart w:id="188" w:name="_Toc184312115"/>
      <w:bookmarkEnd w:id="188"/>
      <w:bookmarkStart w:id="189" w:name="_Toc184313242"/>
      <w:bookmarkEnd w:id="189"/>
      <w:bookmarkStart w:id="190" w:name="_Toc184308077"/>
      <w:bookmarkEnd w:id="190"/>
      <w:bookmarkStart w:id="191" w:name="_Toc184310274"/>
      <w:bookmarkEnd w:id="191"/>
      <w:bookmarkStart w:id="192" w:name="_Toc184308050"/>
      <w:bookmarkEnd w:id="192"/>
      <w:bookmarkStart w:id="193" w:name="_Toc184310331"/>
      <w:bookmarkEnd w:id="193"/>
      <w:bookmarkStart w:id="194" w:name="_Toc184314424"/>
      <w:bookmarkEnd w:id="194"/>
      <w:bookmarkStart w:id="195" w:name="_Toc184313295"/>
      <w:bookmarkEnd w:id="195"/>
      <w:bookmarkStart w:id="196" w:name="_Toc184310290"/>
      <w:bookmarkEnd w:id="196"/>
      <w:bookmarkStart w:id="197" w:name="_Toc184313302"/>
      <w:bookmarkEnd w:id="197"/>
      <w:bookmarkStart w:id="198" w:name="_Toc184308060"/>
      <w:bookmarkEnd w:id="198"/>
      <w:bookmarkStart w:id="199" w:name="_Toc184313266"/>
      <w:bookmarkEnd w:id="199"/>
      <w:bookmarkStart w:id="200" w:name="_Toc184308063"/>
      <w:bookmarkEnd w:id="200"/>
      <w:bookmarkStart w:id="201" w:name="_Toc184308059"/>
      <w:bookmarkEnd w:id="201"/>
      <w:bookmarkStart w:id="202" w:name="_Toc184308083"/>
      <w:bookmarkEnd w:id="202"/>
      <w:bookmarkStart w:id="203" w:name="_Toc184308086"/>
      <w:bookmarkEnd w:id="203"/>
      <w:bookmarkStart w:id="204" w:name="_Toc184314414"/>
      <w:bookmarkEnd w:id="204"/>
      <w:bookmarkStart w:id="205" w:name="_Toc184310341"/>
      <w:bookmarkEnd w:id="205"/>
      <w:bookmarkStart w:id="206" w:name="_Toc184308095"/>
      <w:bookmarkEnd w:id="206"/>
      <w:bookmarkStart w:id="207" w:name="_Toc184308057"/>
      <w:bookmarkEnd w:id="207"/>
      <w:bookmarkStart w:id="208" w:name="_Toc184314427"/>
      <w:bookmarkEnd w:id="208"/>
      <w:bookmarkStart w:id="209" w:name="_Toc184312134"/>
      <w:bookmarkEnd w:id="209"/>
      <w:bookmarkStart w:id="210" w:name="_Toc184310279"/>
      <w:bookmarkEnd w:id="210"/>
      <w:bookmarkStart w:id="211" w:name="_Toc184314465"/>
      <w:bookmarkEnd w:id="211"/>
      <w:bookmarkStart w:id="212" w:name="_Toc184308070"/>
      <w:bookmarkEnd w:id="212"/>
      <w:bookmarkStart w:id="213" w:name="_Toc184310309"/>
      <w:bookmarkEnd w:id="213"/>
      <w:bookmarkStart w:id="214" w:name="_Toc184312114"/>
      <w:bookmarkEnd w:id="214"/>
      <w:bookmarkStart w:id="215" w:name="_Toc184312139"/>
      <w:bookmarkEnd w:id="215"/>
      <w:bookmarkStart w:id="216" w:name="_Toc184310306"/>
      <w:bookmarkEnd w:id="216"/>
      <w:bookmarkStart w:id="217" w:name="_Toc184313241"/>
      <w:bookmarkEnd w:id="217"/>
      <w:bookmarkStart w:id="218" w:name="_Toc184312104"/>
      <w:bookmarkEnd w:id="218"/>
      <w:bookmarkStart w:id="219" w:name="_Toc184313288"/>
      <w:bookmarkEnd w:id="219"/>
      <w:bookmarkStart w:id="220" w:name="_Toc184314415"/>
      <w:bookmarkEnd w:id="220"/>
      <w:bookmarkStart w:id="221" w:name="_Toc184314429"/>
      <w:bookmarkEnd w:id="221"/>
      <w:bookmarkStart w:id="222" w:name="_Toc184308065"/>
      <w:bookmarkEnd w:id="222"/>
      <w:bookmarkStart w:id="223" w:name="_Toc184312083"/>
      <w:bookmarkEnd w:id="223"/>
      <w:bookmarkStart w:id="224" w:name="_Toc184314469"/>
      <w:bookmarkEnd w:id="224"/>
      <w:bookmarkStart w:id="225" w:name="_Toc184308082"/>
      <w:bookmarkEnd w:id="225"/>
      <w:bookmarkStart w:id="226" w:name="_Toc184308087"/>
      <w:bookmarkEnd w:id="226"/>
      <w:bookmarkStart w:id="227" w:name="_Toc184310339"/>
      <w:bookmarkEnd w:id="227"/>
      <w:bookmarkStart w:id="228" w:name="_Toc184314462"/>
      <w:bookmarkEnd w:id="228"/>
      <w:bookmarkStart w:id="229" w:name="_Toc184313238"/>
      <w:bookmarkEnd w:id="229"/>
      <w:bookmarkStart w:id="230" w:name="_Toc184314412"/>
      <w:bookmarkEnd w:id="230"/>
      <w:bookmarkStart w:id="231" w:name="_Toc184314468"/>
      <w:bookmarkEnd w:id="231"/>
      <w:bookmarkStart w:id="232" w:name="_Toc184308106"/>
      <w:bookmarkEnd w:id="232"/>
      <w:bookmarkStart w:id="233" w:name="_Toc184312122"/>
      <w:bookmarkEnd w:id="233"/>
      <w:bookmarkStart w:id="234" w:name="_Toc184310273"/>
      <w:bookmarkEnd w:id="234"/>
      <w:bookmarkStart w:id="235" w:name="_Toc184313309"/>
      <w:bookmarkEnd w:id="235"/>
      <w:bookmarkStart w:id="236" w:name="_Toc184310272"/>
      <w:bookmarkEnd w:id="236"/>
      <w:bookmarkStart w:id="237" w:name="_Toc184313300"/>
      <w:bookmarkEnd w:id="237"/>
      <w:bookmarkStart w:id="238" w:name="_Toc184308107"/>
      <w:bookmarkEnd w:id="238"/>
      <w:bookmarkStart w:id="239" w:name="_Toc184313292"/>
      <w:bookmarkEnd w:id="239"/>
      <w:bookmarkStart w:id="240" w:name="_Toc184310275"/>
      <w:bookmarkEnd w:id="240"/>
      <w:bookmarkStart w:id="241" w:name="_Toc184308079"/>
      <w:bookmarkEnd w:id="241"/>
      <w:bookmarkStart w:id="242" w:name="_Toc184308037"/>
      <w:bookmarkEnd w:id="242"/>
      <w:bookmarkStart w:id="243" w:name="_Toc184314446"/>
      <w:bookmarkEnd w:id="243"/>
      <w:bookmarkStart w:id="244" w:name="_Toc184310287"/>
      <w:bookmarkEnd w:id="244"/>
      <w:bookmarkStart w:id="245" w:name="_Toc184314421"/>
      <w:bookmarkEnd w:id="245"/>
      <w:bookmarkStart w:id="246" w:name="_Toc184308054"/>
      <w:bookmarkEnd w:id="246"/>
      <w:bookmarkStart w:id="247" w:name="_Toc184312113"/>
      <w:bookmarkEnd w:id="247"/>
      <w:bookmarkStart w:id="248" w:name="_Toc184312072"/>
      <w:bookmarkEnd w:id="248"/>
      <w:bookmarkStart w:id="249" w:name="_Toc184313299"/>
      <w:bookmarkEnd w:id="249"/>
      <w:bookmarkStart w:id="250" w:name="_Toc184308094"/>
      <w:bookmarkEnd w:id="250"/>
      <w:bookmarkStart w:id="251" w:name="_Toc184312075"/>
      <w:bookmarkEnd w:id="251"/>
      <w:bookmarkStart w:id="252" w:name="_Toc184312076"/>
      <w:bookmarkEnd w:id="252"/>
      <w:bookmarkStart w:id="253" w:name="_Toc184310284"/>
      <w:bookmarkEnd w:id="253"/>
      <w:bookmarkStart w:id="254" w:name="_Toc184308052"/>
      <w:bookmarkEnd w:id="254"/>
      <w:bookmarkStart w:id="255" w:name="_Toc184310316"/>
      <w:bookmarkEnd w:id="255"/>
      <w:bookmarkStart w:id="256" w:name="_Toc184314457"/>
      <w:bookmarkEnd w:id="256"/>
      <w:bookmarkStart w:id="257" w:name="_Toc184310301"/>
      <w:bookmarkEnd w:id="257"/>
      <w:bookmarkStart w:id="258" w:name="_Toc184310277"/>
      <w:bookmarkEnd w:id="258"/>
      <w:bookmarkStart w:id="259" w:name="_Toc184313256"/>
      <w:bookmarkEnd w:id="259"/>
      <w:bookmarkStart w:id="260" w:name="_Toc184314470"/>
      <w:bookmarkEnd w:id="260"/>
      <w:bookmarkStart w:id="261" w:name="_Toc184310335"/>
      <w:bookmarkEnd w:id="261"/>
      <w:bookmarkStart w:id="262" w:name="_Toc184314467"/>
      <w:bookmarkEnd w:id="262"/>
      <w:bookmarkStart w:id="263" w:name="_Toc184314411"/>
      <w:bookmarkEnd w:id="263"/>
      <w:bookmarkStart w:id="264" w:name="_Toc184312132"/>
      <w:bookmarkEnd w:id="264"/>
      <w:bookmarkStart w:id="265" w:name="_Toc184312126"/>
      <w:bookmarkEnd w:id="265"/>
      <w:bookmarkStart w:id="266" w:name="_Toc184313305"/>
      <w:bookmarkEnd w:id="266"/>
      <w:bookmarkStart w:id="267" w:name="_Toc184314426"/>
      <w:bookmarkEnd w:id="267"/>
      <w:bookmarkStart w:id="268" w:name="_Toc184312103"/>
      <w:bookmarkEnd w:id="268"/>
      <w:bookmarkStart w:id="269" w:name="_Toc184310292"/>
      <w:bookmarkEnd w:id="269"/>
      <w:bookmarkStart w:id="270" w:name="_Toc184314472"/>
      <w:bookmarkEnd w:id="270"/>
      <w:bookmarkStart w:id="271" w:name="_Toc184313287"/>
      <w:bookmarkEnd w:id="271"/>
      <w:bookmarkStart w:id="272" w:name="_Toc184310308"/>
      <w:bookmarkEnd w:id="272"/>
      <w:bookmarkStart w:id="273" w:name="_Toc184310332"/>
      <w:bookmarkEnd w:id="273"/>
      <w:bookmarkStart w:id="274" w:name="_Toc184313244"/>
      <w:bookmarkEnd w:id="274"/>
      <w:bookmarkStart w:id="275" w:name="_Toc184314433"/>
      <w:bookmarkEnd w:id="275"/>
      <w:bookmarkStart w:id="276" w:name="_Toc184308049"/>
      <w:bookmarkEnd w:id="276"/>
      <w:bookmarkStart w:id="277" w:name="_Toc184310317"/>
      <w:bookmarkEnd w:id="277"/>
      <w:bookmarkStart w:id="278" w:name="_Toc184312129"/>
      <w:bookmarkEnd w:id="278"/>
      <w:bookmarkStart w:id="279" w:name="_Toc184312125"/>
      <w:bookmarkEnd w:id="279"/>
      <w:bookmarkStart w:id="280" w:name="_Toc184310343"/>
      <w:bookmarkEnd w:id="280"/>
      <w:bookmarkStart w:id="281" w:name="_Toc184313293"/>
      <w:bookmarkEnd w:id="281"/>
      <w:bookmarkStart w:id="282" w:name="_Toc184308071"/>
      <w:bookmarkEnd w:id="282"/>
      <w:bookmarkStart w:id="283" w:name="_Toc184308038"/>
      <w:bookmarkEnd w:id="283"/>
      <w:bookmarkStart w:id="284" w:name="_Toc184308047"/>
      <w:bookmarkEnd w:id="284"/>
      <w:bookmarkStart w:id="285" w:name="_Toc184314437"/>
      <w:bookmarkEnd w:id="285"/>
      <w:bookmarkStart w:id="286" w:name="_Toc184310328"/>
      <w:bookmarkEnd w:id="286"/>
      <w:bookmarkStart w:id="287" w:name="_Toc184310323"/>
      <w:bookmarkEnd w:id="287"/>
      <w:bookmarkStart w:id="288" w:name="_Toc184313301"/>
      <w:bookmarkEnd w:id="288"/>
      <w:bookmarkStart w:id="289" w:name="_Toc184312107"/>
      <w:bookmarkEnd w:id="289"/>
      <w:bookmarkStart w:id="290" w:name="_Toc184313243"/>
      <w:bookmarkEnd w:id="290"/>
      <w:bookmarkStart w:id="291" w:name="_Toc184312135"/>
      <w:bookmarkEnd w:id="291"/>
      <w:bookmarkStart w:id="292" w:name="_Toc184313274"/>
      <w:bookmarkEnd w:id="292"/>
      <w:bookmarkStart w:id="293" w:name="_Toc184312091"/>
      <w:bookmarkEnd w:id="293"/>
      <w:bookmarkStart w:id="294" w:name="_Toc184308092"/>
      <w:bookmarkEnd w:id="294"/>
      <w:bookmarkStart w:id="295" w:name="_Toc184312120"/>
      <w:bookmarkEnd w:id="295"/>
      <w:bookmarkStart w:id="296" w:name="_Toc184312093"/>
      <w:bookmarkEnd w:id="296"/>
      <w:bookmarkStart w:id="297" w:name="_Toc184312096"/>
      <w:bookmarkEnd w:id="297"/>
      <w:bookmarkStart w:id="298" w:name="_Toc184313304"/>
      <w:bookmarkEnd w:id="298"/>
      <w:bookmarkStart w:id="299" w:name="_Toc184308075"/>
      <w:bookmarkEnd w:id="299"/>
      <w:bookmarkStart w:id="300" w:name="_Toc184312081"/>
      <w:bookmarkEnd w:id="300"/>
      <w:bookmarkStart w:id="301" w:name="_Toc184308076"/>
      <w:bookmarkEnd w:id="301"/>
      <w:bookmarkStart w:id="302" w:name="_Toc184314466"/>
      <w:bookmarkEnd w:id="302"/>
      <w:bookmarkStart w:id="303" w:name="_Toc184313239"/>
      <w:bookmarkEnd w:id="303"/>
      <w:bookmarkStart w:id="304" w:name="_Toc184313289"/>
      <w:bookmarkEnd w:id="304"/>
      <w:bookmarkStart w:id="305" w:name="_Toc184314454"/>
      <w:bookmarkEnd w:id="305"/>
      <w:bookmarkStart w:id="306" w:name="_Toc184312137"/>
      <w:bookmarkEnd w:id="306"/>
      <w:bookmarkStart w:id="307" w:name="_Toc184310319"/>
      <w:bookmarkEnd w:id="307"/>
      <w:bookmarkStart w:id="308" w:name="_Toc184312116"/>
      <w:bookmarkEnd w:id="308"/>
      <w:bookmarkStart w:id="309" w:name="_Toc184308097"/>
      <w:bookmarkEnd w:id="309"/>
      <w:bookmarkStart w:id="310" w:name="_Toc184313270"/>
      <w:bookmarkEnd w:id="310"/>
      <w:bookmarkStart w:id="311" w:name="_Toc184310340"/>
      <w:bookmarkEnd w:id="311"/>
      <w:bookmarkStart w:id="312" w:name="_Toc184310288"/>
      <w:bookmarkEnd w:id="312"/>
      <w:bookmarkStart w:id="313" w:name="_Toc184312136"/>
      <w:bookmarkEnd w:id="313"/>
      <w:bookmarkStart w:id="314" w:name="_Toc184312090"/>
      <w:bookmarkEnd w:id="314"/>
      <w:bookmarkStart w:id="315" w:name="_Toc184312112"/>
      <w:bookmarkEnd w:id="315"/>
      <w:bookmarkStart w:id="316" w:name="_Toc184312077"/>
      <w:bookmarkEnd w:id="316"/>
      <w:bookmarkStart w:id="317" w:name="_Toc184312068"/>
      <w:bookmarkEnd w:id="317"/>
      <w:bookmarkStart w:id="318" w:name="_Toc184313276"/>
      <w:bookmarkEnd w:id="318"/>
      <w:bookmarkStart w:id="319" w:name="_Toc184313291"/>
      <w:bookmarkEnd w:id="319"/>
      <w:bookmarkStart w:id="320" w:name="_Toc184314477"/>
      <w:bookmarkEnd w:id="320"/>
      <w:bookmarkStart w:id="321" w:name="_Toc184310276"/>
      <w:bookmarkEnd w:id="321"/>
      <w:bookmarkStart w:id="322" w:name="_Toc184312111"/>
      <w:bookmarkEnd w:id="322"/>
      <w:bookmarkStart w:id="323" w:name="_Toc184312099"/>
      <w:bookmarkEnd w:id="323"/>
      <w:bookmarkStart w:id="324" w:name="_Toc184310294"/>
      <w:bookmarkEnd w:id="324"/>
      <w:bookmarkStart w:id="325" w:name="_Toc184310336"/>
      <w:bookmarkEnd w:id="325"/>
      <w:bookmarkStart w:id="326" w:name="_Toc184312106"/>
      <w:bookmarkEnd w:id="326"/>
      <w:bookmarkStart w:id="327" w:name="_Toc184308067"/>
      <w:bookmarkEnd w:id="327"/>
      <w:bookmarkStart w:id="328" w:name="_Toc184308040"/>
      <w:bookmarkEnd w:id="328"/>
      <w:bookmarkStart w:id="329" w:name="_Toc184310295"/>
      <w:bookmarkEnd w:id="329"/>
      <w:bookmarkStart w:id="330" w:name="_Toc184313273"/>
      <w:bookmarkEnd w:id="330"/>
      <w:bookmarkStart w:id="331" w:name="_Toc184314423"/>
      <w:bookmarkEnd w:id="331"/>
      <w:bookmarkStart w:id="332" w:name="_Toc184313262"/>
      <w:bookmarkEnd w:id="332"/>
      <w:bookmarkStart w:id="333" w:name="_Toc184314474"/>
      <w:bookmarkEnd w:id="333"/>
      <w:bookmarkStart w:id="334" w:name="_Toc184314449"/>
      <w:bookmarkEnd w:id="334"/>
      <w:bookmarkStart w:id="335" w:name="_Toc184308048"/>
      <w:bookmarkEnd w:id="335"/>
      <w:bookmarkStart w:id="336" w:name="_Toc184314425"/>
      <w:bookmarkEnd w:id="336"/>
      <w:bookmarkStart w:id="337" w:name="_Toc184308096"/>
      <w:bookmarkEnd w:id="337"/>
      <w:bookmarkStart w:id="338" w:name="_Toc184313268"/>
      <w:bookmarkEnd w:id="338"/>
      <w:bookmarkStart w:id="339" w:name="_Toc184312082"/>
      <w:bookmarkEnd w:id="339"/>
      <w:bookmarkStart w:id="340" w:name="_Toc184310321"/>
      <w:bookmarkEnd w:id="340"/>
      <w:bookmarkStart w:id="341" w:name="_Toc184313247"/>
      <w:bookmarkEnd w:id="341"/>
      <w:bookmarkStart w:id="342" w:name="_Toc184313282"/>
      <w:bookmarkEnd w:id="342"/>
      <w:bookmarkStart w:id="343" w:name="_Toc184313306"/>
      <w:bookmarkEnd w:id="343"/>
      <w:bookmarkStart w:id="344" w:name="_Toc184312080"/>
      <w:bookmarkEnd w:id="344"/>
      <w:bookmarkStart w:id="345" w:name="_Toc184312109"/>
      <w:bookmarkEnd w:id="345"/>
      <w:bookmarkStart w:id="346" w:name="_Toc184314473"/>
      <w:bookmarkEnd w:id="346"/>
      <w:bookmarkStart w:id="347" w:name="_Toc184313278"/>
      <w:bookmarkEnd w:id="347"/>
      <w:bookmarkStart w:id="348" w:name="_Toc184314443"/>
      <w:bookmarkEnd w:id="348"/>
      <w:bookmarkStart w:id="349" w:name="_Toc184308036"/>
      <w:bookmarkEnd w:id="349"/>
      <w:bookmarkStart w:id="350" w:name="_Toc184308068"/>
      <w:bookmarkEnd w:id="350"/>
      <w:bookmarkStart w:id="351" w:name="_Toc184312071"/>
      <w:bookmarkEnd w:id="351"/>
      <w:bookmarkStart w:id="352" w:name="_Toc184308081"/>
      <w:bookmarkEnd w:id="352"/>
      <w:bookmarkStart w:id="353" w:name="_Toc184310303"/>
      <w:bookmarkEnd w:id="353"/>
      <w:bookmarkStart w:id="354" w:name="_Toc184313251"/>
      <w:bookmarkEnd w:id="354"/>
      <w:bookmarkStart w:id="355" w:name="_Toc184312105"/>
      <w:bookmarkEnd w:id="355"/>
      <w:bookmarkStart w:id="356" w:name="_Toc184308053"/>
      <w:bookmarkEnd w:id="356"/>
      <w:bookmarkStart w:id="357" w:name="_Toc184313285"/>
      <w:bookmarkEnd w:id="357"/>
      <w:bookmarkStart w:id="358" w:name="_Toc184308102"/>
      <w:bookmarkEnd w:id="358"/>
      <w:bookmarkStart w:id="359" w:name="_Toc184312088"/>
      <w:bookmarkEnd w:id="359"/>
      <w:bookmarkStart w:id="360" w:name="_Toc184312087"/>
      <w:bookmarkEnd w:id="360"/>
      <w:bookmarkStart w:id="361" w:name="_Toc184308091"/>
      <w:bookmarkEnd w:id="361"/>
      <w:bookmarkStart w:id="362" w:name="_Toc184314460"/>
      <w:bookmarkEnd w:id="362"/>
      <w:bookmarkStart w:id="363" w:name="_Toc184313269"/>
      <w:bookmarkEnd w:id="363"/>
      <w:bookmarkStart w:id="364" w:name="_Toc184308074"/>
      <w:bookmarkEnd w:id="364"/>
      <w:bookmarkStart w:id="365" w:name="_Toc184312086"/>
      <w:bookmarkEnd w:id="365"/>
      <w:bookmarkStart w:id="366" w:name="_Toc184313272"/>
      <w:bookmarkEnd w:id="366"/>
      <w:bookmarkStart w:id="367" w:name="_Toc184314436"/>
      <w:bookmarkEnd w:id="367"/>
      <w:bookmarkStart w:id="368" w:name="_Toc184312123"/>
      <w:bookmarkEnd w:id="368"/>
      <w:bookmarkStart w:id="369" w:name="_Toc184310305"/>
      <w:bookmarkEnd w:id="369"/>
      <w:bookmarkStart w:id="370" w:name="_Toc184308101"/>
      <w:bookmarkEnd w:id="370"/>
      <w:bookmarkStart w:id="371" w:name="_Toc184310314"/>
      <w:bookmarkEnd w:id="371"/>
      <w:bookmarkStart w:id="372" w:name="_Toc184314475"/>
      <w:bookmarkEnd w:id="372"/>
      <w:bookmarkStart w:id="373" w:name="_Toc184310324"/>
      <w:bookmarkEnd w:id="373"/>
      <w:bookmarkStart w:id="374" w:name="_Toc184310285"/>
      <w:bookmarkEnd w:id="374"/>
      <w:bookmarkStart w:id="375" w:name="_Toc184313297"/>
      <w:bookmarkEnd w:id="375"/>
      <w:bookmarkStart w:id="376" w:name="_Toc184310304"/>
      <w:bookmarkEnd w:id="376"/>
      <w:bookmarkStart w:id="377" w:name="_Toc184312092"/>
      <w:bookmarkEnd w:id="377"/>
      <w:bookmarkStart w:id="378" w:name="_Toc184313284"/>
      <w:bookmarkEnd w:id="378"/>
      <w:bookmarkStart w:id="379" w:name="_Toc184310300"/>
      <w:bookmarkEnd w:id="379"/>
      <w:bookmarkStart w:id="380" w:name="_Toc184312067"/>
      <w:bookmarkEnd w:id="380"/>
      <w:bookmarkStart w:id="381" w:name="_Toc184313308"/>
      <w:bookmarkEnd w:id="381"/>
      <w:bookmarkStart w:id="382" w:name="_Toc184308051"/>
      <w:bookmarkEnd w:id="382"/>
      <w:bookmarkStart w:id="383" w:name="_Toc184313307"/>
      <w:bookmarkEnd w:id="383"/>
      <w:bookmarkStart w:id="384" w:name="_Toc184310337"/>
      <w:bookmarkEnd w:id="384"/>
      <w:bookmarkStart w:id="385" w:name="_Toc184313290"/>
      <w:bookmarkEnd w:id="385"/>
      <w:bookmarkStart w:id="386" w:name="_Toc184308044"/>
      <w:bookmarkEnd w:id="386"/>
      <w:bookmarkStart w:id="387" w:name="_Toc184314422"/>
      <w:bookmarkEnd w:id="387"/>
      <w:bookmarkStart w:id="388" w:name="_Toc184313275"/>
      <w:bookmarkEnd w:id="388"/>
      <w:bookmarkStart w:id="389" w:name="_Toc184308084"/>
      <w:bookmarkEnd w:id="389"/>
      <w:bookmarkStart w:id="390" w:name="_Toc184312070"/>
      <w:bookmarkEnd w:id="390"/>
      <w:bookmarkStart w:id="391" w:name="_Toc184308103"/>
      <w:bookmarkEnd w:id="391"/>
      <w:bookmarkStart w:id="392" w:name="_Toc184308085"/>
      <w:bookmarkEnd w:id="392"/>
      <w:r>
        <w:rPr>
          <w:rFonts w:hint="eastAsia" w:ascii="仿宋" w:hAnsi="仿宋" w:eastAsia="仿宋" w:cs="仿宋"/>
          <w:b/>
          <w:sz w:val="36"/>
          <w:szCs w:val="36"/>
        </w:rPr>
        <w:t>评标办法</w:t>
      </w:r>
    </w:p>
    <w:p>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评标办法前附表</w:t>
      </w:r>
    </w:p>
    <w:tbl>
      <w:tblPr>
        <w:tblStyle w:val="63"/>
        <w:tblW w:w="49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5112"/>
        <w:gridCol w:w="1177"/>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459" w:type="pct"/>
            <w:vAlign w:val="center"/>
          </w:tcPr>
          <w:p>
            <w:pPr>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2797" w:type="pct"/>
            <w:vAlign w:val="center"/>
          </w:tcPr>
          <w:p>
            <w:pPr>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644" w:type="pct"/>
            <w:vAlign w:val="center"/>
          </w:tcPr>
          <w:p>
            <w:pPr>
              <w:jc w:val="center"/>
              <w:outlineLvl w:val="0"/>
              <w:rPr>
                <w:rFonts w:ascii="仿宋" w:hAnsi="仿宋" w:eastAsia="仿宋" w:cs="仿宋_GB2312"/>
                <w:bCs/>
                <w:sz w:val="24"/>
              </w:rPr>
            </w:pPr>
            <w:r>
              <w:rPr>
                <w:rFonts w:hint="eastAsia" w:ascii="仿宋" w:hAnsi="仿宋" w:eastAsia="仿宋" w:cs="仿宋_GB2312"/>
                <w:bCs/>
                <w:sz w:val="24"/>
              </w:rPr>
              <w:t>权重</w:t>
            </w:r>
          </w:p>
          <w:p>
            <w:pPr>
              <w:jc w:val="center"/>
              <w:outlineLvl w:val="0"/>
              <w:rPr>
                <w:rFonts w:ascii="仿宋" w:hAnsi="仿宋" w:eastAsia="仿宋" w:cs="仿宋_GB2312"/>
                <w:bCs/>
                <w:sz w:val="24"/>
              </w:rPr>
            </w:pPr>
            <w:r>
              <w:rPr>
                <w:rFonts w:hint="eastAsia" w:ascii="仿宋" w:hAnsi="仿宋" w:eastAsia="仿宋" w:cs="仿宋_GB2312"/>
                <w:bCs/>
                <w:sz w:val="24"/>
              </w:rPr>
              <w:t>主观分/客观分属性</w:t>
            </w:r>
          </w:p>
        </w:tc>
        <w:tc>
          <w:tcPr>
            <w:tcW w:w="1099" w:type="pct"/>
            <w:vAlign w:val="center"/>
          </w:tcPr>
          <w:p>
            <w:pPr>
              <w:jc w:val="center"/>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9" w:type="pct"/>
            <w:vMerge w:val="restart"/>
            <w:vAlign w:val="center"/>
          </w:tcPr>
          <w:p>
            <w:pPr>
              <w:jc w:val="center"/>
              <w:outlineLvl w:val="0"/>
              <w:rPr>
                <w:rFonts w:ascii="仿宋" w:hAnsi="仿宋" w:eastAsia="仿宋" w:cs="仿宋_GB2312"/>
                <w:sz w:val="24"/>
              </w:rPr>
            </w:pPr>
            <w:r>
              <w:rPr>
                <w:rFonts w:hint="eastAsia" w:ascii="仿宋" w:hAnsi="仿宋" w:eastAsia="仿宋" w:cs="仿宋_GB2312"/>
                <w:sz w:val="24"/>
              </w:rPr>
              <w:t>1</w:t>
            </w:r>
          </w:p>
        </w:tc>
        <w:tc>
          <w:tcPr>
            <w:tcW w:w="2797" w:type="pct"/>
            <w:vAlign w:val="center"/>
          </w:tcPr>
          <w:p>
            <w:pPr>
              <w:widowControl/>
              <w:snapToGrid w:val="0"/>
              <w:jc w:val="left"/>
              <w:rPr>
                <w:rFonts w:hint="eastAsia" w:ascii="仿宋_GB2312" w:hAnsi="宋体" w:eastAsia="仿宋_GB2312" w:cs="仿宋_GB2312"/>
                <w:kern w:val="2"/>
                <w:sz w:val="24"/>
                <w:szCs w:val="24"/>
                <w:highlight w:val="none"/>
                <w:lang w:val="zh-CN" w:eastAsia="zh-CN" w:bidi="ar-SA"/>
              </w:rPr>
            </w:pPr>
            <w:r>
              <w:rPr>
                <w:rFonts w:hint="eastAsia" w:ascii="仿宋_GB2312" w:hAnsi="宋体" w:eastAsia="仿宋_GB2312" w:cs="仿宋_GB2312"/>
                <w:sz w:val="24"/>
                <w:szCs w:val="24"/>
                <w:highlight w:val="none"/>
                <w:lang w:val="en-GB" w:eastAsia="zh-CN"/>
              </w:rPr>
              <w:t>本项目养护的整体认知</w:t>
            </w:r>
            <w:r>
              <w:rPr>
                <w:rFonts w:hint="eastAsia" w:ascii="仿宋_GB2312" w:hAnsi="宋体" w:eastAsia="仿宋_GB2312" w:cs="仿宋_GB2312"/>
                <w:sz w:val="24"/>
                <w:szCs w:val="24"/>
                <w:highlight w:val="none"/>
                <w:lang w:val="zh-CN" w:eastAsia="zh-CN"/>
              </w:rPr>
              <w:t>情况</w:t>
            </w:r>
            <w:r>
              <w:rPr>
                <w:rFonts w:hint="eastAsia" w:ascii="仿宋_GB2312" w:hAnsi="宋体" w:eastAsia="仿宋_GB2312" w:cs="仿宋_GB2312"/>
                <w:sz w:val="24"/>
                <w:szCs w:val="24"/>
                <w:highlight w:val="none"/>
                <w:lang w:val="en-GB" w:eastAsia="zh-CN"/>
              </w:rPr>
              <w:t>分析形成分析</w:t>
            </w:r>
            <w:r>
              <w:rPr>
                <w:rFonts w:hint="eastAsia" w:ascii="仿宋_GB2312" w:hAnsi="宋体" w:eastAsia="仿宋_GB2312" w:cs="仿宋_GB2312"/>
                <w:sz w:val="24"/>
                <w:szCs w:val="24"/>
                <w:highlight w:val="none"/>
                <w:lang w:val="zh-CN" w:eastAsia="zh-CN"/>
              </w:rPr>
              <w:t>方案，方案科学合理、针对性强、</w:t>
            </w:r>
            <w:r>
              <w:rPr>
                <w:rFonts w:hint="eastAsia" w:ascii="仿宋_GB2312" w:hAnsi="宋体" w:eastAsia="仿宋_GB2312" w:cs="仿宋_GB2312"/>
                <w:sz w:val="24"/>
                <w:szCs w:val="24"/>
                <w:highlight w:val="none"/>
                <w:lang w:val="en-US" w:eastAsia="zh-CN"/>
              </w:rPr>
              <w:t>内容齐全、结构完整得3分；</w:t>
            </w:r>
            <w:r>
              <w:rPr>
                <w:rFonts w:hint="eastAsia" w:ascii="仿宋_GB2312" w:hAnsi="宋体" w:eastAsia="仿宋_GB2312" w:cs="仿宋_GB2312"/>
                <w:sz w:val="24"/>
                <w:szCs w:val="24"/>
                <w:highlight w:val="none"/>
                <w:lang w:val="zh-CN" w:eastAsia="zh-CN"/>
              </w:rPr>
              <w:t>方案欠科学性、欠针对性、</w:t>
            </w:r>
            <w:r>
              <w:rPr>
                <w:rFonts w:hint="eastAsia" w:ascii="仿宋_GB2312" w:hAnsi="宋体" w:eastAsia="仿宋_GB2312" w:cs="仿宋_GB2312"/>
                <w:sz w:val="24"/>
                <w:szCs w:val="24"/>
                <w:highlight w:val="none"/>
                <w:lang w:val="en-US" w:eastAsia="zh-CN"/>
              </w:rPr>
              <w:t>内容结构欠完整的，一处扣0.3分；</w:t>
            </w:r>
            <w:r>
              <w:rPr>
                <w:rFonts w:hint="eastAsia" w:ascii="仿宋_GB2312" w:hAnsi="宋体" w:eastAsia="仿宋_GB2312" w:cs="仿宋_GB2312"/>
                <w:sz w:val="24"/>
                <w:szCs w:val="24"/>
                <w:highlight w:val="none"/>
                <w:lang w:val="zh-CN" w:eastAsia="zh-CN"/>
              </w:rPr>
              <w:t>方案不科学性、无针对性、</w:t>
            </w:r>
            <w:r>
              <w:rPr>
                <w:rFonts w:hint="eastAsia" w:ascii="仿宋_GB2312" w:hAnsi="宋体" w:eastAsia="仿宋_GB2312" w:cs="仿宋_GB2312"/>
                <w:sz w:val="24"/>
                <w:szCs w:val="24"/>
                <w:highlight w:val="none"/>
                <w:lang w:val="en-US" w:eastAsia="zh-CN"/>
              </w:rPr>
              <w:t>内容结构不完整的，一处扣0.6分（0-3分）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分</w:t>
            </w:r>
          </w:p>
          <w:p>
            <w:pPr>
              <w:jc w:val="center"/>
              <w:outlineLvl w:val="0"/>
              <w:rPr>
                <w:rFonts w:ascii="仿宋" w:hAnsi="仿宋" w:eastAsia="仿宋" w:cs="仿宋"/>
                <w:sz w:val="24"/>
              </w:rPr>
            </w:pPr>
            <w:r>
              <w:rPr>
                <w:rFonts w:hint="eastAsia" w:ascii="仿宋" w:hAnsi="仿宋" w:eastAsia="仿宋" w:cs="仿宋"/>
                <w:sz w:val="24"/>
                <w:lang w:eastAsia="zh-CN"/>
              </w:rPr>
              <w:t>主</w:t>
            </w:r>
            <w:r>
              <w:rPr>
                <w:rFonts w:hint="eastAsia" w:ascii="仿宋" w:hAnsi="仿宋" w:eastAsia="仿宋" w:cs="仿宋"/>
                <w:sz w:val="24"/>
              </w:rPr>
              <w:t>观</w:t>
            </w:r>
          </w:p>
        </w:tc>
        <w:tc>
          <w:tcPr>
            <w:tcW w:w="1099" w:type="pct"/>
            <w:vMerge w:val="restart"/>
            <w:vAlign w:val="center"/>
          </w:tcPr>
          <w:p>
            <w:pPr>
              <w:jc w:val="center"/>
              <w:outlineLvl w:val="0"/>
              <w:rPr>
                <w:rFonts w:ascii="仿宋" w:hAnsi="仿宋" w:eastAsia="仿宋" w:cs="仿宋"/>
                <w:sz w:val="24"/>
              </w:rPr>
            </w:pPr>
            <w:r>
              <w:rPr>
                <w:rFonts w:hint="eastAsia" w:ascii="仿宋" w:hAnsi="仿宋" w:eastAsia="仿宋" w:cs="仿宋"/>
                <w:sz w:val="24"/>
              </w:rPr>
              <w:t>养护分析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9" w:type="pct"/>
            <w:vMerge w:val="continue"/>
            <w:vAlign w:val="center"/>
          </w:tcPr>
          <w:p>
            <w:pPr>
              <w:jc w:val="center"/>
              <w:outlineLvl w:val="0"/>
              <w:rPr>
                <w:rFonts w:hint="eastAsia" w:ascii="仿宋" w:hAnsi="仿宋" w:eastAsia="仿宋" w:cs="仿宋_GB2312"/>
                <w:sz w:val="24"/>
              </w:rPr>
            </w:pPr>
          </w:p>
        </w:tc>
        <w:tc>
          <w:tcPr>
            <w:tcW w:w="2797" w:type="pct"/>
            <w:vAlign w:val="center"/>
          </w:tcPr>
          <w:p>
            <w:pPr>
              <w:widowControl/>
              <w:snapToGrid w:val="0"/>
              <w:jc w:val="left"/>
              <w:rPr>
                <w:rFonts w:hint="eastAsia" w:ascii="仿宋_GB2312" w:hAnsi="宋体" w:eastAsia="仿宋_GB2312" w:cs="仿宋_GB2312"/>
                <w:kern w:val="2"/>
                <w:sz w:val="24"/>
                <w:szCs w:val="24"/>
                <w:highlight w:val="none"/>
                <w:lang w:val="en-GB" w:eastAsia="zh-CN" w:bidi="ar-SA"/>
              </w:rPr>
            </w:pPr>
            <w:r>
              <w:rPr>
                <w:rFonts w:hint="eastAsia" w:ascii="仿宋_GB2312" w:hAnsi="宋体" w:eastAsia="仿宋_GB2312" w:cs="仿宋_GB2312"/>
                <w:sz w:val="24"/>
                <w:szCs w:val="24"/>
                <w:highlight w:val="none"/>
                <w:lang w:val="en-GB" w:eastAsia="zh-CN"/>
              </w:rPr>
              <w:t>本项目养护的疑难点情</w:t>
            </w:r>
            <w:r>
              <w:rPr>
                <w:rFonts w:hint="eastAsia" w:ascii="仿宋_GB2312" w:hAnsi="宋体" w:eastAsia="仿宋_GB2312" w:cs="仿宋_GB2312"/>
                <w:sz w:val="24"/>
                <w:szCs w:val="24"/>
                <w:highlight w:val="none"/>
                <w:lang w:val="en-US" w:eastAsia="zh-CN"/>
              </w:rPr>
              <w:t>况</w:t>
            </w:r>
            <w:r>
              <w:rPr>
                <w:rFonts w:hint="eastAsia" w:ascii="仿宋_GB2312" w:hAnsi="宋体" w:eastAsia="仿宋_GB2312" w:cs="仿宋_GB2312"/>
                <w:sz w:val="24"/>
                <w:szCs w:val="24"/>
                <w:highlight w:val="none"/>
                <w:lang w:val="en-GB" w:eastAsia="zh-CN"/>
              </w:rPr>
              <w:t>分析形成分析</w:t>
            </w:r>
            <w:r>
              <w:rPr>
                <w:rFonts w:hint="eastAsia" w:ascii="仿宋_GB2312" w:hAnsi="宋体" w:eastAsia="仿宋_GB2312" w:cs="仿宋_GB2312"/>
                <w:sz w:val="24"/>
                <w:szCs w:val="24"/>
                <w:highlight w:val="none"/>
                <w:lang w:val="en-US" w:eastAsia="zh-CN"/>
              </w:rPr>
              <w:t>方案，</w:t>
            </w:r>
            <w:r>
              <w:rPr>
                <w:rFonts w:hint="eastAsia" w:ascii="仿宋_GB2312" w:hAnsi="宋体" w:eastAsia="仿宋_GB2312" w:cs="仿宋_GB2312"/>
                <w:sz w:val="24"/>
                <w:szCs w:val="24"/>
                <w:highlight w:val="none"/>
                <w:lang w:val="zh-CN" w:eastAsia="zh-CN"/>
              </w:rPr>
              <w:t>方案科学合理、针对性强、</w:t>
            </w:r>
            <w:r>
              <w:rPr>
                <w:rFonts w:hint="eastAsia" w:ascii="仿宋_GB2312" w:hAnsi="宋体" w:eastAsia="仿宋_GB2312" w:cs="仿宋_GB2312"/>
                <w:sz w:val="24"/>
                <w:szCs w:val="24"/>
                <w:highlight w:val="none"/>
                <w:lang w:val="en-US" w:eastAsia="zh-CN"/>
              </w:rPr>
              <w:t>内容齐全、结构完整得3分；</w:t>
            </w:r>
            <w:r>
              <w:rPr>
                <w:rFonts w:hint="eastAsia" w:ascii="仿宋_GB2312" w:hAnsi="宋体" w:eastAsia="仿宋_GB2312" w:cs="仿宋_GB2312"/>
                <w:sz w:val="24"/>
                <w:szCs w:val="24"/>
                <w:highlight w:val="none"/>
                <w:lang w:val="zh-CN" w:eastAsia="zh-CN"/>
              </w:rPr>
              <w:t>方案欠科学性、欠针对性、</w:t>
            </w:r>
            <w:r>
              <w:rPr>
                <w:rFonts w:hint="eastAsia" w:ascii="仿宋_GB2312" w:hAnsi="宋体" w:eastAsia="仿宋_GB2312" w:cs="仿宋_GB2312"/>
                <w:sz w:val="24"/>
                <w:szCs w:val="24"/>
                <w:highlight w:val="none"/>
                <w:lang w:val="en-US" w:eastAsia="zh-CN"/>
              </w:rPr>
              <w:t>内容结构欠完整的，一处扣0.3分；</w:t>
            </w:r>
            <w:r>
              <w:rPr>
                <w:rFonts w:hint="eastAsia" w:ascii="仿宋_GB2312" w:hAnsi="宋体" w:eastAsia="仿宋_GB2312" w:cs="仿宋_GB2312"/>
                <w:sz w:val="24"/>
                <w:szCs w:val="24"/>
                <w:highlight w:val="none"/>
                <w:lang w:val="zh-CN" w:eastAsia="zh-CN"/>
              </w:rPr>
              <w:t>方案不科学性、无针对性、</w:t>
            </w:r>
            <w:r>
              <w:rPr>
                <w:rFonts w:hint="eastAsia" w:ascii="仿宋_GB2312" w:hAnsi="宋体" w:eastAsia="仿宋_GB2312" w:cs="仿宋_GB2312"/>
                <w:sz w:val="24"/>
                <w:szCs w:val="24"/>
                <w:highlight w:val="none"/>
                <w:lang w:val="en-US" w:eastAsia="zh-CN"/>
              </w:rPr>
              <w:t>内容结构不完整的，一处扣0.6分（0-3分）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分</w:t>
            </w:r>
          </w:p>
          <w:p>
            <w:pPr>
              <w:jc w:val="center"/>
              <w:outlineLvl w:val="0"/>
              <w:rPr>
                <w:rFonts w:hint="eastAsia" w:ascii="仿宋" w:hAnsi="仿宋" w:eastAsia="仿宋" w:cs="仿宋"/>
                <w:sz w:val="24"/>
              </w:rPr>
            </w:pPr>
            <w:r>
              <w:rPr>
                <w:rFonts w:hint="eastAsia" w:ascii="仿宋" w:hAnsi="仿宋" w:eastAsia="仿宋" w:cs="仿宋"/>
                <w:sz w:val="24"/>
                <w:lang w:eastAsia="zh-CN"/>
              </w:rPr>
              <w:t>主</w:t>
            </w:r>
            <w:r>
              <w:rPr>
                <w:rFonts w:hint="eastAsia" w:ascii="仿宋" w:hAnsi="仿宋" w:eastAsia="仿宋" w:cs="仿宋"/>
                <w:sz w:val="24"/>
              </w:rPr>
              <w:t>观</w:t>
            </w:r>
          </w:p>
        </w:tc>
        <w:tc>
          <w:tcPr>
            <w:tcW w:w="1099" w:type="pct"/>
            <w:vMerge w:val="continue"/>
            <w:vAlign w:val="center"/>
          </w:tcPr>
          <w:p>
            <w:pPr>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9" w:type="pct"/>
            <w:vMerge w:val="restart"/>
            <w:vAlign w:val="center"/>
          </w:tcPr>
          <w:p>
            <w:pPr>
              <w:jc w:val="center"/>
              <w:rPr>
                <w:rFonts w:hint="eastAsia" w:ascii="仿宋" w:hAnsi="仿宋" w:eastAsia="仿宋" w:cs="仿宋_GB2312"/>
                <w:sz w:val="24"/>
              </w:rPr>
            </w:pPr>
          </w:p>
          <w:p>
            <w:pPr>
              <w:jc w:val="center"/>
              <w:rPr>
                <w:rFonts w:hint="eastAsia" w:ascii="仿宋" w:hAnsi="仿宋" w:eastAsia="仿宋" w:cs="仿宋_GB2312"/>
                <w:sz w:val="24"/>
              </w:rPr>
            </w:pPr>
          </w:p>
          <w:p>
            <w:pPr>
              <w:jc w:val="center"/>
              <w:rPr>
                <w:rFonts w:hint="eastAsia" w:ascii="仿宋" w:hAnsi="仿宋" w:eastAsia="仿宋" w:cs="仿宋_GB2312"/>
                <w:sz w:val="24"/>
              </w:rPr>
            </w:pPr>
          </w:p>
          <w:p>
            <w:pPr>
              <w:jc w:val="center"/>
              <w:rPr>
                <w:rFonts w:hint="eastAsia" w:ascii="仿宋" w:hAnsi="仿宋" w:eastAsia="仿宋" w:cs="仿宋_GB2312"/>
                <w:sz w:val="24"/>
              </w:rPr>
            </w:pPr>
          </w:p>
          <w:p>
            <w:pPr>
              <w:jc w:val="center"/>
              <w:rPr>
                <w:rFonts w:hint="eastAsia" w:ascii="仿宋" w:hAnsi="仿宋" w:eastAsia="仿宋" w:cs="仿宋_GB2312"/>
                <w:sz w:val="24"/>
              </w:rPr>
            </w:pPr>
          </w:p>
          <w:p>
            <w:pPr>
              <w:jc w:val="center"/>
              <w:rPr>
                <w:rFonts w:hint="eastAsia" w:ascii="仿宋" w:hAnsi="仿宋" w:eastAsia="仿宋" w:cs="仿宋_GB2312"/>
                <w:sz w:val="24"/>
              </w:rPr>
            </w:pPr>
          </w:p>
          <w:p>
            <w:pPr>
              <w:jc w:val="center"/>
              <w:rPr>
                <w:rFonts w:hint="eastAsia" w:ascii="仿宋" w:hAnsi="仿宋" w:eastAsia="仿宋" w:cs="仿宋_GB2312"/>
                <w:sz w:val="24"/>
              </w:rPr>
            </w:pPr>
          </w:p>
          <w:p>
            <w:pPr>
              <w:jc w:val="center"/>
              <w:rPr>
                <w:rFonts w:hint="eastAsia" w:ascii="仿宋" w:hAnsi="仿宋" w:eastAsia="仿宋" w:cs="仿宋_GB2312"/>
                <w:sz w:val="24"/>
              </w:rPr>
            </w:pPr>
          </w:p>
          <w:p>
            <w:pPr>
              <w:jc w:val="center"/>
              <w:rPr>
                <w:rFonts w:hint="eastAsia" w:ascii="仿宋" w:hAnsi="仿宋" w:eastAsia="仿宋" w:cs="仿宋_GB2312"/>
                <w:sz w:val="24"/>
              </w:rPr>
            </w:pPr>
          </w:p>
          <w:p>
            <w:pPr>
              <w:jc w:val="center"/>
              <w:rPr>
                <w:rFonts w:ascii="仿宋" w:hAnsi="仿宋" w:eastAsia="仿宋" w:cs="仿宋_GB2312"/>
                <w:sz w:val="24"/>
              </w:rPr>
            </w:pPr>
            <w:r>
              <w:rPr>
                <w:rFonts w:hint="eastAsia" w:ascii="仿宋" w:hAnsi="仿宋" w:eastAsia="仿宋" w:cs="仿宋_GB2312"/>
                <w:sz w:val="24"/>
              </w:rPr>
              <w:t>2</w:t>
            </w:r>
          </w:p>
        </w:tc>
        <w:tc>
          <w:tcPr>
            <w:tcW w:w="2797" w:type="pct"/>
            <w:vAlign w:val="center"/>
          </w:tcPr>
          <w:p>
            <w:pPr>
              <w:widowControl/>
              <w:snapToGrid w:val="0"/>
              <w:jc w:val="left"/>
              <w:rPr>
                <w:rFonts w:ascii="宋体" w:hAnsi="Times New Roman" w:eastAsia="宋体" w:cs="宋体"/>
                <w:bCs/>
                <w:color w:val="000000"/>
                <w:kern w:val="2"/>
                <w:sz w:val="21"/>
                <w:szCs w:val="21"/>
                <w:highlight w:val="none"/>
                <w:lang w:val="en-GB" w:eastAsia="zh-CN" w:bidi="ar-SA"/>
              </w:rPr>
            </w:pPr>
            <w:r>
              <w:rPr>
                <w:rFonts w:hint="eastAsia" w:ascii="仿宋_GB2312" w:hAnsi="宋体" w:eastAsia="仿宋_GB2312" w:cs="仿宋_GB2312"/>
                <w:sz w:val="24"/>
                <w:szCs w:val="24"/>
                <w:highlight w:val="none"/>
                <w:lang w:val="en-GB"/>
              </w:rPr>
              <w:t>针对本</w:t>
            </w:r>
            <w:r>
              <w:rPr>
                <w:rFonts w:hint="eastAsia" w:ascii="仿宋_GB2312" w:hAnsi="宋体" w:eastAsia="仿宋_GB2312" w:cs="仿宋_GB2312"/>
                <w:sz w:val="24"/>
                <w:szCs w:val="24"/>
                <w:highlight w:val="none"/>
                <w:lang w:val="zh-CN"/>
              </w:rPr>
              <w:t>项目</w:t>
            </w:r>
            <w:r>
              <w:rPr>
                <w:rFonts w:hint="eastAsia" w:ascii="仿宋_GB2312" w:hAnsi="宋体" w:eastAsia="仿宋_GB2312" w:cs="仿宋_GB2312"/>
                <w:sz w:val="24"/>
                <w:szCs w:val="24"/>
                <w:highlight w:val="none"/>
                <w:lang w:val="en-GB"/>
              </w:rPr>
              <w:t>特点、养护标准所制定的养护方案，</w:t>
            </w:r>
            <w:r>
              <w:rPr>
                <w:rFonts w:hint="eastAsia" w:ascii="仿宋_GB2312" w:hAnsi="宋体" w:eastAsia="仿宋_GB2312" w:cs="仿宋_GB2312"/>
                <w:sz w:val="24"/>
                <w:szCs w:val="24"/>
                <w:highlight w:val="none"/>
                <w:lang w:val="zh-CN" w:eastAsia="zh-CN"/>
              </w:rPr>
              <w:t>方案科学合理、针对性强、</w:t>
            </w:r>
            <w:r>
              <w:rPr>
                <w:rFonts w:hint="eastAsia" w:ascii="仿宋_GB2312" w:hAnsi="宋体" w:eastAsia="仿宋_GB2312" w:cs="仿宋_GB2312"/>
                <w:sz w:val="24"/>
                <w:szCs w:val="24"/>
                <w:highlight w:val="none"/>
                <w:lang w:val="en-US" w:eastAsia="zh-CN"/>
              </w:rPr>
              <w:t>内容齐全、结构完整得2分；</w:t>
            </w:r>
            <w:r>
              <w:rPr>
                <w:rFonts w:hint="eastAsia" w:ascii="仿宋_GB2312" w:hAnsi="宋体" w:eastAsia="仿宋_GB2312" w:cs="仿宋_GB2312"/>
                <w:sz w:val="24"/>
                <w:szCs w:val="24"/>
                <w:highlight w:val="none"/>
                <w:lang w:val="zh-CN" w:eastAsia="zh-CN"/>
              </w:rPr>
              <w:t>方案欠科学性、欠针对性、</w:t>
            </w:r>
            <w:r>
              <w:rPr>
                <w:rFonts w:hint="eastAsia" w:ascii="仿宋_GB2312" w:hAnsi="宋体" w:eastAsia="仿宋_GB2312" w:cs="仿宋_GB2312"/>
                <w:sz w:val="24"/>
                <w:szCs w:val="24"/>
                <w:highlight w:val="none"/>
                <w:lang w:val="en-US" w:eastAsia="zh-CN"/>
              </w:rPr>
              <w:t>内容结构欠完整的，一处扣0.2分；</w:t>
            </w:r>
            <w:r>
              <w:rPr>
                <w:rFonts w:hint="eastAsia" w:ascii="仿宋_GB2312" w:hAnsi="宋体" w:eastAsia="仿宋_GB2312" w:cs="仿宋_GB2312"/>
                <w:sz w:val="24"/>
                <w:szCs w:val="24"/>
                <w:highlight w:val="none"/>
                <w:lang w:val="zh-CN" w:eastAsia="zh-CN"/>
              </w:rPr>
              <w:t>方案不科学性、无针对性、</w:t>
            </w:r>
            <w:r>
              <w:rPr>
                <w:rFonts w:hint="eastAsia" w:ascii="仿宋_GB2312" w:hAnsi="宋体" w:eastAsia="仿宋_GB2312" w:cs="仿宋_GB2312"/>
                <w:sz w:val="24"/>
                <w:szCs w:val="24"/>
                <w:highlight w:val="none"/>
                <w:lang w:val="en-US" w:eastAsia="zh-CN"/>
              </w:rPr>
              <w:t>内容结构不完整的，一处扣0.4分（0-2分）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分</w:t>
            </w:r>
          </w:p>
          <w:p>
            <w:pPr>
              <w:jc w:val="center"/>
              <w:outlineLvl w:val="0"/>
              <w:rPr>
                <w:rFonts w:hint="eastAsia" w:ascii="仿宋" w:hAnsi="仿宋" w:eastAsia="仿宋" w:cs="仿宋"/>
                <w:sz w:val="24"/>
              </w:rPr>
            </w:pPr>
            <w:r>
              <w:rPr>
                <w:rFonts w:hint="eastAsia" w:ascii="仿宋" w:hAnsi="仿宋" w:eastAsia="仿宋" w:cs="仿宋"/>
                <w:sz w:val="24"/>
                <w:lang w:eastAsia="zh-CN"/>
              </w:rPr>
              <w:t>主</w:t>
            </w:r>
            <w:r>
              <w:rPr>
                <w:rFonts w:hint="eastAsia" w:ascii="仿宋" w:hAnsi="仿宋" w:eastAsia="仿宋" w:cs="仿宋"/>
                <w:sz w:val="24"/>
              </w:rPr>
              <w:t>观</w:t>
            </w:r>
          </w:p>
        </w:tc>
        <w:tc>
          <w:tcPr>
            <w:tcW w:w="1099" w:type="pct"/>
            <w:vMerge w:val="restart"/>
            <w:vAlign w:val="center"/>
          </w:tcPr>
          <w:p>
            <w:pPr>
              <w:jc w:val="center"/>
              <w:outlineLvl w:val="0"/>
              <w:rPr>
                <w:rFonts w:hint="eastAsia" w:ascii="仿宋" w:hAnsi="仿宋" w:eastAsia="仿宋" w:cs="仿宋"/>
                <w:sz w:val="24"/>
              </w:rPr>
            </w:pPr>
            <w:bookmarkStart w:id="393" w:name="_Hlk64980906"/>
            <w:r>
              <w:rPr>
                <w:rFonts w:hint="eastAsia" w:ascii="仿宋" w:hAnsi="仿宋" w:eastAsia="仿宋" w:cs="仿宋"/>
                <w:sz w:val="24"/>
                <w:lang w:val="zh-CN"/>
              </w:rPr>
              <w:t>养护</w:t>
            </w:r>
            <w:r>
              <w:rPr>
                <w:rFonts w:hint="eastAsia" w:ascii="仿宋" w:hAnsi="仿宋" w:eastAsia="仿宋" w:cs="仿宋"/>
                <w:sz w:val="24"/>
                <w:lang w:val="en-GB"/>
              </w:rPr>
              <w:t>服务</w:t>
            </w:r>
            <w:bookmarkEnd w:id="393"/>
            <w:r>
              <w:rPr>
                <w:rFonts w:hint="eastAsia" w:ascii="仿宋" w:hAnsi="仿宋" w:eastAsia="仿宋" w:cs="仿宋"/>
                <w:sz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9" w:type="pct"/>
            <w:vMerge w:val="continue"/>
            <w:vAlign w:val="center"/>
          </w:tcPr>
          <w:p>
            <w:pPr>
              <w:jc w:val="center"/>
              <w:outlineLvl w:val="0"/>
              <w:rPr>
                <w:rFonts w:hint="eastAsia" w:ascii="仿宋" w:hAnsi="仿宋" w:eastAsia="仿宋" w:cs="仿宋_GB2312"/>
                <w:sz w:val="24"/>
              </w:rPr>
            </w:pPr>
          </w:p>
        </w:tc>
        <w:tc>
          <w:tcPr>
            <w:tcW w:w="2797" w:type="pct"/>
            <w:vAlign w:val="center"/>
          </w:tcPr>
          <w:p>
            <w:pPr>
              <w:widowControl/>
              <w:snapToGrid w:val="0"/>
              <w:jc w:val="left"/>
              <w:rPr>
                <w:rFonts w:hint="eastAsia" w:ascii="Times New Roman" w:hAnsi="Times New Roman" w:eastAsia="宋体" w:cs="Times New Roman"/>
                <w:kern w:val="2"/>
                <w:sz w:val="21"/>
                <w:szCs w:val="24"/>
                <w:lang w:val="en-US" w:eastAsia="zh-CN" w:bidi="ar-SA"/>
              </w:rPr>
            </w:pPr>
            <w:r>
              <w:rPr>
                <w:rFonts w:hint="eastAsia" w:ascii="仿宋_GB2312" w:hAnsi="宋体" w:eastAsia="仿宋_GB2312" w:cs="仿宋_GB2312"/>
                <w:sz w:val="24"/>
                <w:szCs w:val="24"/>
                <w:highlight w:val="none"/>
                <w:lang w:val="zh-CN"/>
              </w:rPr>
              <w:t>投标人</w:t>
            </w:r>
            <w:r>
              <w:rPr>
                <w:rFonts w:hint="eastAsia" w:ascii="仿宋_GB2312" w:hAnsi="宋体" w:eastAsia="仿宋_GB2312" w:cs="仿宋_GB2312"/>
                <w:sz w:val="24"/>
                <w:szCs w:val="24"/>
                <w:highlight w:val="none"/>
                <w:lang w:val="zh-CN" w:eastAsia="zh-CN"/>
              </w:rPr>
              <w:t>对</w:t>
            </w:r>
            <w:r>
              <w:rPr>
                <w:rFonts w:hint="eastAsia" w:ascii="仿宋_GB2312" w:hAnsi="宋体" w:eastAsia="仿宋_GB2312" w:cs="仿宋_GB2312"/>
                <w:sz w:val="24"/>
                <w:szCs w:val="24"/>
                <w:highlight w:val="none"/>
                <w:lang w:val="en-US" w:eastAsia="zh-CN"/>
              </w:rPr>
              <w:t>灯具、光源、电器、杆件、标识牌、配电设施、灯罩、支架、电缆（含电缆管道）、控制柜、穿线管、配电箱、线卡、绳索、螺栓等</w:t>
            </w:r>
            <w:r>
              <w:rPr>
                <w:rFonts w:hint="eastAsia" w:ascii="仿宋_GB2312" w:hAnsi="宋体" w:eastAsia="仿宋_GB2312" w:cs="仿宋_GB2312"/>
                <w:sz w:val="24"/>
                <w:szCs w:val="24"/>
                <w:highlight w:val="none"/>
                <w:lang w:val="en-GB" w:eastAsia="zh-CN"/>
              </w:rPr>
              <w:t>设施设备</w:t>
            </w:r>
            <w:r>
              <w:rPr>
                <w:rFonts w:hint="eastAsia" w:ascii="仿宋_GB2312" w:hAnsi="宋体" w:eastAsia="仿宋_GB2312" w:cs="仿宋_GB2312"/>
                <w:sz w:val="24"/>
                <w:szCs w:val="24"/>
                <w:highlight w:val="none"/>
                <w:lang w:val="zh-CN" w:eastAsia="zh-CN"/>
              </w:rPr>
              <w:t>建立</w:t>
            </w:r>
            <w:r>
              <w:rPr>
                <w:rFonts w:hint="eastAsia" w:ascii="仿宋_GB2312" w:hAnsi="宋体" w:eastAsia="仿宋_GB2312" w:cs="仿宋_GB2312"/>
                <w:sz w:val="24"/>
                <w:szCs w:val="24"/>
                <w:highlight w:val="none"/>
                <w:lang w:val="zh-CN"/>
              </w:rPr>
              <w:t>的</w:t>
            </w:r>
            <w:r>
              <w:rPr>
                <w:rFonts w:hint="eastAsia" w:ascii="仿宋_GB2312" w:hAnsi="宋体" w:eastAsia="仿宋_GB2312" w:cs="仿宋_GB2312"/>
                <w:sz w:val="24"/>
                <w:szCs w:val="24"/>
                <w:highlight w:val="none"/>
                <w:lang w:val="en-GB"/>
              </w:rPr>
              <w:t>定期维护</w:t>
            </w:r>
            <w:r>
              <w:rPr>
                <w:rFonts w:hint="eastAsia" w:ascii="仿宋_GB2312" w:hAnsi="宋体" w:eastAsia="仿宋_GB2312" w:cs="仿宋_GB2312"/>
                <w:sz w:val="24"/>
                <w:szCs w:val="24"/>
                <w:highlight w:val="none"/>
                <w:lang w:val="en-GB" w:eastAsia="zh-CN"/>
              </w:rPr>
              <w:t>、</w:t>
            </w:r>
            <w:r>
              <w:rPr>
                <w:rFonts w:hint="eastAsia" w:ascii="仿宋_GB2312" w:hAnsi="宋体" w:eastAsia="仿宋_GB2312" w:cs="仿宋_GB2312"/>
                <w:sz w:val="24"/>
                <w:szCs w:val="24"/>
                <w:highlight w:val="none"/>
                <w:lang w:val="en-GB"/>
              </w:rPr>
              <w:t>检测</w:t>
            </w:r>
            <w:r>
              <w:rPr>
                <w:rFonts w:hint="eastAsia" w:ascii="仿宋_GB2312" w:hAnsi="宋体" w:eastAsia="仿宋_GB2312" w:cs="仿宋_GB2312"/>
                <w:sz w:val="24"/>
                <w:szCs w:val="24"/>
                <w:highlight w:val="none"/>
                <w:lang w:val="zh-CN"/>
              </w:rPr>
              <w:t>方案</w:t>
            </w:r>
            <w:r>
              <w:rPr>
                <w:rFonts w:hint="eastAsia" w:ascii="仿宋_GB2312" w:hAnsi="宋体" w:eastAsia="仿宋_GB2312" w:cs="仿宋_GB2312"/>
                <w:sz w:val="24"/>
                <w:szCs w:val="24"/>
                <w:highlight w:val="none"/>
                <w:lang w:val="zh-CN" w:eastAsia="zh-CN"/>
              </w:rPr>
              <w:t>，方案科学合理、针对性强、</w:t>
            </w:r>
            <w:r>
              <w:rPr>
                <w:rFonts w:hint="eastAsia" w:ascii="仿宋_GB2312" w:hAnsi="宋体" w:eastAsia="仿宋_GB2312" w:cs="仿宋_GB2312"/>
                <w:sz w:val="24"/>
                <w:szCs w:val="24"/>
                <w:highlight w:val="none"/>
                <w:lang w:val="en-US" w:eastAsia="zh-CN"/>
              </w:rPr>
              <w:t>内容齐全、结构完整得2分；</w:t>
            </w:r>
            <w:r>
              <w:rPr>
                <w:rFonts w:hint="eastAsia" w:ascii="仿宋_GB2312" w:hAnsi="宋体" w:eastAsia="仿宋_GB2312" w:cs="仿宋_GB2312"/>
                <w:sz w:val="24"/>
                <w:szCs w:val="24"/>
                <w:highlight w:val="none"/>
                <w:lang w:val="zh-CN" w:eastAsia="zh-CN"/>
              </w:rPr>
              <w:t>方案欠科学性、欠针对性、</w:t>
            </w:r>
            <w:r>
              <w:rPr>
                <w:rFonts w:hint="eastAsia" w:ascii="仿宋_GB2312" w:hAnsi="宋体" w:eastAsia="仿宋_GB2312" w:cs="仿宋_GB2312"/>
                <w:sz w:val="24"/>
                <w:szCs w:val="24"/>
                <w:highlight w:val="none"/>
                <w:lang w:val="en-US" w:eastAsia="zh-CN"/>
              </w:rPr>
              <w:t>内容结构欠完整的，一处扣0.2分；</w:t>
            </w:r>
            <w:r>
              <w:rPr>
                <w:rFonts w:hint="eastAsia" w:ascii="仿宋_GB2312" w:hAnsi="宋体" w:eastAsia="仿宋_GB2312" w:cs="仿宋_GB2312"/>
                <w:sz w:val="24"/>
                <w:szCs w:val="24"/>
                <w:highlight w:val="none"/>
                <w:lang w:val="zh-CN" w:eastAsia="zh-CN"/>
              </w:rPr>
              <w:t>方案不科学性、无针对性、</w:t>
            </w:r>
            <w:r>
              <w:rPr>
                <w:rFonts w:hint="eastAsia" w:ascii="仿宋_GB2312" w:hAnsi="宋体" w:eastAsia="仿宋_GB2312" w:cs="仿宋_GB2312"/>
                <w:sz w:val="24"/>
                <w:szCs w:val="24"/>
                <w:highlight w:val="none"/>
                <w:lang w:val="en-US" w:eastAsia="zh-CN"/>
              </w:rPr>
              <w:t>内容结构不完整的，一处扣0.4分（0-2分）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分</w:t>
            </w:r>
          </w:p>
          <w:p>
            <w:pPr>
              <w:jc w:val="center"/>
              <w:outlineLvl w:val="0"/>
              <w:rPr>
                <w:rFonts w:hint="eastAsia" w:ascii="仿宋" w:hAnsi="仿宋" w:eastAsia="仿宋" w:cs="仿宋"/>
                <w:sz w:val="24"/>
              </w:rPr>
            </w:pPr>
            <w:r>
              <w:rPr>
                <w:rFonts w:hint="eastAsia" w:ascii="仿宋" w:hAnsi="仿宋" w:eastAsia="仿宋" w:cs="仿宋"/>
                <w:sz w:val="24"/>
                <w:lang w:eastAsia="zh-CN"/>
              </w:rPr>
              <w:t>主</w:t>
            </w:r>
            <w:r>
              <w:rPr>
                <w:rFonts w:hint="eastAsia" w:ascii="仿宋" w:hAnsi="仿宋" w:eastAsia="仿宋" w:cs="仿宋"/>
                <w:sz w:val="24"/>
              </w:rPr>
              <w:t>观</w:t>
            </w:r>
          </w:p>
        </w:tc>
        <w:tc>
          <w:tcPr>
            <w:tcW w:w="1099" w:type="pct"/>
            <w:vMerge w:val="continue"/>
            <w:vAlign w:val="center"/>
          </w:tcPr>
          <w:p>
            <w:pPr>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9" w:type="pct"/>
            <w:vMerge w:val="continue"/>
            <w:vAlign w:val="center"/>
          </w:tcPr>
          <w:p>
            <w:pPr>
              <w:jc w:val="center"/>
              <w:outlineLvl w:val="0"/>
              <w:rPr>
                <w:rFonts w:hint="eastAsia" w:ascii="仿宋" w:hAnsi="仿宋" w:eastAsia="仿宋" w:cs="仿宋_GB2312"/>
                <w:sz w:val="24"/>
              </w:rPr>
            </w:pPr>
          </w:p>
        </w:tc>
        <w:tc>
          <w:tcPr>
            <w:tcW w:w="2797" w:type="pct"/>
            <w:vAlign w:val="center"/>
          </w:tcPr>
          <w:p>
            <w:pPr>
              <w:widowControl/>
              <w:snapToGrid w:val="0"/>
              <w:jc w:val="left"/>
              <w:rPr>
                <w:rFonts w:hint="eastAsia" w:ascii="宋体" w:hAnsi="宋体" w:eastAsia="宋体" w:cs="宋体"/>
                <w:bCs/>
                <w:color w:val="000000"/>
                <w:kern w:val="2"/>
                <w:sz w:val="21"/>
                <w:szCs w:val="21"/>
                <w:highlight w:val="none"/>
                <w:lang w:val="en-US" w:eastAsia="zh-CN" w:bidi="ar-SA"/>
              </w:rPr>
            </w:pPr>
            <w:r>
              <w:rPr>
                <w:rFonts w:hint="eastAsia" w:ascii="仿宋_GB2312" w:hAnsi="宋体" w:eastAsia="仿宋_GB2312" w:cs="仿宋_GB2312"/>
                <w:sz w:val="24"/>
                <w:szCs w:val="24"/>
                <w:highlight w:val="none"/>
                <w:lang w:val="zh-CN"/>
              </w:rPr>
              <w:t>投标人</w:t>
            </w:r>
            <w:r>
              <w:rPr>
                <w:rFonts w:hint="eastAsia" w:ascii="仿宋_GB2312" w:hAnsi="宋体" w:eastAsia="仿宋_GB2312" w:cs="仿宋_GB2312"/>
                <w:sz w:val="24"/>
                <w:szCs w:val="24"/>
                <w:highlight w:val="none"/>
                <w:lang w:val="zh-CN" w:eastAsia="zh-CN"/>
              </w:rPr>
              <w:t>对</w:t>
            </w:r>
            <w:r>
              <w:rPr>
                <w:rFonts w:hint="eastAsia" w:ascii="仿宋_GB2312" w:hAnsi="宋体" w:eastAsia="仿宋_GB2312" w:cs="仿宋_GB2312"/>
                <w:sz w:val="24"/>
                <w:szCs w:val="24"/>
                <w:highlight w:val="none"/>
                <w:lang w:val="en-US" w:eastAsia="zh-CN"/>
              </w:rPr>
              <w:t>灯具、光源、电器、杆件、标识牌、配电设施、灯罩、支架、电缆（含电缆管道）、控制柜、穿线管、配电箱、线卡、绳索、螺栓等</w:t>
            </w:r>
            <w:r>
              <w:rPr>
                <w:rFonts w:hint="eastAsia" w:ascii="仿宋_GB2312" w:hAnsi="宋体" w:eastAsia="仿宋_GB2312" w:cs="仿宋_GB2312"/>
                <w:sz w:val="24"/>
                <w:szCs w:val="24"/>
                <w:highlight w:val="none"/>
                <w:lang w:val="en-GB" w:eastAsia="zh-CN"/>
              </w:rPr>
              <w:t>设施设备的防盗看护方案</w:t>
            </w:r>
            <w:r>
              <w:rPr>
                <w:rFonts w:hint="eastAsia" w:ascii="仿宋_GB2312" w:hAnsi="宋体" w:eastAsia="仿宋_GB2312" w:cs="仿宋_GB2312"/>
                <w:sz w:val="24"/>
                <w:szCs w:val="24"/>
                <w:highlight w:val="none"/>
                <w:lang w:val="zh-CN" w:eastAsia="zh-CN"/>
              </w:rPr>
              <w:t>，方案科学合理、针对性强、</w:t>
            </w:r>
            <w:r>
              <w:rPr>
                <w:rFonts w:hint="eastAsia" w:ascii="仿宋_GB2312" w:hAnsi="宋体" w:eastAsia="仿宋_GB2312" w:cs="仿宋_GB2312"/>
                <w:sz w:val="24"/>
                <w:szCs w:val="24"/>
                <w:highlight w:val="none"/>
                <w:lang w:val="en-US" w:eastAsia="zh-CN"/>
              </w:rPr>
              <w:t>内容齐全、结构完整得2分；</w:t>
            </w:r>
            <w:r>
              <w:rPr>
                <w:rFonts w:hint="eastAsia" w:ascii="仿宋_GB2312" w:hAnsi="宋体" w:eastAsia="仿宋_GB2312" w:cs="仿宋_GB2312"/>
                <w:sz w:val="24"/>
                <w:szCs w:val="24"/>
                <w:highlight w:val="none"/>
                <w:lang w:val="zh-CN" w:eastAsia="zh-CN"/>
              </w:rPr>
              <w:t>方案欠科学性、欠针对性、</w:t>
            </w:r>
            <w:r>
              <w:rPr>
                <w:rFonts w:hint="eastAsia" w:ascii="仿宋_GB2312" w:hAnsi="宋体" w:eastAsia="仿宋_GB2312" w:cs="仿宋_GB2312"/>
                <w:sz w:val="24"/>
                <w:szCs w:val="24"/>
                <w:highlight w:val="none"/>
                <w:lang w:val="en-US" w:eastAsia="zh-CN"/>
              </w:rPr>
              <w:t>内容结构欠完整的，一处扣0.2分；</w:t>
            </w:r>
            <w:r>
              <w:rPr>
                <w:rFonts w:hint="eastAsia" w:ascii="仿宋_GB2312" w:hAnsi="宋体" w:eastAsia="仿宋_GB2312" w:cs="仿宋_GB2312"/>
                <w:sz w:val="24"/>
                <w:szCs w:val="24"/>
                <w:highlight w:val="none"/>
                <w:lang w:val="zh-CN" w:eastAsia="zh-CN"/>
              </w:rPr>
              <w:t>方案不科学性、无针对性、</w:t>
            </w:r>
            <w:r>
              <w:rPr>
                <w:rFonts w:hint="eastAsia" w:ascii="仿宋_GB2312" w:hAnsi="宋体" w:eastAsia="仿宋_GB2312" w:cs="仿宋_GB2312"/>
                <w:sz w:val="24"/>
                <w:szCs w:val="24"/>
                <w:highlight w:val="none"/>
                <w:lang w:val="en-US" w:eastAsia="zh-CN"/>
              </w:rPr>
              <w:t>内容结构不完整的，一处扣0.4分（0-2分）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分</w:t>
            </w:r>
          </w:p>
          <w:p>
            <w:pPr>
              <w:jc w:val="center"/>
              <w:outlineLvl w:val="0"/>
              <w:rPr>
                <w:rFonts w:hint="eastAsia" w:ascii="仿宋" w:hAnsi="仿宋" w:eastAsia="仿宋" w:cs="仿宋"/>
                <w:sz w:val="24"/>
              </w:rPr>
            </w:pPr>
            <w:r>
              <w:rPr>
                <w:rFonts w:hint="eastAsia" w:ascii="仿宋" w:hAnsi="仿宋" w:eastAsia="仿宋" w:cs="仿宋"/>
                <w:sz w:val="24"/>
                <w:lang w:eastAsia="zh-CN"/>
              </w:rPr>
              <w:t>主</w:t>
            </w:r>
            <w:r>
              <w:rPr>
                <w:rFonts w:hint="eastAsia" w:ascii="仿宋" w:hAnsi="仿宋" w:eastAsia="仿宋" w:cs="仿宋"/>
                <w:sz w:val="24"/>
              </w:rPr>
              <w:t>观</w:t>
            </w:r>
          </w:p>
        </w:tc>
        <w:tc>
          <w:tcPr>
            <w:tcW w:w="1099" w:type="pct"/>
            <w:vMerge w:val="continue"/>
            <w:vAlign w:val="center"/>
          </w:tcPr>
          <w:p>
            <w:pPr>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9" w:type="pct"/>
            <w:vMerge w:val="continue"/>
            <w:vAlign w:val="center"/>
          </w:tcPr>
          <w:p>
            <w:pPr>
              <w:jc w:val="center"/>
              <w:outlineLvl w:val="0"/>
              <w:rPr>
                <w:rFonts w:hint="eastAsia" w:ascii="仿宋" w:hAnsi="仿宋" w:eastAsia="仿宋" w:cs="仿宋_GB2312"/>
                <w:sz w:val="24"/>
              </w:rPr>
            </w:pPr>
          </w:p>
        </w:tc>
        <w:tc>
          <w:tcPr>
            <w:tcW w:w="2797" w:type="pct"/>
            <w:vAlign w:val="center"/>
          </w:tcPr>
          <w:p>
            <w:pPr>
              <w:widowControl/>
              <w:snapToGrid w:val="0"/>
              <w:jc w:val="left"/>
              <w:rPr>
                <w:rFonts w:hint="eastAsia" w:ascii="宋体" w:hAnsi="宋体" w:eastAsia="宋体" w:cs="宋体"/>
                <w:bCs/>
                <w:color w:val="000000"/>
                <w:kern w:val="2"/>
                <w:sz w:val="21"/>
                <w:szCs w:val="21"/>
                <w:highlight w:val="none"/>
                <w:lang w:val="en-US" w:eastAsia="zh-CN" w:bidi="ar-SA"/>
              </w:rPr>
            </w:pPr>
            <w:r>
              <w:rPr>
                <w:rFonts w:hint="eastAsia" w:ascii="仿宋_GB2312" w:hAnsi="宋体" w:eastAsia="仿宋_GB2312" w:cs="仿宋_GB2312"/>
                <w:sz w:val="24"/>
                <w:szCs w:val="24"/>
                <w:highlight w:val="none"/>
                <w:lang w:val="en-GB"/>
              </w:rPr>
              <w:t>针对本</w:t>
            </w:r>
            <w:r>
              <w:rPr>
                <w:rFonts w:hint="eastAsia" w:ascii="仿宋_GB2312" w:hAnsi="宋体" w:eastAsia="仿宋_GB2312" w:cs="仿宋_GB2312"/>
                <w:sz w:val="24"/>
                <w:szCs w:val="24"/>
                <w:highlight w:val="none"/>
                <w:lang w:val="zh-CN"/>
              </w:rPr>
              <w:t>项目</w:t>
            </w:r>
            <w:r>
              <w:rPr>
                <w:rFonts w:hint="eastAsia" w:ascii="仿宋_GB2312" w:hAnsi="宋体" w:eastAsia="仿宋_GB2312" w:cs="仿宋_GB2312"/>
                <w:sz w:val="24"/>
                <w:szCs w:val="24"/>
                <w:highlight w:val="none"/>
                <w:lang w:val="en-GB"/>
              </w:rPr>
              <w:t>特点、养护标准所制定的维修方案</w:t>
            </w:r>
            <w:r>
              <w:rPr>
                <w:rFonts w:hint="eastAsia" w:ascii="仿宋_GB2312" w:hAnsi="宋体" w:eastAsia="仿宋_GB2312" w:cs="仿宋_GB2312"/>
                <w:sz w:val="24"/>
                <w:szCs w:val="24"/>
                <w:highlight w:val="none"/>
                <w:lang w:val="en-GB" w:eastAsia="zh-CN"/>
              </w:rPr>
              <w:t>，</w:t>
            </w:r>
            <w:r>
              <w:rPr>
                <w:rFonts w:hint="eastAsia" w:ascii="仿宋_GB2312" w:hAnsi="宋体" w:eastAsia="仿宋_GB2312" w:cs="仿宋_GB2312"/>
                <w:sz w:val="24"/>
                <w:szCs w:val="24"/>
                <w:highlight w:val="none"/>
                <w:lang w:val="zh-CN" w:eastAsia="zh-CN"/>
              </w:rPr>
              <w:t>方案科学合理、针对性强、</w:t>
            </w:r>
            <w:r>
              <w:rPr>
                <w:rFonts w:hint="eastAsia" w:ascii="仿宋_GB2312" w:hAnsi="宋体" w:eastAsia="仿宋_GB2312" w:cs="仿宋_GB2312"/>
                <w:sz w:val="24"/>
                <w:szCs w:val="24"/>
                <w:highlight w:val="none"/>
                <w:lang w:val="en-US" w:eastAsia="zh-CN"/>
              </w:rPr>
              <w:t>内容齐全、结构完整得2分；</w:t>
            </w:r>
            <w:r>
              <w:rPr>
                <w:rFonts w:hint="eastAsia" w:ascii="仿宋_GB2312" w:hAnsi="宋体" w:eastAsia="仿宋_GB2312" w:cs="仿宋_GB2312"/>
                <w:sz w:val="24"/>
                <w:szCs w:val="24"/>
                <w:highlight w:val="none"/>
                <w:lang w:val="zh-CN" w:eastAsia="zh-CN"/>
              </w:rPr>
              <w:t>方案欠科学性、欠针对性、</w:t>
            </w:r>
            <w:r>
              <w:rPr>
                <w:rFonts w:hint="eastAsia" w:ascii="仿宋_GB2312" w:hAnsi="宋体" w:eastAsia="仿宋_GB2312" w:cs="仿宋_GB2312"/>
                <w:sz w:val="24"/>
                <w:szCs w:val="24"/>
                <w:highlight w:val="none"/>
                <w:lang w:val="en-US" w:eastAsia="zh-CN"/>
              </w:rPr>
              <w:t>内容结构欠完整的，一处扣0.2分；</w:t>
            </w:r>
            <w:r>
              <w:rPr>
                <w:rFonts w:hint="eastAsia" w:ascii="仿宋_GB2312" w:hAnsi="宋体" w:eastAsia="仿宋_GB2312" w:cs="仿宋_GB2312"/>
                <w:sz w:val="24"/>
                <w:szCs w:val="24"/>
                <w:highlight w:val="none"/>
                <w:lang w:val="zh-CN" w:eastAsia="zh-CN"/>
              </w:rPr>
              <w:t>方案不科学性、无针对性、</w:t>
            </w:r>
            <w:r>
              <w:rPr>
                <w:rFonts w:hint="eastAsia" w:ascii="仿宋_GB2312" w:hAnsi="宋体" w:eastAsia="仿宋_GB2312" w:cs="仿宋_GB2312"/>
                <w:sz w:val="24"/>
                <w:szCs w:val="24"/>
                <w:highlight w:val="none"/>
                <w:lang w:val="en-US" w:eastAsia="zh-CN"/>
              </w:rPr>
              <w:t>内容结构不完整的，一处扣0.4分（0-2分）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分</w:t>
            </w:r>
          </w:p>
          <w:p>
            <w:pPr>
              <w:jc w:val="center"/>
              <w:outlineLvl w:val="0"/>
              <w:rPr>
                <w:rFonts w:hint="eastAsia" w:ascii="仿宋" w:hAnsi="仿宋" w:eastAsia="仿宋" w:cs="仿宋"/>
                <w:sz w:val="24"/>
              </w:rPr>
            </w:pPr>
            <w:r>
              <w:rPr>
                <w:rFonts w:hint="eastAsia" w:ascii="仿宋" w:hAnsi="仿宋" w:eastAsia="仿宋" w:cs="仿宋"/>
                <w:sz w:val="24"/>
                <w:lang w:eastAsia="zh-CN"/>
              </w:rPr>
              <w:t>主</w:t>
            </w:r>
            <w:r>
              <w:rPr>
                <w:rFonts w:hint="eastAsia" w:ascii="仿宋" w:hAnsi="仿宋" w:eastAsia="仿宋" w:cs="仿宋"/>
                <w:sz w:val="24"/>
              </w:rPr>
              <w:t>观</w:t>
            </w:r>
          </w:p>
        </w:tc>
        <w:tc>
          <w:tcPr>
            <w:tcW w:w="1099" w:type="pct"/>
            <w:vMerge w:val="continue"/>
            <w:vAlign w:val="center"/>
          </w:tcPr>
          <w:p>
            <w:pPr>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459" w:type="pct"/>
            <w:vMerge w:val="continue"/>
            <w:vAlign w:val="center"/>
          </w:tcPr>
          <w:p>
            <w:pPr>
              <w:jc w:val="center"/>
              <w:outlineLvl w:val="0"/>
              <w:rPr>
                <w:rFonts w:hint="eastAsia" w:ascii="仿宋" w:hAnsi="仿宋" w:eastAsia="仿宋" w:cs="仿宋_GB2312"/>
                <w:sz w:val="24"/>
              </w:rPr>
            </w:pPr>
          </w:p>
        </w:tc>
        <w:tc>
          <w:tcPr>
            <w:tcW w:w="2797" w:type="pct"/>
            <w:vAlign w:val="center"/>
          </w:tcPr>
          <w:p>
            <w:pPr>
              <w:widowControl/>
              <w:snapToGrid w:val="0"/>
              <w:jc w:val="left"/>
              <w:rPr>
                <w:rFonts w:hint="eastAsia" w:ascii="宋体" w:hAnsi="宋体" w:eastAsia="宋体" w:cs="宋体"/>
                <w:bCs/>
                <w:color w:val="000000"/>
                <w:kern w:val="2"/>
                <w:sz w:val="21"/>
                <w:szCs w:val="21"/>
                <w:highlight w:val="none"/>
                <w:lang w:val="en-US" w:eastAsia="zh-CN" w:bidi="ar-SA"/>
              </w:rPr>
            </w:pPr>
            <w:r>
              <w:rPr>
                <w:rFonts w:hint="eastAsia" w:ascii="仿宋_GB2312" w:hAnsi="宋体" w:eastAsia="仿宋_GB2312" w:cs="仿宋_GB2312"/>
                <w:sz w:val="24"/>
                <w:szCs w:val="24"/>
                <w:highlight w:val="none"/>
                <w:lang w:val="en-GB"/>
              </w:rPr>
              <w:t>针对</w:t>
            </w:r>
            <w:r>
              <w:rPr>
                <w:rFonts w:hint="eastAsia" w:ascii="仿宋_GB2312" w:hAnsi="宋体" w:eastAsia="仿宋_GB2312" w:cs="仿宋_GB2312"/>
                <w:sz w:val="24"/>
                <w:szCs w:val="24"/>
                <w:highlight w:val="none"/>
                <w:lang w:val="en-GB" w:eastAsia="zh-CN"/>
              </w:rPr>
              <w:t>设施设备</w:t>
            </w:r>
            <w:r>
              <w:rPr>
                <w:rFonts w:hint="eastAsia" w:ascii="仿宋_GB2312" w:hAnsi="宋体" w:eastAsia="仿宋_GB2312" w:cs="仿宋_GB2312"/>
                <w:sz w:val="24"/>
                <w:szCs w:val="24"/>
                <w:highlight w:val="none"/>
                <w:lang w:val="en-GB"/>
              </w:rPr>
              <w:t>的运行建立全覆盖日常巡查</w:t>
            </w:r>
            <w:r>
              <w:rPr>
                <w:rFonts w:hint="eastAsia" w:ascii="仿宋_GB2312" w:hAnsi="宋体" w:eastAsia="仿宋_GB2312" w:cs="仿宋_GB2312"/>
                <w:sz w:val="24"/>
                <w:szCs w:val="24"/>
                <w:highlight w:val="none"/>
                <w:lang w:val="en-GB" w:eastAsia="zh-CN"/>
              </w:rPr>
              <w:t>、</w:t>
            </w:r>
            <w:r>
              <w:rPr>
                <w:rFonts w:hint="eastAsia" w:ascii="仿宋_GB2312" w:hAnsi="宋体" w:eastAsia="仿宋_GB2312" w:cs="仿宋_GB2312"/>
                <w:sz w:val="24"/>
                <w:szCs w:val="24"/>
                <w:highlight w:val="none"/>
                <w:lang w:val="en-GB"/>
              </w:rPr>
              <w:t>运行情况记录报告制度。制度</w:t>
            </w:r>
            <w:r>
              <w:rPr>
                <w:rFonts w:hint="eastAsia" w:ascii="仿宋_GB2312" w:hAnsi="宋体" w:eastAsia="仿宋_GB2312" w:cs="仿宋_GB2312"/>
                <w:sz w:val="24"/>
                <w:szCs w:val="24"/>
                <w:highlight w:val="none"/>
                <w:lang w:val="zh-CN"/>
              </w:rPr>
              <w:t>科学合理、针对性强、</w:t>
            </w:r>
            <w:r>
              <w:rPr>
                <w:rFonts w:hint="eastAsia" w:ascii="仿宋_GB2312" w:hAnsi="宋体" w:eastAsia="仿宋_GB2312" w:cs="仿宋_GB2312"/>
                <w:sz w:val="24"/>
                <w:szCs w:val="24"/>
                <w:highlight w:val="none"/>
                <w:lang w:val="en-US" w:eastAsia="zh-CN"/>
              </w:rPr>
              <w:t>内容齐全、结构完整得2分；</w:t>
            </w:r>
            <w:r>
              <w:rPr>
                <w:rFonts w:hint="eastAsia" w:ascii="仿宋_GB2312" w:hAnsi="宋体" w:eastAsia="仿宋_GB2312" w:cs="仿宋_GB2312"/>
                <w:sz w:val="24"/>
                <w:szCs w:val="24"/>
                <w:highlight w:val="none"/>
                <w:lang w:val="en-GB"/>
              </w:rPr>
              <w:t>制度</w:t>
            </w:r>
            <w:r>
              <w:rPr>
                <w:rFonts w:hint="eastAsia" w:ascii="仿宋_GB2312" w:hAnsi="宋体" w:eastAsia="仿宋_GB2312" w:cs="仿宋_GB2312"/>
                <w:sz w:val="24"/>
                <w:szCs w:val="24"/>
                <w:highlight w:val="none"/>
                <w:lang w:val="en-GB" w:eastAsia="zh-CN"/>
              </w:rPr>
              <w:t>欠</w:t>
            </w:r>
            <w:r>
              <w:rPr>
                <w:rFonts w:hint="eastAsia" w:ascii="仿宋_GB2312" w:hAnsi="宋体" w:eastAsia="仿宋_GB2312" w:cs="仿宋_GB2312"/>
                <w:sz w:val="24"/>
                <w:szCs w:val="24"/>
                <w:highlight w:val="none"/>
                <w:lang w:val="zh-CN"/>
              </w:rPr>
              <w:t>科学性、欠针对性、</w:t>
            </w:r>
            <w:r>
              <w:rPr>
                <w:rFonts w:hint="eastAsia" w:ascii="仿宋_GB2312" w:hAnsi="宋体" w:eastAsia="仿宋_GB2312" w:cs="仿宋_GB2312"/>
                <w:sz w:val="24"/>
                <w:szCs w:val="24"/>
                <w:highlight w:val="none"/>
                <w:lang w:val="en-US" w:eastAsia="zh-CN"/>
              </w:rPr>
              <w:t>内容结构欠完整的，一处扣0.2分；</w:t>
            </w:r>
            <w:r>
              <w:rPr>
                <w:rFonts w:hint="eastAsia" w:ascii="仿宋_GB2312" w:hAnsi="宋体" w:eastAsia="仿宋_GB2312" w:cs="仿宋_GB2312"/>
                <w:sz w:val="24"/>
                <w:szCs w:val="24"/>
                <w:highlight w:val="none"/>
                <w:lang w:val="en-GB"/>
              </w:rPr>
              <w:t>制度</w:t>
            </w:r>
            <w:r>
              <w:rPr>
                <w:rFonts w:hint="eastAsia" w:ascii="仿宋_GB2312" w:hAnsi="宋体" w:eastAsia="仿宋_GB2312" w:cs="仿宋_GB2312"/>
                <w:sz w:val="24"/>
                <w:szCs w:val="24"/>
                <w:highlight w:val="none"/>
                <w:lang w:val="en-GB" w:eastAsia="zh-CN"/>
              </w:rPr>
              <w:t>不</w:t>
            </w:r>
            <w:r>
              <w:rPr>
                <w:rFonts w:hint="eastAsia" w:ascii="仿宋_GB2312" w:hAnsi="宋体" w:eastAsia="仿宋_GB2312" w:cs="仿宋_GB2312"/>
                <w:sz w:val="24"/>
                <w:szCs w:val="24"/>
                <w:highlight w:val="none"/>
                <w:lang w:val="zh-CN"/>
              </w:rPr>
              <w:t>科学性、不针对性、</w:t>
            </w:r>
            <w:r>
              <w:rPr>
                <w:rFonts w:hint="eastAsia" w:ascii="仿宋_GB2312" w:hAnsi="宋体" w:eastAsia="仿宋_GB2312" w:cs="仿宋_GB2312"/>
                <w:sz w:val="24"/>
                <w:szCs w:val="24"/>
                <w:highlight w:val="none"/>
                <w:lang w:val="en-US" w:eastAsia="zh-CN"/>
              </w:rPr>
              <w:t>内容结构不完整的，一处扣0.4分。（0-2分）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分</w:t>
            </w:r>
          </w:p>
          <w:p>
            <w:pPr>
              <w:jc w:val="center"/>
              <w:outlineLvl w:val="0"/>
              <w:rPr>
                <w:rFonts w:hint="eastAsia" w:ascii="仿宋" w:hAnsi="仿宋" w:eastAsia="仿宋" w:cs="仿宋"/>
                <w:sz w:val="24"/>
              </w:rPr>
            </w:pPr>
            <w:r>
              <w:rPr>
                <w:rFonts w:hint="eastAsia" w:ascii="仿宋" w:hAnsi="仿宋" w:eastAsia="仿宋" w:cs="仿宋"/>
                <w:sz w:val="24"/>
                <w:lang w:eastAsia="zh-CN"/>
              </w:rPr>
              <w:t>主</w:t>
            </w:r>
            <w:r>
              <w:rPr>
                <w:rFonts w:hint="eastAsia" w:ascii="仿宋" w:hAnsi="仿宋" w:eastAsia="仿宋" w:cs="仿宋"/>
                <w:sz w:val="24"/>
              </w:rPr>
              <w:t>观</w:t>
            </w:r>
          </w:p>
        </w:tc>
        <w:tc>
          <w:tcPr>
            <w:tcW w:w="1099" w:type="pct"/>
            <w:vMerge w:val="continue"/>
            <w:vAlign w:val="center"/>
          </w:tcPr>
          <w:p>
            <w:pPr>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9" w:type="pct"/>
            <w:vMerge w:val="continue"/>
            <w:vAlign w:val="center"/>
          </w:tcPr>
          <w:p>
            <w:pPr>
              <w:jc w:val="center"/>
              <w:outlineLvl w:val="0"/>
              <w:rPr>
                <w:rFonts w:hint="eastAsia" w:ascii="仿宋" w:hAnsi="仿宋" w:eastAsia="仿宋" w:cs="仿宋_GB2312"/>
                <w:sz w:val="24"/>
              </w:rPr>
            </w:pPr>
          </w:p>
        </w:tc>
        <w:tc>
          <w:tcPr>
            <w:tcW w:w="2797" w:type="pct"/>
            <w:vAlign w:val="center"/>
          </w:tcPr>
          <w:p>
            <w:pPr>
              <w:widowControl/>
              <w:snapToGrid w:val="0"/>
              <w:jc w:val="left"/>
              <w:rPr>
                <w:rFonts w:hint="eastAsia" w:ascii="宋体" w:hAnsi="Times New Roman" w:eastAsia="宋体" w:cs="宋体"/>
                <w:bCs/>
                <w:color w:val="000000"/>
                <w:kern w:val="2"/>
                <w:sz w:val="21"/>
                <w:szCs w:val="21"/>
                <w:highlight w:val="none"/>
                <w:lang w:val="en-GB" w:eastAsia="zh-CN" w:bidi="ar-SA"/>
              </w:rPr>
            </w:pPr>
            <w:r>
              <w:rPr>
                <w:rFonts w:hint="eastAsia" w:ascii="仿宋_GB2312" w:hAnsi="宋体" w:eastAsia="仿宋_GB2312" w:cs="仿宋_GB2312"/>
                <w:sz w:val="24"/>
                <w:szCs w:val="24"/>
                <w:highlight w:val="none"/>
                <w:lang w:val="en-US" w:eastAsia="zh-CN"/>
              </w:rPr>
              <w:t>投标人对承担政府大型活动、重大会议保障，以及重大节假日的保障方案，</w:t>
            </w:r>
            <w:r>
              <w:rPr>
                <w:rFonts w:hint="eastAsia" w:ascii="仿宋_GB2312" w:hAnsi="宋体" w:eastAsia="仿宋_GB2312" w:cs="仿宋_GB2312"/>
                <w:sz w:val="24"/>
                <w:szCs w:val="24"/>
                <w:highlight w:val="none"/>
                <w:lang w:val="zh-CN" w:eastAsia="zh-CN"/>
              </w:rPr>
              <w:t>方案科学合理、针对性强、</w:t>
            </w:r>
            <w:r>
              <w:rPr>
                <w:rFonts w:hint="eastAsia" w:ascii="仿宋_GB2312" w:hAnsi="宋体" w:eastAsia="仿宋_GB2312" w:cs="仿宋_GB2312"/>
                <w:sz w:val="24"/>
                <w:szCs w:val="24"/>
                <w:highlight w:val="none"/>
                <w:lang w:val="en-US" w:eastAsia="zh-CN"/>
              </w:rPr>
              <w:t>内容齐全、结构完整得2分；</w:t>
            </w:r>
            <w:r>
              <w:rPr>
                <w:rFonts w:hint="eastAsia" w:ascii="仿宋_GB2312" w:hAnsi="宋体" w:eastAsia="仿宋_GB2312" w:cs="仿宋_GB2312"/>
                <w:sz w:val="24"/>
                <w:szCs w:val="24"/>
                <w:highlight w:val="none"/>
                <w:lang w:val="zh-CN" w:eastAsia="zh-CN"/>
              </w:rPr>
              <w:t>方案欠科学性、欠针对性、</w:t>
            </w:r>
            <w:r>
              <w:rPr>
                <w:rFonts w:hint="eastAsia" w:ascii="仿宋_GB2312" w:hAnsi="宋体" w:eastAsia="仿宋_GB2312" w:cs="仿宋_GB2312"/>
                <w:sz w:val="24"/>
                <w:szCs w:val="24"/>
                <w:highlight w:val="none"/>
                <w:lang w:val="en-US" w:eastAsia="zh-CN"/>
              </w:rPr>
              <w:t>内容结构欠完整的，一处扣0.2分；</w:t>
            </w:r>
            <w:r>
              <w:rPr>
                <w:rFonts w:hint="eastAsia" w:ascii="仿宋_GB2312" w:hAnsi="宋体" w:eastAsia="仿宋_GB2312" w:cs="仿宋_GB2312"/>
                <w:sz w:val="24"/>
                <w:szCs w:val="24"/>
                <w:highlight w:val="none"/>
                <w:lang w:val="zh-CN" w:eastAsia="zh-CN"/>
              </w:rPr>
              <w:t>方案不科学性、无针对性、</w:t>
            </w:r>
            <w:r>
              <w:rPr>
                <w:rFonts w:hint="eastAsia" w:ascii="仿宋_GB2312" w:hAnsi="宋体" w:eastAsia="仿宋_GB2312" w:cs="仿宋_GB2312"/>
                <w:sz w:val="24"/>
                <w:szCs w:val="24"/>
                <w:highlight w:val="none"/>
                <w:lang w:val="en-US" w:eastAsia="zh-CN"/>
              </w:rPr>
              <w:t>内容结构不完整的，一处扣0.4分（0-2分）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分</w:t>
            </w:r>
          </w:p>
          <w:p>
            <w:pPr>
              <w:jc w:val="center"/>
              <w:outlineLvl w:val="0"/>
              <w:rPr>
                <w:rFonts w:hint="eastAsia" w:ascii="仿宋" w:hAnsi="仿宋" w:eastAsia="仿宋" w:cs="仿宋"/>
                <w:sz w:val="24"/>
              </w:rPr>
            </w:pPr>
            <w:r>
              <w:rPr>
                <w:rFonts w:hint="eastAsia" w:ascii="仿宋" w:hAnsi="仿宋" w:eastAsia="仿宋" w:cs="仿宋"/>
                <w:sz w:val="24"/>
                <w:lang w:eastAsia="zh-CN"/>
              </w:rPr>
              <w:t>主</w:t>
            </w:r>
            <w:r>
              <w:rPr>
                <w:rFonts w:hint="eastAsia" w:ascii="仿宋" w:hAnsi="仿宋" w:eastAsia="仿宋" w:cs="仿宋"/>
                <w:sz w:val="24"/>
              </w:rPr>
              <w:t>观</w:t>
            </w:r>
          </w:p>
        </w:tc>
        <w:tc>
          <w:tcPr>
            <w:tcW w:w="1099" w:type="pct"/>
            <w:vMerge w:val="continue"/>
            <w:vAlign w:val="center"/>
          </w:tcPr>
          <w:p>
            <w:pPr>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9" w:type="pct"/>
            <w:vMerge w:val="continue"/>
            <w:vAlign w:val="center"/>
          </w:tcPr>
          <w:p>
            <w:pPr>
              <w:jc w:val="center"/>
              <w:outlineLvl w:val="0"/>
              <w:rPr>
                <w:rFonts w:hint="eastAsia" w:ascii="仿宋" w:hAnsi="仿宋" w:eastAsia="仿宋" w:cs="仿宋_GB2312"/>
                <w:sz w:val="24"/>
              </w:rPr>
            </w:pPr>
          </w:p>
        </w:tc>
        <w:tc>
          <w:tcPr>
            <w:tcW w:w="2797" w:type="pct"/>
            <w:vAlign w:val="center"/>
          </w:tcPr>
          <w:p>
            <w:pPr>
              <w:widowControl/>
              <w:snapToGrid w:val="0"/>
              <w:jc w:val="left"/>
              <w:rPr>
                <w:rFonts w:ascii="宋体" w:hAnsi="Times New Roman" w:eastAsia="宋体" w:cs="宋体"/>
                <w:bCs/>
                <w:color w:val="000000"/>
                <w:kern w:val="2"/>
                <w:sz w:val="21"/>
                <w:szCs w:val="21"/>
                <w:highlight w:val="none"/>
                <w:lang w:val="en-GB" w:eastAsia="zh-CN" w:bidi="ar-SA"/>
              </w:rPr>
            </w:pPr>
            <w:r>
              <w:rPr>
                <w:rFonts w:hint="eastAsia" w:ascii="仿宋_GB2312" w:hAnsi="宋体" w:eastAsia="仿宋_GB2312" w:cs="仿宋_GB2312"/>
                <w:sz w:val="24"/>
                <w:szCs w:val="24"/>
                <w:highlight w:val="none"/>
                <w:lang w:val="zh-CN" w:eastAsia="zh-CN"/>
              </w:rPr>
              <w:t>投标人对数字城管、12345、市民来电等处置保障方案，方案科学合理、针对性强、</w:t>
            </w:r>
            <w:r>
              <w:rPr>
                <w:rFonts w:hint="eastAsia" w:ascii="仿宋_GB2312" w:hAnsi="宋体" w:eastAsia="仿宋_GB2312" w:cs="仿宋_GB2312"/>
                <w:sz w:val="24"/>
                <w:szCs w:val="24"/>
                <w:highlight w:val="none"/>
                <w:lang w:val="en-US" w:eastAsia="zh-CN"/>
              </w:rPr>
              <w:t>内容齐全、结构完整得2分；</w:t>
            </w:r>
            <w:r>
              <w:rPr>
                <w:rFonts w:hint="eastAsia" w:ascii="仿宋_GB2312" w:hAnsi="宋体" w:eastAsia="仿宋_GB2312" w:cs="仿宋_GB2312"/>
                <w:sz w:val="24"/>
                <w:szCs w:val="24"/>
                <w:highlight w:val="none"/>
                <w:lang w:val="zh-CN" w:eastAsia="zh-CN"/>
              </w:rPr>
              <w:t>方案欠科学性、欠针对性、</w:t>
            </w:r>
            <w:r>
              <w:rPr>
                <w:rFonts w:hint="eastAsia" w:ascii="仿宋_GB2312" w:hAnsi="宋体" w:eastAsia="仿宋_GB2312" w:cs="仿宋_GB2312"/>
                <w:sz w:val="24"/>
                <w:szCs w:val="24"/>
                <w:highlight w:val="none"/>
                <w:lang w:val="en-US" w:eastAsia="zh-CN"/>
              </w:rPr>
              <w:t>内容结构欠完整的，一处扣0.2分；</w:t>
            </w:r>
            <w:r>
              <w:rPr>
                <w:rFonts w:hint="eastAsia" w:ascii="仿宋_GB2312" w:hAnsi="宋体" w:eastAsia="仿宋_GB2312" w:cs="仿宋_GB2312"/>
                <w:sz w:val="24"/>
                <w:szCs w:val="24"/>
                <w:highlight w:val="none"/>
                <w:lang w:val="zh-CN" w:eastAsia="zh-CN"/>
              </w:rPr>
              <w:t>方案不科学性、无针对性、</w:t>
            </w:r>
            <w:r>
              <w:rPr>
                <w:rFonts w:hint="eastAsia" w:ascii="仿宋_GB2312" w:hAnsi="宋体" w:eastAsia="仿宋_GB2312" w:cs="仿宋_GB2312"/>
                <w:sz w:val="24"/>
                <w:szCs w:val="24"/>
                <w:highlight w:val="none"/>
                <w:lang w:val="en-US" w:eastAsia="zh-CN"/>
              </w:rPr>
              <w:t>内容结构不完整的，一处扣0.4分（0-2分））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分</w:t>
            </w:r>
          </w:p>
          <w:p>
            <w:pPr>
              <w:jc w:val="center"/>
              <w:outlineLvl w:val="0"/>
              <w:rPr>
                <w:rFonts w:hint="eastAsia" w:ascii="仿宋" w:hAnsi="仿宋" w:eastAsia="仿宋" w:cs="仿宋"/>
                <w:sz w:val="24"/>
              </w:rPr>
            </w:pPr>
            <w:r>
              <w:rPr>
                <w:rFonts w:hint="eastAsia" w:ascii="仿宋" w:hAnsi="仿宋" w:eastAsia="仿宋" w:cs="仿宋"/>
                <w:sz w:val="24"/>
                <w:lang w:eastAsia="zh-CN"/>
              </w:rPr>
              <w:t>主</w:t>
            </w:r>
            <w:r>
              <w:rPr>
                <w:rFonts w:hint="eastAsia" w:ascii="仿宋" w:hAnsi="仿宋" w:eastAsia="仿宋" w:cs="仿宋"/>
                <w:sz w:val="24"/>
              </w:rPr>
              <w:t>观</w:t>
            </w:r>
          </w:p>
        </w:tc>
        <w:tc>
          <w:tcPr>
            <w:tcW w:w="1099" w:type="pct"/>
            <w:vMerge w:val="continue"/>
            <w:vAlign w:val="center"/>
          </w:tcPr>
          <w:p>
            <w:pPr>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59" w:type="pct"/>
            <w:vMerge w:val="continue"/>
            <w:vAlign w:val="center"/>
          </w:tcPr>
          <w:p>
            <w:pPr>
              <w:jc w:val="center"/>
              <w:outlineLvl w:val="0"/>
              <w:rPr>
                <w:rFonts w:hint="eastAsia" w:ascii="仿宋" w:hAnsi="仿宋" w:eastAsia="仿宋" w:cs="仿宋_GB2312"/>
                <w:sz w:val="24"/>
              </w:rPr>
            </w:pPr>
          </w:p>
        </w:tc>
        <w:tc>
          <w:tcPr>
            <w:tcW w:w="2797" w:type="pct"/>
            <w:vAlign w:val="center"/>
          </w:tcPr>
          <w:p>
            <w:pPr>
              <w:widowControl/>
              <w:snapToGrid w:val="0"/>
              <w:jc w:val="left"/>
              <w:rPr>
                <w:rFonts w:hint="eastAsia" w:ascii="仿宋_GB2312" w:hAnsi="宋体" w:eastAsia="仿宋_GB2312" w:cs="仿宋_GB2312"/>
                <w:kern w:val="2"/>
                <w:sz w:val="24"/>
                <w:szCs w:val="24"/>
                <w:highlight w:val="none"/>
                <w:lang w:val="zh-CN" w:eastAsia="zh-CN" w:bidi="ar-SA"/>
              </w:rPr>
            </w:pPr>
            <w:r>
              <w:rPr>
                <w:rFonts w:hint="eastAsia" w:ascii="仿宋_GB2312" w:hAnsi="宋体" w:eastAsia="仿宋_GB2312" w:cs="仿宋_GB2312"/>
                <w:sz w:val="24"/>
                <w:szCs w:val="24"/>
                <w:highlight w:val="none"/>
                <w:lang w:val="zh-CN" w:eastAsia="zh-CN"/>
              </w:rPr>
              <w:t>投标人对</w:t>
            </w:r>
            <w:r>
              <w:rPr>
                <w:rFonts w:hint="eastAsia" w:ascii="仿宋_GB2312" w:hAnsi="宋体" w:eastAsia="仿宋_GB2312" w:cs="仿宋_GB2312"/>
                <w:sz w:val="24"/>
                <w:szCs w:val="24"/>
                <w:highlight w:val="none"/>
                <w:lang w:val="en-GB" w:eastAsia="zh-CN"/>
              </w:rPr>
              <w:t>设施设备</w:t>
            </w:r>
            <w:r>
              <w:rPr>
                <w:rFonts w:hint="eastAsia" w:ascii="仿宋_GB2312" w:hAnsi="宋体" w:eastAsia="仿宋_GB2312" w:cs="仿宋_GB2312"/>
                <w:sz w:val="24"/>
                <w:szCs w:val="24"/>
                <w:highlight w:val="none"/>
                <w:lang w:val="en-GB"/>
              </w:rPr>
              <w:t>的运行建立</w:t>
            </w:r>
            <w:r>
              <w:rPr>
                <w:rFonts w:hint="eastAsia" w:ascii="仿宋_GB2312" w:hAnsi="宋体" w:eastAsia="仿宋_GB2312" w:cs="仿宋_GB2312"/>
                <w:sz w:val="24"/>
                <w:szCs w:val="24"/>
                <w:highlight w:val="none"/>
                <w:lang w:val="zh-CN" w:eastAsia="zh-CN"/>
              </w:rPr>
              <w:t>应急处置方案，方案科学合理、针对性强、</w:t>
            </w:r>
            <w:r>
              <w:rPr>
                <w:rFonts w:hint="eastAsia" w:ascii="仿宋_GB2312" w:hAnsi="宋体" w:eastAsia="仿宋_GB2312" w:cs="仿宋_GB2312"/>
                <w:sz w:val="24"/>
                <w:szCs w:val="24"/>
                <w:highlight w:val="none"/>
                <w:lang w:val="en-US" w:eastAsia="zh-CN"/>
              </w:rPr>
              <w:t>内容齐全、结构完整得2分；</w:t>
            </w:r>
            <w:r>
              <w:rPr>
                <w:rFonts w:hint="eastAsia" w:ascii="仿宋_GB2312" w:hAnsi="宋体" w:eastAsia="仿宋_GB2312" w:cs="仿宋_GB2312"/>
                <w:sz w:val="24"/>
                <w:szCs w:val="24"/>
                <w:highlight w:val="none"/>
                <w:lang w:val="zh-CN" w:eastAsia="zh-CN"/>
              </w:rPr>
              <w:t>方案欠科学性、欠针对性、</w:t>
            </w:r>
            <w:r>
              <w:rPr>
                <w:rFonts w:hint="eastAsia" w:ascii="仿宋_GB2312" w:hAnsi="宋体" w:eastAsia="仿宋_GB2312" w:cs="仿宋_GB2312"/>
                <w:sz w:val="24"/>
                <w:szCs w:val="24"/>
                <w:highlight w:val="none"/>
                <w:lang w:val="en-US" w:eastAsia="zh-CN"/>
              </w:rPr>
              <w:t>内容结构欠完整的，一处扣0.2分；</w:t>
            </w:r>
            <w:r>
              <w:rPr>
                <w:rFonts w:hint="eastAsia" w:ascii="仿宋_GB2312" w:hAnsi="宋体" w:eastAsia="仿宋_GB2312" w:cs="仿宋_GB2312"/>
                <w:sz w:val="24"/>
                <w:szCs w:val="24"/>
                <w:highlight w:val="none"/>
                <w:lang w:val="zh-CN" w:eastAsia="zh-CN"/>
              </w:rPr>
              <w:t>方案不科学性、无针对性、</w:t>
            </w:r>
            <w:r>
              <w:rPr>
                <w:rFonts w:hint="eastAsia" w:ascii="仿宋_GB2312" w:hAnsi="宋体" w:eastAsia="仿宋_GB2312" w:cs="仿宋_GB2312"/>
                <w:sz w:val="24"/>
                <w:szCs w:val="24"/>
                <w:highlight w:val="none"/>
                <w:lang w:val="en-US" w:eastAsia="zh-CN"/>
              </w:rPr>
              <w:t>内容结构不完整的，一处扣0.4分（0-2分）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分</w:t>
            </w:r>
          </w:p>
          <w:p>
            <w:pPr>
              <w:jc w:val="center"/>
              <w:outlineLvl w:val="0"/>
              <w:rPr>
                <w:rFonts w:hint="eastAsia" w:ascii="仿宋" w:hAnsi="仿宋" w:eastAsia="仿宋" w:cs="仿宋"/>
                <w:sz w:val="24"/>
              </w:rPr>
            </w:pPr>
            <w:r>
              <w:rPr>
                <w:rFonts w:hint="eastAsia" w:ascii="仿宋" w:hAnsi="仿宋" w:eastAsia="仿宋" w:cs="仿宋"/>
                <w:sz w:val="24"/>
                <w:lang w:eastAsia="zh-CN"/>
              </w:rPr>
              <w:t>主</w:t>
            </w:r>
            <w:r>
              <w:rPr>
                <w:rFonts w:hint="eastAsia" w:ascii="仿宋" w:hAnsi="仿宋" w:eastAsia="仿宋" w:cs="仿宋"/>
                <w:sz w:val="24"/>
              </w:rPr>
              <w:t>观</w:t>
            </w:r>
          </w:p>
        </w:tc>
        <w:tc>
          <w:tcPr>
            <w:tcW w:w="1099" w:type="pct"/>
            <w:vMerge w:val="continue"/>
            <w:vAlign w:val="center"/>
          </w:tcPr>
          <w:p>
            <w:pPr>
              <w:jc w:val="center"/>
              <w:outlineLvl w:val="0"/>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59" w:type="pct"/>
            <w:vMerge w:val="continue"/>
            <w:vAlign w:val="center"/>
          </w:tcPr>
          <w:p>
            <w:pPr>
              <w:jc w:val="center"/>
            </w:pPr>
          </w:p>
        </w:tc>
        <w:tc>
          <w:tcPr>
            <w:tcW w:w="2797" w:type="pct"/>
            <w:vAlign w:val="center"/>
          </w:tcPr>
          <w:p>
            <w:pPr>
              <w:widowControl/>
              <w:snapToGrid w:val="0"/>
              <w:jc w:val="left"/>
              <w:rPr>
                <w:rFonts w:ascii="宋体" w:hAnsi="Times New Roman" w:eastAsia="宋体" w:cs="宋体"/>
                <w:bCs/>
                <w:color w:val="000000"/>
                <w:kern w:val="2"/>
                <w:sz w:val="21"/>
                <w:szCs w:val="21"/>
                <w:highlight w:val="none"/>
                <w:lang w:val="en-US" w:eastAsia="zh-CN" w:bidi="ar-SA"/>
              </w:rPr>
            </w:pPr>
            <w:r>
              <w:rPr>
                <w:rFonts w:hint="eastAsia" w:ascii="仿宋_GB2312" w:hAnsi="宋体" w:eastAsia="仿宋_GB2312" w:cs="仿宋_GB2312"/>
                <w:sz w:val="24"/>
                <w:szCs w:val="24"/>
                <w:highlight w:val="none"/>
                <w:lang w:val="en-US" w:eastAsia="zh-CN"/>
              </w:rPr>
              <w:t>河道内侧、小区高处门楼、女儿墙、机动车道路侧、城市高架快速路等灯具安装的实际情况，投标人应编制</w:t>
            </w:r>
            <w:r>
              <w:rPr>
                <w:rFonts w:hint="eastAsia" w:ascii="仿宋_GB2312" w:hAnsi="宋体" w:eastAsia="仿宋_GB2312" w:cs="仿宋_GB2312"/>
                <w:sz w:val="24"/>
                <w:szCs w:val="24"/>
                <w:highlight w:val="none"/>
                <w:lang w:val="en-GB" w:eastAsia="zh-CN"/>
              </w:rPr>
              <w:t>景观照明设施安全文明维护作业技术方案（</w:t>
            </w:r>
            <w:r>
              <w:rPr>
                <w:rFonts w:hint="eastAsia" w:ascii="仿宋_GB2312" w:hAnsi="宋体" w:eastAsia="仿宋_GB2312" w:cs="仿宋_GB2312"/>
                <w:sz w:val="24"/>
                <w:szCs w:val="24"/>
                <w:highlight w:val="none"/>
                <w:lang w:val="en-US" w:eastAsia="zh-CN"/>
              </w:rPr>
              <w:t>包含基本要求、高空作业、带电作业、夜间作业、快速路作业等内容</w:t>
            </w:r>
            <w:r>
              <w:rPr>
                <w:rFonts w:hint="eastAsia" w:ascii="仿宋_GB2312" w:hAnsi="宋体" w:eastAsia="仿宋_GB2312" w:cs="仿宋_GB2312"/>
                <w:sz w:val="24"/>
                <w:szCs w:val="24"/>
                <w:highlight w:val="none"/>
                <w:lang w:val="en-GB" w:eastAsia="zh-CN"/>
              </w:rPr>
              <w:t>），</w:t>
            </w:r>
            <w:r>
              <w:rPr>
                <w:rFonts w:hint="eastAsia" w:ascii="仿宋_GB2312" w:hAnsi="宋体" w:eastAsia="仿宋_GB2312" w:cs="仿宋_GB2312"/>
                <w:sz w:val="24"/>
                <w:szCs w:val="24"/>
                <w:highlight w:val="none"/>
                <w:lang w:val="zh-CN" w:eastAsia="zh-CN"/>
              </w:rPr>
              <w:t>方案科学合理、针对性强、</w:t>
            </w:r>
            <w:r>
              <w:rPr>
                <w:rFonts w:hint="eastAsia" w:ascii="仿宋_GB2312" w:hAnsi="宋体" w:eastAsia="仿宋_GB2312" w:cs="仿宋_GB2312"/>
                <w:sz w:val="24"/>
                <w:szCs w:val="24"/>
                <w:highlight w:val="none"/>
                <w:lang w:val="en-US" w:eastAsia="zh-CN"/>
              </w:rPr>
              <w:t>内容齐全、结构完整得2分；</w:t>
            </w:r>
            <w:r>
              <w:rPr>
                <w:rFonts w:hint="eastAsia" w:ascii="仿宋_GB2312" w:hAnsi="宋体" w:eastAsia="仿宋_GB2312" w:cs="仿宋_GB2312"/>
                <w:sz w:val="24"/>
                <w:szCs w:val="24"/>
                <w:highlight w:val="none"/>
                <w:lang w:val="zh-CN" w:eastAsia="zh-CN"/>
              </w:rPr>
              <w:t>方案欠科学性、欠针对性、</w:t>
            </w:r>
            <w:r>
              <w:rPr>
                <w:rFonts w:hint="eastAsia" w:ascii="仿宋_GB2312" w:hAnsi="宋体" w:eastAsia="仿宋_GB2312" w:cs="仿宋_GB2312"/>
                <w:sz w:val="24"/>
                <w:szCs w:val="24"/>
                <w:highlight w:val="none"/>
                <w:lang w:val="en-US" w:eastAsia="zh-CN"/>
              </w:rPr>
              <w:t>内容结构欠完整的，一处扣0.2分；</w:t>
            </w:r>
            <w:r>
              <w:rPr>
                <w:rFonts w:hint="eastAsia" w:ascii="仿宋_GB2312" w:hAnsi="宋体" w:eastAsia="仿宋_GB2312" w:cs="仿宋_GB2312"/>
                <w:sz w:val="24"/>
                <w:szCs w:val="24"/>
                <w:highlight w:val="none"/>
                <w:lang w:val="zh-CN" w:eastAsia="zh-CN"/>
              </w:rPr>
              <w:t>方案不科学性、无针对性、</w:t>
            </w:r>
            <w:r>
              <w:rPr>
                <w:rFonts w:hint="eastAsia" w:ascii="仿宋_GB2312" w:hAnsi="宋体" w:eastAsia="仿宋_GB2312" w:cs="仿宋_GB2312"/>
                <w:sz w:val="24"/>
                <w:szCs w:val="24"/>
                <w:highlight w:val="none"/>
                <w:lang w:val="en-US" w:eastAsia="zh-CN"/>
              </w:rPr>
              <w:t>内容结构不完整的，一处扣0.4分（0-2分）</w:t>
            </w:r>
          </w:p>
        </w:tc>
        <w:tc>
          <w:tcPr>
            <w:tcW w:w="644" w:type="pct"/>
            <w:vAlign w:val="center"/>
          </w:tcPr>
          <w:p>
            <w:pPr>
              <w:jc w:val="center"/>
              <w:rPr>
                <w:rFonts w:ascii="仿宋" w:hAnsi="仿宋" w:eastAsia="仿宋" w:cs="仿宋"/>
              </w:rPr>
            </w:pPr>
          </w:p>
          <w:p>
            <w:pPr>
              <w:jc w:val="center"/>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分</w:t>
            </w:r>
          </w:p>
          <w:p>
            <w:pPr>
              <w:jc w:val="center"/>
              <w:rPr>
                <w:rFonts w:ascii="仿宋" w:hAnsi="仿宋" w:eastAsia="仿宋" w:cs="仿宋"/>
              </w:rPr>
            </w:pPr>
            <w:r>
              <w:rPr>
                <w:rFonts w:hint="eastAsia" w:ascii="仿宋" w:hAnsi="仿宋" w:eastAsia="仿宋" w:cs="仿宋"/>
                <w:sz w:val="24"/>
                <w:lang w:eastAsia="zh-CN"/>
              </w:rPr>
              <w:t>主</w:t>
            </w:r>
            <w:r>
              <w:rPr>
                <w:rFonts w:hint="eastAsia" w:ascii="仿宋" w:hAnsi="仿宋" w:eastAsia="仿宋" w:cs="仿宋"/>
                <w:sz w:val="24"/>
              </w:rPr>
              <w:t>观</w:t>
            </w:r>
          </w:p>
        </w:tc>
        <w:tc>
          <w:tcPr>
            <w:tcW w:w="1099" w:type="pct"/>
            <w:vMerge w:val="continue"/>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59" w:type="pct"/>
            <w:vMerge w:val="continue"/>
            <w:vAlign w:val="center"/>
          </w:tcPr>
          <w:p>
            <w:pPr>
              <w:jc w:val="center"/>
              <w:rPr>
                <w:rFonts w:ascii="仿宋" w:hAnsi="仿宋" w:eastAsia="仿宋" w:cs="仿宋_GB2312"/>
                <w:sz w:val="24"/>
              </w:rPr>
            </w:pPr>
          </w:p>
        </w:tc>
        <w:tc>
          <w:tcPr>
            <w:tcW w:w="2797" w:type="pct"/>
            <w:vAlign w:val="center"/>
          </w:tcPr>
          <w:p>
            <w:pPr>
              <w:widowControl/>
              <w:snapToGrid w:val="0"/>
              <w:jc w:val="left"/>
              <w:rPr>
                <w:rFonts w:hint="eastAsia" w:ascii="宋体" w:hAnsi="宋体" w:eastAsia="宋体" w:cs="宋体"/>
                <w:bCs/>
                <w:color w:val="000000"/>
                <w:kern w:val="2"/>
                <w:sz w:val="21"/>
                <w:szCs w:val="21"/>
                <w:highlight w:val="none"/>
                <w:lang w:val="en-US" w:eastAsia="zh-CN" w:bidi="ar-SA"/>
              </w:rPr>
            </w:pPr>
            <w:r>
              <w:rPr>
                <w:rFonts w:hint="eastAsia" w:ascii="仿宋_GB2312" w:hAnsi="宋体" w:eastAsia="仿宋_GB2312" w:cs="仿宋_GB2312"/>
                <w:sz w:val="24"/>
                <w:szCs w:val="24"/>
                <w:highlight w:val="none"/>
                <w:lang w:val="en-US" w:eastAsia="zh-CN"/>
              </w:rPr>
              <w:t>机动车道路侧、城市高架快速路等区域养护特点，编制道路照明设施安全文明维护交通组织和审批报备方案（包含基本要求、高空作业、带电作业、夜间作业等内容），</w:t>
            </w:r>
            <w:r>
              <w:rPr>
                <w:rFonts w:hint="eastAsia" w:ascii="仿宋_GB2312" w:hAnsi="宋体" w:eastAsia="仿宋_GB2312" w:cs="仿宋_GB2312"/>
                <w:sz w:val="24"/>
                <w:szCs w:val="24"/>
                <w:highlight w:val="none"/>
                <w:lang w:val="zh-CN" w:eastAsia="zh-CN"/>
              </w:rPr>
              <w:t>方案科学合理、针对性强、</w:t>
            </w:r>
            <w:r>
              <w:rPr>
                <w:rFonts w:hint="eastAsia" w:ascii="仿宋_GB2312" w:hAnsi="宋体" w:eastAsia="仿宋_GB2312" w:cs="仿宋_GB2312"/>
                <w:sz w:val="24"/>
                <w:szCs w:val="24"/>
                <w:highlight w:val="none"/>
                <w:lang w:val="en-US" w:eastAsia="zh-CN"/>
              </w:rPr>
              <w:t>内容齐全、结构完整得2分；</w:t>
            </w:r>
            <w:r>
              <w:rPr>
                <w:rFonts w:hint="eastAsia" w:ascii="仿宋_GB2312" w:hAnsi="宋体" w:eastAsia="仿宋_GB2312" w:cs="仿宋_GB2312"/>
                <w:sz w:val="24"/>
                <w:szCs w:val="24"/>
                <w:highlight w:val="none"/>
                <w:lang w:val="zh-CN" w:eastAsia="zh-CN"/>
              </w:rPr>
              <w:t>方案欠科学性、欠针对性、</w:t>
            </w:r>
            <w:r>
              <w:rPr>
                <w:rFonts w:hint="eastAsia" w:ascii="仿宋_GB2312" w:hAnsi="宋体" w:eastAsia="仿宋_GB2312" w:cs="仿宋_GB2312"/>
                <w:sz w:val="24"/>
                <w:szCs w:val="24"/>
                <w:highlight w:val="none"/>
                <w:lang w:val="en-US" w:eastAsia="zh-CN"/>
              </w:rPr>
              <w:t>内容结构欠完整的，一处扣0.2分；</w:t>
            </w:r>
            <w:r>
              <w:rPr>
                <w:rFonts w:hint="eastAsia" w:ascii="仿宋_GB2312" w:hAnsi="宋体" w:eastAsia="仿宋_GB2312" w:cs="仿宋_GB2312"/>
                <w:sz w:val="24"/>
                <w:szCs w:val="24"/>
                <w:highlight w:val="none"/>
                <w:lang w:val="zh-CN" w:eastAsia="zh-CN"/>
              </w:rPr>
              <w:t>方案不科学性、无针对性、</w:t>
            </w:r>
            <w:r>
              <w:rPr>
                <w:rFonts w:hint="eastAsia" w:ascii="仿宋_GB2312" w:hAnsi="宋体" w:eastAsia="仿宋_GB2312" w:cs="仿宋_GB2312"/>
                <w:sz w:val="24"/>
                <w:szCs w:val="24"/>
                <w:highlight w:val="none"/>
                <w:lang w:val="en-US" w:eastAsia="zh-CN"/>
              </w:rPr>
              <w:t>内容结构不完整的，一处扣0.4分（0-2分）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分</w:t>
            </w:r>
          </w:p>
          <w:p>
            <w:pPr>
              <w:jc w:val="center"/>
              <w:rPr>
                <w:rFonts w:ascii="仿宋" w:hAnsi="仿宋" w:eastAsia="仿宋" w:cs="仿宋"/>
                <w:sz w:val="24"/>
              </w:rPr>
            </w:pPr>
            <w:r>
              <w:rPr>
                <w:rFonts w:hint="eastAsia" w:ascii="仿宋" w:hAnsi="仿宋" w:eastAsia="仿宋" w:cs="仿宋"/>
                <w:sz w:val="24"/>
                <w:lang w:eastAsia="zh-CN"/>
              </w:rPr>
              <w:t>主</w:t>
            </w:r>
            <w:r>
              <w:rPr>
                <w:rFonts w:hint="eastAsia" w:ascii="仿宋" w:hAnsi="仿宋" w:eastAsia="仿宋" w:cs="仿宋"/>
                <w:sz w:val="24"/>
              </w:rPr>
              <w:t>观</w:t>
            </w:r>
          </w:p>
        </w:tc>
        <w:tc>
          <w:tcPr>
            <w:tcW w:w="1099" w:type="pct"/>
            <w:vMerge w:val="continue"/>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59" w:type="pct"/>
            <w:vMerge w:val="continue"/>
            <w:vAlign w:val="center"/>
          </w:tcPr>
          <w:p>
            <w:pPr>
              <w:jc w:val="center"/>
              <w:rPr>
                <w:rFonts w:hint="eastAsia" w:ascii="仿宋" w:hAnsi="仿宋" w:eastAsia="仿宋" w:cs="仿宋_GB2312"/>
                <w:sz w:val="24"/>
              </w:rPr>
            </w:pPr>
          </w:p>
        </w:tc>
        <w:tc>
          <w:tcPr>
            <w:tcW w:w="2797" w:type="pct"/>
            <w:vAlign w:val="center"/>
          </w:tcPr>
          <w:p>
            <w:pPr>
              <w:pStyle w:val="19"/>
              <w:rPr>
                <w:rFonts w:hint="eastAsia" w:ascii="宋体" w:hAnsi="Times New Roman" w:eastAsia="宋体" w:cs="宋体"/>
                <w:bCs/>
                <w:color w:val="000000"/>
                <w:kern w:val="2"/>
                <w:sz w:val="21"/>
                <w:szCs w:val="21"/>
                <w:highlight w:val="none"/>
                <w:lang w:val="en-US" w:eastAsia="zh-CN" w:bidi="ar-SA"/>
              </w:rPr>
            </w:pPr>
            <w:r>
              <w:rPr>
                <w:rFonts w:hint="eastAsia" w:ascii="仿宋_GB2312" w:hAnsi="宋体" w:eastAsia="仿宋_GB2312" w:cs="仿宋_GB2312"/>
                <w:kern w:val="2"/>
                <w:sz w:val="24"/>
                <w:szCs w:val="24"/>
                <w:highlight w:val="none"/>
                <w:lang w:val="en-US" w:eastAsia="zh-CN" w:bidi="ar-SA"/>
              </w:rPr>
              <w:t>投标人为保障景观照明设施运行安全和维修质量建立的各措施方案，</w:t>
            </w:r>
            <w:r>
              <w:rPr>
                <w:rFonts w:hint="eastAsia" w:ascii="仿宋_GB2312" w:hAnsi="宋体" w:eastAsia="仿宋_GB2312" w:cs="仿宋_GB2312"/>
                <w:sz w:val="24"/>
                <w:szCs w:val="24"/>
                <w:highlight w:val="none"/>
                <w:lang w:val="zh-CN" w:eastAsia="zh-CN"/>
              </w:rPr>
              <w:t>方案科学合理、针对性强、</w:t>
            </w:r>
            <w:r>
              <w:rPr>
                <w:rFonts w:hint="eastAsia" w:ascii="仿宋_GB2312" w:hAnsi="宋体" w:eastAsia="仿宋_GB2312" w:cs="仿宋_GB2312"/>
                <w:sz w:val="24"/>
                <w:szCs w:val="24"/>
                <w:highlight w:val="none"/>
                <w:lang w:val="en-US" w:eastAsia="zh-CN"/>
              </w:rPr>
              <w:t>内容齐全、结构完整得2分；</w:t>
            </w:r>
            <w:r>
              <w:rPr>
                <w:rFonts w:hint="eastAsia" w:ascii="仿宋_GB2312" w:hAnsi="宋体" w:eastAsia="仿宋_GB2312" w:cs="仿宋_GB2312"/>
                <w:sz w:val="24"/>
                <w:szCs w:val="24"/>
                <w:highlight w:val="none"/>
                <w:lang w:val="zh-CN" w:eastAsia="zh-CN"/>
              </w:rPr>
              <w:t>方案欠科学性、欠针对性、</w:t>
            </w:r>
            <w:r>
              <w:rPr>
                <w:rFonts w:hint="eastAsia" w:ascii="仿宋_GB2312" w:hAnsi="宋体" w:eastAsia="仿宋_GB2312" w:cs="仿宋_GB2312"/>
                <w:sz w:val="24"/>
                <w:szCs w:val="24"/>
                <w:highlight w:val="none"/>
                <w:lang w:val="en-US" w:eastAsia="zh-CN"/>
              </w:rPr>
              <w:t>内容结构欠完整的，一处扣0.2分；</w:t>
            </w:r>
            <w:r>
              <w:rPr>
                <w:rFonts w:hint="eastAsia" w:ascii="仿宋_GB2312" w:hAnsi="宋体" w:eastAsia="仿宋_GB2312" w:cs="仿宋_GB2312"/>
                <w:sz w:val="24"/>
                <w:szCs w:val="24"/>
                <w:highlight w:val="none"/>
                <w:lang w:val="zh-CN" w:eastAsia="zh-CN"/>
              </w:rPr>
              <w:t>方案不科学性、无针对性、</w:t>
            </w:r>
            <w:r>
              <w:rPr>
                <w:rFonts w:hint="eastAsia" w:ascii="仿宋_GB2312" w:hAnsi="宋体" w:eastAsia="仿宋_GB2312" w:cs="仿宋_GB2312"/>
                <w:sz w:val="24"/>
                <w:szCs w:val="24"/>
                <w:highlight w:val="none"/>
                <w:lang w:val="en-US" w:eastAsia="zh-CN"/>
              </w:rPr>
              <w:t>内容结构不完整的，一处扣0.4分（0-2分）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分</w:t>
            </w:r>
          </w:p>
          <w:p>
            <w:pPr>
              <w:jc w:val="center"/>
              <w:rPr>
                <w:rFonts w:hint="eastAsia" w:ascii="仿宋" w:hAnsi="仿宋" w:eastAsia="仿宋" w:cs="仿宋"/>
                <w:sz w:val="24"/>
              </w:rPr>
            </w:pPr>
            <w:r>
              <w:rPr>
                <w:rFonts w:hint="eastAsia" w:ascii="仿宋" w:hAnsi="仿宋" w:eastAsia="仿宋" w:cs="仿宋"/>
                <w:sz w:val="24"/>
                <w:lang w:eastAsia="zh-CN"/>
              </w:rPr>
              <w:t>主</w:t>
            </w:r>
            <w:r>
              <w:rPr>
                <w:rFonts w:hint="eastAsia" w:ascii="仿宋" w:hAnsi="仿宋" w:eastAsia="仿宋" w:cs="仿宋"/>
                <w:sz w:val="24"/>
              </w:rPr>
              <w:t>观</w:t>
            </w:r>
          </w:p>
        </w:tc>
        <w:tc>
          <w:tcPr>
            <w:tcW w:w="1099" w:type="pct"/>
            <w:vMerge w:val="continue"/>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59" w:type="pct"/>
            <w:vMerge w:val="restart"/>
            <w:vAlign w:val="center"/>
          </w:tcPr>
          <w:p>
            <w:pPr>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3</w:t>
            </w:r>
          </w:p>
        </w:tc>
        <w:tc>
          <w:tcPr>
            <w:tcW w:w="2797" w:type="pct"/>
            <w:vAlign w:val="center"/>
          </w:tcPr>
          <w:p>
            <w:pPr>
              <w:pStyle w:val="19"/>
              <w:rPr>
                <w:rFonts w:hint="eastAsia" w:ascii="仿宋_GB2312" w:hAnsi="宋体" w:eastAsia="仿宋_GB2312" w:cs="仿宋_GB2312"/>
                <w:kern w:val="2"/>
                <w:sz w:val="24"/>
                <w:szCs w:val="24"/>
                <w:highlight w:val="none"/>
                <w:lang w:val="en-US" w:eastAsia="zh-CN" w:bidi="ar-SA"/>
              </w:rPr>
            </w:pPr>
            <w:r>
              <w:rPr>
                <w:rFonts w:hint="eastAsia" w:ascii="仿宋_GB2312" w:hAnsi="宋体" w:eastAsia="仿宋_GB2312" w:cs="仿宋_GB2312"/>
                <w:sz w:val="24"/>
                <w:szCs w:val="24"/>
                <w:highlight w:val="none"/>
                <w:lang w:val="zh-CN" w:eastAsia="zh-CN"/>
              </w:rPr>
              <w:t>投标人建立</w:t>
            </w:r>
            <w:r>
              <w:rPr>
                <w:rFonts w:hint="eastAsia" w:ascii="仿宋_GB2312" w:hAnsi="宋体" w:eastAsia="仿宋_GB2312" w:cs="仿宋_GB2312"/>
                <w:sz w:val="24"/>
                <w:szCs w:val="24"/>
                <w:highlight w:val="none"/>
                <w:lang w:val="en-GB" w:eastAsia="zh-CN"/>
              </w:rPr>
              <w:t>景观照明设施养护考核方案，</w:t>
            </w:r>
            <w:r>
              <w:rPr>
                <w:rFonts w:hint="eastAsia" w:ascii="仿宋_GB2312" w:hAnsi="宋体" w:eastAsia="仿宋_GB2312" w:cs="仿宋_GB2312"/>
                <w:sz w:val="24"/>
                <w:szCs w:val="24"/>
                <w:highlight w:val="none"/>
                <w:lang w:val="zh-CN" w:eastAsia="zh-CN"/>
              </w:rPr>
              <w:t>方案科学合理、针对性强、</w:t>
            </w:r>
            <w:r>
              <w:rPr>
                <w:rFonts w:hint="eastAsia" w:ascii="仿宋_GB2312" w:hAnsi="宋体" w:eastAsia="仿宋_GB2312" w:cs="仿宋_GB2312"/>
                <w:sz w:val="24"/>
                <w:szCs w:val="24"/>
                <w:highlight w:val="none"/>
                <w:lang w:val="en-US" w:eastAsia="zh-CN"/>
              </w:rPr>
              <w:t>内容齐全、结构完整得2分；</w:t>
            </w:r>
            <w:r>
              <w:rPr>
                <w:rFonts w:hint="eastAsia" w:ascii="仿宋_GB2312" w:hAnsi="宋体" w:eastAsia="仿宋_GB2312" w:cs="仿宋_GB2312"/>
                <w:sz w:val="24"/>
                <w:szCs w:val="24"/>
                <w:highlight w:val="none"/>
                <w:lang w:val="zh-CN" w:eastAsia="zh-CN"/>
              </w:rPr>
              <w:t>方案欠科学性、欠针对性、</w:t>
            </w:r>
            <w:r>
              <w:rPr>
                <w:rFonts w:hint="eastAsia" w:ascii="仿宋_GB2312" w:hAnsi="宋体" w:eastAsia="仿宋_GB2312" w:cs="仿宋_GB2312"/>
                <w:sz w:val="24"/>
                <w:szCs w:val="24"/>
                <w:highlight w:val="none"/>
                <w:lang w:val="en-US" w:eastAsia="zh-CN"/>
              </w:rPr>
              <w:t>内容结构欠完整的，一处扣0.2分；</w:t>
            </w:r>
            <w:r>
              <w:rPr>
                <w:rFonts w:hint="eastAsia" w:ascii="仿宋_GB2312" w:hAnsi="宋体" w:eastAsia="仿宋_GB2312" w:cs="仿宋_GB2312"/>
                <w:sz w:val="24"/>
                <w:szCs w:val="24"/>
                <w:highlight w:val="none"/>
                <w:lang w:val="zh-CN" w:eastAsia="zh-CN"/>
              </w:rPr>
              <w:t>方案不科学性、无针对性、</w:t>
            </w:r>
            <w:r>
              <w:rPr>
                <w:rFonts w:hint="eastAsia" w:ascii="仿宋_GB2312" w:hAnsi="宋体" w:eastAsia="仿宋_GB2312" w:cs="仿宋_GB2312"/>
                <w:sz w:val="24"/>
                <w:szCs w:val="24"/>
                <w:highlight w:val="none"/>
                <w:lang w:val="en-US" w:eastAsia="zh-CN"/>
              </w:rPr>
              <w:t>内容结构不完整的，一处扣0.4分（0-2分）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分</w:t>
            </w:r>
          </w:p>
          <w:p>
            <w:pPr>
              <w:jc w:val="center"/>
              <w:rPr>
                <w:rFonts w:hint="eastAsia" w:ascii="仿宋" w:hAnsi="仿宋" w:eastAsia="仿宋" w:cs="仿宋"/>
                <w:sz w:val="24"/>
                <w:lang w:eastAsia="zh-CN"/>
              </w:rPr>
            </w:pPr>
            <w:r>
              <w:rPr>
                <w:rFonts w:hint="eastAsia" w:ascii="仿宋" w:hAnsi="仿宋" w:eastAsia="仿宋" w:cs="仿宋"/>
                <w:sz w:val="24"/>
                <w:lang w:eastAsia="zh-CN"/>
              </w:rPr>
              <w:t>主</w:t>
            </w:r>
            <w:r>
              <w:rPr>
                <w:rFonts w:hint="eastAsia" w:ascii="仿宋" w:hAnsi="仿宋" w:eastAsia="仿宋" w:cs="仿宋"/>
                <w:sz w:val="24"/>
              </w:rPr>
              <w:t>观</w:t>
            </w:r>
          </w:p>
        </w:tc>
        <w:tc>
          <w:tcPr>
            <w:tcW w:w="1099" w:type="pct"/>
            <w:vMerge w:val="restart"/>
            <w:vAlign w:val="center"/>
          </w:tcPr>
          <w:p>
            <w:pPr>
              <w:jc w:val="center"/>
              <w:rPr>
                <w:rFonts w:hint="eastAsia" w:ascii="仿宋" w:hAnsi="仿宋" w:eastAsia="仿宋" w:cs="仿宋"/>
                <w:sz w:val="24"/>
              </w:rPr>
            </w:pPr>
            <w:r>
              <w:rPr>
                <w:rFonts w:hint="eastAsia" w:ascii="仿宋_GB2312" w:hAnsi="宋体" w:eastAsia="仿宋_GB2312" w:cs="仿宋_GB2312"/>
                <w:kern w:val="2"/>
                <w:sz w:val="24"/>
                <w:szCs w:val="24"/>
                <w:highlight w:val="none"/>
                <w:lang w:val="en-GB" w:eastAsia="zh-CN" w:bidi="ar-SA"/>
              </w:rPr>
              <w:t>养护考核方案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59" w:type="pct"/>
            <w:vMerge w:val="continue"/>
            <w:vAlign w:val="center"/>
          </w:tcPr>
          <w:p>
            <w:pPr>
              <w:jc w:val="center"/>
              <w:rPr>
                <w:rFonts w:hint="eastAsia" w:ascii="仿宋" w:hAnsi="仿宋" w:eastAsia="仿宋" w:cs="仿宋_GB2312"/>
                <w:sz w:val="24"/>
              </w:rPr>
            </w:pPr>
          </w:p>
        </w:tc>
        <w:tc>
          <w:tcPr>
            <w:tcW w:w="2797" w:type="pct"/>
            <w:vAlign w:val="center"/>
          </w:tcPr>
          <w:p>
            <w:pPr>
              <w:pStyle w:val="19"/>
              <w:rPr>
                <w:rFonts w:hint="eastAsia" w:ascii="仿宋_GB2312" w:hAnsi="宋体" w:eastAsia="仿宋_GB2312" w:cs="仿宋_GB2312"/>
                <w:kern w:val="2"/>
                <w:sz w:val="24"/>
                <w:szCs w:val="24"/>
                <w:highlight w:val="none"/>
                <w:lang w:val="en-US" w:eastAsia="zh-CN" w:bidi="ar-SA"/>
              </w:rPr>
            </w:pPr>
            <w:r>
              <w:rPr>
                <w:rFonts w:hint="eastAsia" w:ascii="仿宋_GB2312" w:hAnsi="宋体" w:eastAsia="仿宋_GB2312" w:cs="仿宋_GB2312"/>
                <w:sz w:val="24"/>
                <w:szCs w:val="24"/>
                <w:highlight w:val="none"/>
                <w:lang w:val="zh-CN" w:eastAsia="zh-CN"/>
              </w:rPr>
              <w:t>投标人建立</w:t>
            </w:r>
            <w:r>
              <w:rPr>
                <w:rFonts w:hint="eastAsia" w:ascii="仿宋_GB2312" w:hAnsi="宋体" w:eastAsia="仿宋_GB2312" w:cs="仿宋_GB2312"/>
                <w:sz w:val="24"/>
                <w:szCs w:val="24"/>
                <w:highlight w:val="none"/>
                <w:lang w:val="en-GB" w:eastAsia="zh-CN"/>
              </w:rPr>
              <w:t>内部管理、内部工作流程、考核监督等制度，</w:t>
            </w:r>
            <w:r>
              <w:rPr>
                <w:rFonts w:hint="eastAsia" w:ascii="仿宋_GB2312" w:hAnsi="宋体" w:eastAsia="仿宋_GB2312" w:cs="仿宋_GB2312"/>
                <w:sz w:val="24"/>
                <w:szCs w:val="24"/>
                <w:highlight w:val="none"/>
                <w:lang w:val="en-GB"/>
              </w:rPr>
              <w:t>制度</w:t>
            </w:r>
            <w:r>
              <w:rPr>
                <w:rFonts w:hint="eastAsia" w:ascii="仿宋_GB2312" w:hAnsi="宋体" w:eastAsia="仿宋_GB2312" w:cs="仿宋_GB2312"/>
                <w:sz w:val="24"/>
                <w:szCs w:val="24"/>
                <w:highlight w:val="none"/>
                <w:lang w:val="zh-CN"/>
              </w:rPr>
              <w:t>科学合理、针对性强、</w:t>
            </w:r>
            <w:r>
              <w:rPr>
                <w:rFonts w:hint="eastAsia" w:ascii="仿宋_GB2312" w:hAnsi="宋体" w:eastAsia="仿宋_GB2312" w:cs="仿宋_GB2312"/>
                <w:sz w:val="24"/>
                <w:szCs w:val="24"/>
                <w:highlight w:val="none"/>
                <w:lang w:val="en-US" w:eastAsia="zh-CN"/>
              </w:rPr>
              <w:t>内容齐全、结构完整得2分；</w:t>
            </w:r>
            <w:r>
              <w:rPr>
                <w:rFonts w:hint="eastAsia" w:ascii="仿宋_GB2312" w:hAnsi="宋体" w:eastAsia="仿宋_GB2312" w:cs="仿宋_GB2312"/>
                <w:sz w:val="24"/>
                <w:szCs w:val="24"/>
                <w:highlight w:val="none"/>
                <w:lang w:val="en-GB"/>
              </w:rPr>
              <w:t>制度</w:t>
            </w:r>
            <w:r>
              <w:rPr>
                <w:rFonts w:hint="eastAsia" w:ascii="仿宋_GB2312" w:hAnsi="宋体" w:eastAsia="仿宋_GB2312" w:cs="仿宋_GB2312"/>
                <w:sz w:val="24"/>
                <w:szCs w:val="24"/>
                <w:highlight w:val="none"/>
                <w:lang w:val="en-GB" w:eastAsia="zh-CN"/>
              </w:rPr>
              <w:t>欠</w:t>
            </w:r>
            <w:r>
              <w:rPr>
                <w:rFonts w:hint="eastAsia" w:ascii="仿宋_GB2312" w:hAnsi="宋体" w:eastAsia="仿宋_GB2312" w:cs="仿宋_GB2312"/>
                <w:sz w:val="24"/>
                <w:szCs w:val="24"/>
                <w:highlight w:val="none"/>
                <w:lang w:val="zh-CN"/>
              </w:rPr>
              <w:t>科学性、欠针对性、</w:t>
            </w:r>
            <w:r>
              <w:rPr>
                <w:rFonts w:hint="eastAsia" w:ascii="仿宋_GB2312" w:hAnsi="宋体" w:eastAsia="仿宋_GB2312" w:cs="仿宋_GB2312"/>
                <w:sz w:val="24"/>
                <w:szCs w:val="24"/>
                <w:highlight w:val="none"/>
                <w:lang w:val="en-US" w:eastAsia="zh-CN"/>
              </w:rPr>
              <w:t>内容结构欠完整的，一处扣0.2分；</w:t>
            </w:r>
            <w:r>
              <w:rPr>
                <w:rFonts w:hint="eastAsia" w:ascii="仿宋_GB2312" w:hAnsi="宋体" w:eastAsia="仿宋_GB2312" w:cs="仿宋_GB2312"/>
                <w:sz w:val="24"/>
                <w:szCs w:val="24"/>
                <w:highlight w:val="none"/>
                <w:lang w:val="en-GB"/>
              </w:rPr>
              <w:t>制度</w:t>
            </w:r>
            <w:r>
              <w:rPr>
                <w:rFonts w:hint="eastAsia" w:ascii="仿宋_GB2312" w:hAnsi="宋体" w:eastAsia="仿宋_GB2312" w:cs="仿宋_GB2312"/>
                <w:sz w:val="24"/>
                <w:szCs w:val="24"/>
                <w:highlight w:val="none"/>
                <w:lang w:val="en-GB" w:eastAsia="zh-CN"/>
              </w:rPr>
              <w:t>不</w:t>
            </w:r>
            <w:r>
              <w:rPr>
                <w:rFonts w:hint="eastAsia" w:ascii="仿宋_GB2312" w:hAnsi="宋体" w:eastAsia="仿宋_GB2312" w:cs="仿宋_GB2312"/>
                <w:sz w:val="24"/>
                <w:szCs w:val="24"/>
                <w:highlight w:val="none"/>
                <w:lang w:val="zh-CN"/>
              </w:rPr>
              <w:t>科学性、不针对性、</w:t>
            </w:r>
            <w:r>
              <w:rPr>
                <w:rFonts w:hint="eastAsia" w:ascii="仿宋_GB2312" w:hAnsi="宋体" w:eastAsia="仿宋_GB2312" w:cs="仿宋_GB2312"/>
                <w:sz w:val="24"/>
                <w:szCs w:val="24"/>
                <w:highlight w:val="none"/>
                <w:lang w:val="en-US" w:eastAsia="zh-CN"/>
              </w:rPr>
              <w:t>内容结构不完整的，一处扣0.4分。（0-2分））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分</w:t>
            </w:r>
          </w:p>
          <w:p>
            <w:pPr>
              <w:jc w:val="center"/>
              <w:rPr>
                <w:rFonts w:hint="eastAsia" w:ascii="仿宋" w:hAnsi="仿宋" w:eastAsia="仿宋" w:cs="仿宋"/>
                <w:sz w:val="24"/>
                <w:lang w:eastAsia="zh-CN"/>
              </w:rPr>
            </w:pPr>
            <w:r>
              <w:rPr>
                <w:rFonts w:hint="eastAsia" w:ascii="仿宋" w:hAnsi="仿宋" w:eastAsia="仿宋" w:cs="仿宋"/>
                <w:sz w:val="24"/>
                <w:lang w:eastAsia="zh-CN"/>
              </w:rPr>
              <w:t>主</w:t>
            </w:r>
            <w:r>
              <w:rPr>
                <w:rFonts w:hint="eastAsia" w:ascii="仿宋" w:hAnsi="仿宋" w:eastAsia="仿宋" w:cs="仿宋"/>
                <w:sz w:val="24"/>
              </w:rPr>
              <w:t>观</w:t>
            </w:r>
          </w:p>
        </w:tc>
        <w:tc>
          <w:tcPr>
            <w:tcW w:w="1099" w:type="pct"/>
            <w:vMerge w:val="continue"/>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59" w:type="pct"/>
            <w:vAlign w:val="center"/>
          </w:tcPr>
          <w:p>
            <w:pPr>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4</w:t>
            </w:r>
          </w:p>
        </w:tc>
        <w:tc>
          <w:tcPr>
            <w:tcW w:w="2797" w:type="pct"/>
            <w:vAlign w:val="center"/>
          </w:tcPr>
          <w:p>
            <w:pPr>
              <w:pStyle w:val="19"/>
              <w:rPr>
                <w:rFonts w:hint="eastAsia" w:ascii="宋体" w:hAnsi="Times New Roman" w:eastAsia="宋体" w:cs="宋体"/>
                <w:bCs/>
                <w:color w:val="000000"/>
                <w:kern w:val="2"/>
                <w:sz w:val="21"/>
                <w:szCs w:val="21"/>
                <w:highlight w:val="none"/>
                <w:lang w:val="en-US" w:eastAsia="zh-CN" w:bidi="ar-SA"/>
              </w:rPr>
            </w:pPr>
            <w:r>
              <w:rPr>
                <w:rFonts w:hint="eastAsia" w:ascii="仿宋_GB2312" w:hAnsi="宋体" w:eastAsia="仿宋_GB2312" w:cs="仿宋_GB2312"/>
                <w:sz w:val="24"/>
                <w:szCs w:val="24"/>
                <w:highlight w:val="none"/>
                <w:lang w:val="en-US" w:eastAsia="zh-CN"/>
              </w:rPr>
              <w:t>针对灯具、光源、电器、杆件、标识牌、配电设施、灯罩、支架、电缆（含电缆管道）、控制柜、穿线管、配电箱、线卡、绳索、螺栓等设施设备的养护特点，编制相应的安全文明养护作业方案及安全生产制度（配备科学的维护班组和机械设备）。</w:t>
            </w:r>
            <w:r>
              <w:rPr>
                <w:rFonts w:hint="eastAsia" w:ascii="仿宋_GB2312" w:hAnsi="宋体" w:eastAsia="仿宋_GB2312" w:cs="仿宋_GB2312"/>
                <w:sz w:val="24"/>
                <w:szCs w:val="24"/>
                <w:highlight w:val="none"/>
                <w:lang w:val="zh-CN" w:eastAsia="zh-CN"/>
              </w:rPr>
              <w:t>方案科学合理、针对性强、</w:t>
            </w:r>
            <w:r>
              <w:rPr>
                <w:rFonts w:hint="eastAsia" w:ascii="仿宋_GB2312" w:hAnsi="宋体" w:eastAsia="仿宋_GB2312" w:cs="仿宋_GB2312"/>
                <w:sz w:val="24"/>
                <w:szCs w:val="24"/>
                <w:highlight w:val="none"/>
                <w:lang w:val="en-US" w:eastAsia="zh-CN"/>
              </w:rPr>
              <w:t>内容齐全、结构完整得4分；</w:t>
            </w:r>
            <w:r>
              <w:rPr>
                <w:rFonts w:hint="eastAsia" w:ascii="仿宋_GB2312" w:hAnsi="宋体" w:eastAsia="仿宋_GB2312" w:cs="仿宋_GB2312"/>
                <w:sz w:val="24"/>
                <w:szCs w:val="24"/>
                <w:highlight w:val="none"/>
                <w:lang w:val="zh-CN" w:eastAsia="zh-CN"/>
              </w:rPr>
              <w:t>方案欠科学性、欠针对性、</w:t>
            </w:r>
            <w:r>
              <w:rPr>
                <w:rFonts w:hint="eastAsia" w:ascii="仿宋_GB2312" w:hAnsi="宋体" w:eastAsia="仿宋_GB2312" w:cs="仿宋_GB2312"/>
                <w:sz w:val="24"/>
                <w:szCs w:val="24"/>
                <w:highlight w:val="none"/>
                <w:lang w:val="en-US" w:eastAsia="zh-CN"/>
              </w:rPr>
              <w:t>内容结构欠完整的，一处扣0.4分；</w:t>
            </w:r>
            <w:r>
              <w:rPr>
                <w:rFonts w:hint="eastAsia" w:ascii="仿宋_GB2312" w:hAnsi="宋体" w:eastAsia="仿宋_GB2312" w:cs="仿宋_GB2312"/>
                <w:sz w:val="24"/>
                <w:szCs w:val="24"/>
                <w:highlight w:val="none"/>
                <w:lang w:val="zh-CN" w:eastAsia="zh-CN"/>
              </w:rPr>
              <w:t>方案不科学性、无针对性、</w:t>
            </w:r>
            <w:r>
              <w:rPr>
                <w:rFonts w:hint="eastAsia" w:ascii="仿宋_GB2312" w:hAnsi="宋体" w:eastAsia="仿宋_GB2312" w:cs="仿宋_GB2312"/>
                <w:sz w:val="24"/>
                <w:szCs w:val="24"/>
                <w:highlight w:val="none"/>
                <w:lang w:val="en-US" w:eastAsia="zh-CN"/>
              </w:rPr>
              <w:t>内容结构不完整的，一处扣0.8分（0-4分）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分</w:t>
            </w:r>
          </w:p>
          <w:p>
            <w:pPr>
              <w:jc w:val="center"/>
              <w:rPr>
                <w:rFonts w:hint="eastAsia" w:ascii="仿宋" w:hAnsi="仿宋" w:eastAsia="仿宋" w:cs="仿宋"/>
                <w:sz w:val="24"/>
                <w:lang w:eastAsia="zh-CN"/>
              </w:rPr>
            </w:pPr>
            <w:r>
              <w:rPr>
                <w:rFonts w:hint="eastAsia" w:ascii="仿宋" w:hAnsi="仿宋" w:eastAsia="仿宋" w:cs="仿宋"/>
                <w:sz w:val="24"/>
                <w:lang w:eastAsia="zh-CN"/>
              </w:rPr>
              <w:t>主</w:t>
            </w:r>
            <w:r>
              <w:rPr>
                <w:rFonts w:hint="eastAsia" w:ascii="仿宋" w:hAnsi="仿宋" w:eastAsia="仿宋" w:cs="仿宋"/>
                <w:sz w:val="24"/>
              </w:rPr>
              <w:t>观</w:t>
            </w:r>
          </w:p>
        </w:tc>
        <w:tc>
          <w:tcPr>
            <w:tcW w:w="1099" w:type="pct"/>
            <w:vAlign w:val="center"/>
          </w:tcPr>
          <w:p>
            <w:pPr>
              <w:snapToGrid w:val="0"/>
              <w:jc w:val="center"/>
              <w:rPr>
                <w:rFonts w:hint="eastAsia" w:ascii="仿宋_GB2312" w:hAnsi="宋体" w:eastAsia="仿宋_GB2312" w:cs="仿宋_GB2312"/>
                <w:kern w:val="2"/>
                <w:sz w:val="24"/>
                <w:szCs w:val="24"/>
                <w:highlight w:val="none"/>
                <w:lang w:val="en-US" w:eastAsia="zh-CN" w:bidi="ar-SA"/>
              </w:rPr>
            </w:pPr>
            <w:r>
              <w:rPr>
                <w:rFonts w:hint="eastAsia" w:ascii="仿宋_GB2312" w:hAnsi="宋体" w:eastAsia="仿宋_GB2312" w:cs="仿宋_GB2312"/>
                <w:kern w:val="2"/>
                <w:sz w:val="24"/>
                <w:szCs w:val="24"/>
                <w:highlight w:val="none"/>
                <w:lang w:val="en-US" w:eastAsia="zh-CN" w:bidi="ar-SA"/>
              </w:rPr>
              <w:t>安全文明作业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59" w:type="pct"/>
            <w:vAlign w:val="center"/>
          </w:tcPr>
          <w:p>
            <w:pPr>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5</w:t>
            </w:r>
          </w:p>
        </w:tc>
        <w:tc>
          <w:tcPr>
            <w:tcW w:w="2797" w:type="pct"/>
            <w:vAlign w:val="center"/>
          </w:tcPr>
          <w:p>
            <w:pPr>
              <w:widowControl/>
              <w:snapToGrid w:val="0"/>
              <w:jc w:val="left"/>
              <w:rPr>
                <w:rFonts w:hint="eastAsia" w:ascii="宋体" w:hAnsi="Times New Roman" w:eastAsia="宋体" w:cs="宋体"/>
                <w:bCs/>
                <w:color w:val="000000"/>
                <w:kern w:val="2"/>
                <w:sz w:val="21"/>
                <w:szCs w:val="21"/>
                <w:highlight w:val="none"/>
                <w:lang w:val="en-US" w:eastAsia="zh-CN" w:bidi="ar-SA"/>
              </w:rPr>
            </w:pPr>
            <w:r>
              <w:rPr>
                <w:rFonts w:hint="eastAsia" w:ascii="仿宋_GB2312" w:hAnsi="宋体" w:eastAsia="仿宋_GB2312" w:cs="仿宋_GB2312"/>
                <w:kern w:val="2"/>
                <w:sz w:val="24"/>
                <w:szCs w:val="24"/>
                <w:highlight w:val="none"/>
                <w:lang w:val="en-US" w:eastAsia="zh-CN" w:bidi="ar-SA"/>
              </w:rPr>
              <w:t>投标人</w:t>
            </w:r>
            <w:r>
              <w:rPr>
                <w:rFonts w:hint="eastAsia" w:ascii="仿宋_GB2312" w:hAnsi="宋体" w:eastAsia="仿宋_GB2312" w:cs="仿宋_GB2312"/>
                <w:kern w:val="2"/>
                <w:sz w:val="24"/>
                <w:szCs w:val="24"/>
                <w:highlight w:val="none"/>
                <w:lang w:val="en-GB" w:eastAsia="zh-CN" w:bidi="ar-SA"/>
              </w:rPr>
              <w:t>建立景观照明设施资料管理方案，</w:t>
            </w:r>
            <w:r>
              <w:rPr>
                <w:rFonts w:hint="eastAsia" w:ascii="仿宋_GB2312" w:hAnsi="宋体" w:eastAsia="仿宋_GB2312" w:cs="仿宋_GB2312"/>
                <w:kern w:val="2"/>
                <w:sz w:val="24"/>
                <w:szCs w:val="24"/>
                <w:highlight w:val="none"/>
                <w:lang w:val="en-US" w:eastAsia="zh-CN" w:bidi="ar-SA"/>
              </w:rPr>
              <w:t>就</w:t>
            </w:r>
            <w:r>
              <w:rPr>
                <w:rFonts w:hint="eastAsia" w:ascii="仿宋_GB2312" w:hAnsi="宋体" w:eastAsia="仿宋_GB2312" w:cs="仿宋_GB2312"/>
                <w:kern w:val="2"/>
                <w:sz w:val="24"/>
                <w:szCs w:val="24"/>
                <w:highlight w:val="none"/>
                <w:lang w:val="en-GB" w:eastAsia="zh-CN" w:bidi="ar-SA"/>
              </w:rPr>
              <w:t>景观照明设施基础台账、日常运维台账、技术档案资料、安全生产台账、专项台账等资料的整理归档。</w:t>
            </w:r>
            <w:r>
              <w:rPr>
                <w:rFonts w:hint="eastAsia" w:ascii="仿宋_GB2312" w:hAnsi="宋体" w:eastAsia="仿宋_GB2312" w:cs="仿宋_GB2312"/>
                <w:sz w:val="24"/>
                <w:szCs w:val="24"/>
                <w:highlight w:val="none"/>
                <w:lang w:val="zh-CN" w:eastAsia="zh-CN"/>
              </w:rPr>
              <w:t>方案科学合理、针对性强、</w:t>
            </w:r>
            <w:r>
              <w:rPr>
                <w:rFonts w:hint="eastAsia" w:ascii="仿宋_GB2312" w:hAnsi="宋体" w:eastAsia="仿宋_GB2312" w:cs="仿宋_GB2312"/>
                <w:sz w:val="24"/>
                <w:szCs w:val="24"/>
                <w:highlight w:val="none"/>
                <w:lang w:val="en-US" w:eastAsia="zh-CN"/>
              </w:rPr>
              <w:t>内容齐全、结构完整得4分；</w:t>
            </w:r>
            <w:r>
              <w:rPr>
                <w:rFonts w:hint="eastAsia" w:ascii="仿宋_GB2312" w:hAnsi="宋体" w:eastAsia="仿宋_GB2312" w:cs="仿宋_GB2312"/>
                <w:sz w:val="24"/>
                <w:szCs w:val="24"/>
                <w:highlight w:val="none"/>
                <w:lang w:val="zh-CN" w:eastAsia="zh-CN"/>
              </w:rPr>
              <w:t>方案欠科学性、欠针对性、</w:t>
            </w:r>
            <w:r>
              <w:rPr>
                <w:rFonts w:hint="eastAsia" w:ascii="仿宋_GB2312" w:hAnsi="宋体" w:eastAsia="仿宋_GB2312" w:cs="仿宋_GB2312"/>
                <w:sz w:val="24"/>
                <w:szCs w:val="24"/>
                <w:highlight w:val="none"/>
                <w:lang w:val="en-US" w:eastAsia="zh-CN"/>
              </w:rPr>
              <w:t>内容结构欠完整的，一处扣0.4分；</w:t>
            </w:r>
            <w:r>
              <w:rPr>
                <w:rFonts w:hint="eastAsia" w:ascii="仿宋_GB2312" w:hAnsi="宋体" w:eastAsia="仿宋_GB2312" w:cs="仿宋_GB2312"/>
                <w:sz w:val="24"/>
                <w:szCs w:val="24"/>
                <w:highlight w:val="none"/>
                <w:lang w:val="zh-CN" w:eastAsia="zh-CN"/>
              </w:rPr>
              <w:t>方案不科学性、无针对性、</w:t>
            </w:r>
            <w:r>
              <w:rPr>
                <w:rFonts w:hint="eastAsia" w:ascii="仿宋_GB2312" w:hAnsi="宋体" w:eastAsia="仿宋_GB2312" w:cs="仿宋_GB2312"/>
                <w:sz w:val="24"/>
                <w:szCs w:val="24"/>
                <w:highlight w:val="none"/>
                <w:lang w:val="en-US" w:eastAsia="zh-CN"/>
              </w:rPr>
              <w:t>内容结构不完整的，一处扣0.8分（0-4分）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分</w:t>
            </w:r>
          </w:p>
          <w:p>
            <w:pPr>
              <w:jc w:val="center"/>
              <w:rPr>
                <w:rFonts w:hint="eastAsia" w:ascii="仿宋" w:hAnsi="仿宋" w:eastAsia="仿宋" w:cs="仿宋"/>
                <w:sz w:val="24"/>
                <w:lang w:eastAsia="zh-CN"/>
              </w:rPr>
            </w:pPr>
            <w:r>
              <w:rPr>
                <w:rFonts w:hint="eastAsia" w:ascii="仿宋" w:hAnsi="仿宋" w:eastAsia="仿宋" w:cs="仿宋"/>
                <w:sz w:val="24"/>
                <w:lang w:eastAsia="zh-CN"/>
              </w:rPr>
              <w:t>主</w:t>
            </w:r>
            <w:r>
              <w:rPr>
                <w:rFonts w:hint="eastAsia" w:ascii="仿宋" w:hAnsi="仿宋" w:eastAsia="仿宋" w:cs="仿宋"/>
                <w:sz w:val="24"/>
              </w:rPr>
              <w:t>观</w:t>
            </w:r>
          </w:p>
        </w:tc>
        <w:tc>
          <w:tcPr>
            <w:tcW w:w="1099" w:type="pct"/>
            <w:vAlign w:val="center"/>
          </w:tcPr>
          <w:p>
            <w:pPr>
              <w:widowControl/>
              <w:snapToGrid w:val="0"/>
              <w:jc w:val="center"/>
              <w:rPr>
                <w:rFonts w:hint="eastAsia" w:ascii="仿宋_GB2312" w:hAnsi="宋体" w:eastAsia="仿宋_GB2312" w:cs="仿宋_GB2312"/>
                <w:kern w:val="2"/>
                <w:sz w:val="24"/>
                <w:szCs w:val="24"/>
                <w:highlight w:val="none"/>
                <w:lang w:val="en-GB" w:eastAsia="zh-CN" w:bidi="ar-SA"/>
              </w:rPr>
            </w:pPr>
            <w:r>
              <w:rPr>
                <w:rFonts w:hint="eastAsia" w:ascii="仿宋_GB2312" w:hAnsi="宋体" w:eastAsia="仿宋_GB2312" w:cs="仿宋_GB2312"/>
                <w:kern w:val="2"/>
                <w:sz w:val="24"/>
                <w:szCs w:val="24"/>
                <w:highlight w:val="none"/>
                <w:lang w:val="en-GB" w:eastAsia="zh-CN" w:bidi="ar-SA"/>
              </w:rPr>
              <w:t>资料管理方案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59" w:type="pct"/>
            <w:vAlign w:val="center"/>
          </w:tcPr>
          <w:p>
            <w:pPr>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6</w:t>
            </w:r>
          </w:p>
        </w:tc>
        <w:tc>
          <w:tcPr>
            <w:tcW w:w="2797" w:type="pct"/>
            <w:vAlign w:val="center"/>
          </w:tcPr>
          <w:p>
            <w:pPr>
              <w:widowControl/>
              <w:snapToGrid w:val="0"/>
              <w:jc w:val="left"/>
              <w:rPr>
                <w:rFonts w:hint="eastAsia" w:ascii="宋体" w:hAnsi="Times New Roman" w:eastAsia="宋体" w:cs="宋体"/>
                <w:bCs/>
                <w:color w:val="000000"/>
                <w:kern w:val="2"/>
                <w:sz w:val="21"/>
                <w:szCs w:val="21"/>
                <w:highlight w:val="none"/>
                <w:lang w:val="en-US" w:eastAsia="zh-CN" w:bidi="ar-SA"/>
              </w:rPr>
            </w:pPr>
            <w:r>
              <w:rPr>
                <w:rFonts w:hint="eastAsia" w:ascii="仿宋_GB2312" w:hAnsi="宋体" w:eastAsia="仿宋_GB2312" w:cs="仿宋_GB2312"/>
                <w:sz w:val="24"/>
                <w:szCs w:val="24"/>
                <w:highlight w:val="none"/>
                <w:lang w:val="zh-CN" w:eastAsia="zh-CN"/>
              </w:rPr>
              <w:t>投标人针对防汛、抗台、抗雪、防冻等灾害性天气建立的景观照明设施应急巡查、应急抢修、值班值守等应急响应方案。方案科学合理、针对性强、</w:t>
            </w:r>
            <w:r>
              <w:rPr>
                <w:rFonts w:hint="eastAsia" w:ascii="仿宋_GB2312" w:hAnsi="宋体" w:eastAsia="仿宋_GB2312" w:cs="仿宋_GB2312"/>
                <w:sz w:val="24"/>
                <w:szCs w:val="24"/>
                <w:highlight w:val="none"/>
                <w:lang w:val="en-US" w:eastAsia="zh-CN"/>
              </w:rPr>
              <w:t>内容齐全、结构完整得4分；</w:t>
            </w:r>
            <w:r>
              <w:rPr>
                <w:rFonts w:hint="eastAsia" w:ascii="仿宋_GB2312" w:hAnsi="宋体" w:eastAsia="仿宋_GB2312" w:cs="仿宋_GB2312"/>
                <w:sz w:val="24"/>
                <w:szCs w:val="24"/>
                <w:highlight w:val="none"/>
                <w:lang w:val="zh-CN" w:eastAsia="zh-CN"/>
              </w:rPr>
              <w:t>方案欠科学性、欠针对性、</w:t>
            </w:r>
            <w:r>
              <w:rPr>
                <w:rFonts w:hint="eastAsia" w:ascii="仿宋_GB2312" w:hAnsi="宋体" w:eastAsia="仿宋_GB2312" w:cs="仿宋_GB2312"/>
                <w:sz w:val="24"/>
                <w:szCs w:val="24"/>
                <w:highlight w:val="none"/>
                <w:lang w:val="en-US" w:eastAsia="zh-CN"/>
              </w:rPr>
              <w:t>内容结构欠完整的，一处扣0.4分；</w:t>
            </w:r>
            <w:r>
              <w:rPr>
                <w:rFonts w:hint="eastAsia" w:ascii="仿宋_GB2312" w:hAnsi="宋体" w:eastAsia="仿宋_GB2312" w:cs="仿宋_GB2312"/>
                <w:sz w:val="24"/>
                <w:szCs w:val="24"/>
                <w:highlight w:val="none"/>
                <w:lang w:val="zh-CN" w:eastAsia="zh-CN"/>
              </w:rPr>
              <w:t>方案不科学性、无针对性、</w:t>
            </w:r>
            <w:r>
              <w:rPr>
                <w:rFonts w:hint="eastAsia" w:ascii="仿宋_GB2312" w:hAnsi="宋体" w:eastAsia="仿宋_GB2312" w:cs="仿宋_GB2312"/>
                <w:sz w:val="24"/>
                <w:szCs w:val="24"/>
                <w:highlight w:val="none"/>
                <w:lang w:val="en-US" w:eastAsia="zh-CN"/>
              </w:rPr>
              <w:t>内容结构不完整的，一处扣0.8分（0-4分）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分</w:t>
            </w:r>
          </w:p>
          <w:p>
            <w:pPr>
              <w:jc w:val="center"/>
              <w:rPr>
                <w:rFonts w:hint="eastAsia" w:ascii="仿宋" w:hAnsi="仿宋" w:eastAsia="仿宋" w:cs="仿宋"/>
                <w:sz w:val="24"/>
                <w:lang w:eastAsia="zh-CN"/>
              </w:rPr>
            </w:pPr>
            <w:r>
              <w:rPr>
                <w:rFonts w:hint="eastAsia" w:ascii="仿宋" w:hAnsi="仿宋" w:eastAsia="仿宋" w:cs="仿宋"/>
                <w:sz w:val="24"/>
                <w:lang w:eastAsia="zh-CN"/>
              </w:rPr>
              <w:t>主</w:t>
            </w:r>
            <w:r>
              <w:rPr>
                <w:rFonts w:hint="eastAsia" w:ascii="仿宋" w:hAnsi="仿宋" w:eastAsia="仿宋" w:cs="仿宋"/>
                <w:sz w:val="24"/>
              </w:rPr>
              <w:t>观</w:t>
            </w:r>
          </w:p>
        </w:tc>
        <w:tc>
          <w:tcPr>
            <w:tcW w:w="1099" w:type="pct"/>
            <w:vAlign w:val="center"/>
          </w:tcPr>
          <w:p>
            <w:pPr>
              <w:widowControl/>
              <w:snapToGrid w:val="0"/>
              <w:jc w:val="center"/>
              <w:rPr>
                <w:rFonts w:hint="eastAsia" w:ascii="仿宋_GB2312" w:hAnsi="宋体" w:eastAsia="仿宋_GB2312" w:cs="仿宋_GB2312"/>
                <w:kern w:val="2"/>
                <w:sz w:val="24"/>
                <w:szCs w:val="24"/>
                <w:highlight w:val="none"/>
                <w:lang w:val="en-GB" w:eastAsia="zh-CN" w:bidi="ar-SA"/>
              </w:rPr>
            </w:pPr>
            <w:r>
              <w:rPr>
                <w:rFonts w:hint="eastAsia" w:ascii="仿宋_GB2312" w:hAnsi="宋体" w:eastAsia="仿宋_GB2312" w:cs="仿宋_GB2312"/>
                <w:kern w:val="2"/>
                <w:sz w:val="24"/>
                <w:szCs w:val="24"/>
                <w:highlight w:val="none"/>
                <w:lang w:val="en-GB" w:eastAsia="zh-CN" w:bidi="ar-SA"/>
              </w:rPr>
              <w:t>应急响应方案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59" w:type="pct"/>
            <w:vAlign w:val="center"/>
          </w:tcPr>
          <w:p>
            <w:pPr>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7</w:t>
            </w:r>
          </w:p>
        </w:tc>
        <w:tc>
          <w:tcPr>
            <w:tcW w:w="2797" w:type="pct"/>
            <w:vAlign w:val="center"/>
          </w:tcPr>
          <w:p>
            <w:pPr>
              <w:widowControl/>
              <w:snapToGrid w:val="0"/>
              <w:jc w:val="left"/>
              <w:rPr>
                <w:rFonts w:hint="eastAsia" w:ascii="仿宋_GB2312" w:hAnsi="宋体" w:eastAsia="仿宋_GB2312" w:cs="仿宋_GB2312"/>
                <w:kern w:val="2"/>
                <w:sz w:val="24"/>
                <w:szCs w:val="24"/>
                <w:highlight w:val="none"/>
                <w:lang w:val="en-US" w:eastAsia="zh-CN" w:bidi="ar-SA"/>
              </w:rPr>
            </w:pPr>
            <w:r>
              <w:rPr>
                <w:rFonts w:hint="eastAsia" w:ascii="仿宋_GB2312" w:hAnsi="宋体" w:eastAsia="仿宋_GB2312" w:cs="仿宋_GB2312"/>
                <w:sz w:val="24"/>
                <w:szCs w:val="24"/>
                <w:highlight w:val="none"/>
                <w:lang w:val="zh-CN" w:eastAsia="zh-CN"/>
              </w:rPr>
              <w:t>投标人对雕塑、亮灯小品、喷泉等设施整体养护方案，方案科学合理、针对性强、</w:t>
            </w:r>
            <w:r>
              <w:rPr>
                <w:rFonts w:hint="eastAsia" w:ascii="仿宋_GB2312" w:hAnsi="宋体" w:eastAsia="仿宋_GB2312" w:cs="仿宋_GB2312"/>
                <w:sz w:val="24"/>
                <w:szCs w:val="24"/>
                <w:highlight w:val="none"/>
                <w:lang w:val="en-US" w:eastAsia="zh-CN"/>
              </w:rPr>
              <w:t>内容齐全、结构完整得3分；</w:t>
            </w:r>
            <w:r>
              <w:rPr>
                <w:rFonts w:hint="eastAsia" w:ascii="仿宋_GB2312" w:hAnsi="宋体" w:eastAsia="仿宋_GB2312" w:cs="仿宋_GB2312"/>
                <w:sz w:val="24"/>
                <w:szCs w:val="24"/>
                <w:highlight w:val="none"/>
                <w:lang w:val="zh-CN" w:eastAsia="zh-CN"/>
              </w:rPr>
              <w:t>方案欠科学性、欠针对性、</w:t>
            </w:r>
            <w:r>
              <w:rPr>
                <w:rFonts w:hint="eastAsia" w:ascii="仿宋_GB2312" w:hAnsi="宋体" w:eastAsia="仿宋_GB2312" w:cs="仿宋_GB2312"/>
                <w:sz w:val="24"/>
                <w:szCs w:val="24"/>
                <w:highlight w:val="none"/>
                <w:lang w:val="en-US" w:eastAsia="zh-CN"/>
              </w:rPr>
              <w:t>内容结构欠完整的，一处扣0.3分；</w:t>
            </w:r>
            <w:r>
              <w:rPr>
                <w:rFonts w:hint="eastAsia" w:ascii="仿宋_GB2312" w:hAnsi="宋体" w:eastAsia="仿宋_GB2312" w:cs="仿宋_GB2312"/>
                <w:sz w:val="24"/>
                <w:szCs w:val="24"/>
                <w:highlight w:val="none"/>
                <w:lang w:val="zh-CN" w:eastAsia="zh-CN"/>
              </w:rPr>
              <w:t>方案不科学性、无针对性、</w:t>
            </w:r>
            <w:r>
              <w:rPr>
                <w:rFonts w:hint="eastAsia" w:ascii="仿宋_GB2312" w:hAnsi="宋体" w:eastAsia="仿宋_GB2312" w:cs="仿宋_GB2312"/>
                <w:sz w:val="24"/>
                <w:szCs w:val="24"/>
                <w:highlight w:val="none"/>
                <w:lang w:val="en-US" w:eastAsia="zh-CN"/>
              </w:rPr>
              <w:t>内容结构不完整的，一处扣0.6分（0-3分）</w:t>
            </w:r>
          </w:p>
        </w:tc>
        <w:tc>
          <w:tcPr>
            <w:tcW w:w="644" w:type="pct"/>
            <w:vAlign w:val="center"/>
          </w:tcPr>
          <w:p>
            <w:pPr>
              <w:jc w:val="center"/>
              <w:rPr>
                <w:rFonts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p>
          <w:p>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主</w:t>
            </w:r>
            <w:r>
              <w:rPr>
                <w:rFonts w:hint="eastAsia" w:ascii="仿宋" w:hAnsi="仿宋" w:eastAsia="仿宋" w:cs="仿宋"/>
                <w:sz w:val="24"/>
                <w:highlight w:val="none"/>
              </w:rPr>
              <w:t>观</w:t>
            </w:r>
          </w:p>
        </w:tc>
        <w:tc>
          <w:tcPr>
            <w:tcW w:w="1099" w:type="pct"/>
            <w:vAlign w:val="center"/>
          </w:tcPr>
          <w:p>
            <w:pPr>
              <w:widowControl/>
              <w:snapToGrid w:val="0"/>
              <w:jc w:val="center"/>
              <w:rPr>
                <w:rFonts w:hint="eastAsia" w:ascii="仿宋_GB2312" w:hAnsi="宋体" w:eastAsia="仿宋_GB2312" w:cs="仿宋_GB2312"/>
                <w:kern w:val="2"/>
                <w:sz w:val="24"/>
                <w:szCs w:val="24"/>
                <w:highlight w:val="none"/>
                <w:lang w:val="en-GB" w:eastAsia="zh-CN" w:bidi="ar-SA"/>
              </w:rPr>
            </w:pPr>
            <w:r>
              <w:rPr>
                <w:rFonts w:hint="eastAsia" w:ascii="仿宋_GB2312" w:hAnsi="宋体" w:eastAsia="仿宋_GB2312" w:cs="仿宋_GB2312"/>
                <w:sz w:val="24"/>
                <w:szCs w:val="24"/>
                <w:highlight w:val="none"/>
                <w:lang w:val="en-GB" w:eastAsia="zh-CN"/>
              </w:rPr>
              <w:t>其他相关设施养护方案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59" w:type="pct"/>
            <w:vAlign w:val="center"/>
          </w:tcPr>
          <w:p>
            <w:pPr>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8</w:t>
            </w:r>
          </w:p>
        </w:tc>
        <w:tc>
          <w:tcPr>
            <w:tcW w:w="2797" w:type="pct"/>
            <w:vAlign w:val="center"/>
          </w:tcPr>
          <w:p>
            <w:pPr>
              <w:widowControl/>
              <w:snapToGrid w:val="0"/>
              <w:jc w:val="left"/>
              <w:rPr>
                <w:rFonts w:hint="eastAsia" w:ascii="仿宋_GB2312" w:hAnsi="宋体" w:eastAsia="仿宋_GB2312" w:cs="仿宋_GB2312"/>
                <w:kern w:val="2"/>
                <w:sz w:val="24"/>
                <w:szCs w:val="24"/>
                <w:highlight w:val="none"/>
                <w:lang w:val="en-US" w:eastAsia="zh-CN" w:bidi="ar-SA"/>
              </w:rPr>
            </w:pPr>
            <w:r>
              <w:rPr>
                <w:rFonts w:hint="eastAsia" w:ascii="仿宋_GB2312" w:hAnsi="宋体" w:eastAsia="仿宋_GB2312" w:cs="仿宋_GB2312"/>
                <w:sz w:val="24"/>
                <w:szCs w:val="24"/>
                <w:highlight w:val="none"/>
                <w:lang w:val="zh-CN" w:eastAsia="zh-CN"/>
              </w:rPr>
              <w:t>投标人结合现场景观灯的使用寿命、灯具类别、市场供货、安全运行等内容，制定改造翻新或改造方案，方案科学合理、针对性强、</w:t>
            </w:r>
            <w:r>
              <w:rPr>
                <w:rFonts w:hint="eastAsia" w:ascii="仿宋_GB2312" w:hAnsi="宋体" w:eastAsia="仿宋_GB2312" w:cs="仿宋_GB2312"/>
                <w:sz w:val="24"/>
                <w:szCs w:val="24"/>
                <w:highlight w:val="none"/>
                <w:lang w:val="en-US" w:eastAsia="zh-CN"/>
              </w:rPr>
              <w:t>内容齐全、结构完整得3分；</w:t>
            </w:r>
            <w:r>
              <w:rPr>
                <w:rFonts w:hint="eastAsia" w:ascii="仿宋_GB2312" w:hAnsi="宋体" w:eastAsia="仿宋_GB2312" w:cs="仿宋_GB2312"/>
                <w:sz w:val="24"/>
                <w:szCs w:val="24"/>
                <w:highlight w:val="none"/>
                <w:lang w:val="zh-CN" w:eastAsia="zh-CN"/>
              </w:rPr>
              <w:t>方案欠科学性、欠针对性、</w:t>
            </w:r>
            <w:r>
              <w:rPr>
                <w:rFonts w:hint="eastAsia" w:ascii="仿宋_GB2312" w:hAnsi="宋体" w:eastAsia="仿宋_GB2312" w:cs="仿宋_GB2312"/>
                <w:sz w:val="24"/>
                <w:szCs w:val="24"/>
                <w:highlight w:val="none"/>
                <w:lang w:val="en-US" w:eastAsia="zh-CN"/>
              </w:rPr>
              <w:t>内容结构欠完整的，一处扣0.3分；</w:t>
            </w:r>
            <w:r>
              <w:rPr>
                <w:rFonts w:hint="eastAsia" w:ascii="仿宋_GB2312" w:hAnsi="宋体" w:eastAsia="仿宋_GB2312" w:cs="仿宋_GB2312"/>
                <w:sz w:val="24"/>
                <w:szCs w:val="24"/>
                <w:highlight w:val="none"/>
                <w:lang w:val="zh-CN" w:eastAsia="zh-CN"/>
              </w:rPr>
              <w:t>方案不科学性、无针对性、</w:t>
            </w:r>
            <w:r>
              <w:rPr>
                <w:rFonts w:hint="eastAsia" w:ascii="仿宋_GB2312" w:hAnsi="宋体" w:eastAsia="仿宋_GB2312" w:cs="仿宋_GB2312"/>
                <w:sz w:val="24"/>
                <w:szCs w:val="24"/>
                <w:highlight w:val="none"/>
                <w:lang w:val="en-US" w:eastAsia="zh-CN"/>
              </w:rPr>
              <w:t>内容结构不完整的，一处扣0.6分（0-3分）</w:t>
            </w:r>
          </w:p>
        </w:tc>
        <w:tc>
          <w:tcPr>
            <w:tcW w:w="644" w:type="pct"/>
            <w:vAlign w:val="center"/>
          </w:tcPr>
          <w:p>
            <w:pPr>
              <w:jc w:val="center"/>
              <w:rPr>
                <w:rFonts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p>
          <w:p>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主</w:t>
            </w:r>
            <w:r>
              <w:rPr>
                <w:rFonts w:hint="eastAsia" w:ascii="仿宋" w:hAnsi="仿宋" w:eastAsia="仿宋" w:cs="仿宋"/>
                <w:sz w:val="24"/>
                <w:highlight w:val="none"/>
              </w:rPr>
              <w:t>观</w:t>
            </w:r>
          </w:p>
        </w:tc>
        <w:tc>
          <w:tcPr>
            <w:tcW w:w="1099" w:type="pct"/>
            <w:vAlign w:val="center"/>
          </w:tcPr>
          <w:p>
            <w:pPr>
              <w:widowControl/>
              <w:snapToGrid w:val="0"/>
              <w:jc w:val="center"/>
              <w:rPr>
                <w:rFonts w:hint="eastAsia" w:ascii="仿宋_GB2312" w:hAnsi="宋体" w:eastAsia="仿宋_GB2312" w:cs="仿宋_GB2312"/>
                <w:kern w:val="2"/>
                <w:sz w:val="24"/>
                <w:szCs w:val="24"/>
                <w:highlight w:val="none"/>
                <w:lang w:val="en-GB" w:eastAsia="zh-CN" w:bidi="ar-SA"/>
              </w:rPr>
            </w:pPr>
            <w:r>
              <w:rPr>
                <w:rFonts w:hint="eastAsia" w:ascii="仿宋_GB2312" w:hAnsi="宋体" w:eastAsia="仿宋_GB2312" w:cs="仿宋_GB2312"/>
                <w:sz w:val="24"/>
                <w:szCs w:val="24"/>
                <w:highlight w:val="none"/>
                <w:lang w:val="en-GB" w:eastAsia="zh-CN"/>
              </w:rPr>
              <w:t>旧设施设备改造方案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59" w:type="pct"/>
            <w:vAlign w:val="center"/>
          </w:tcPr>
          <w:p>
            <w:pPr>
              <w:jc w:val="center"/>
              <w:rPr>
                <w:rFonts w:hint="eastAsia" w:ascii="仿宋" w:hAnsi="仿宋" w:eastAsia="仿宋" w:cs="仿宋_GB2312"/>
                <w:sz w:val="24"/>
                <w:lang w:val="en-US" w:eastAsia="zh-CN"/>
              </w:rPr>
            </w:pPr>
            <w:r>
              <w:rPr>
                <w:rFonts w:hint="eastAsia" w:ascii="仿宋" w:hAnsi="仿宋" w:eastAsia="仿宋" w:cs="仿宋_GB2312"/>
                <w:sz w:val="24"/>
                <w:lang w:val="en-US" w:eastAsia="zh-CN"/>
              </w:rPr>
              <w:t>9</w:t>
            </w:r>
          </w:p>
        </w:tc>
        <w:tc>
          <w:tcPr>
            <w:tcW w:w="2797" w:type="pct"/>
            <w:vAlign w:val="center"/>
          </w:tcPr>
          <w:p>
            <w:pPr>
              <w:widowControl/>
              <w:snapToGrid w:val="0"/>
              <w:jc w:val="left"/>
              <w:rPr>
                <w:rFonts w:hint="eastAsia" w:ascii="宋体" w:hAnsi="宋体" w:eastAsia="仿宋" w:cs="宋体"/>
                <w:bCs/>
                <w:color w:val="000000"/>
                <w:kern w:val="2"/>
                <w:sz w:val="21"/>
                <w:szCs w:val="21"/>
                <w:highlight w:val="none"/>
                <w:lang w:val="en-US" w:eastAsia="zh-CN" w:bidi="ar-SA"/>
              </w:rPr>
            </w:pPr>
            <w:r>
              <w:rPr>
                <w:rFonts w:hint="eastAsia" w:ascii="仿宋_GB2312" w:hAnsi="宋体" w:eastAsia="仿宋_GB2312" w:cs="仿宋_GB2312"/>
                <w:sz w:val="24"/>
                <w:szCs w:val="24"/>
                <w:highlight w:val="none"/>
                <w:lang w:val="zh-CN" w:eastAsia="zh-CN"/>
              </w:rPr>
              <w:t>投标人</w:t>
            </w:r>
            <w:r>
              <w:rPr>
                <w:rFonts w:hint="eastAsia" w:ascii="仿宋_GB2312" w:hAnsi="宋体" w:eastAsia="仿宋_GB2312" w:cs="仿宋_GB2312"/>
                <w:sz w:val="24"/>
                <w:szCs w:val="24"/>
                <w:highlight w:val="none"/>
                <w:lang w:val="en-GB" w:eastAsia="zh-CN"/>
              </w:rPr>
              <w:t>根据</w:t>
            </w:r>
            <w:r>
              <w:rPr>
                <w:rFonts w:hint="eastAsia" w:ascii="仿宋_GB2312" w:hAnsi="宋体" w:eastAsia="仿宋_GB2312" w:cs="仿宋_GB2312"/>
                <w:sz w:val="24"/>
                <w:szCs w:val="24"/>
                <w:highlight w:val="none"/>
                <w:lang w:val="zh-CN" w:eastAsia="zh-CN"/>
              </w:rPr>
              <w:t>本项目</w:t>
            </w:r>
            <w:r>
              <w:rPr>
                <w:rFonts w:hint="eastAsia" w:ascii="仿宋_GB2312" w:hAnsi="宋体" w:eastAsia="仿宋_GB2312" w:cs="仿宋_GB2312"/>
                <w:sz w:val="24"/>
                <w:szCs w:val="24"/>
                <w:highlight w:val="none"/>
                <w:lang w:val="en-GB" w:eastAsia="zh-CN"/>
              </w:rPr>
              <w:t>特点制定城市景观照明的宣传方案，</w:t>
            </w:r>
            <w:r>
              <w:rPr>
                <w:rFonts w:hint="eastAsia" w:ascii="仿宋_GB2312" w:hAnsi="宋体" w:eastAsia="仿宋_GB2312" w:cs="仿宋_GB2312"/>
                <w:sz w:val="24"/>
                <w:szCs w:val="24"/>
                <w:highlight w:val="none"/>
                <w:lang w:val="zh-CN" w:eastAsia="zh-CN"/>
              </w:rPr>
              <w:t>方案科学合理、针对性强、</w:t>
            </w:r>
            <w:r>
              <w:rPr>
                <w:rFonts w:hint="eastAsia" w:ascii="仿宋_GB2312" w:hAnsi="宋体" w:eastAsia="仿宋_GB2312" w:cs="仿宋_GB2312"/>
                <w:sz w:val="24"/>
                <w:szCs w:val="24"/>
                <w:highlight w:val="none"/>
                <w:lang w:val="en-US" w:eastAsia="zh-CN"/>
              </w:rPr>
              <w:t>内容齐全、结构完整得3分；</w:t>
            </w:r>
            <w:r>
              <w:rPr>
                <w:rFonts w:hint="eastAsia" w:ascii="仿宋_GB2312" w:hAnsi="宋体" w:eastAsia="仿宋_GB2312" w:cs="仿宋_GB2312"/>
                <w:sz w:val="24"/>
                <w:szCs w:val="24"/>
                <w:highlight w:val="none"/>
                <w:lang w:val="zh-CN" w:eastAsia="zh-CN"/>
              </w:rPr>
              <w:t>方案欠科学性、欠针对性、</w:t>
            </w:r>
            <w:r>
              <w:rPr>
                <w:rFonts w:hint="eastAsia" w:ascii="仿宋_GB2312" w:hAnsi="宋体" w:eastAsia="仿宋_GB2312" w:cs="仿宋_GB2312"/>
                <w:sz w:val="24"/>
                <w:szCs w:val="24"/>
                <w:highlight w:val="none"/>
                <w:lang w:val="en-US" w:eastAsia="zh-CN"/>
              </w:rPr>
              <w:t>内容结构欠完整的，一处扣0.3分；</w:t>
            </w:r>
            <w:r>
              <w:rPr>
                <w:rFonts w:hint="eastAsia" w:ascii="仿宋_GB2312" w:hAnsi="宋体" w:eastAsia="仿宋_GB2312" w:cs="仿宋_GB2312"/>
                <w:sz w:val="24"/>
                <w:szCs w:val="24"/>
                <w:highlight w:val="none"/>
                <w:lang w:val="zh-CN" w:eastAsia="zh-CN"/>
              </w:rPr>
              <w:t>方案不科学性、无针对性、</w:t>
            </w:r>
            <w:r>
              <w:rPr>
                <w:rFonts w:hint="eastAsia" w:ascii="仿宋_GB2312" w:hAnsi="宋体" w:eastAsia="仿宋_GB2312" w:cs="仿宋_GB2312"/>
                <w:sz w:val="24"/>
                <w:szCs w:val="24"/>
                <w:highlight w:val="none"/>
                <w:lang w:val="en-US" w:eastAsia="zh-CN"/>
              </w:rPr>
              <w:t>内容结构不完整的，一处扣0.6分（0-3分）</w:t>
            </w:r>
          </w:p>
        </w:tc>
        <w:tc>
          <w:tcPr>
            <w:tcW w:w="644" w:type="pct"/>
            <w:vAlign w:val="center"/>
          </w:tcPr>
          <w:p>
            <w:pPr>
              <w:jc w:val="center"/>
              <w:rPr>
                <w:rFonts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分</w:t>
            </w:r>
          </w:p>
          <w:p>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主</w:t>
            </w:r>
            <w:r>
              <w:rPr>
                <w:rFonts w:hint="eastAsia" w:ascii="仿宋" w:hAnsi="仿宋" w:eastAsia="仿宋" w:cs="仿宋"/>
                <w:sz w:val="24"/>
                <w:highlight w:val="none"/>
              </w:rPr>
              <w:t>观</w:t>
            </w:r>
          </w:p>
        </w:tc>
        <w:tc>
          <w:tcPr>
            <w:tcW w:w="1099" w:type="pct"/>
            <w:vAlign w:val="center"/>
          </w:tcPr>
          <w:p>
            <w:pPr>
              <w:widowControl/>
              <w:snapToGrid w:val="0"/>
              <w:jc w:val="center"/>
              <w:rPr>
                <w:rFonts w:hint="eastAsia" w:ascii="仿宋_GB2312" w:hAnsi="宋体" w:eastAsia="仿宋_GB2312" w:cs="仿宋_GB2312"/>
                <w:kern w:val="2"/>
                <w:sz w:val="24"/>
                <w:szCs w:val="24"/>
                <w:highlight w:val="none"/>
                <w:lang w:val="en-GB" w:eastAsia="zh-CN" w:bidi="ar-SA"/>
              </w:rPr>
            </w:pPr>
            <w:r>
              <w:rPr>
                <w:rFonts w:hint="eastAsia" w:ascii="仿宋_GB2312" w:hAnsi="宋体" w:eastAsia="仿宋_GB2312" w:cs="仿宋_GB2312"/>
                <w:kern w:val="2"/>
                <w:sz w:val="24"/>
                <w:szCs w:val="24"/>
                <w:highlight w:val="none"/>
                <w:lang w:val="en-GB" w:eastAsia="zh-CN" w:bidi="ar-SA"/>
              </w:rPr>
              <w:t>宣传</w:t>
            </w:r>
          </w:p>
          <w:p>
            <w:pPr>
              <w:widowControl/>
              <w:snapToGrid w:val="0"/>
              <w:jc w:val="center"/>
              <w:rPr>
                <w:rFonts w:hint="eastAsia" w:ascii="仿宋_GB2312" w:hAnsi="宋体" w:eastAsia="仿宋_GB2312" w:cs="仿宋_GB2312"/>
                <w:kern w:val="2"/>
                <w:sz w:val="24"/>
                <w:szCs w:val="24"/>
                <w:highlight w:val="none"/>
                <w:lang w:val="en-GB" w:eastAsia="zh-CN" w:bidi="ar-SA"/>
              </w:rPr>
            </w:pPr>
            <w:r>
              <w:rPr>
                <w:rFonts w:hint="eastAsia" w:ascii="仿宋_GB2312" w:hAnsi="宋体" w:eastAsia="仿宋_GB2312" w:cs="仿宋_GB2312"/>
                <w:kern w:val="2"/>
                <w:sz w:val="24"/>
                <w:szCs w:val="24"/>
                <w:highlight w:val="none"/>
                <w:lang w:val="en-GB" w:eastAsia="zh-CN" w:bidi="ar-SA"/>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59" w:type="pct"/>
            <w:vAlign w:val="center"/>
          </w:tcPr>
          <w:p>
            <w:pPr>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10</w:t>
            </w:r>
          </w:p>
        </w:tc>
        <w:tc>
          <w:tcPr>
            <w:tcW w:w="2797" w:type="pct"/>
            <w:vAlign w:val="center"/>
          </w:tcPr>
          <w:p>
            <w:pPr>
              <w:widowControl/>
              <w:snapToGrid w:val="0"/>
              <w:jc w:val="left"/>
              <w:rPr>
                <w:rFonts w:hint="eastAsia" w:ascii="仿宋_GB2312" w:hAnsi="宋体" w:eastAsia="仿宋_GB2312" w:cs="仿宋_GB2312"/>
                <w:kern w:val="2"/>
                <w:sz w:val="24"/>
                <w:szCs w:val="24"/>
                <w:highlight w:val="none"/>
                <w:lang w:val="en-US" w:eastAsia="zh-CN" w:bidi="ar-SA"/>
              </w:rPr>
            </w:pPr>
            <w:r>
              <w:rPr>
                <w:rFonts w:hint="eastAsia" w:ascii="仿宋_GB2312" w:hAnsi="宋体" w:eastAsia="仿宋_GB2312" w:cs="仿宋_GB2312"/>
                <w:sz w:val="24"/>
                <w:szCs w:val="24"/>
                <w:highlight w:val="none"/>
                <w:lang w:val="zh-CN" w:eastAsia="zh-CN"/>
              </w:rPr>
              <w:t>对本项目的合理化建议</w:t>
            </w:r>
            <w:r>
              <w:rPr>
                <w:rFonts w:hint="eastAsia" w:ascii="仿宋_GB2312" w:hAnsi="宋体" w:eastAsia="仿宋_GB2312" w:cs="仿宋_GB2312"/>
                <w:sz w:val="24"/>
                <w:szCs w:val="24"/>
                <w:highlight w:val="none"/>
                <w:lang w:val="en-GB" w:eastAsia="zh-CN"/>
              </w:rPr>
              <w:t>情况，</w:t>
            </w:r>
            <w:r>
              <w:rPr>
                <w:rFonts w:hint="eastAsia" w:ascii="仿宋_GB2312" w:hAnsi="宋体" w:eastAsia="仿宋_GB2312" w:cs="仿宋_GB2312"/>
                <w:sz w:val="24"/>
                <w:szCs w:val="24"/>
                <w:highlight w:val="none"/>
                <w:lang w:val="en-US" w:eastAsia="zh-CN"/>
              </w:rPr>
              <w:t>合理化建议</w:t>
            </w:r>
            <w:r>
              <w:rPr>
                <w:rFonts w:hint="eastAsia" w:ascii="仿宋_GB2312" w:hAnsi="宋体" w:eastAsia="仿宋_GB2312" w:cs="仿宋_GB2312"/>
                <w:sz w:val="24"/>
                <w:szCs w:val="24"/>
                <w:highlight w:val="none"/>
                <w:lang w:val="zh-CN" w:eastAsia="zh-CN"/>
              </w:rPr>
              <w:t>科学合理、针对性、实用性、可操作性强</w:t>
            </w:r>
            <w:r>
              <w:rPr>
                <w:rFonts w:hint="eastAsia" w:ascii="仿宋_GB2312" w:hAnsi="宋体" w:eastAsia="仿宋_GB2312" w:cs="仿宋_GB2312"/>
                <w:sz w:val="24"/>
                <w:szCs w:val="24"/>
                <w:highlight w:val="none"/>
                <w:lang w:val="en-US" w:eastAsia="zh-CN"/>
              </w:rPr>
              <w:t>得2分</w:t>
            </w:r>
            <w:r>
              <w:rPr>
                <w:rFonts w:hint="eastAsia" w:ascii="仿宋_GB2312" w:hAnsi="宋体" w:eastAsia="仿宋_GB2312" w:cs="仿宋_GB2312"/>
                <w:sz w:val="24"/>
                <w:szCs w:val="24"/>
                <w:highlight w:val="none"/>
                <w:lang w:val="zh-CN" w:eastAsia="zh-CN"/>
              </w:rPr>
              <w:t>；</w:t>
            </w:r>
            <w:r>
              <w:rPr>
                <w:rFonts w:hint="eastAsia" w:ascii="仿宋_GB2312" w:hAnsi="宋体" w:eastAsia="仿宋_GB2312" w:cs="仿宋_GB2312"/>
                <w:sz w:val="24"/>
                <w:szCs w:val="24"/>
                <w:highlight w:val="none"/>
                <w:lang w:val="en-US" w:eastAsia="zh-CN"/>
              </w:rPr>
              <w:t>合理化建议欠</w:t>
            </w:r>
            <w:r>
              <w:rPr>
                <w:rFonts w:hint="eastAsia" w:ascii="仿宋_GB2312" w:hAnsi="宋体" w:eastAsia="仿宋_GB2312" w:cs="仿宋_GB2312"/>
                <w:sz w:val="24"/>
                <w:szCs w:val="24"/>
                <w:highlight w:val="none"/>
                <w:lang w:val="zh-CN" w:eastAsia="zh-CN"/>
              </w:rPr>
              <w:t>科学性、欠针对性、欠实用性、欠操作性的，</w:t>
            </w:r>
            <w:r>
              <w:rPr>
                <w:rFonts w:hint="eastAsia" w:ascii="仿宋_GB2312" w:hAnsi="宋体" w:eastAsia="仿宋_GB2312" w:cs="仿宋_GB2312"/>
                <w:sz w:val="24"/>
                <w:szCs w:val="24"/>
                <w:highlight w:val="none"/>
                <w:lang w:val="en-US" w:eastAsia="zh-CN"/>
              </w:rPr>
              <w:t>一处扣0.2分；合理化建议不</w:t>
            </w:r>
            <w:r>
              <w:rPr>
                <w:rFonts w:hint="eastAsia" w:ascii="仿宋_GB2312" w:hAnsi="宋体" w:eastAsia="仿宋_GB2312" w:cs="仿宋_GB2312"/>
                <w:sz w:val="24"/>
                <w:szCs w:val="24"/>
                <w:highlight w:val="none"/>
                <w:lang w:val="zh-CN" w:eastAsia="zh-CN"/>
              </w:rPr>
              <w:t>科学性、无针对性、无实用性、无操作性的，</w:t>
            </w:r>
            <w:r>
              <w:rPr>
                <w:rFonts w:hint="eastAsia" w:ascii="仿宋_GB2312" w:hAnsi="宋体" w:eastAsia="仿宋_GB2312" w:cs="仿宋_GB2312"/>
                <w:sz w:val="24"/>
                <w:szCs w:val="24"/>
                <w:highlight w:val="none"/>
                <w:lang w:val="en-US" w:eastAsia="zh-CN"/>
              </w:rPr>
              <w:t>一处扣0.4分。（0-2分）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分</w:t>
            </w:r>
          </w:p>
          <w:p>
            <w:pPr>
              <w:jc w:val="center"/>
              <w:rPr>
                <w:rFonts w:hint="eastAsia" w:ascii="仿宋" w:hAnsi="仿宋" w:eastAsia="仿宋" w:cs="仿宋"/>
                <w:sz w:val="24"/>
                <w:lang w:eastAsia="zh-CN"/>
              </w:rPr>
            </w:pPr>
            <w:r>
              <w:rPr>
                <w:rFonts w:hint="eastAsia" w:ascii="仿宋" w:hAnsi="仿宋" w:eastAsia="仿宋" w:cs="仿宋"/>
                <w:sz w:val="24"/>
                <w:lang w:eastAsia="zh-CN"/>
              </w:rPr>
              <w:t>主</w:t>
            </w:r>
            <w:r>
              <w:rPr>
                <w:rFonts w:hint="eastAsia" w:ascii="仿宋" w:hAnsi="仿宋" w:eastAsia="仿宋" w:cs="仿宋"/>
                <w:sz w:val="24"/>
              </w:rPr>
              <w:t>观</w:t>
            </w:r>
          </w:p>
        </w:tc>
        <w:tc>
          <w:tcPr>
            <w:tcW w:w="1099" w:type="pct"/>
            <w:vAlign w:val="center"/>
          </w:tcPr>
          <w:p>
            <w:pPr>
              <w:widowControl/>
              <w:snapToGrid w:val="0"/>
              <w:jc w:val="center"/>
              <w:rPr>
                <w:rFonts w:hint="eastAsia" w:ascii="仿宋_GB2312" w:hAnsi="宋体" w:eastAsia="仿宋_GB2312" w:cs="仿宋_GB2312"/>
                <w:kern w:val="2"/>
                <w:sz w:val="24"/>
                <w:szCs w:val="24"/>
                <w:highlight w:val="none"/>
                <w:lang w:val="en-GB" w:eastAsia="zh-CN" w:bidi="ar-SA"/>
              </w:rPr>
            </w:pPr>
            <w:r>
              <w:rPr>
                <w:rFonts w:hint="eastAsia" w:ascii="仿宋_GB2312" w:hAnsi="宋体" w:eastAsia="仿宋_GB2312" w:cs="仿宋_GB2312"/>
                <w:sz w:val="24"/>
                <w:szCs w:val="24"/>
                <w:highlight w:val="none"/>
                <w:lang w:val="en-GB" w:eastAsia="zh-CN"/>
              </w:rPr>
              <w:t>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59" w:type="pct"/>
            <w:vAlign w:val="center"/>
          </w:tcPr>
          <w:p>
            <w:pPr>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11</w:t>
            </w:r>
          </w:p>
        </w:tc>
        <w:tc>
          <w:tcPr>
            <w:tcW w:w="2797" w:type="pct"/>
            <w:vAlign w:val="center"/>
          </w:tcPr>
          <w:p>
            <w:pPr>
              <w:widowControl/>
              <w:snapToGrid w:val="0"/>
              <w:jc w:val="left"/>
              <w:rPr>
                <w:rFonts w:hint="eastAsia" w:ascii="仿宋_GB2312" w:hAnsi="宋体" w:eastAsia="仿宋_GB2312" w:cs="仿宋_GB2312"/>
                <w:sz w:val="24"/>
                <w:szCs w:val="24"/>
                <w:highlight w:val="none"/>
                <w:lang w:val="en-GB" w:eastAsia="zh-CN"/>
              </w:rPr>
            </w:pPr>
            <w:r>
              <w:rPr>
                <w:rFonts w:hint="eastAsia" w:ascii="仿宋_GB2312" w:hAnsi="宋体" w:eastAsia="仿宋_GB2312" w:cs="仿宋_GB2312"/>
                <w:sz w:val="24"/>
                <w:szCs w:val="24"/>
                <w:highlight w:val="none"/>
                <w:lang w:val="en-GB" w:eastAsia="zh-CN"/>
              </w:rPr>
              <w:t>（1）配置1辆登高车且为投标单位自有的基础上,每增加1辆登高车（自有）得</w:t>
            </w:r>
            <w:r>
              <w:rPr>
                <w:rFonts w:hint="eastAsia" w:ascii="仿宋_GB2312" w:hAnsi="宋体" w:eastAsia="仿宋_GB2312" w:cs="仿宋_GB2312"/>
                <w:sz w:val="24"/>
                <w:szCs w:val="24"/>
                <w:highlight w:val="none"/>
                <w:lang w:val="en-US" w:eastAsia="zh-CN"/>
              </w:rPr>
              <w:t>2</w:t>
            </w:r>
            <w:r>
              <w:rPr>
                <w:rFonts w:hint="eastAsia" w:ascii="仿宋_GB2312" w:hAnsi="宋体" w:eastAsia="仿宋_GB2312" w:cs="仿宋_GB2312"/>
                <w:sz w:val="24"/>
                <w:szCs w:val="24"/>
                <w:highlight w:val="none"/>
                <w:lang w:val="en-GB" w:eastAsia="zh-CN"/>
              </w:rPr>
              <w:t>分，本项最高得</w:t>
            </w:r>
            <w:r>
              <w:rPr>
                <w:rFonts w:hint="eastAsia" w:ascii="仿宋_GB2312" w:hAnsi="宋体" w:eastAsia="仿宋_GB2312" w:cs="仿宋_GB2312"/>
                <w:sz w:val="24"/>
                <w:szCs w:val="24"/>
                <w:highlight w:val="none"/>
                <w:lang w:val="en-US" w:eastAsia="zh-CN"/>
              </w:rPr>
              <w:t>4</w:t>
            </w:r>
            <w:r>
              <w:rPr>
                <w:rFonts w:hint="eastAsia" w:ascii="仿宋_GB2312" w:hAnsi="宋体" w:eastAsia="仿宋_GB2312" w:cs="仿宋_GB2312"/>
                <w:sz w:val="24"/>
                <w:szCs w:val="24"/>
                <w:highlight w:val="none"/>
                <w:lang w:val="en-GB" w:eastAsia="zh-CN"/>
              </w:rPr>
              <w:t>分;（0-</w:t>
            </w:r>
            <w:r>
              <w:rPr>
                <w:rFonts w:hint="eastAsia" w:ascii="仿宋_GB2312" w:hAnsi="宋体" w:eastAsia="仿宋_GB2312" w:cs="仿宋_GB2312"/>
                <w:sz w:val="24"/>
                <w:szCs w:val="24"/>
                <w:highlight w:val="none"/>
                <w:lang w:val="en-US" w:eastAsia="zh-CN"/>
              </w:rPr>
              <w:t>4</w:t>
            </w:r>
            <w:r>
              <w:rPr>
                <w:rFonts w:hint="eastAsia" w:ascii="仿宋_GB2312" w:hAnsi="宋体" w:eastAsia="仿宋_GB2312" w:cs="仿宋_GB2312"/>
                <w:sz w:val="24"/>
                <w:szCs w:val="24"/>
                <w:highlight w:val="none"/>
                <w:lang w:val="en-GB" w:eastAsia="zh-CN"/>
              </w:rPr>
              <w:t>分）</w:t>
            </w:r>
          </w:p>
          <w:p>
            <w:pPr>
              <w:widowControl/>
              <w:snapToGrid w:val="0"/>
              <w:jc w:val="left"/>
              <w:rPr>
                <w:rFonts w:hint="eastAsia" w:ascii="仿宋_GB2312" w:hAnsi="宋体" w:eastAsia="仿宋_GB2312" w:cs="仿宋_GB2312"/>
                <w:sz w:val="24"/>
                <w:szCs w:val="24"/>
                <w:highlight w:val="none"/>
                <w:lang w:val="en-GB" w:eastAsia="zh-CN"/>
              </w:rPr>
            </w:pPr>
            <w:r>
              <w:rPr>
                <w:rFonts w:hint="eastAsia" w:ascii="仿宋_GB2312" w:hAnsi="宋体" w:eastAsia="仿宋_GB2312" w:cs="仿宋_GB2312"/>
                <w:sz w:val="24"/>
                <w:szCs w:val="24"/>
                <w:highlight w:val="none"/>
                <w:lang w:val="en-GB" w:eastAsia="zh-CN"/>
              </w:rPr>
              <w:t>（2）配置2辆皮卡车且为投标单位自有的基础上,每增加1辆皮卡车（自有）得</w:t>
            </w:r>
            <w:r>
              <w:rPr>
                <w:rFonts w:hint="eastAsia" w:ascii="仿宋_GB2312" w:hAnsi="宋体" w:eastAsia="仿宋_GB2312" w:cs="仿宋_GB2312"/>
                <w:sz w:val="24"/>
                <w:szCs w:val="24"/>
                <w:highlight w:val="none"/>
                <w:lang w:val="en-US" w:eastAsia="zh-CN"/>
              </w:rPr>
              <w:t>2</w:t>
            </w:r>
            <w:r>
              <w:rPr>
                <w:rFonts w:hint="eastAsia" w:ascii="仿宋_GB2312" w:hAnsi="宋体" w:eastAsia="仿宋_GB2312" w:cs="仿宋_GB2312"/>
                <w:sz w:val="24"/>
                <w:szCs w:val="24"/>
                <w:highlight w:val="none"/>
                <w:lang w:val="en-GB" w:eastAsia="zh-CN"/>
              </w:rPr>
              <w:t>分，最高得</w:t>
            </w:r>
            <w:r>
              <w:rPr>
                <w:rFonts w:hint="eastAsia" w:ascii="仿宋_GB2312" w:hAnsi="宋体" w:eastAsia="仿宋_GB2312" w:cs="仿宋_GB2312"/>
                <w:sz w:val="24"/>
                <w:szCs w:val="24"/>
                <w:highlight w:val="none"/>
                <w:lang w:val="en-US" w:eastAsia="zh-CN"/>
              </w:rPr>
              <w:t>4</w:t>
            </w:r>
            <w:r>
              <w:rPr>
                <w:rFonts w:hint="eastAsia" w:ascii="仿宋_GB2312" w:hAnsi="宋体" w:eastAsia="仿宋_GB2312" w:cs="仿宋_GB2312"/>
                <w:sz w:val="24"/>
                <w:szCs w:val="24"/>
                <w:highlight w:val="none"/>
                <w:lang w:val="en-GB" w:eastAsia="zh-CN"/>
              </w:rPr>
              <w:t>分;（0-</w:t>
            </w:r>
            <w:r>
              <w:rPr>
                <w:rFonts w:hint="eastAsia" w:ascii="仿宋_GB2312" w:hAnsi="宋体" w:eastAsia="仿宋_GB2312" w:cs="仿宋_GB2312"/>
                <w:sz w:val="24"/>
                <w:szCs w:val="24"/>
                <w:highlight w:val="none"/>
                <w:lang w:val="en-US" w:eastAsia="zh-CN"/>
              </w:rPr>
              <w:t>4</w:t>
            </w:r>
            <w:r>
              <w:rPr>
                <w:rFonts w:hint="eastAsia" w:ascii="仿宋_GB2312" w:hAnsi="宋体" w:eastAsia="仿宋_GB2312" w:cs="仿宋_GB2312"/>
                <w:sz w:val="24"/>
                <w:szCs w:val="24"/>
                <w:highlight w:val="none"/>
                <w:lang w:val="en-GB" w:eastAsia="zh-CN"/>
              </w:rPr>
              <w:t>分）</w:t>
            </w:r>
          </w:p>
          <w:p>
            <w:pPr>
              <w:widowControl/>
              <w:snapToGrid w:val="0"/>
              <w:jc w:val="left"/>
              <w:rPr>
                <w:rFonts w:hint="eastAsia" w:ascii="仿宋_GB2312" w:hAnsi="宋体" w:eastAsia="仿宋_GB2312" w:cs="仿宋_GB2312"/>
                <w:sz w:val="24"/>
                <w:szCs w:val="24"/>
                <w:highlight w:val="none"/>
                <w:lang w:val="en-GB" w:eastAsia="zh-CN"/>
              </w:rPr>
            </w:pPr>
            <w:r>
              <w:rPr>
                <w:rFonts w:hint="eastAsia" w:ascii="仿宋_GB2312" w:hAnsi="宋体" w:eastAsia="仿宋_GB2312" w:cs="仿宋_GB2312"/>
                <w:sz w:val="24"/>
                <w:szCs w:val="24"/>
                <w:highlight w:val="none"/>
                <w:lang w:val="en-GB" w:eastAsia="zh-CN"/>
              </w:rPr>
              <w:t>（</w:t>
            </w:r>
            <w:r>
              <w:rPr>
                <w:rFonts w:hint="eastAsia" w:ascii="仿宋_GB2312" w:hAnsi="宋体" w:eastAsia="仿宋_GB2312" w:cs="仿宋_GB2312"/>
                <w:sz w:val="24"/>
                <w:szCs w:val="24"/>
                <w:highlight w:val="none"/>
                <w:lang w:val="en-US" w:eastAsia="zh-CN"/>
              </w:rPr>
              <w:t>3</w:t>
            </w:r>
            <w:r>
              <w:rPr>
                <w:rFonts w:hint="eastAsia" w:ascii="仿宋_GB2312" w:hAnsi="宋体" w:eastAsia="仿宋_GB2312" w:cs="仿宋_GB2312"/>
                <w:sz w:val="24"/>
                <w:szCs w:val="24"/>
                <w:highlight w:val="none"/>
                <w:lang w:val="en-GB" w:eastAsia="zh-CN"/>
              </w:rPr>
              <w:t>）配置</w:t>
            </w:r>
            <w:r>
              <w:rPr>
                <w:rFonts w:hint="eastAsia" w:ascii="仿宋_GB2312" w:hAnsi="宋体" w:eastAsia="仿宋_GB2312" w:cs="仿宋_GB2312"/>
                <w:sz w:val="24"/>
                <w:szCs w:val="24"/>
                <w:highlight w:val="none"/>
                <w:lang w:val="en-US" w:eastAsia="zh-CN"/>
              </w:rPr>
              <w:t>1</w:t>
            </w:r>
            <w:r>
              <w:rPr>
                <w:rFonts w:hint="eastAsia" w:ascii="仿宋_GB2312" w:hAnsi="宋体" w:eastAsia="仿宋_GB2312" w:cs="仿宋_GB2312"/>
                <w:sz w:val="24"/>
                <w:szCs w:val="24"/>
                <w:highlight w:val="none"/>
                <w:lang w:val="en-GB" w:eastAsia="zh-CN"/>
              </w:rPr>
              <w:t>辆</w:t>
            </w:r>
            <w:r>
              <w:rPr>
                <w:rFonts w:hint="eastAsia" w:ascii="仿宋_GB2312" w:hAnsi="宋体" w:eastAsia="仿宋_GB2312" w:cs="仿宋_GB2312"/>
                <w:sz w:val="24"/>
                <w:szCs w:val="24"/>
                <w:highlight w:val="none"/>
                <w:lang w:val="en-US" w:eastAsia="zh-CN"/>
              </w:rPr>
              <w:t>及以上防撞缓冲车</w:t>
            </w:r>
            <w:r>
              <w:rPr>
                <w:rFonts w:hint="eastAsia" w:ascii="仿宋_GB2312" w:hAnsi="宋体" w:eastAsia="仿宋_GB2312" w:cs="仿宋_GB2312"/>
                <w:sz w:val="24"/>
                <w:szCs w:val="24"/>
                <w:highlight w:val="none"/>
                <w:lang w:val="en-GB" w:eastAsia="zh-CN"/>
              </w:rPr>
              <w:t>且为投标单位自有得</w:t>
            </w:r>
            <w:r>
              <w:rPr>
                <w:rFonts w:hint="eastAsia" w:ascii="仿宋_GB2312" w:hAnsi="宋体" w:eastAsia="仿宋_GB2312" w:cs="仿宋_GB2312"/>
                <w:sz w:val="24"/>
                <w:szCs w:val="24"/>
                <w:highlight w:val="none"/>
                <w:lang w:val="en-US" w:eastAsia="zh-CN"/>
              </w:rPr>
              <w:t>2</w:t>
            </w:r>
            <w:r>
              <w:rPr>
                <w:rFonts w:hint="eastAsia" w:ascii="仿宋_GB2312" w:hAnsi="宋体" w:eastAsia="仿宋_GB2312" w:cs="仿宋_GB2312"/>
                <w:sz w:val="24"/>
                <w:szCs w:val="24"/>
                <w:highlight w:val="none"/>
                <w:lang w:val="en-GB" w:eastAsia="zh-CN"/>
              </w:rPr>
              <w:t>分。（0-</w:t>
            </w:r>
            <w:r>
              <w:rPr>
                <w:rFonts w:hint="eastAsia" w:ascii="仿宋_GB2312" w:hAnsi="宋体" w:eastAsia="仿宋_GB2312" w:cs="仿宋_GB2312"/>
                <w:sz w:val="24"/>
                <w:szCs w:val="24"/>
                <w:highlight w:val="none"/>
                <w:lang w:val="en-US" w:eastAsia="zh-CN"/>
              </w:rPr>
              <w:t>2</w:t>
            </w:r>
            <w:r>
              <w:rPr>
                <w:rFonts w:hint="eastAsia" w:ascii="仿宋_GB2312" w:hAnsi="宋体" w:eastAsia="仿宋_GB2312" w:cs="仿宋_GB2312"/>
                <w:sz w:val="24"/>
                <w:szCs w:val="24"/>
                <w:highlight w:val="none"/>
                <w:lang w:val="en-GB" w:eastAsia="zh-CN"/>
              </w:rPr>
              <w:t>分）</w:t>
            </w:r>
          </w:p>
          <w:p>
            <w:pPr>
              <w:widowControl/>
              <w:snapToGrid w:val="0"/>
              <w:jc w:val="left"/>
              <w:rPr>
                <w:rFonts w:hint="eastAsia" w:ascii="仿宋_GB2312" w:hAnsi="仿宋" w:eastAsia="仿宋_GB2312" w:cs="仿宋_GB2312"/>
                <w:kern w:val="2"/>
                <w:sz w:val="24"/>
                <w:szCs w:val="24"/>
                <w:highlight w:val="none"/>
                <w:lang w:val="en-US" w:eastAsia="zh-CN" w:bidi="ar-SA"/>
              </w:rPr>
            </w:pPr>
            <w:r>
              <w:rPr>
                <w:rFonts w:hint="eastAsia" w:ascii="仿宋_GB2312" w:hAnsi="宋体" w:eastAsia="仿宋_GB2312" w:cs="仿宋_GB2312"/>
                <w:sz w:val="24"/>
                <w:szCs w:val="24"/>
                <w:highlight w:val="none"/>
                <w:lang w:val="en-GB" w:eastAsia="zh-CN"/>
              </w:rPr>
              <w:t>有效证明材料：以上车辆需提供单位自有车辆行驶证扫描件、有效期内的车辆保险证明扫描件。上述证明材料加盖投标单位公章，未提供或不符合要求的不得分。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分</w:t>
            </w:r>
          </w:p>
          <w:p>
            <w:pPr>
              <w:jc w:val="center"/>
              <w:rPr>
                <w:rFonts w:hint="eastAsia" w:ascii="仿宋" w:hAnsi="仿宋" w:eastAsia="仿宋" w:cs="仿宋"/>
                <w:sz w:val="24"/>
                <w:lang w:eastAsia="zh-CN"/>
              </w:rPr>
            </w:pPr>
            <w:r>
              <w:rPr>
                <w:rFonts w:hint="eastAsia" w:ascii="仿宋" w:hAnsi="仿宋" w:eastAsia="仿宋" w:cs="仿宋"/>
                <w:sz w:val="24"/>
                <w:lang w:eastAsia="zh-CN"/>
              </w:rPr>
              <w:t>客</w:t>
            </w:r>
            <w:r>
              <w:rPr>
                <w:rFonts w:hint="eastAsia" w:ascii="仿宋" w:hAnsi="仿宋" w:eastAsia="仿宋" w:cs="仿宋"/>
                <w:sz w:val="24"/>
              </w:rPr>
              <w:t>观</w:t>
            </w:r>
          </w:p>
        </w:tc>
        <w:tc>
          <w:tcPr>
            <w:tcW w:w="1099" w:type="pct"/>
            <w:vAlign w:val="center"/>
          </w:tcPr>
          <w:p>
            <w:pPr>
              <w:adjustRightInd w:val="0"/>
              <w:spacing w:line="360" w:lineRule="auto"/>
              <w:jc w:val="center"/>
              <w:rPr>
                <w:rFonts w:hint="eastAsia" w:ascii="仿宋_GB2312" w:hAnsi="仿宋" w:eastAsia="仿宋_GB2312" w:cs="仿宋_GB2312"/>
                <w:kern w:val="2"/>
                <w:sz w:val="24"/>
                <w:szCs w:val="24"/>
                <w:highlight w:val="none"/>
                <w:lang w:val="en-GB" w:eastAsia="zh-CN" w:bidi="ar-SA"/>
              </w:rPr>
            </w:pPr>
            <w:r>
              <w:rPr>
                <w:rFonts w:hint="eastAsia" w:ascii="仿宋_GB2312" w:hAnsi="仿宋" w:eastAsia="仿宋_GB2312" w:cs="仿宋_GB2312"/>
                <w:sz w:val="24"/>
                <w:szCs w:val="24"/>
                <w:highlight w:val="none"/>
                <w:lang w:val="en-GB" w:eastAsia="zh-CN"/>
              </w:rPr>
              <w:t>企业投入机具设备情况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59" w:type="pct"/>
            <w:vMerge w:val="restart"/>
            <w:vAlign w:val="center"/>
          </w:tcPr>
          <w:p>
            <w:pPr>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12</w:t>
            </w:r>
          </w:p>
        </w:tc>
        <w:tc>
          <w:tcPr>
            <w:tcW w:w="2797" w:type="pct"/>
            <w:vAlign w:val="center"/>
          </w:tcPr>
          <w:p>
            <w:pPr>
              <w:widowControl/>
              <w:snapToGrid w:val="0"/>
              <w:jc w:val="left"/>
              <w:rPr>
                <w:rFonts w:hint="eastAsia" w:ascii="仿宋_GB2312" w:hAnsi="宋体" w:eastAsia="仿宋_GB2312" w:cs="仿宋_GB2312"/>
                <w:sz w:val="24"/>
                <w:szCs w:val="24"/>
                <w:highlight w:val="none"/>
                <w:lang w:val="en-GB" w:eastAsia="zh-CN"/>
              </w:rPr>
            </w:pPr>
            <w:r>
              <w:rPr>
                <w:rFonts w:hint="eastAsia" w:ascii="仿宋_GB2312" w:hAnsi="宋体" w:eastAsia="仿宋_GB2312" w:cs="仿宋_GB2312"/>
                <w:sz w:val="24"/>
                <w:szCs w:val="24"/>
                <w:highlight w:val="none"/>
                <w:lang w:val="en-GB" w:eastAsia="zh-CN"/>
              </w:rPr>
              <w:t>项目负责人具有国家注册一级建造师(机电工程或市政公用工程专业)得</w:t>
            </w:r>
            <w:r>
              <w:rPr>
                <w:rFonts w:hint="eastAsia" w:ascii="仿宋_GB2312" w:hAnsi="宋体" w:eastAsia="仿宋_GB2312" w:cs="仿宋_GB2312"/>
                <w:sz w:val="24"/>
                <w:szCs w:val="24"/>
                <w:highlight w:val="none"/>
                <w:lang w:val="en-US" w:eastAsia="zh-CN"/>
              </w:rPr>
              <w:t>2</w:t>
            </w:r>
            <w:r>
              <w:rPr>
                <w:rFonts w:hint="eastAsia" w:ascii="仿宋_GB2312" w:hAnsi="宋体" w:eastAsia="仿宋_GB2312" w:cs="仿宋_GB2312"/>
                <w:sz w:val="24"/>
                <w:szCs w:val="24"/>
                <w:highlight w:val="none"/>
                <w:lang w:val="en-GB" w:eastAsia="zh-CN"/>
              </w:rPr>
              <w:t>分。</w:t>
            </w:r>
            <w:r>
              <w:rPr>
                <w:rFonts w:hint="eastAsia" w:ascii="仿宋_GB2312" w:hAnsi="宋体" w:eastAsia="仿宋_GB2312" w:cs="仿宋_GB2312"/>
                <w:sz w:val="24"/>
                <w:szCs w:val="24"/>
                <w:highlight w:val="none"/>
                <w:lang w:val="en-US" w:eastAsia="zh-CN"/>
              </w:rPr>
              <w:t>（0-2分）</w:t>
            </w:r>
          </w:p>
          <w:p>
            <w:pPr>
              <w:widowControl/>
              <w:snapToGrid w:val="0"/>
              <w:jc w:val="left"/>
              <w:rPr>
                <w:rFonts w:hint="eastAsia" w:ascii="宋体" w:hAnsi="Times New Roman" w:eastAsia="宋体" w:cs="宋体"/>
                <w:bCs/>
                <w:color w:val="000000"/>
                <w:kern w:val="2"/>
                <w:sz w:val="21"/>
                <w:szCs w:val="21"/>
                <w:highlight w:val="none"/>
                <w:lang w:val="en-US" w:eastAsia="zh-CN" w:bidi="ar-SA"/>
              </w:rPr>
            </w:pPr>
            <w:r>
              <w:rPr>
                <w:rFonts w:hint="eastAsia" w:ascii="仿宋_GB2312" w:hAnsi="宋体" w:eastAsia="仿宋_GB2312" w:cs="仿宋_GB2312"/>
                <w:sz w:val="24"/>
                <w:szCs w:val="24"/>
                <w:highlight w:val="none"/>
                <w:lang w:val="zh-CN" w:eastAsia="zh-CN"/>
              </w:rPr>
              <w:t>有效证明材料：提供建造师证书、</w:t>
            </w:r>
            <w:r>
              <w:rPr>
                <w:rFonts w:hint="eastAsia" w:ascii="仿宋_GB2312" w:hAnsi="宋体" w:eastAsia="仿宋_GB2312" w:cs="仿宋_GB2312"/>
                <w:sz w:val="24"/>
                <w:szCs w:val="24"/>
                <w:highlight w:val="none"/>
                <w:lang w:val="en-GB" w:eastAsia="zh-CN"/>
              </w:rPr>
              <w:t>社保证明</w:t>
            </w:r>
            <w:r>
              <w:rPr>
                <w:rFonts w:hint="eastAsia" w:ascii="仿宋_GB2312" w:hAnsi="宋体" w:eastAsia="仿宋_GB2312" w:cs="仿宋_GB2312"/>
                <w:sz w:val="24"/>
                <w:szCs w:val="24"/>
                <w:highlight w:val="none"/>
                <w:lang w:val="zh-CN" w:eastAsia="zh-CN"/>
              </w:rPr>
              <w:t>、劳动合同扫描件。不得与其他岗位兼职，否则本项不得分。上述证明材料加盖投标单位公章，未提供或不符合要求的不得分。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分</w:t>
            </w:r>
          </w:p>
          <w:p>
            <w:pPr>
              <w:jc w:val="center"/>
              <w:rPr>
                <w:rFonts w:hint="eastAsia" w:ascii="仿宋" w:hAnsi="仿宋" w:eastAsia="仿宋" w:cs="仿宋"/>
                <w:sz w:val="24"/>
                <w:lang w:eastAsia="zh-CN"/>
              </w:rPr>
            </w:pPr>
            <w:r>
              <w:rPr>
                <w:rFonts w:hint="eastAsia" w:ascii="仿宋" w:hAnsi="仿宋" w:eastAsia="仿宋" w:cs="仿宋"/>
                <w:sz w:val="24"/>
                <w:lang w:eastAsia="zh-CN"/>
              </w:rPr>
              <w:t>客</w:t>
            </w:r>
            <w:r>
              <w:rPr>
                <w:rFonts w:hint="eastAsia" w:ascii="仿宋" w:hAnsi="仿宋" w:eastAsia="仿宋" w:cs="仿宋"/>
                <w:sz w:val="24"/>
              </w:rPr>
              <w:t>观</w:t>
            </w:r>
          </w:p>
        </w:tc>
        <w:tc>
          <w:tcPr>
            <w:tcW w:w="1099" w:type="pct"/>
            <w:vMerge w:val="restart"/>
            <w:vAlign w:val="center"/>
          </w:tcPr>
          <w:p>
            <w:pPr>
              <w:jc w:val="center"/>
              <w:rPr>
                <w:rFonts w:hint="eastAsia" w:ascii="仿宋" w:hAnsi="仿宋" w:eastAsia="仿宋" w:cs="仿宋"/>
                <w:sz w:val="24"/>
              </w:rPr>
            </w:pPr>
            <w:r>
              <w:rPr>
                <w:rFonts w:hint="eastAsia" w:ascii="仿宋_GB2312" w:hAnsi="仿宋" w:eastAsia="仿宋_GB2312" w:cs="仿宋_GB2312"/>
                <w:sz w:val="24"/>
                <w:szCs w:val="24"/>
                <w:highlight w:val="none"/>
                <w:lang w:val="en-GB" w:eastAsia="zh-CN"/>
              </w:rPr>
              <w:t>项目组成成员情况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59" w:type="pct"/>
            <w:vMerge w:val="continue"/>
            <w:vAlign w:val="center"/>
          </w:tcPr>
          <w:p>
            <w:pPr>
              <w:jc w:val="center"/>
              <w:rPr>
                <w:rFonts w:hint="eastAsia" w:ascii="仿宋" w:hAnsi="仿宋" w:eastAsia="仿宋" w:cs="仿宋_GB2312"/>
                <w:sz w:val="24"/>
              </w:rPr>
            </w:pPr>
          </w:p>
        </w:tc>
        <w:tc>
          <w:tcPr>
            <w:tcW w:w="2797" w:type="pct"/>
            <w:vAlign w:val="center"/>
          </w:tcPr>
          <w:p>
            <w:pPr>
              <w:widowControl/>
              <w:snapToGrid w:val="0"/>
              <w:jc w:val="left"/>
              <w:rPr>
                <w:rFonts w:hint="eastAsia" w:ascii="仿宋_GB2312" w:hAnsi="宋体" w:eastAsia="仿宋_GB2312" w:cs="仿宋_GB2312"/>
                <w:sz w:val="24"/>
                <w:szCs w:val="24"/>
                <w:highlight w:val="none"/>
                <w:lang w:val="en-GB" w:eastAsia="zh-CN"/>
              </w:rPr>
            </w:pPr>
            <w:r>
              <w:rPr>
                <w:rFonts w:hint="eastAsia" w:ascii="仿宋_GB2312" w:hAnsi="宋体" w:eastAsia="仿宋_GB2312" w:cs="仿宋_GB2312"/>
                <w:sz w:val="24"/>
                <w:szCs w:val="24"/>
                <w:highlight w:val="none"/>
                <w:lang w:val="en-GB" w:eastAsia="zh-CN"/>
              </w:rPr>
              <w:t>技术负责人（非项目负责人）具有机电安装或市政公用工程专业高级及以上职称得</w:t>
            </w:r>
            <w:r>
              <w:rPr>
                <w:rFonts w:hint="eastAsia" w:ascii="仿宋_GB2312" w:hAnsi="宋体" w:eastAsia="仿宋_GB2312" w:cs="仿宋_GB2312"/>
                <w:sz w:val="24"/>
                <w:szCs w:val="24"/>
                <w:highlight w:val="none"/>
                <w:lang w:val="en-US" w:eastAsia="zh-CN"/>
              </w:rPr>
              <w:t>2</w:t>
            </w:r>
            <w:r>
              <w:rPr>
                <w:rFonts w:hint="eastAsia" w:ascii="仿宋_GB2312" w:hAnsi="宋体" w:eastAsia="仿宋_GB2312" w:cs="仿宋_GB2312"/>
                <w:sz w:val="24"/>
                <w:szCs w:val="24"/>
                <w:highlight w:val="none"/>
                <w:lang w:val="en-GB" w:eastAsia="zh-CN"/>
              </w:rPr>
              <w:t>分。</w:t>
            </w:r>
            <w:r>
              <w:rPr>
                <w:rFonts w:hint="eastAsia" w:ascii="仿宋_GB2312" w:hAnsi="宋体" w:eastAsia="仿宋_GB2312" w:cs="仿宋_GB2312"/>
                <w:sz w:val="24"/>
                <w:szCs w:val="24"/>
                <w:highlight w:val="none"/>
                <w:lang w:val="en-US" w:eastAsia="zh-CN"/>
              </w:rPr>
              <w:t>（0-2分）</w:t>
            </w:r>
          </w:p>
          <w:p>
            <w:pPr>
              <w:widowControl/>
              <w:snapToGrid w:val="0"/>
              <w:jc w:val="left"/>
              <w:rPr>
                <w:rFonts w:hint="eastAsia" w:ascii="宋体" w:hAnsi="Times New Roman" w:eastAsia="宋体" w:cs="宋体"/>
                <w:bCs/>
                <w:color w:val="000000"/>
                <w:kern w:val="2"/>
                <w:sz w:val="21"/>
                <w:szCs w:val="21"/>
                <w:highlight w:val="none"/>
                <w:lang w:val="en-US" w:eastAsia="zh-CN" w:bidi="ar-SA"/>
              </w:rPr>
            </w:pPr>
            <w:r>
              <w:rPr>
                <w:rFonts w:hint="eastAsia" w:ascii="仿宋_GB2312" w:hAnsi="宋体" w:eastAsia="仿宋_GB2312" w:cs="仿宋_GB2312"/>
                <w:sz w:val="24"/>
                <w:szCs w:val="24"/>
                <w:highlight w:val="none"/>
                <w:lang w:val="zh-CN" w:eastAsia="zh-CN"/>
              </w:rPr>
              <w:t>有效证明材料：提供职称证书、</w:t>
            </w:r>
            <w:r>
              <w:rPr>
                <w:rFonts w:hint="eastAsia" w:ascii="仿宋_GB2312" w:hAnsi="宋体" w:eastAsia="仿宋_GB2312" w:cs="仿宋_GB2312"/>
                <w:sz w:val="24"/>
                <w:szCs w:val="24"/>
                <w:highlight w:val="none"/>
                <w:lang w:val="en-GB" w:eastAsia="zh-CN"/>
              </w:rPr>
              <w:t>社保证明</w:t>
            </w:r>
            <w:r>
              <w:rPr>
                <w:rFonts w:hint="eastAsia" w:ascii="仿宋_GB2312" w:hAnsi="宋体" w:eastAsia="仿宋_GB2312" w:cs="仿宋_GB2312"/>
                <w:sz w:val="24"/>
                <w:szCs w:val="24"/>
                <w:highlight w:val="none"/>
                <w:lang w:val="zh-CN" w:eastAsia="zh-CN"/>
              </w:rPr>
              <w:t>、劳动合同扫描件。不得与其他岗位兼职，否则本项不得分。上述证明材料加盖投标单位公章，未提供或不符合要求的不得分。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分</w:t>
            </w:r>
          </w:p>
          <w:p>
            <w:pPr>
              <w:jc w:val="center"/>
              <w:rPr>
                <w:rFonts w:hint="eastAsia" w:ascii="仿宋" w:hAnsi="仿宋" w:eastAsia="仿宋" w:cs="仿宋"/>
                <w:sz w:val="24"/>
                <w:lang w:eastAsia="zh-CN"/>
              </w:rPr>
            </w:pPr>
            <w:r>
              <w:rPr>
                <w:rFonts w:hint="eastAsia" w:ascii="仿宋" w:hAnsi="仿宋" w:eastAsia="仿宋" w:cs="仿宋"/>
                <w:sz w:val="24"/>
                <w:lang w:eastAsia="zh-CN"/>
              </w:rPr>
              <w:t>客</w:t>
            </w:r>
            <w:r>
              <w:rPr>
                <w:rFonts w:hint="eastAsia" w:ascii="仿宋" w:hAnsi="仿宋" w:eastAsia="仿宋" w:cs="仿宋"/>
                <w:sz w:val="24"/>
              </w:rPr>
              <w:t>观</w:t>
            </w:r>
          </w:p>
        </w:tc>
        <w:tc>
          <w:tcPr>
            <w:tcW w:w="1099" w:type="pct"/>
            <w:vMerge w:val="continue"/>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59" w:type="pct"/>
            <w:vMerge w:val="continue"/>
            <w:vAlign w:val="center"/>
          </w:tcPr>
          <w:p>
            <w:pPr>
              <w:jc w:val="center"/>
              <w:rPr>
                <w:rFonts w:hint="eastAsia" w:ascii="仿宋" w:hAnsi="仿宋" w:eastAsia="仿宋" w:cs="仿宋_GB2312"/>
                <w:sz w:val="24"/>
              </w:rPr>
            </w:pPr>
          </w:p>
        </w:tc>
        <w:tc>
          <w:tcPr>
            <w:tcW w:w="2797" w:type="pct"/>
            <w:vAlign w:val="center"/>
          </w:tcPr>
          <w:p>
            <w:pPr>
              <w:widowControl/>
              <w:snapToGrid w:val="0"/>
              <w:jc w:val="left"/>
              <w:rPr>
                <w:rFonts w:hint="eastAsia" w:ascii="仿宋_GB2312" w:hAnsi="宋体" w:eastAsia="仿宋_GB2312" w:cs="仿宋_GB2312"/>
                <w:sz w:val="24"/>
                <w:szCs w:val="24"/>
                <w:highlight w:val="none"/>
                <w:lang w:val="en-GB" w:eastAsia="zh-CN"/>
              </w:rPr>
            </w:pPr>
            <w:r>
              <w:rPr>
                <w:rFonts w:hint="eastAsia" w:ascii="仿宋_GB2312" w:hAnsi="宋体" w:eastAsia="仿宋_GB2312" w:cs="仿宋_GB2312"/>
                <w:sz w:val="24"/>
                <w:szCs w:val="24"/>
                <w:highlight w:val="none"/>
                <w:lang w:val="en-GB" w:eastAsia="zh-CN"/>
              </w:rPr>
              <w:t>（</w:t>
            </w:r>
            <w:r>
              <w:rPr>
                <w:rFonts w:hint="eastAsia" w:ascii="仿宋_GB2312" w:hAnsi="宋体" w:eastAsia="仿宋_GB2312" w:cs="仿宋_GB2312"/>
                <w:sz w:val="24"/>
                <w:szCs w:val="24"/>
                <w:highlight w:val="none"/>
                <w:lang w:val="en-US" w:eastAsia="zh-CN"/>
              </w:rPr>
              <w:t>1</w:t>
            </w:r>
            <w:r>
              <w:rPr>
                <w:rFonts w:hint="eastAsia" w:ascii="仿宋_GB2312" w:hAnsi="宋体" w:eastAsia="仿宋_GB2312" w:cs="仿宋_GB2312"/>
                <w:sz w:val="24"/>
                <w:szCs w:val="24"/>
                <w:highlight w:val="none"/>
                <w:lang w:val="en-GB" w:eastAsia="zh-CN"/>
              </w:rPr>
              <w:t>）项目组成员中，电工作业人员达到4人基础上，每增加1人，得1分，本项最高得4分。（0-4分）</w:t>
            </w:r>
          </w:p>
          <w:p>
            <w:pPr>
              <w:widowControl/>
              <w:snapToGrid w:val="0"/>
              <w:jc w:val="left"/>
              <w:rPr>
                <w:rFonts w:hint="eastAsia" w:ascii="仿宋_GB2312" w:hAnsi="宋体" w:eastAsia="仿宋_GB2312" w:cs="仿宋_GB2312"/>
                <w:sz w:val="24"/>
                <w:szCs w:val="24"/>
                <w:highlight w:val="none"/>
                <w:lang w:val="en-GB" w:eastAsia="zh-CN"/>
              </w:rPr>
            </w:pPr>
            <w:r>
              <w:rPr>
                <w:rFonts w:hint="eastAsia" w:ascii="仿宋_GB2312" w:hAnsi="宋体" w:eastAsia="仿宋_GB2312" w:cs="仿宋_GB2312"/>
                <w:sz w:val="24"/>
                <w:szCs w:val="24"/>
                <w:highlight w:val="none"/>
                <w:lang w:val="en-GB" w:eastAsia="zh-CN"/>
              </w:rPr>
              <w:t>（</w:t>
            </w:r>
            <w:r>
              <w:rPr>
                <w:rFonts w:hint="eastAsia" w:ascii="仿宋_GB2312" w:hAnsi="宋体" w:eastAsia="仿宋_GB2312" w:cs="仿宋_GB2312"/>
                <w:sz w:val="24"/>
                <w:szCs w:val="24"/>
                <w:highlight w:val="none"/>
                <w:lang w:val="en-US" w:eastAsia="zh-CN"/>
              </w:rPr>
              <w:t>2</w:t>
            </w:r>
            <w:r>
              <w:rPr>
                <w:rFonts w:hint="eastAsia" w:ascii="仿宋_GB2312" w:hAnsi="宋体" w:eastAsia="仿宋_GB2312" w:cs="仿宋_GB2312"/>
                <w:sz w:val="24"/>
                <w:szCs w:val="24"/>
                <w:highlight w:val="none"/>
                <w:lang w:val="en-GB" w:eastAsia="zh-CN"/>
              </w:rPr>
              <w:t>）项目组成员中，高空作业人员达到4人基础上，每增加1人，得1分，本项最高得4分。（0-4分）</w:t>
            </w:r>
          </w:p>
          <w:p>
            <w:pPr>
              <w:widowControl/>
              <w:snapToGrid w:val="0"/>
              <w:jc w:val="left"/>
              <w:rPr>
                <w:rFonts w:hint="eastAsia" w:ascii="仿宋_GB2312" w:hAnsi="宋体" w:eastAsia="仿宋_GB2312" w:cs="仿宋_GB2312"/>
                <w:sz w:val="24"/>
                <w:szCs w:val="24"/>
                <w:highlight w:val="none"/>
                <w:lang w:val="en-GB" w:eastAsia="zh-CN"/>
              </w:rPr>
            </w:pPr>
            <w:r>
              <w:rPr>
                <w:rFonts w:hint="eastAsia" w:ascii="仿宋_GB2312" w:hAnsi="宋体" w:eastAsia="仿宋_GB2312" w:cs="仿宋_GB2312"/>
                <w:sz w:val="24"/>
                <w:szCs w:val="24"/>
                <w:highlight w:val="none"/>
                <w:lang w:val="en-GB" w:eastAsia="zh-CN"/>
              </w:rPr>
              <w:t>（</w:t>
            </w:r>
            <w:r>
              <w:rPr>
                <w:rFonts w:hint="eastAsia" w:ascii="仿宋_GB2312" w:hAnsi="宋体" w:eastAsia="仿宋_GB2312" w:cs="仿宋_GB2312"/>
                <w:sz w:val="24"/>
                <w:szCs w:val="24"/>
                <w:highlight w:val="none"/>
                <w:lang w:val="en-US" w:eastAsia="zh-CN"/>
              </w:rPr>
              <w:t>3</w:t>
            </w:r>
            <w:r>
              <w:rPr>
                <w:rFonts w:hint="eastAsia" w:ascii="仿宋_GB2312" w:hAnsi="宋体" w:eastAsia="仿宋_GB2312" w:cs="仿宋_GB2312"/>
                <w:sz w:val="24"/>
                <w:szCs w:val="24"/>
                <w:highlight w:val="none"/>
                <w:lang w:val="en-GB" w:eastAsia="zh-CN"/>
              </w:rPr>
              <w:t>）项目组成员中，高压电工人员达到2人基础上，每增加1人，得1分，本项最高得</w:t>
            </w:r>
            <w:r>
              <w:rPr>
                <w:rFonts w:hint="eastAsia" w:ascii="仿宋_GB2312" w:hAnsi="宋体" w:eastAsia="仿宋_GB2312" w:cs="仿宋_GB2312"/>
                <w:sz w:val="24"/>
                <w:szCs w:val="24"/>
                <w:highlight w:val="none"/>
                <w:lang w:val="en-US" w:eastAsia="zh-CN"/>
              </w:rPr>
              <w:t>2</w:t>
            </w:r>
            <w:r>
              <w:rPr>
                <w:rFonts w:hint="eastAsia" w:ascii="仿宋_GB2312" w:hAnsi="宋体" w:eastAsia="仿宋_GB2312" w:cs="仿宋_GB2312"/>
                <w:sz w:val="24"/>
                <w:szCs w:val="24"/>
                <w:highlight w:val="none"/>
                <w:lang w:val="en-GB" w:eastAsia="zh-CN"/>
              </w:rPr>
              <w:t>分。（0-</w:t>
            </w:r>
            <w:r>
              <w:rPr>
                <w:rFonts w:hint="eastAsia" w:ascii="仿宋_GB2312" w:hAnsi="宋体" w:eastAsia="仿宋_GB2312" w:cs="仿宋_GB2312"/>
                <w:sz w:val="24"/>
                <w:szCs w:val="24"/>
                <w:highlight w:val="none"/>
                <w:lang w:val="en-US" w:eastAsia="zh-CN"/>
              </w:rPr>
              <w:t>2</w:t>
            </w:r>
            <w:r>
              <w:rPr>
                <w:rFonts w:hint="eastAsia" w:ascii="仿宋_GB2312" w:hAnsi="宋体" w:eastAsia="仿宋_GB2312" w:cs="仿宋_GB2312"/>
                <w:sz w:val="24"/>
                <w:szCs w:val="24"/>
                <w:highlight w:val="none"/>
                <w:lang w:val="en-GB" w:eastAsia="zh-CN"/>
              </w:rPr>
              <w:t>分）</w:t>
            </w:r>
          </w:p>
          <w:p>
            <w:pPr>
              <w:widowControl/>
              <w:snapToGrid w:val="0"/>
              <w:jc w:val="left"/>
              <w:rPr>
                <w:rFonts w:hint="eastAsia" w:ascii="仿宋_GB2312" w:hAnsi="宋体" w:eastAsia="仿宋_GB2312" w:cs="仿宋_GB2312"/>
                <w:b/>
                <w:bCs/>
                <w:sz w:val="24"/>
                <w:szCs w:val="24"/>
                <w:highlight w:val="none"/>
                <w:lang w:val="en-GB" w:eastAsia="zh-CN"/>
              </w:rPr>
            </w:pPr>
            <w:r>
              <w:rPr>
                <w:rFonts w:hint="eastAsia" w:ascii="仿宋_GB2312" w:hAnsi="宋体" w:eastAsia="仿宋_GB2312" w:cs="仿宋_GB2312"/>
                <w:b/>
                <w:bCs/>
                <w:sz w:val="24"/>
                <w:szCs w:val="24"/>
                <w:highlight w:val="none"/>
                <w:lang w:val="en-GB" w:eastAsia="zh-CN"/>
              </w:rPr>
              <w:t>注：上述提供的同一人员只能计一次分。</w:t>
            </w:r>
          </w:p>
          <w:p>
            <w:pPr>
              <w:widowControl/>
              <w:snapToGrid w:val="0"/>
              <w:jc w:val="left"/>
              <w:rPr>
                <w:rFonts w:hint="eastAsia" w:ascii="宋体" w:hAnsi="Times New Roman" w:eastAsia="宋体" w:cs="宋体"/>
                <w:bCs/>
                <w:color w:val="000000"/>
                <w:kern w:val="2"/>
                <w:sz w:val="21"/>
                <w:szCs w:val="21"/>
                <w:highlight w:val="none"/>
                <w:lang w:val="en-US" w:eastAsia="zh-CN" w:bidi="ar-SA"/>
              </w:rPr>
            </w:pPr>
            <w:r>
              <w:rPr>
                <w:rFonts w:hint="eastAsia" w:ascii="仿宋_GB2312" w:hAnsi="宋体" w:eastAsia="仿宋_GB2312" w:cs="仿宋_GB2312"/>
                <w:sz w:val="24"/>
                <w:szCs w:val="24"/>
                <w:highlight w:val="none"/>
                <w:lang w:val="en-GB" w:eastAsia="zh-CN"/>
              </w:rPr>
              <w:t>有效证明材料：上述人员需提供社保证明以及相应的岗位作业证书（电工特种作业操作证、高空作业证、高压电工证）扫描件加盖投标单位公章，未提供或不符合要求的不得分</w:t>
            </w:r>
            <w:r>
              <w:rPr>
                <w:rFonts w:hint="eastAsia" w:ascii="仿宋_GB2312" w:hAnsi="仿宋" w:eastAsia="仿宋_GB2312" w:cs="仿宋_GB2312"/>
                <w:sz w:val="24"/>
                <w:szCs w:val="24"/>
                <w:highlight w:val="none"/>
                <w:lang w:val="en-GB"/>
              </w:rPr>
              <w:t>。</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分</w:t>
            </w:r>
          </w:p>
          <w:p>
            <w:pPr>
              <w:jc w:val="center"/>
              <w:rPr>
                <w:rFonts w:hint="eastAsia" w:ascii="仿宋" w:hAnsi="仿宋" w:eastAsia="仿宋" w:cs="仿宋"/>
                <w:sz w:val="24"/>
                <w:lang w:eastAsia="zh-CN"/>
              </w:rPr>
            </w:pPr>
            <w:r>
              <w:rPr>
                <w:rFonts w:hint="eastAsia" w:ascii="仿宋" w:hAnsi="仿宋" w:eastAsia="仿宋" w:cs="仿宋"/>
                <w:sz w:val="24"/>
                <w:lang w:eastAsia="zh-CN"/>
              </w:rPr>
              <w:t>客</w:t>
            </w:r>
            <w:r>
              <w:rPr>
                <w:rFonts w:hint="eastAsia" w:ascii="仿宋" w:hAnsi="仿宋" w:eastAsia="仿宋" w:cs="仿宋"/>
                <w:sz w:val="24"/>
              </w:rPr>
              <w:t>观</w:t>
            </w:r>
          </w:p>
        </w:tc>
        <w:tc>
          <w:tcPr>
            <w:tcW w:w="1099" w:type="pct"/>
            <w:vMerge w:val="continue"/>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59" w:type="pct"/>
            <w:vAlign w:val="center"/>
          </w:tcPr>
          <w:p>
            <w:pPr>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13</w:t>
            </w:r>
          </w:p>
        </w:tc>
        <w:tc>
          <w:tcPr>
            <w:tcW w:w="2797" w:type="pct"/>
            <w:vAlign w:val="center"/>
          </w:tcPr>
          <w:p>
            <w:pPr>
              <w:widowControl/>
              <w:snapToGrid w:val="0"/>
              <w:jc w:val="left"/>
              <w:rPr>
                <w:rFonts w:hint="eastAsia" w:ascii="仿宋_GB2312" w:hAnsi="宋体" w:eastAsia="仿宋_GB2312" w:cs="仿宋_GB2312"/>
                <w:sz w:val="24"/>
                <w:szCs w:val="24"/>
                <w:highlight w:val="none"/>
                <w:lang w:val="en-GB" w:eastAsia="zh-CN"/>
              </w:rPr>
            </w:pPr>
            <w:r>
              <w:rPr>
                <w:rFonts w:hint="eastAsia" w:ascii="仿宋_GB2312" w:hAnsi="宋体" w:eastAsia="仿宋_GB2312" w:cs="仿宋_GB2312"/>
                <w:sz w:val="24"/>
                <w:szCs w:val="24"/>
                <w:highlight w:val="none"/>
                <w:lang w:val="en-GB" w:eastAsia="zh-CN"/>
              </w:rPr>
              <w:t>（1）投标单位获得过大型国际会议、赛事或活动的景观灯服务保障类荣誉：区级荣誉的得</w:t>
            </w:r>
            <w:r>
              <w:rPr>
                <w:rFonts w:hint="eastAsia" w:ascii="仿宋_GB2312" w:hAnsi="宋体" w:eastAsia="仿宋_GB2312" w:cs="仿宋_GB2312"/>
                <w:sz w:val="24"/>
                <w:szCs w:val="24"/>
                <w:highlight w:val="none"/>
                <w:lang w:val="en-US" w:eastAsia="zh-CN"/>
              </w:rPr>
              <w:t>1</w:t>
            </w:r>
            <w:r>
              <w:rPr>
                <w:rFonts w:hint="eastAsia" w:ascii="仿宋_GB2312" w:hAnsi="宋体" w:eastAsia="仿宋_GB2312" w:cs="仿宋_GB2312"/>
                <w:sz w:val="24"/>
                <w:szCs w:val="24"/>
                <w:highlight w:val="none"/>
                <w:lang w:val="en-GB" w:eastAsia="zh-CN"/>
              </w:rPr>
              <w:t>分，市级荣誉的得</w:t>
            </w:r>
            <w:r>
              <w:rPr>
                <w:rFonts w:hint="eastAsia" w:ascii="仿宋_GB2312" w:hAnsi="宋体" w:eastAsia="仿宋_GB2312" w:cs="仿宋_GB2312"/>
                <w:sz w:val="24"/>
                <w:szCs w:val="24"/>
                <w:highlight w:val="none"/>
                <w:lang w:val="en-US" w:eastAsia="zh-CN"/>
              </w:rPr>
              <w:t>2分，省级及以上荣誉的得3分。</w:t>
            </w:r>
            <w:r>
              <w:rPr>
                <w:rFonts w:hint="eastAsia" w:ascii="仿宋_GB2312" w:hAnsi="宋体" w:eastAsia="仿宋_GB2312" w:cs="仿宋_GB2312"/>
                <w:sz w:val="24"/>
                <w:szCs w:val="24"/>
                <w:highlight w:val="none"/>
                <w:lang w:val="en-GB" w:eastAsia="zh-CN"/>
              </w:rPr>
              <w:t>本项最高得</w:t>
            </w:r>
            <w:r>
              <w:rPr>
                <w:rFonts w:hint="eastAsia" w:ascii="仿宋_GB2312" w:hAnsi="宋体" w:eastAsia="仿宋_GB2312" w:cs="仿宋_GB2312"/>
                <w:sz w:val="24"/>
                <w:szCs w:val="24"/>
                <w:highlight w:val="none"/>
                <w:lang w:val="en-US" w:eastAsia="zh-CN"/>
              </w:rPr>
              <w:t>3</w:t>
            </w:r>
            <w:r>
              <w:rPr>
                <w:rFonts w:hint="eastAsia" w:ascii="仿宋_GB2312" w:hAnsi="宋体" w:eastAsia="仿宋_GB2312" w:cs="仿宋_GB2312"/>
                <w:sz w:val="24"/>
                <w:szCs w:val="24"/>
                <w:highlight w:val="none"/>
                <w:lang w:val="en-GB" w:eastAsia="zh-CN"/>
              </w:rPr>
              <w:t>分。（0-</w:t>
            </w:r>
            <w:r>
              <w:rPr>
                <w:rFonts w:hint="eastAsia" w:ascii="仿宋_GB2312" w:hAnsi="宋体" w:eastAsia="仿宋_GB2312" w:cs="仿宋_GB2312"/>
                <w:sz w:val="24"/>
                <w:szCs w:val="24"/>
                <w:highlight w:val="none"/>
                <w:lang w:val="en-US" w:eastAsia="zh-CN"/>
              </w:rPr>
              <w:t>3</w:t>
            </w:r>
            <w:r>
              <w:rPr>
                <w:rFonts w:hint="eastAsia" w:ascii="仿宋_GB2312" w:hAnsi="宋体" w:eastAsia="仿宋_GB2312" w:cs="仿宋_GB2312"/>
                <w:sz w:val="24"/>
                <w:szCs w:val="24"/>
                <w:highlight w:val="none"/>
                <w:lang w:val="en-GB" w:eastAsia="zh-CN"/>
              </w:rPr>
              <w:t>分）</w:t>
            </w:r>
          </w:p>
          <w:p>
            <w:pPr>
              <w:widowControl/>
              <w:snapToGrid w:val="0"/>
              <w:jc w:val="left"/>
              <w:rPr>
                <w:rFonts w:hint="eastAsia" w:ascii="仿宋_GB2312" w:hAnsi="宋体" w:eastAsia="仿宋_GB2312" w:cs="仿宋_GB2312"/>
                <w:sz w:val="24"/>
                <w:szCs w:val="24"/>
                <w:highlight w:val="none"/>
                <w:lang w:val="en-GB" w:eastAsia="zh-CN"/>
              </w:rPr>
            </w:pPr>
            <w:r>
              <w:rPr>
                <w:rFonts w:hint="eastAsia" w:ascii="仿宋_GB2312" w:hAnsi="宋体" w:eastAsia="仿宋_GB2312" w:cs="仿宋_GB2312"/>
                <w:sz w:val="24"/>
                <w:szCs w:val="24"/>
                <w:highlight w:val="none"/>
                <w:lang w:val="en-GB" w:eastAsia="zh-CN"/>
              </w:rPr>
              <w:t>（2）投标单位获景观灯养护类荣誉：区级荣誉的得</w:t>
            </w:r>
            <w:r>
              <w:rPr>
                <w:rFonts w:hint="eastAsia" w:ascii="仿宋_GB2312" w:hAnsi="宋体" w:eastAsia="仿宋_GB2312" w:cs="仿宋_GB2312"/>
                <w:sz w:val="24"/>
                <w:szCs w:val="24"/>
                <w:highlight w:val="none"/>
                <w:lang w:val="en-US" w:eastAsia="zh-CN"/>
              </w:rPr>
              <w:t>1</w:t>
            </w:r>
            <w:r>
              <w:rPr>
                <w:rFonts w:hint="eastAsia" w:ascii="仿宋_GB2312" w:hAnsi="宋体" w:eastAsia="仿宋_GB2312" w:cs="仿宋_GB2312"/>
                <w:sz w:val="24"/>
                <w:szCs w:val="24"/>
                <w:highlight w:val="none"/>
                <w:lang w:val="en-GB" w:eastAsia="zh-CN"/>
              </w:rPr>
              <w:t>分，市级荣誉的得</w:t>
            </w:r>
            <w:r>
              <w:rPr>
                <w:rFonts w:hint="eastAsia" w:ascii="仿宋_GB2312" w:hAnsi="宋体" w:eastAsia="仿宋_GB2312" w:cs="仿宋_GB2312"/>
                <w:sz w:val="24"/>
                <w:szCs w:val="24"/>
                <w:highlight w:val="none"/>
                <w:lang w:val="en-US" w:eastAsia="zh-CN"/>
              </w:rPr>
              <w:t>2分，省级及以上荣誉的得3分。</w:t>
            </w:r>
            <w:r>
              <w:rPr>
                <w:rFonts w:hint="eastAsia" w:ascii="仿宋_GB2312" w:hAnsi="宋体" w:eastAsia="仿宋_GB2312" w:cs="仿宋_GB2312"/>
                <w:sz w:val="24"/>
                <w:szCs w:val="24"/>
                <w:highlight w:val="none"/>
                <w:lang w:val="en-GB" w:eastAsia="zh-CN"/>
              </w:rPr>
              <w:t>本项最高得</w:t>
            </w:r>
            <w:r>
              <w:rPr>
                <w:rFonts w:hint="eastAsia" w:ascii="仿宋_GB2312" w:hAnsi="宋体" w:eastAsia="仿宋_GB2312" w:cs="仿宋_GB2312"/>
                <w:sz w:val="24"/>
                <w:szCs w:val="24"/>
                <w:highlight w:val="none"/>
                <w:lang w:val="en-US" w:eastAsia="zh-CN"/>
              </w:rPr>
              <w:t>3</w:t>
            </w:r>
            <w:r>
              <w:rPr>
                <w:rFonts w:hint="eastAsia" w:ascii="仿宋_GB2312" w:hAnsi="宋体" w:eastAsia="仿宋_GB2312" w:cs="仿宋_GB2312"/>
                <w:sz w:val="24"/>
                <w:szCs w:val="24"/>
                <w:highlight w:val="none"/>
                <w:lang w:val="en-GB" w:eastAsia="zh-CN"/>
              </w:rPr>
              <w:t>分。（0-</w:t>
            </w:r>
            <w:r>
              <w:rPr>
                <w:rFonts w:hint="eastAsia" w:ascii="仿宋_GB2312" w:hAnsi="宋体" w:eastAsia="仿宋_GB2312" w:cs="仿宋_GB2312"/>
                <w:sz w:val="24"/>
                <w:szCs w:val="24"/>
                <w:highlight w:val="none"/>
                <w:lang w:val="en-US" w:eastAsia="zh-CN"/>
              </w:rPr>
              <w:t>3</w:t>
            </w:r>
            <w:r>
              <w:rPr>
                <w:rFonts w:hint="eastAsia" w:ascii="仿宋_GB2312" w:hAnsi="宋体" w:eastAsia="仿宋_GB2312" w:cs="仿宋_GB2312"/>
                <w:sz w:val="24"/>
                <w:szCs w:val="24"/>
                <w:highlight w:val="none"/>
                <w:lang w:val="en-GB" w:eastAsia="zh-CN"/>
              </w:rPr>
              <w:t>分）（0-</w:t>
            </w:r>
            <w:r>
              <w:rPr>
                <w:rFonts w:hint="eastAsia" w:ascii="仿宋_GB2312" w:hAnsi="宋体" w:eastAsia="仿宋_GB2312" w:cs="仿宋_GB2312"/>
                <w:sz w:val="24"/>
                <w:szCs w:val="24"/>
                <w:highlight w:val="none"/>
                <w:lang w:val="en-US" w:eastAsia="zh-CN"/>
              </w:rPr>
              <w:t>3</w:t>
            </w:r>
            <w:r>
              <w:rPr>
                <w:rFonts w:hint="eastAsia" w:ascii="仿宋_GB2312" w:hAnsi="宋体" w:eastAsia="仿宋_GB2312" w:cs="仿宋_GB2312"/>
                <w:sz w:val="24"/>
                <w:szCs w:val="24"/>
                <w:highlight w:val="none"/>
                <w:lang w:val="en-GB" w:eastAsia="zh-CN"/>
              </w:rPr>
              <w:t>分）</w:t>
            </w:r>
          </w:p>
          <w:p>
            <w:pPr>
              <w:widowControl/>
              <w:snapToGrid w:val="0"/>
              <w:jc w:val="left"/>
              <w:rPr>
                <w:rFonts w:hint="eastAsia" w:ascii="仿宋_GB2312" w:hAnsi="宋体" w:eastAsia="仿宋_GB2312" w:cs="仿宋_GB2312"/>
                <w:sz w:val="24"/>
                <w:szCs w:val="24"/>
                <w:highlight w:val="none"/>
                <w:lang w:val="en-GB" w:eastAsia="zh-CN"/>
              </w:rPr>
            </w:pPr>
            <w:r>
              <w:rPr>
                <w:rFonts w:hint="eastAsia" w:ascii="仿宋_GB2312" w:hAnsi="宋体" w:eastAsia="仿宋_GB2312" w:cs="仿宋_GB2312"/>
                <w:sz w:val="24"/>
                <w:szCs w:val="24"/>
                <w:highlight w:val="none"/>
                <w:lang w:val="en-GB" w:eastAsia="zh-CN"/>
              </w:rPr>
              <w:t xml:space="preserve">注：上述（1）和（2）中提供的同一荣誉只能计一次分，按最高分记取。  </w:t>
            </w:r>
          </w:p>
          <w:p>
            <w:pPr>
              <w:widowControl/>
              <w:snapToGrid w:val="0"/>
              <w:jc w:val="left"/>
              <w:rPr>
                <w:rFonts w:hint="eastAsia" w:ascii="宋体" w:hAnsi="Times New Roman" w:eastAsia="宋体" w:cs="宋体"/>
                <w:bCs/>
                <w:color w:val="000000"/>
                <w:kern w:val="2"/>
                <w:sz w:val="21"/>
                <w:szCs w:val="21"/>
                <w:highlight w:val="none"/>
                <w:lang w:val="en-US" w:eastAsia="zh-CN" w:bidi="ar-SA"/>
              </w:rPr>
            </w:pPr>
            <w:r>
              <w:rPr>
                <w:rFonts w:hint="eastAsia" w:ascii="仿宋_GB2312" w:hAnsi="宋体" w:eastAsia="仿宋_GB2312" w:cs="仿宋_GB2312"/>
                <w:sz w:val="24"/>
                <w:szCs w:val="24"/>
                <w:highlight w:val="none"/>
                <w:lang w:val="en-GB" w:eastAsia="zh-CN"/>
              </w:rPr>
              <w:t>有效证明材料：荣誉证书或相关文件扫描件加盖投标单位公章，未提供或不符合要求的不得分。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分</w:t>
            </w:r>
          </w:p>
          <w:p>
            <w:pPr>
              <w:jc w:val="center"/>
              <w:rPr>
                <w:rFonts w:hint="eastAsia" w:ascii="仿宋" w:hAnsi="仿宋" w:eastAsia="仿宋" w:cs="仿宋"/>
                <w:sz w:val="24"/>
                <w:lang w:eastAsia="zh-CN"/>
              </w:rPr>
            </w:pPr>
            <w:r>
              <w:rPr>
                <w:rFonts w:hint="eastAsia" w:ascii="仿宋" w:hAnsi="仿宋" w:eastAsia="仿宋" w:cs="仿宋"/>
                <w:sz w:val="24"/>
                <w:lang w:eastAsia="zh-CN"/>
              </w:rPr>
              <w:t>客</w:t>
            </w:r>
            <w:r>
              <w:rPr>
                <w:rFonts w:hint="eastAsia" w:ascii="仿宋" w:hAnsi="仿宋" w:eastAsia="仿宋" w:cs="仿宋"/>
                <w:sz w:val="24"/>
              </w:rPr>
              <w:t>观</w:t>
            </w:r>
          </w:p>
        </w:tc>
        <w:tc>
          <w:tcPr>
            <w:tcW w:w="1099" w:type="pct"/>
            <w:vAlign w:val="center"/>
          </w:tcPr>
          <w:p>
            <w:pPr>
              <w:jc w:val="center"/>
              <w:rPr>
                <w:rFonts w:hint="eastAsia" w:ascii="仿宋" w:hAnsi="仿宋" w:eastAsia="仿宋" w:cs="仿宋"/>
                <w:sz w:val="24"/>
              </w:rPr>
            </w:pPr>
            <w:r>
              <w:rPr>
                <w:rFonts w:hint="eastAsia" w:ascii="仿宋_GB2312" w:hAnsi="仿宋" w:eastAsia="仿宋_GB2312" w:cs="仿宋_GB2312"/>
                <w:sz w:val="24"/>
                <w:szCs w:val="24"/>
                <w:highlight w:val="none"/>
                <w:lang w:val="en-GB"/>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59" w:type="pct"/>
            <w:vAlign w:val="center"/>
          </w:tcPr>
          <w:p>
            <w:pPr>
              <w:jc w:val="center"/>
              <w:rPr>
                <w:rFonts w:hint="default" w:ascii="仿宋" w:hAnsi="仿宋" w:eastAsia="仿宋" w:cs="仿宋_GB2312"/>
                <w:sz w:val="24"/>
                <w:lang w:val="en-US" w:eastAsia="zh-CN"/>
              </w:rPr>
            </w:pPr>
            <w:r>
              <w:rPr>
                <w:rFonts w:hint="eastAsia" w:ascii="仿宋" w:hAnsi="仿宋" w:eastAsia="仿宋" w:cs="仿宋_GB2312"/>
                <w:sz w:val="24"/>
                <w:lang w:val="en-US" w:eastAsia="zh-CN"/>
              </w:rPr>
              <w:t>14</w:t>
            </w:r>
          </w:p>
        </w:tc>
        <w:tc>
          <w:tcPr>
            <w:tcW w:w="2797" w:type="pct"/>
            <w:vAlign w:val="center"/>
          </w:tcPr>
          <w:p>
            <w:pPr>
              <w:widowControl/>
              <w:snapToGrid w:val="0"/>
              <w:jc w:val="left"/>
              <w:rPr>
                <w:rFonts w:hint="eastAsia" w:ascii="仿宋_GB2312" w:hAnsi="宋体" w:eastAsia="仿宋_GB2312" w:cs="仿宋_GB2312"/>
                <w:sz w:val="24"/>
                <w:szCs w:val="24"/>
                <w:highlight w:val="none"/>
                <w:lang w:val="en-GB" w:eastAsia="zh-CN"/>
              </w:rPr>
            </w:pPr>
            <w:r>
              <w:rPr>
                <w:rFonts w:hint="eastAsia" w:ascii="仿宋_GB2312" w:hAnsi="宋体" w:eastAsia="仿宋_GB2312" w:cs="仿宋_GB2312"/>
                <w:sz w:val="24"/>
                <w:szCs w:val="24"/>
                <w:highlight w:val="none"/>
                <w:lang w:val="en-GB" w:eastAsia="zh-CN"/>
              </w:rPr>
              <w:t>获得质量管理体系认证证书，得1分；获得环境管理体系认证证书，得1分；获得职业健康安全管理体系认证证书，得1分，共计3分。（0-3分）</w:t>
            </w:r>
          </w:p>
          <w:p>
            <w:pPr>
              <w:widowControl/>
              <w:snapToGrid w:val="0"/>
              <w:jc w:val="left"/>
              <w:rPr>
                <w:rFonts w:hint="eastAsia" w:ascii="宋体" w:hAnsi="Times New Roman" w:eastAsia="宋体" w:cs="宋体"/>
                <w:bCs/>
                <w:color w:val="000000"/>
                <w:kern w:val="2"/>
                <w:sz w:val="21"/>
                <w:szCs w:val="21"/>
                <w:highlight w:val="none"/>
                <w:lang w:val="en-US" w:eastAsia="zh-CN" w:bidi="ar-SA"/>
              </w:rPr>
            </w:pPr>
            <w:r>
              <w:rPr>
                <w:rFonts w:hint="eastAsia" w:ascii="仿宋_GB2312" w:hAnsi="宋体" w:eastAsia="仿宋_GB2312" w:cs="仿宋_GB2312"/>
                <w:sz w:val="24"/>
                <w:szCs w:val="24"/>
                <w:highlight w:val="none"/>
                <w:lang w:val="en-GB" w:eastAsia="zh-CN"/>
              </w:rPr>
              <w:t>提供有效期内证书的复印件并加盖投标人公章,不提供不得分。由评标委员会在国家认监委网站www.cnca.gov.cn查询，未在该网站上查询到的，不得分。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分</w:t>
            </w:r>
          </w:p>
          <w:p>
            <w:pPr>
              <w:jc w:val="center"/>
              <w:rPr>
                <w:rFonts w:hint="eastAsia" w:ascii="仿宋" w:hAnsi="仿宋" w:eastAsia="仿宋" w:cs="仿宋"/>
                <w:sz w:val="24"/>
                <w:lang w:eastAsia="zh-CN"/>
              </w:rPr>
            </w:pPr>
            <w:r>
              <w:rPr>
                <w:rFonts w:hint="eastAsia" w:ascii="仿宋" w:hAnsi="仿宋" w:eastAsia="仿宋" w:cs="仿宋"/>
                <w:sz w:val="24"/>
                <w:lang w:eastAsia="zh-CN"/>
              </w:rPr>
              <w:t>客</w:t>
            </w:r>
            <w:r>
              <w:rPr>
                <w:rFonts w:hint="eastAsia" w:ascii="仿宋" w:hAnsi="仿宋" w:eastAsia="仿宋" w:cs="仿宋"/>
                <w:sz w:val="24"/>
              </w:rPr>
              <w:t>观</w:t>
            </w:r>
          </w:p>
        </w:tc>
        <w:tc>
          <w:tcPr>
            <w:tcW w:w="1099" w:type="pct"/>
            <w:vAlign w:val="center"/>
          </w:tcPr>
          <w:p>
            <w:pPr>
              <w:adjustRightInd w:val="0"/>
              <w:spacing w:line="360" w:lineRule="auto"/>
              <w:jc w:val="center"/>
              <w:rPr>
                <w:rFonts w:hint="eastAsia" w:ascii="仿宋_GB2312" w:hAnsi="仿宋" w:eastAsia="仿宋_GB2312" w:cs="仿宋_GB2312"/>
                <w:sz w:val="24"/>
                <w:szCs w:val="24"/>
                <w:highlight w:val="none"/>
                <w:lang w:val="en-GB"/>
              </w:rPr>
            </w:pPr>
            <w:r>
              <w:rPr>
                <w:rFonts w:hint="eastAsia" w:ascii="仿宋_GB2312" w:hAnsi="仿宋" w:eastAsia="仿宋_GB2312" w:cs="仿宋_GB2312"/>
                <w:sz w:val="24"/>
                <w:szCs w:val="24"/>
                <w:highlight w:val="none"/>
                <w:lang w:val="en-GB"/>
              </w:rPr>
              <w:t>企业</w:t>
            </w:r>
          </w:p>
          <w:p>
            <w:pPr>
              <w:jc w:val="center"/>
              <w:rPr>
                <w:rFonts w:hint="eastAsia" w:ascii="仿宋" w:hAnsi="仿宋" w:eastAsia="仿宋" w:cs="仿宋"/>
                <w:sz w:val="24"/>
              </w:rPr>
            </w:pPr>
            <w:r>
              <w:rPr>
                <w:rFonts w:hint="eastAsia" w:ascii="仿宋_GB2312" w:hAnsi="仿宋" w:eastAsia="仿宋_GB2312" w:cs="仿宋_GB2312"/>
                <w:sz w:val="24"/>
                <w:szCs w:val="24"/>
                <w:highlight w:val="none"/>
                <w:lang w:val="en-GB"/>
              </w:rPr>
              <w:t>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59" w:type="pct"/>
            <w:vAlign w:val="center"/>
          </w:tcPr>
          <w:p>
            <w:pPr>
              <w:jc w:val="center"/>
              <w:rPr>
                <w:rFonts w:hint="default" w:ascii="仿宋" w:hAnsi="仿宋" w:eastAsia="仿宋" w:cs="仿宋_GB2312"/>
                <w:sz w:val="24"/>
                <w:lang w:val="en-US" w:eastAsia="zh-CN"/>
              </w:rPr>
            </w:pPr>
            <w:bookmarkStart w:id="406" w:name="_GoBack" w:colFirst="1" w:colLast="1"/>
            <w:r>
              <w:rPr>
                <w:rFonts w:hint="eastAsia" w:ascii="仿宋" w:hAnsi="仿宋" w:eastAsia="仿宋" w:cs="仿宋_GB2312"/>
                <w:sz w:val="24"/>
                <w:lang w:val="en-US" w:eastAsia="zh-CN"/>
              </w:rPr>
              <w:t>15</w:t>
            </w:r>
          </w:p>
        </w:tc>
        <w:tc>
          <w:tcPr>
            <w:tcW w:w="2797" w:type="pct"/>
            <w:vAlign w:val="center"/>
          </w:tcPr>
          <w:p>
            <w:pPr>
              <w:widowControl/>
              <w:snapToGrid w:val="0"/>
              <w:jc w:val="left"/>
              <w:rPr>
                <w:rFonts w:hint="eastAsia" w:ascii="仿宋_GB2312" w:hAnsi="宋体" w:eastAsia="仿宋_GB2312" w:cs="仿宋_GB2312"/>
                <w:sz w:val="24"/>
                <w:szCs w:val="24"/>
                <w:highlight w:val="none"/>
                <w:lang w:val="en-GB" w:eastAsia="zh-CN"/>
              </w:rPr>
            </w:pPr>
            <w:r>
              <w:rPr>
                <w:rFonts w:hint="eastAsia" w:ascii="仿宋_GB2312" w:hAnsi="宋体" w:eastAsia="仿宋_GB2312" w:cs="仿宋_GB2312"/>
                <w:sz w:val="24"/>
                <w:szCs w:val="24"/>
                <w:highlight w:val="none"/>
                <w:lang w:val="en-GB" w:eastAsia="zh-CN"/>
              </w:rPr>
              <w:t>自2020 年1月1日以来投标单位承担过与本项目类似的单个景观灯（非路灯照明）养护业绩，每个得</w:t>
            </w:r>
            <w:r>
              <w:rPr>
                <w:rFonts w:hint="eastAsia" w:ascii="仿宋_GB2312" w:hAnsi="宋体" w:eastAsia="仿宋_GB2312" w:cs="仿宋_GB2312"/>
                <w:sz w:val="24"/>
                <w:szCs w:val="24"/>
                <w:highlight w:val="none"/>
                <w:lang w:val="en-US" w:eastAsia="zh-CN"/>
              </w:rPr>
              <w:t>0.5分，最多</w:t>
            </w:r>
            <w:r>
              <w:rPr>
                <w:rFonts w:hint="eastAsia" w:ascii="仿宋_GB2312" w:hAnsi="宋体" w:eastAsia="仿宋_GB2312" w:cs="仿宋_GB2312"/>
                <w:sz w:val="24"/>
                <w:szCs w:val="24"/>
                <w:highlight w:val="none"/>
                <w:lang w:val="en-GB" w:eastAsia="zh-CN"/>
              </w:rPr>
              <w:t>得1分。（0-1分）</w:t>
            </w:r>
          </w:p>
          <w:p>
            <w:pPr>
              <w:widowControl/>
              <w:snapToGrid w:val="0"/>
              <w:jc w:val="left"/>
              <w:rPr>
                <w:rFonts w:hint="eastAsia" w:ascii="仿宋_GB2312" w:hAnsi="宋体" w:eastAsia="仿宋_GB2312" w:cs="仿宋_GB2312"/>
                <w:b/>
                <w:bCs/>
                <w:sz w:val="24"/>
                <w:szCs w:val="24"/>
                <w:highlight w:val="none"/>
                <w:lang w:val="en-GB" w:eastAsia="zh-CN"/>
              </w:rPr>
            </w:pPr>
            <w:r>
              <w:rPr>
                <w:rFonts w:hint="eastAsia" w:ascii="仿宋_GB2312" w:hAnsi="宋体" w:eastAsia="仿宋_GB2312" w:cs="仿宋_GB2312"/>
                <w:b/>
                <w:bCs/>
                <w:sz w:val="24"/>
                <w:szCs w:val="24"/>
                <w:highlight w:val="none"/>
                <w:lang w:val="en-GB" w:eastAsia="zh-CN"/>
              </w:rPr>
              <w:t>注：业绩合同要求为景观灯养护单个合同，提供路灯照明的业绩视为无效。</w:t>
            </w:r>
          </w:p>
          <w:p>
            <w:pPr>
              <w:widowControl/>
              <w:snapToGrid w:val="0"/>
              <w:jc w:val="left"/>
              <w:rPr>
                <w:rFonts w:hint="eastAsia" w:ascii="仿宋_GB2312" w:hAnsi="宋体" w:eastAsia="仿宋_GB2312" w:cs="仿宋_GB2312"/>
                <w:sz w:val="24"/>
                <w:szCs w:val="24"/>
                <w:highlight w:val="none"/>
                <w:lang w:val="en-GB" w:eastAsia="zh-CN"/>
              </w:rPr>
            </w:pPr>
            <w:r>
              <w:rPr>
                <w:rFonts w:hint="eastAsia" w:ascii="仿宋_GB2312" w:hAnsi="宋体" w:eastAsia="仿宋_GB2312" w:cs="仿宋_GB2312"/>
                <w:sz w:val="24"/>
                <w:szCs w:val="24"/>
                <w:highlight w:val="none"/>
                <w:lang w:val="en-GB" w:eastAsia="zh-CN"/>
              </w:rPr>
              <w:t>业绩时间以中标通知书盖章落款时间为准，无盖章落款时间，不予认可，且不得分；若无中标通知书，则按合同签订时间为准，合同无盖章落款时间，不予认可，且不得分。</w:t>
            </w:r>
          </w:p>
          <w:p>
            <w:pPr>
              <w:widowControl/>
              <w:snapToGrid w:val="0"/>
              <w:jc w:val="left"/>
              <w:rPr>
                <w:rFonts w:hint="eastAsia" w:ascii="仿宋_GB2312" w:hAnsi="宋体" w:eastAsia="仿宋_GB2312" w:cs="仿宋_GB2312"/>
                <w:sz w:val="24"/>
                <w:szCs w:val="24"/>
                <w:highlight w:val="none"/>
                <w:lang w:val="en-GB" w:eastAsia="zh-CN"/>
              </w:rPr>
            </w:pPr>
            <w:r>
              <w:rPr>
                <w:rFonts w:hint="eastAsia" w:ascii="仿宋_GB2312" w:hAnsi="宋体" w:eastAsia="仿宋_GB2312" w:cs="仿宋_GB2312"/>
                <w:sz w:val="24"/>
                <w:szCs w:val="24"/>
                <w:highlight w:val="none"/>
                <w:lang w:val="en-GB" w:eastAsia="zh-CN"/>
              </w:rPr>
              <w:t>有效证明材料：提供中标通知书或项目合同材料扫描件加盖公章。如上述材料不能体现招标文件要求的内容，另需提供业主证明等证明文件的扫描件并加盖投标人公章，且有业绩甲方经办人姓名、联系电话。提供的材料需能体现本招标文件要求的内容，未提供或提供的材料不符合要求不得分。</w:t>
            </w:r>
          </w:p>
          <w:p>
            <w:pPr>
              <w:widowControl/>
              <w:snapToGrid w:val="0"/>
              <w:jc w:val="left"/>
              <w:rPr>
                <w:rFonts w:hint="eastAsia" w:ascii="仿宋_GB2312" w:hAnsi="宋体" w:eastAsia="仿宋_GB2312" w:cs="仿宋_GB2312"/>
                <w:sz w:val="24"/>
                <w:szCs w:val="24"/>
                <w:highlight w:val="none"/>
                <w:lang w:val="en-GB" w:eastAsia="zh-CN"/>
              </w:rPr>
            </w:pPr>
            <w:r>
              <w:rPr>
                <w:rFonts w:hint="eastAsia" w:ascii="仿宋_GB2312" w:hAnsi="宋体" w:eastAsia="仿宋_GB2312" w:cs="仿宋_GB2312"/>
                <w:sz w:val="24"/>
                <w:szCs w:val="24"/>
                <w:highlight w:val="none"/>
                <w:lang w:val="en-GB" w:eastAsia="zh-CN"/>
              </w:rPr>
              <w:t>若为联合体业绩的，另需提供联合体协议扫描件加盖投标人公章，且有业绩甲方经办人姓名、联系电话，且联合体协议中投标人的分工内容为景观灯养护，能体现投标单位景观灯养护数量、内容等，若协议无法体现该内容，另需提供业主证明等证明文件的扫描件并加盖投标人公章，且有业绩甲方经办人姓名、联系电话，否则不得分。</w:t>
            </w:r>
          </w:p>
          <w:p>
            <w:pPr>
              <w:widowControl/>
              <w:snapToGrid w:val="0"/>
              <w:jc w:val="left"/>
              <w:rPr>
                <w:rFonts w:hint="eastAsia" w:ascii="Times New Roman" w:hAnsi="Times New Roman" w:eastAsia="宋体" w:cs="Times New Roman"/>
                <w:kern w:val="2"/>
                <w:sz w:val="21"/>
                <w:szCs w:val="24"/>
                <w:lang w:val="en-US" w:eastAsia="zh-CN" w:bidi="ar-SA"/>
              </w:rPr>
            </w:pPr>
            <w:r>
              <w:rPr>
                <w:rFonts w:hint="eastAsia" w:ascii="仿宋_GB2312" w:hAnsi="宋体" w:eastAsia="仿宋_GB2312" w:cs="仿宋_GB2312"/>
                <w:sz w:val="24"/>
                <w:szCs w:val="24"/>
                <w:highlight w:val="none"/>
                <w:lang w:val="en-GB" w:eastAsia="zh-CN"/>
              </w:rPr>
              <w:t>若为分包业绩的，另需提供分包协议扫描件加盖投标人公章，且有业绩甲方经办人姓名、联系电话，且分包协议中投标人的内容为景观灯养护，能体现投标单位景观灯养护数量、内容等，若协议无法体现该内容，另需提供业主证明等证明文件的扫描件并加盖投标人公章，且有业绩甲方经办人姓名、联系电话，否则不得分。</w:t>
            </w:r>
          </w:p>
        </w:tc>
        <w:tc>
          <w:tcPr>
            <w:tcW w:w="644" w:type="pct"/>
            <w:vAlign w:val="center"/>
          </w:tcPr>
          <w:p>
            <w:pPr>
              <w:jc w:val="center"/>
              <w:rPr>
                <w:rFonts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分</w:t>
            </w:r>
          </w:p>
          <w:p>
            <w:pPr>
              <w:jc w:val="center"/>
              <w:rPr>
                <w:rFonts w:hint="eastAsia" w:ascii="仿宋" w:hAnsi="仿宋" w:eastAsia="仿宋" w:cs="仿宋"/>
                <w:sz w:val="24"/>
                <w:lang w:eastAsia="zh-CN"/>
              </w:rPr>
            </w:pPr>
            <w:r>
              <w:rPr>
                <w:rFonts w:hint="eastAsia" w:ascii="仿宋" w:hAnsi="仿宋" w:eastAsia="仿宋" w:cs="仿宋"/>
                <w:sz w:val="24"/>
                <w:lang w:eastAsia="zh-CN"/>
              </w:rPr>
              <w:t>客</w:t>
            </w:r>
            <w:r>
              <w:rPr>
                <w:rFonts w:hint="eastAsia" w:ascii="仿宋" w:hAnsi="仿宋" w:eastAsia="仿宋" w:cs="仿宋"/>
                <w:sz w:val="24"/>
              </w:rPr>
              <w:t>观</w:t>
            </w:r>
          </w:p>
        </w:tc>
        <w:tc>
          <w:tcPr>
            <w:tcW w:w="1099" w:type="pct"/>
            <w:vAlign w:val="center"/>
          </w:tcPr>
          <w:p>
            <w:pPr>
              <w:adjustRightInd w:val="0"/>
              <w:spacing w:line="360" w:lineRule="auto"/>
              <w:jc w:val="center"/>
              <w:rPr>
                <w:rFonts w:hint="eastAsia" w:ascii="仿宋_GB2312" w:hAnsi="仿宋" w:eastAsia="仿宋_GB2312" w:cs="仿宋_GB2312"/>
                <w:sz w:val="24"/>
                <w:szCs w:val="24"/>
                <w:highlight w:val="none"/>
                <w:lang w:val="en-GB"/>
              </w:rPr>
            </w:pPr>
            <w:r>
              <w:rPr>
                <w:rFonts w:hint="eastAsia" w:ascii="仿宋_GB2312" w:hAnsi="仿宋" w:eastAsia="仿宋_GB2312" w:cs="仿宋_GB2312"/>
                <w:sz w:val="24"/>
                <w:szCs w:val="24"/>
                <w:highlight w:val="none"/>
                <w:lang w:val="en-GB"/>
              </w:rPr>
              <w:t>类似</w:t>
            </w:r>
          </w:p>
          <w:p>
            <w:pPr>
              <w:adjustRightInd w:val="0"/>
              <w:spacing w:line="360" w:lineRule="auto"/>
              <w:jc w:val="center"/>
              <w:rPr>
                <w:rFonts w:hint="eastAsia" w:ascii="仿宋_GB2312" w:hAnsi="仿宋" w:eastAsia="仿宋_GB2312" w:cs="仿宋_GB2312"/>
                <w:kern w:val="2"/>
                <w:sz w:val="24"/>
                <w:szCs w:val="24"/>
                <w:highlight w:val="none"/>
                <w:lang w:val="en-GB" w:eastAsia="zh-CN" w:bidi="ar-SA"/>
              </w:rPr>
            </w:pPr>
            <w:r>
              <w:rPr>
                <w:rFonts w:hint="eastAsia" w:ascii="仿宋_GB2312" w:hAnsi="仿宋" w:eastAsia="仿宋_GB2312" w:cs="仿宋_GB2312"/>
                <w:sz w:val="24"/>
                <w:szCs w:val="24"/>
                <w:highlight w:val="none"/>
                <w:lang w:val="en-GB"/>
              </w:rPr>
              <w:t>业绩</w:t>
            </w:r>
          </w:p>
        </w:tc>
      </w:tr>
      <w:bookmarkEnd w:id="40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459" w:type="pct"/>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17</w:t>
            </w:r>
          </w:p>
        </w:tc>
        <w:tc>
          <w:tcPr>
            <w:tcW w:w="2797" w:type="pct"/>
            <w:vAlign w:val="top"/>
          </w:tcPr>
          <w:p>
            <w:pPr>
              <w:spacing w:line="360" w:lineRule="auto"/>
              <w:jc w:val="left"/>
              <w:rPr>
                <w:rFonts w:hint="eastAsia" w:ascii="仿宋" w:hAnsi="仿宋" w:eastAsia="仿宋" w:cs="仿宋"/>
                <w:sz w:val="24"/>
                <w:szCs w:val="24"/>
                <w:u w:val="none"/>
                <w:lang w:val="en-US" w:eastAsia="zh-CN" w:bidi="ar-SA"/>
              </w:rPr>
            </w:pPr>
            <w:r>
              <w:rPr>
                <w:rFonts w:hint="eastAsia" w:ascii="仿宋" w:hAnsi="仿宋" w:eastAsia="仿宋" w:cs="仿宋"/>
                <w:sz w:val="24"/>
                <w:szCs w:val="24"/>
                <w:u w:val="none"/>
                <w:lang w:val="en-US" w:eastAsia="zh-CN" w:bidi="ar-SA"/>
              </w:rPr>
              <w:t>有效投标报价的最低价作为评标基准价，其最低报价为满分；按［投标报价得分=（评标基准价/投标报价）*10］的计算公式计算。</w:t>
            </w:r>
          </w:p>
          <w:p>
            <w:pPr>
              <w:spacing w:line="360" w:lineRule="auto"/>
              <w:jc w:val="left"/>
              <w:rPr>
                <w:rFonts w:hint="eastAsia" w:ascii="仿宋" w:hAnsi="仿宋" w:eastAsia="仿宋" w:cs="仿宋"/>
                <w:sz w:val="24"/>
                <w:szCs w:val="24"/>
                <w:u w:val="none"/>
                <w:lang w:val="en-US" w:eastAsia="zh-CN" w:bidi="ar-SA"/>
              </w:rPr>
            </w:pPr>
            <w:r>
              <w:rPr>
                <w:rFonts w:hint="eastAsia" w:ascii="仿宋" w:hAnsi="仿宋" w:eastAsia="仿宋" w:cs="仿宋"/>
                <w:sz w:val="24"/>
                <w:szCs w:val="24"/>
                <w:u w:val="none"/>
                <w:lang w:val="en-US" w:eastAsia="zh-CN" w:bidi="ar-SA"/>
              </w:rPr>
              <w:t>评标过程中，不得去掉报价中的最高报价和最低报价。</w:t>
            </w:r>
          </w:p>
          <w:p>
            <w:pPr>
              <w:spacing w:line="360" w:lineRule="auto"/>
              <w:jc w:val="left"/>
              <w:rPr>
                <w:rFonts w:hint="eastAsia" w:ascii="仿宋" w:hAnsi="仿宋" w:eastAsia="仿宋" w:cs="仿宋"/>
                <w:kern w:val="2"/>
                <w:sz w:val="24"/>
                <w:szCs w:val="24"/>
                <w:u w:val="none"/>
                <w:lang w:val="en-US" w:eastAsia="zh-CN" w:bidi="ar-SA"/>
              </w:rPr>
            </w:pPr>
            <w:r>
              <w:rPr>
                <w:rFonts w:hint="eastAsia" w:ascii="仿宋" w:hAnsi="仿宋" w:eastAsia="仿宋" w:cs="仿宋"/>
                <w:sz w:val="24"/>
                <w:szCs w:val="24"/>
                <w:u w:val="none"/>
                <w:lang w:val="en-US" w:eastAsia="zh-CN" w:bidi="ar-SA"/>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644" w:type="pct"/>
            <w:vAlign w:val="center"/>
          </w:tcPr>
          <w:p>
            <w:pPr>
              <w:spacing w:line="360" w:lineRule="auto"/>
              <w:jc w:val="center"/>
              <w:rPr>
                <w:rFonts w:ascii="仿宋" w:hAnsi="仿宋" w:eastAsia="仿宋" w:cs="仿宋"/>
                <w:sz w:val="24"/>
              </w:rPr>
            </w:pPr>
            <w:r>
              <w:rPr>
                <w:rFonts w:hint="eastAsia" w:ascii="仿宋" w:hAnsi="仿宋" w:eastAsia="仿宋" w:cs="仿宋"/>
                <w:sz w:val="24"/>
              </w:rPr>
              <w:t>10分</w:t>
            </w:r>
          </w:p>
          <w:p>
            <w:pPr>
              <w:spacing w:line="360" w:lineRule="auto"/>
              <w:jc w:val="center"/>
              <w:rPr>
                <w:rFonts w:ascii="仿宋" w:hAnsi="仿宋" w:eastAsia="仿宋" w:cs="仿宋"/>
                <w:sz w:val="24"/>
              </w:rPr>
            </w:pPr>
            <w:r>
              <w:rPr>
                <w:rFonts w:hint="eastAsia" w:ascii="仿宋" w:hAnsi="仿宋" w:eastAsia="仿宋" w:cs="仿宋"/>
                <w:sz w:val="24"/>
              </w:rPr>
              <w:t>（客观）</w:t>
            </w:r>
          </w:p>
        </w:tc>
        <w:tc>
          <w:tcPr>
            <w:tcW w:w="1099" w:type="pct"/>
            <w:vAlign w:val="center"/>
          </w:tcPr>
          <w:p>
            <w:pPr>
              <w:spacing w:line="360" w:lineRule="auto"/>
              <w:jc w:val="left"/>
              <w:rPr>
                <w:rFonts w:ascii="仿宋" w:hAnsi="仿宋" w:eastAsia="仿宋" w:cs="仿宋"/>
                <w:sz w:val="24"/>
              </w:rPr>
            </w:pPr>
            <w:r>
              <w:rPr>
                <w:rFonts w:hint="eastAsia" w:ascii="仿宋" w:hAnsi="仿宋" w:eastAsia="仿宋" w:cs="仿宋"/>
                <w:sz w:val="24"/>
              </w:rPr>
              <w:t>/</w:t>
            </w:r>
          </w:p>
        </w:tc>
      </w:tr>
    </w:tbl>
    <w:p>
      <w:pPr>
        <w:snapToGrid w:val="0"/>
        <w:spacing w:line="360" w:lineRule="auto"/>
        <w:rPr>
          <w:rFonts w:ascii="仿宋" w:hAnsi="仿宋" w:eastAsia="仿宋" w:cs="仿宋"/>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w:t>
      </w:r>
    </w:p>
    <w:p>
      <w:pPr>
        <w:snapToGrid w:val="0"/>
        <w:spacing w:line="360" w:lineRule="auto"/>
        <w:rPr>
          <w:rFonts w:ascii="仿宋" w:hAnsi="仿宋" w:eastAsia="仿宋" w:cs="仿宋"/>
          <w:sz w:val="24"/>
        </w:rPr>
      </w:pPr>
      <w:r>
        <w:rPr>
          <w:rFonts w:hint="eastAsia" w:ascii="仿宋" w:hAnsi="仿宋" w:eastAsia="仿宋" w:cs="仿宋"/>
          <w:sz w:val="24"/>
        </w:rPr>
        <w:t>内容）提供评标标准相应的商务技术资料。 </w:t>
      </w:r>
    </w:p>
    <w:p>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b/>
          <w:bCs/>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r>
        <w:rPr>
          <w:rFonts w:hint="eastAsia" w:ascii="仿宋" w:hAnsi="仿宋" w:eastAsia="仿宋" w:cs="仿宋"/>
          <w:b/>
          <w:bCs/>
          <w:kern w:val="0"/>
          <w:sz w:val="24"/>
        </w:rPr>
        <w:t>评审小组成员个人主观打分偏离所有评审小组成员主观打分平均值30%以上的，由评审委员会启动评分畸高、畸低行为认定程序。</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kern w:val="0"/>
          <w:sz w:val="24"/>
        </w:rPr>
      </w:pPr>
      <w:r>
        <w:rPr>
          <w:rFonts w:hint="eastAsia" w:ascii="仿宋" w:hAnsi="仿宋" w:eastAsia="仿宋" w:cs="仿宋"/>
          <w:b/>
          <w:kern w:val="0"/>
          <w:sz w:val="24"/>
        </w:rPr>
        <w:t>3.4报价评审。</w:t>
      </w:r>
    </w:p>
    <w:p>
      <w:pPr>
        <w:pStyle w:val="132"/>
        <w:spacing w:before="0"/>
        <w:ind w:firstLine="508" w:firstLineChars="212"/>
        <w:rPr>
          <w:rFonts w:ascii="仿宋" w:hAnsi="仿宋" w:eastAsia="仿宋" w:cs="仿宋"/>
          <w:kern w:val="0"/>
        </w:rPr>
      </w:pPr>
      <w:r>
        <w:rPr>
          <w:rFonts w:hint="eastAsia" w:ascii="仿宋" w:hAnsi="仿宋" w:eastAsia="仿宋" w:cs="仿宋"/>
          <w:kern w:val="0"/>
        </w:rPr>
        <w:t>3.4.1投标文件报价出现前后不一致的，按照下列规定修正：</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3.4.1.3单价金额小数点或者百分比有明显错位的，以开标一览表（报价表）的总价为准，并修改单价;</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pPr>
        <w:pStyle w:val="132"/>
        <w:spacing w:before="0"/>
        <w:ind w:firstLine="472" w:firstLineChars="196"/>
        <w:rPr>
          <w:rFonts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有下列情况之一的，投标无效：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4.2.1投标人不具备招标文件中规定的资格要求的（投标人未提供有效的资格文件的，未按照招标文件要求提供与资格条件相应的有效资格证明材料的，均视为投标人不具备招标文件中规定的资格要求）；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4.2.4投标文件含有采购人不能接受的附加条件的（</w:t>
      </w:r>
      <w:r>
        <w:rPr>
          <w:rFonts w:hint="eastAsia" w:ascii="仿宋" w:hAnsi="仿宋" w:eastAsia="仿宋" w:cs="仿宋"/>
          <w:kern w:val="0"/>
          <w:sz w:val="24"/>
          <w:lang w:val="zh-CN"/>
        </w:rPr>
        <w:t>投标人未按开标一览表（报价表）格式填写的，采购内容未包含在《开标一览表（报价表）》名称栏中，投标人不能作出合理解释的，均视为投标文件含有采购人不能接受的附加条件</w:t>
      </w:r>
      <w:r>
        <w:rPr>
          <w:rFonts w:hint="eastAsia" w:ascii="仿宋" w:hAnsi="仿宋" w:eastAsia="仿宋" w:cs="仿宋"/>
          <w:kern w:val="0"/>
          <w:sz w:val="24"/>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pacing w:line="360" w:lineRule="auto"/>
        <w:ind w:firstLine="480" w:firstLineChars="200"/>
        <w:rPr>
          <w:rFonts w:eastAsia="仿宋"/>
        </w:rPr>
      </w:pPr>
      <w:r>
        <w:rPr>
          <w:rFonts w:hint="eastAsia" w:ascii="仿宋" w:eastAsia="仿宋" w:cs="仿宋"/>
          <w:kern w:val="0"/>
          <w:sz w:val="24"/>
        </w:rPr>
        <w:t>4.2.6在原定投标有效期满之前，如果出现特殊情况，采购代理机构以书面形式通知投标人延长投标有效期，投标人拒绝延长的；</w:t>
      </w:r>
    </w:p>
    <w:p>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4.2.7投标文件出现不是唯一的、有选择性投标报价的;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4.2.8投标报价超过招标文件中规定的预算金额或者最高限价的;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4.2.10投标人对根据修正原则修正后的报价不确认的；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4.2.11投标人提供虚假材料投标的；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4.2.12投标人有恶意串通、妨碍其他投标人的竞争行为、损害采购人或者其他投标人的合法权益情形的；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4.2.13招标文件要求提供样品，投标人未提供样品或提供的样品不满足采购需求实质性条件的；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4.2.14投标文件不满足招标文件的其它实质性要求的；</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4.2.15法律、法规、规章（适用本市的）及省级以上规范性文件（适用本市的）规定的其他无效情形。</w:t>
      </w:r>
    </w:p>
    <w:p>
      <w:pPr>
        <w:pStyle w:val="26"/>
        <w:snapToGrid w:val="0"/>
        <w:spacing w:line="360" w:lineRule="auto"/>
        <w:ind w:firstLine="472" w:firstLineChars="196"/>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6"/>
        <w:snapToGrid w:val="0"/>
        <w:spacing w:line="360" w:lineRule="auto"/>
        <w:rPr>
          <w:rFonts w:ascii="仿宋" w:hAnsi="仿宋" w:eastAsia="仿宋" w:cs="仿宋"/>
        </w:rPr>
      </w:pPr>
      <w:r>
        <w:rPr>
          <w:rFonts w:hint="eastAsia" w:ascii="仿宋" w:hAnsi="仿宋" w:eastAsia="仿宋" w:cs="仿宋"/>
        </w:rPr>
        <w:t>5.1符合专业条件的供应商或者对招标文件作实质响应的供应商不足3家的；</w:t>
      </w:r>
    </w:p>
    <w:p>
      <w:pPr>
        <w:pStyle w:val="26"/>
        <w:snapToGrid w:val="0"/>
        <w:spacing w:line="360" w:lineRule="auto"/>
        <w:rPr>
          <w:rFonts w:ascii="仿宋" w:hAnsi="仿宋" w:eastAsia="仿宋" w:cs="仿宋"/>
        </w:rPr>
      </w:pPr>
      <w:r>
        <w:rPr>
          <w:rFonts w:hint="eastAsia" w:ascii="仿宋" w:hAnsi="仿宋" w:eastAsia="仿宋" w:cs="仿宋"/>
        </w:rPr>
        <w:t>5.2出现影响采购公正的违法、违规行为的；</w:t>
      </w:r>
    </w:p>
    <w:p>
      <w:pPr>
        <w:pStyle w:val="26"/>
        <w:snapToGrid w:val="0"/>
        <w:spacing w:line="360" w:lineRule="auto"/>
        <w:rPr>
          <w:rFonts w:ascii="仿宋" w:hAnsi="仿宋" w:eastAsia="仿宋" w:cs="仿宋"/>
        </w:rPr>
      </w:pPr>
      <w:r>
        <w:rPr>
          <w:rFonts w:hint="eastAsia" w:ascii="仿宋" w:hAnsi="仿宋" w:eastAsia="仿宋" w:cs="仿宋"/>
        </w:rPr>
        <w:t>5.3投标人的报价均超过了采购预算，采购人不能支付的；</w:t>
      </w:r>
    </w:p>
    <w:p>
      <w:pPr>
        <w:pStyle w:val="26"/>
        <w:snapToGrid w:val="0"/>
        <w:spacing w:line="360" w:lineRule="auto"/>
        <w:rPr>
          <w:rFonts w:ascii="仿宋" w:hAnsi="仿宋" w:eastAsia="仿宋" w:cs="仿宋"/>
        </w:rPr>
      </w:pPr>
      <w:r>
        <w:rPr>
          <w:rFonts w:hint="eastAsia" w:ascii="仿宋" w:hAnsi="仿宋" w:eastAsia="仿宋" w:cs="仿宋"/>
        </w:rPr>
        <w:t>5.4因重大变故，采购任务取消的。</w:t>
      </w:r>
    </w:p>
    <w:p>
      <w:pPr>
        <w:pStyle w:val="26"/>
        <w:snapToGrid w:val="0"/>
        <w:spacing w:line="360" w:lineRule="auto"/>
        <w:rPr>
          <w:rFonts w:ascii="仿宋" w:hAnsi="仿宋" w:eastAsia="仿宋" w:cs="仿宋"/>
        </w:rPr>
      </w:pPr>
      <w:r>
        <w:rPr>
          <w:rFonts w:hint="eastAsia" w:ascii="仿宋" w:hAnsi="仿宋" w:eastAsia="仿宋" w:cs="仿宋"/>
        </w:rPr>
        <w:t>废标后，采购代理机构应当将废标理由通知所有投标人。</w:t>
      </w:r>
    </w:p>
    <w:p>
      <w:pPr>
        <w:pStyle w:val="26"/>
        <w:snapToGrid w:val="0"/>
        <w:spacing w:line="360" w:lineRule="auto"/>
        <w:ind w:firstLine="590" w:firstLineChars="245"/>
        <w:rPr>
          <w:rFonts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360" w:lineRule="auto"/>
        <w:ind w:firstLine="590" w:firstLineChars="245"/>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26"/>
        <w:snapToGrid w:val="0"/>
        <w:spacing w:line="360" w:lineRule="auto"/>
        <w:ind w:firstLine="600" w:firstLineChars="250"/>
        <w:rPr>
          <w:rFonts w:ascii="仿宋" w:hAnsi="仿宋" w:eastAsia="仿宋" w:cs="仿宋"/>
        </w:rPr>
      </w:pPr>
      <w:r>
        <w:rPr>
          <w:rFonts w:hint="eastAsia" w:ascii="仿宋" w:hAnsi="仿宋" w:eastAsia="仿宋" w:cs="仿宋"/>
        </w:rPr>
        <w:t>7.1未确定中标供应商的，终止本次政府采购活动，重新开展政府采购活动。</w:t>
      </w:r>
    </w:p>
    <w:p>
      <w:pPr>
        <w:pStyle w:val="26"/>
        <w:snapToGrid w:val="0"/>
        <w:spacing w:line="360" w:lineRule="auto"/>
        <w:ind w:firstLine="600" w:firstLineChars="250"/>
        <w:rPr>
          <w:rFonts w:ascii="仿宋" w:hAnsi="仿宋" w:eastAsia="仿宋" w:cs="仿宋"/>
        </w:rPr>
      </w:pPr>
      <w:r>
        <w:rPr>
          <w:rFonts w:hint="eastAsia" w:ascii="仿宋" w:hAnsi="仿宋" w:eastAsia="仿宋" w:cs="仿宋"/>
        </w:rPr>
        <w:t>7.2已确定中标供应商但尚未签订政府采购合同的，中标或者成交结果无效，从合格的中标或者成交候选人中另行确定中标或者中标人；没有合格的中标或者成交候选人的，重新开展政府采购活动。</w:t>
      </w:r>
    </w:p>
    <w:p>
      <w:pPr>
        <w:pStyle w:val="26"/>
        <w:snapToGrid w:val="0"/>
        <w:spacing w:line="360" w:lineRule="auto"/>
        <w:ind w:firstLine="600" w:firstLineChars="250"/>
        <w:rPr>
          <w:rFonts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26"/>
        <w:snapToGrid w:val="0"/>
        <w:spacing w:line="360" w:lineRule="auto"/>
        <w:rPr>
          <w:rFonts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6"/>
        <w:snapToGrid w:val="0"/>
        <w:spacing w:line="360" w:lineRule="auto"/>
        <w:rPr>
          <w:rFonts w:ascii="仿宋" w:hAnsi="仿宋" w:eastAsia="仿宋" w:cs="仿宋"/>
        </w:rPr>
        <w:sectPr>
          <w:headerReference r:id="rId14" w:type="default"/>
          <w:footerReference r:id="rId15" w:type="default"/>
          <w:pgSz w:w="11907" w:h="16840"/>
          <w:pgMar w:top="1474" w:right="1473" w:bottom="1474" w:left="1394" w:header="851" w:footer="851" w:gutter="0"/>
          <w:cols w:space="720" w:num="1"/>
        </w:sect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bookmarkEnd w:id="27"/>
    </w:p>
    <w:p>
      <w:pPr>
        <w:spacing w:line="360" w:lineRule="auto"/>
        <w:ind w:left="720" w:leftChars="343" w:firstLine="1084" w:firstLineChars="300"/>
        <w:outlineLvl w:val="0"/>
        <w:rPr>
          <w:rFonts w:ascii="宋体" w:hAnsi="宋体" w:cs="宋体"/>
          <w:b/>
          <w:sz w:val="36"/>
          <w:szCs w:val="36"/>
        </w:rPr>
      </w:pPr>
      <w:bookmarkStart w:id="394" w:name="第五部分"/>
      <w:bookmarkStart w:id="395" w:name="_Toc86217003"/>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pStyle w:val="703"/>
        <w:ind w:leftChars="0" w:firstLine="2465" w:firstLineChars="682"/>
        <w:jc w:val="left"/>
        <w:rPr>
          <w:rFonts w:ascii="仿宋_GB2312" w:hAnsi="仿宋_GB2312" w:eastAsia="仿宋_GB2312" w:cs="仿宋_GB2312"/>
          <w:b/>
          <w:sz w:val="36"/>
          <w:szCs w:val="36"/>
          <w:highlight w:val="none"/>
        </w:rPr>
      </w:pPr>
      <w:r>
        <w:rPr>
          <w:rFonts w:hint="eastAsia" w:ascii="仿宋_GB2312" w:hAnsi="仿宋_GB2312" w:eastAsia="仿宋_GB2312" w:cs="仿宋_GB2312"/>
          <w:b/>
          <w:sz w:val="36"/>
          <w:szCs w:val="36"/>
          <w:highlight w:val="none"/>
        </w:rPr>
        <w:t>政府采购合同书</w:t>
      </w:r>
    </w:p>
    <w:p>
      <w:pPr>
        <w:pStyle w:val="703"/>
        <w:ind w:left="31680" w:firstLine="31680"/>
        <w:rPr>
          <w:rFonts w:ascii="仿宋_GB2312" w:hAnsi="楷体" w:eastAsia="仿宋_GB2312"/>
          <w:szCs w:val="24"/>
          <w:highlight w:val="none"/>
        </w:rPr>
      </w:pPr>
    </w:p>
    <w:p>
      <w:pPr>
        <w:pStyle w:val="703"/>
        <w:ind w:left="31680" w:firstLine="31680"/>
        <w:rPr>
          <w:rFonts w:ascii="仿宋_GB2312" w:hAnsi="楷体" w:eastAsia="仿宋_GB2312"/>
          <w:szCs w:val="24"/>
          <w:highlight w:val="none"/>
        </w:rPr>
      </w:pPr>
    </w:p>
    <w:p>
      <w:pPr>
        <w:spacing w:before="120" w:line="360" w:lineRule="auto"/>
        <w:rPr>
          <w:rFonts w:ascii="仿宋_GB2312" w:hAnsi="楷体" w:eastAsia="仿宋_GB2312"/>
          <w:sz w:val="24"/>
          <w:highlight w:val="none"/>
        </w:rPr>
      </w:pPr>
    </w:p>
    <w:p>
      <w:pPr>
        <w:spacing w:before="120" w:line="360" w:lineRule="auto"/>
        <w:ind w:left="960"/>
        <w:rPr>
          <w:rFonts w:ascii="仿宋_GB2312" w:hAnsi="楷体" w:eastAsia="仿宋_GB2312"/>
          <w:sz w:val="24"/>
          <w:highlight w:val="none"/>
          <w:u w:val="single"/>
        </w:rPr>
      </w:pPr>
      <w:r>
        <w:rPr>
          <w:rFonts w:hint="eastAsia" w:ascii="仿宋_GB2312" w:hAnsi="楷体" w:eastAsia="仿宋_GB2312"/>
          <w:sz w:val="24"/>
          <w:highlight w:val="none"/>
        </w:rPr>
        <w:t>项目名称：</w:t>
      </w:r>
      <w:r>
        <w:rPr>
          <w:rFonts w:ascii="仿宋_GB2312" w:hAnsi="楷体" w:eastAsia="仿宋_GB2312"/>
          <w:sz w:val="24"/>
          <w:highlight w:val="none"/>
          <w:u w:val="single"/>
        </w:rPr>
        <w:t xml:space="preserve">                                   </w:t>
      </w:r>
    </w:p>
    <w:p>
      <w:pPr>
        <w:pStyle w:val="600"/>
        <w:spacing w:before="120"/>
        <w:ind w:firstLine="360"/>
        <w:rPr>
          <w:rFonts w:hAnsi="楷体"/>
          <w:szCs w:val="24"/>
          <w:highlight w:val="none"/>
        </w:rPr>
      </w:pPr>
    </w:p>
    <w:p>
      <w:pPr>
        <w:spacing w:line="360" w:lineRule="auto"/>
        <w:rPr>
          <w:rFonts w:ascii="仿宋_GB2312" w:eastAsia="仿宋_GB2312"/>
          <w:sz w:val="24"/>
          <w:highlight w:val="none"/>
        </w:rPr>
      </w:pPr>
    </w:p>
    <w:p>
      <w:pPr>
        <w:spacing w:before="120" w:line="360" w:lineRule="auto"/>
        <w:ind w:left="960"/>
        <w:rPr>
          <w:rFonts w:ascii="仿宋_GB2312" w:hAnsi="楷体" w:eastAsia="仿宋_GB2312"/>
          <w:sz w:val="24"/>
          <w:highlight w:val="none"/>
          <w:u w:val="single"/>
        </w:rPr>
      </w:pPr>
      <w:r>
        <w:rPr>
          <w:rFonts w:hint="eastAsia" w:ascii="仿宋_GB2312" w:hAnsi="楷体" w:eastAsia="仿宋_GB2312"/>
          <w:sz w:val="24"/>
          <w:highlight w:val="none"/>
        </w:rPr>
        <w:t>甲方：</w:t>
      </w:r>
      <w:r>
        <w:rPr>
          <w:rFonts w:ascii="仿宋_GB2312" w:hAnsi="楷体" w:eastAsia="仿宋_GB2312"/>
          <w:sz w:val="24"/>
          <w:highlight w:val="none"/>
          <w:u w:val="single"/>
        </w:rPr>
        <w:t xml:space="preserve">                                       </w:t>
      </w:r>
    </w:p>
    <w:p>
      <w:pPr>
        <w:spacing w:before="120" w:line="360" w:lineRule="auto"/>
        <w:rPr>
          <w:rFonts w:ascii="仿宋_GB2312" w:hAnsi="楷体" w:eastAsia="仿宋_GB2312"/>
          <w:sz w:val="24"/>
          <w:highlight w:val="none"/>
        </w:rPr>
      </w:pPr>
    </w:p>
    <w:p>
      <w:pPr>
        <w:spacing w:before="120" w:line="360" w:lineRule="auto"/>
        <w:ind w:left="960"/>
        <w:rPr>
          <w:rFonts w:ascii="仿宋_GB2312" w:hAnsi="楷体" w:eastAsia="仿宋_GB2312"/>
          <w:sz w:val="24"/>
          <w:highlight w:val="none"/>
          <w:u w:val="single"/>
        </w:rPr>
      </w:pPr>
      <w:r>
        <w:rPr>
          <w:rFonts w:hint="eastAsia" w:ascii="仿宋_GB2312" w:hAnsi="楷体" w:eastAsia="仿宋_GB2312"/>
          <w:sz w:val="24"/>
          <w:highlight w:val="none"/>
        </w:rPr>
        <w:t>乙方：</w:t>
      </w:r>
      <w:r>
        <w:rPr>
          <w:rFonts w:ascii="仿宋_GB2312" w:hAnsi="楷体" w:eastAsia="仿宋_GB2312"/>
          <w:sz w:val="24"/>
          <w:highlight w:val="none"/>
          <w:u w:val="single"/>
        </w:rPr>
        <w:t xml:space="preserve">                                       </w:t>
      </w:r>
    </w:p>
    <w:p>
      <w:pPr>
        <w:spacing w:before="120" w:line="360" w:lineRule="auto"/>
        <w:rPr>
          <w:rFonts w:ascii="仿宋_GB2312" w:hAnsi="楷体" w:eastAsia="仿宋_GB2312"/>
          <w:sz w:val="24"/>
          <w:highlight w:val="none"/>
        </w:rPr>
      </w:pPr>
    </w:p>
    <w:p>
      <w:pPr>
        <w:spacing w:before="120" w:line="360" w:lineRule="auto"/>
        <w:ind w:firstLine="960" w:firstLineChars="400"/>
        <w:rPr>
          <w:rFonts w:ascii="仿宋_GB2312" w:hAnsi="楷体" w:eastAsia="仿宋_GB2312"/>
          <w:sz w:val="24"/>
          <w:highlight w:val="none"/>
          <w:u w:val="single"/>
        </w:rPr>
      </w:pPr>
      <w:r>
        <w:rPr>
          <w:rFonts w:hint="eastAsia" w:ascii="仿宋_GB2312" w:hAnsi="楷体" w:eastAsia="仿宋_GB2312"/>
          <w:sz w:val="24"/>
          <w:highlight w:val="none"/>
        </w:rPr>
        <w:t>签订地：</w:t>
      </w:r>
      <w:r>
        <w:rPr>
          <w:rFonts w:ascii="仿宋_GB2312" w:hAnsi="楷体" w:eastAsia="仿宋_GB2312"/>
          <w:sz w:val="24"/>
          <w:highlight w:val="none"/>
          <w:u w:val="single"/>
        </w:rPr>
        <w:t xml:space="preserve">                                     </w:t>
      </w:r>
    </w:p>
    <w:p>
      <w:pPr>
        <w:spacing w:before="120" w:line="360" w:lineRule="auto"/>
        <w:rPr>
          <w:rFonts w:ascii="仿宋_GB2312" w:hAnsi="楷体" w:eastAsia="仿宋_GB2312"/>
          <w:sz w:val="24"/>
          <w:highlight w:val="none"/>
        </w:rPr>
      </w:pPr>
    </w:p>
    <w:p>
      <w:pPr>
        <w:spacing w:before="120" w:line="360" w:lineRule="auto"/>
        <w:ind w:firstLine="960" w:firstLineChars="400"/>
        <w:rPr>
          <w:rFonts w:ascii="仿宋_GB2312" w:hAnsi="楷体" w:eastAsia="仿宋_GB2312"/>
          <w:sz w:val="24"/>
          <w:highlight w:val="none"/>
          <w:u w:val="single"/>
        </w:rPr>
      </w:pPr>
      <w:r>
        <w:rPr>
          <w:rFonts w:hint="eastAsia" w:ascii="仿宋_GB2312" w:hAnsi="楷体" w:eastAsia="仿宋_GB2312"/>
          <w:sz w:val="24"/>
          <w:highlight w:val="none"/>
        </w:rPr>
        <w:t>签订日期：</w:t>
      </w:r>
      <w:r>
        <w:rPr>
          <w:rFonts w:ascii="仿宋_GB2312" w:hAnsi="楷体" w:eastAsia="仿宋_GB2312"/>
          <w:sz w:val="24"/>
          <w:highlight w:val="none"/>
          <w:u w:val="single"/>
        </w:rPr>
        <w:t xml:space="preserve">               </w:t>
      </w:r>
      <w:r>
        <w:rPr>
          <w:rFonts w:hint="eastAsia" w:ascii="仿宋_GB2312" w:hAnsi="楷体" w:eastAsia="仿宋_GB2312"/>
          <w:sz w:val="24"/>
          <w:highlight w:val="none"/>
        </w:rPr>
        <w:t>年</w:t>
      </w:r>
      <w:r>
        <w:rPr>
          <w:rFonts w:ascii="仿宋_GB2312" w:hAnsi="楷体" w:eastAsia="仿宋_GB2312"/>
          <w:sz w:val="24"/>
          <w:highlight w:val="none"/>
          <w:u w:val="single"/>
        </w:rPr>
        <w:t xml:space="preserve">       </w:t>
      </w:r>
      <w:r>
        <w:rPr>
          <w:rFonts w:hint="eastAsia" w:ascii="仿宋_GB2312" w:hAnsi="楷体" w:eastAsia="仿宋_GB2312"/>
          <w:sz w:val="24"/>
          <w:highlight w:val="none"/>
        </w:rPr>
        <w:t>月</w:t>
      </w:r>
      <w:r>
        <w:rPr>
          <w:rFonts w:ascii="仿宋_GB2312" w:hAnsi="楷体" w:eastAsia="仿宋_GB2312"/>
          <w:sz w:val="24"/>
          <w:highlight w:val="none"/>
          <w:u w:val="single"/>
        </w:rPr>
        <w:t xml:space="preserve">       </w:t>
      </w:r>
      <w:r>
        <w:rPr>
          <w:rFonts w:hint="eastAsia" w:ascii="仿宋_GB2312" w:hAnsi="楷体" w:eastAsia="仿宋_GB2312"/>
          <w:sz w:val="24"/>
          <w:highlight w:val="none"/>
        </w:rPr>
        <w:t>日</w:t>
      </w:r>
    </w:p>
    <w:p>
      <w:pPr>
        <w:widowControl/>
        <w:jc w:val="left"/>
        <w:rPr>
          <w:rFonts w:ascii="仿宋_GB2312" w:hAnsi="仿宋_GB2312" w:eastAsia="仿宋_GB2312" w:cs="仿宋_GB2312"/>
          <w:b/>
          <w:sz w:val="24"/>
          <w:highlight w:val="none"/>
        </w:rPr>
      </w:pPr>
      <w:r>
        <w:rPr>
          <w:rFonts w:ascii="仿宋_GB2312" w:hAnsi="仿宋_GB2312" w:eastAsia="仿宋_GB2312" w:cs="仿宋_GB2312"/>
          <w:b/>
          <w:sz w:val="24"/>
          <w:highlight w:val="none"/>
        </w:rPr>
        <w:br w:type="page"/>
      </w:r>
    </w:p>
    <w:p>
      <w:pPr>
        <w:spacing w:line="360" w:lineRule="auto"/>
        <w:ind w:firstLine="562" w:firstLineChars="200"/>
        <w:jc w:val="center"/>
        <w:rPr>
          <w:rFonts w:ascii="仿宋_GB2312" w:hAnsi="楷体" w:eastAsia="仿宋_GB2312"/>
          <w:b/>
          <w:sz w:val="28"/>
          <w:szCs w:val="28"/>
          <w:highlight w:val="none"/>
        </w:rPr>
      </w:pPr>
      <w:r>
        <w:rPr>
          <w:rFonts w:hint="eastAsia" w:ascii="仿宋_GB2312" w:hAnsi="楷体" w:eastAsia="仿宋_GB2312"/>
          <w:b/>
          <w:sz w:val="28"/>
          <w:szCs w:val="28"/>
          <w:highlight w:val="none"/>
        </w:rPr>
        <w:t>第一部分</w:t>
      </w:r>
      <w:r>
        <w:rPr>
          <w:rFonts w:ascii="仿宋_GB2312" w:hAnsi="楷体" w:eastAsia="仿宋_GB2312"/>
          <w:b/>
          <w:sz w:val="28"/>
          <w:szCs w:val="28"/>
          <w:highlight w:val="none"/>
        </w:rPr>
        <w:t xml:space="preserve"> </w:t>
      </w:r>
      <w:r>
        <w:rPr>
          <w:rFonts w:hint="eastAsia" w:ascii="仿宋_GB2312" w:hAnsi="楷体" w:eastAsia="仿宋_GB2312"/>
          <w:b/>
          <w:sz w:val="28"/>
          <w:szCs w:val="28"/>
          <w:highlight w:val="none"/>
        </w:rPr>
        <w:t>合同书</w:t>
      </w:r>
    </w:p>
    <w:p>
      <w:pPr>
        <w:rPr>
          <w:rFonts w:ascii="仿宋" w:hAnsi="仿宋" w:eastAsia="仿宋"/>
          <w:sz w:val="24"/>
          <w:highlight w:val="none"/>
        </w:rPr>
      </w:pPr>
    </w:p>
    <w:p>
      <w:pPr>
        <w:spacing w:line="288" w:lineRule="auto"/>
        <w:ind w:firstLine="0" w:firstLineChars="0"/>
        <w:jc w:val="both"/>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（本合同为合同样稿，最终稿由双方协商后确定，合同实质性内容不得更改；签订合同时删除此行）</w:t>
      </w:r>
    </w:p>
    <w:p>
      <w:pPr>
        <w:spacing w:line="288" w:lineRule="auto"/>
        <w:ind w:firstLine="420"/>
        <w:rPr>
          <w:rStyle w:val="977"/>
          <w:rFonts w:ascii="仿宋" w:hAnsi="仿宋" w:eastAsia="仿宋" w:cs="仿宋"/>
          <w:sz w:val="24"/>
          <w:szCs w:val="24"/>
          <w:highlight w:val="none"/>
          <w:lang w:val="zh-TW" w:eastAsia="zh-TW"/>
        </w:rPr>
      </w:pPr>
    </w:p>
    <w:p>
      <w:pPr>
        <w:spacing w:line="320" w:lineRule="exact"/>
        <w:rPr>
          <w:rFonts w:ascii="仿宋" w:hAnsi="仿宋" w:eastAsia="仿宋" w:cs="仿宋"/>
          <w:snapToGrid w:val="0"/>
          <w:sz w:val="24"/>
          <w:szCs w:val="24"/>
          <w:highlight w:val="none"/>
        </w:rPr>
      </w:pPr>
      <w:r>
        <w:rPr>
          <w:rFonts w:hint="eastAsia" w:ascii="仿宋" w:hAnsi="仿宋" w:eastAsia="仿宋" w:cs="仿宋"/>
          <w:snapToGrid w:val="0"/>
          <w:sz w:val="24"/>
          <w:szCs w:val="24"/>
          <w:highlight w:val="none"/>
        </w:rPr>
        <w:t>甲</w:t>
      </w:r>
      <w:r>
        <w:rPr>
          <w:rFonts w:ascii="仿宋" w:hAnsi="仿宋" w:eastAsia="仿宋" w:cs="仿宋"/>
          <w:snapToGrid w:val="0"/>
          <w:sz w:val="24"/>
          <w:szCs w:val="24"/>
          <w:highlight w:val="none"/>
        </w:rPr>
        <w:t xml:space="preserve">  </w:t>
      </w:r>
      <w:r>
        <w:rPr>
          <w:rFonts w:hint="eastAsia" w:ascii="仿宋" w:hAnsi="仿宋" w:eastAsia="仿宋" w:cs="仿宋"/>
          <w:snapToGrid w:val="0"/>
          <w:sz w:val="24"/>
          <w:szCs w:val="24"/>
          <w:highlight w:val="none"/>
        </w:rPr>
        <w:t>方（需方）：杭州市钱塘区综合行政执法局</w:t>
      </w:r>
      <w:r>
        <w:rPr>
          <w:rFonts w:ascii="仿宋" w:hAnsi="仿宋" w:eastAsia="仿宋" w:cs="仿宋"/>
          <w:snapToGrid w:val="0"/>
          <w:sz w:val="24"/>
          <w:szCs w:val="24"/>
          <w:highlight w:val="none"/>
        </w:rPr>
        <w:t xml:space="preserve"> </w:t>
      </w:r>
    </w:p>
    <w:p>
      <w:pPr>
        <w:spacing w:line="320" w:lineRule="exact"/>
        <w:rPr>
          <w:rFonts w:ascii="仿宋" w:hAnsi="仿宋" w:eastAsia="仿宋" w:cs="仿宋"/>
          <w:b/>
          <w:snapToGrid w:val="0"/>
          <w:sz w:val="24"/>
          <w:szCs w:val="24"/>
          <w:highlight w:val="none"/>
        </w:rPr>
      </w:pPr>
      <w:r>
        <w:rPr>
          <w:rFonts w:hint="eastAsia" w:ascii="仿宋" w:hAnsi="仿宋" w:eastAsia="仿宋" w:cs="仿宋"/>
          <w:snapToGrid w:val="0"/>
          <w:sz w:val="24"/>
          <w:szCs w:val="24"/>
          <w:highlight w:val="none"/>
        </w:rPr>
        <w:t>乙</w:t>
      </w:r>
      <w:r>
        <w:rPr>
          <w:rFonts w:ascii="仿宋" w:hAnsi="仿宋" w:eastAsia="仿宋" w:cs="仿宋"/>
          <w:snapToGrid w:val="0"/>
          <w:sz w:val="24"/>
          <w:szCs w:val="24"/>
          <w:highlight w:val="none"/>
        </w:rPr>
        <w:t xml:space="preserve">  </w:t>
      </w:r>
      <w:r>
        <w:rPr>
          <w:rFonts w:hint="eastAsia" w:ascii="仿宋" w:hAnsi="仿宋" w:eastAsia="仿宋" w:cs="仿宋"/>
          <w:snapToGrid w:val="0"/>
          <w:sz w:val="24"/>
          <w:szCs w:val="24"/>
          <w:highlight w:val="none"/>
        </w:rPr>
        <w:t>方（供方）：</w:t>
      </w:r>
    </w:p>
    <w:p>
      <w:pPr>
        <w:spacing w:line="320" w:lineRule="exact"/>
        <w:rPr>
          <w:rFonts w:ascii="仿宋" w:hAnsi="仿宋" w:eastAsia="仿宋" w:cs="仿宋"/>
          <w:snapToGrid w:val="0"/>
          <w:sz w:val="24"/>
          <w:szCs w:val="24"/>
          <w:highlight w:val="none"/>
        </w:rPr>
      </w:pPr>
    </w:p>
    <w:p>
      <w:pPr>
        <w:spacing w:line="320" w:lineRule="exact"/>
        <w:rPr>
          <w:rFonts w:ascii="仿宋" w:hAnsi="仿宋" w:eastAsia="仿宋" w:cs="仿宋"/>
          <w:b/>
          <w:snapToGrid w:val="0"/>
          <w:sz w:val="24"/>
          <w:szCs w:val="24"/>
          <w:highlight w:val="none"/>
        </w:rPr>
      </w:pPr>
    </w:p>
    <w:p>
      <w:pPr>
        <w:tabs>
          <w:tab w:val="left" w:pos="2472"/>
        </w:tabs>
        <w:spacing w:line="288" w:lineRule="auto"/>
        <w:ind w:firstLine="480" w:firstLineChars="200"/>
        <w:jc w:val="left"/>
        <w:rPr>
          <w:rFonts w:ascii="仿宋" w:hAnsi="仿宋" w:eastAsia="仿宋" w:cs="仿宋"/>
          <w:snapToGrid w:val="0"/>
          <w:sz w:val="24"/>
          <w:szCs w:val="24"/>
          <w:highlight w:val="none"/>
        </w:rPr>
      </w:pPr>
      <w:r>
        <w:rPr>
          <w:rFonts w:hint="eastAsia" w:ascii="仿宋" w:hAnsi="仿宋" w:eastAsia="仿宋" w:cs="仿宋"/>
          <w:snapToGrid w:val="0"/>
          <w:sz w:val="24"/>
          <w:szCs w:val="24"/>
          <w:highlight w:val="none"/>
        </w:rPr>
        <w:t>根据《中华人民共和国政府采购法》、《中华人民共和国民法典》等有关规定，为保证政府购买服务质量，明确双方的权利义务，根据项目名称</w:t>
      </w:r>
      <w:r>
        <w:rPr>
          <w:rFonts w:ascii="仿宋" w:hAnsi="仿宋" w:eastAsia="仿宋" w:cs="仿宋"/>
          <w:snapToGrid w:val="0"/>
          <w:sz w:val="24"/>
          <w:szCs w:val="24"/>
          <w:highlight w:val="none"/>
          <w:u w:val="single"/>
        </w:rPr>
        <w:t xml:space="preserve">      </w:t>
      </w:r>
      <w:r>
        <w:rPr>
          <w:rFonts w:hint="eastAsia" w:ascii="仿宋" w:hAnsi="仿宋" w:eastAsia="仿宋" w:cs="仿宋"/>
          <w:snapToGrid w:val="0"/>
          <w:sz w:val="24"/>
          <w:szCs w:val="24"/>
          <w:highlight w:val="none"/>
        </w:rPr>
        <w:t>（项目编号</w:t>
      </w:r>
      <w:r>
        <w:rPr>
          <w:rFonts w:ascii="仿宋" w:hAnsi="仿宋" w:eastAsia="仿宋" w:cs="仿宋"/>
          <w:snapToGrid w:val="0"/>
          <w:sz w:val="24"/>
          <w:szCs w:val="24"/>
          <w:highlight w:val="none"/>
          <w:u w:val="single"/>
        </w:rPr>
        <w:t xml:space="preserve">      </w:t>
      </w:r>
      <w:r>
        <w:rPr>
          <w:rFonts w:hint="eastAsia" w:ascii="仿宋" w:hAnsi="仿宋" w:eastAsia="仿宋" w:cs="仿宋"/>
          <w:snapToGrid w:val="0"/>
          <w:sz w:val="24"/>
          <w:szCs w:val="24"/>
          <w:highlight w:val="none"/>
        </w:rPr>
        <w:t>）的项目采购结果，双方签订本合同。</w:t>
      </w:r>
    </w:p>
    <w:p>
      <w:pPr>
        <w:tabs>
          <w:tab w:val="left" w:pos="2472"/>
        </w:tabs>
        <w:spacing w:line="288" w:lineRule="auto"/>
        <w:ind w:firstLine="482" w:firstLineChars="200"/>
        <w:jc w:val="left"/>
        <w:rPr>
          <w:rFonts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w:t>
      </w:r>
      <w:r>
        <w:rPr>
          <w:rFonts w:hint="eastAsia" w:ascii="仿宋" w:hAnsi="仿宋" w:eastAsia="仿宋" w:cs="仿宋"/>
          <w:b/>
          <w:bCs/>
          <w:snapToGrid w:val="0"/>
          <w:sz w:val="24"/>
          <w:szCs w:val="24"/>
          <w:highlight w:val="none"/>
          <w:lang w:eastAsia="zh-CN"/>
        </w:rPr>
        <w:t>一</w:t>
      </w:r>
      <w:r>
        <w:rPr>
          <w:rFonts w:hint="eastAsia" w:ascii="仿宋" w:hAnsi="仿宋" w:eastAsia="仿宋" w:cs="仿宋"/>
          <w:b/>
          <w:bCs/>
          <w:snapToGrid w:val="0"/>
          <w:sz w:val="24"/>
          <w:szCs w:val="24"/>
          <w:highlight w:val="none"/>
        </w:rPr>
        <w:t>条</w:t>
      </w:r>
      <w:r>
        <w:rPr>
          <w:rFonts w:ascii="仿宋" w:hAnsi="仿宋" w:eastAsia="仿宋" w:cs="仿宋"/>
          <w:b/>
          <w:bCs/>
          <w:snapToGrid w:val="0"/>
          <w:sz w:val="24"/>
          <w:szCs w:val="24"/>
          <w:highlight w:val="none"/>
        </w:rPr>
        <w:t xml:space="preserve"> </w:t>
      </w:r>
      <w:r>
        <w:rPr>
          <w:rFonts w:hint="eastAsia" w:ascii="仿宋" w:hAnsi="仿宋" w:eastAsia="仿宋" w:cs="仿宋"/>
          <w:b/>
          <w:bCs/>
          <w:snapToGrid w:val="0"/>
          <w:sz w:val="24"/>
          <w:szCs w:val="24"/>
          <w:highlight w:val="none"/>
        </w:rPr>
        <w:t>服务内容、质量标准和要求</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（一）服务内容</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景观灯建成移交后，</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通过维修、维护、设施设备更新等方式保障景观灯设施的正常运行，并及时发现景观灯存在的安全隐患，及时解决，确保景观灯设施、作业人员及第三方人身财产的安全。</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w:t>
      </w:r>
      <w:r>
        <w:rPr>
          <w:rFonts w:hint="eastAsia" w:ascii="仿宋" w:hAnsi="仿宋" w:eastAsia="仿宋" w:cs="仿宋"/>
          <w:sz w:val="24"/>
          <w:szCs w:val="24"/>
          <w:highlight w:val="none"/>
        </w:rPr>
        <w:t>景观灯及其附属设施养护服务</w:t>
      </w:r>
      <w:r>
        <w:rPr>
          <w:rFonts w:hint="eastAsia" w:ascii="仿宋" w:hAnsi="仿宋" w:eastAsia="仿宋" w:cs="仿宋"/>
          <w:sz w:val="24"/>
          <w:szCs w:val="24"/>
          <w:highlight w:val="none"/>
          <w:lang w:eastAsia="zh-CN"/>
        </w:rPr>
        <w:t>，主要包括</w:t>
      </w:r>
      <w:r>
        <w:rPr>
          <w:rFonts w:hint="eastAsia" w:ascii="仿宋" w:hAnsi="仿宋" w:eastAsia="仿宋" w:cs="仿宋"/>
          <w:sz w:val="24"/>
          <w:szCs w:val="24"/>
          <w:highlight w:val="none"/>
          <w:lang w:val="en-US" w:eastAsia="zh-CN"/>
        </w:rPr>
        <w:t>:灯具、</w:t>
      </w:r>
      <w:r>
        <w:rPr>
          <w:rFonts w:hint="eastAsia" w:ascii="仿宋" w:hAnsi="仿宋" w:eastAsia="仿宋" w:cs="仿宋"/>
          <w:sz w:val="24"/>
          <w:szCs w:val="24"/>
          <w:highlight w:val="none"/>
        </w:rPr>
        <w:t>光源、杆件、标识牌、配电设施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灯罩、支架、电缆、穿线管、配电箱、线卡、绳索、螺栓等涉及景观灯及其附属设施设备所有内容的</w:t>
      </w:r>
      <w:r>
        <w:rPr>
          <w:rFonts w:hint="eastAsia" w:ascii="仿宋" w:hAnsi="仿宋" w:eastAsia="仿宋" w:cs="仿宋"/>
          <w:sz w:val="24"/>
          <w:szCs w:val="24"/>
          <w:highlight w:val="none"/>
        </w:rPr>
        <w:t>日常维护</w:t>
      </w:r>
      <w:r>
        <w:rPr>
          <w:rFonts w:hint="eastAsia" w:ascii="仿宋" w:hAnsi="仿宋" w:eastAsia="仿宋" w:cs="仿宋"/>
          <w:sz w:val="24"/>
          <w:szCs w:val="24"/>
          <w:highlight w:val="none"/>
          <w:lang w:val="en-US" w:eastAsia="zh-CN"/>
        </w:rPr>
        <w:t>工作；</w:t>
      </w:r>
      <w:r>
        <w:rPr>
          <w:rFonts w:hint="eastAsia" w:ascii="仿宋" w:hAnsi="仿宋" w:eastAsia="仿宋" w:cs="仿宋"/>
          <w:sz w:val="24"/>
          <w:szCs w:val="24"/>
          <w:highlight w:val="none"/>
        </w:rPr>
        <w:t>对项目进行日常巡查、安全检查、防盗管理等工作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防汛抗台、抗雪防冻等应急保障工作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新增项目质保期内的巡查、抄表及督促维修等工作（维修由质保期内项目施工单位负责）；住宅、历史政府投资商业或办公项目景观亮灯电费；部分老旧景观灯及其附属设施的更新改造；</w:t>
      </w:r>
      <w:r>
        <w:rPr>
          <w:rFonts w:hint="eastAsia" w:ascii="仿宋" w:hAnsi="仿宋" w:eastAsia="仿宋" w:cs="仿宋"/>
          <w:sz w:val="24"/>
          <w:szCs w:val="24"/>
          <w:highlight w:val="none"/>
        </w:rPr>
        <w:t>文泽广场（东广场、西广场）音乐喷泉、金沙大道与海达南路交叉口东北角及东南角喷泉共4个</w:t>
      </w:r>
      <w:r>
        <w:rPr>
          <w:rFonts w:hint="eastAsia" w:ascii="仿宋" w:hAnsi="仿宋" w:eastAsia="仿宋" w:cs="仿宋"/>
          <w:sz w:val="24"/>
          <w:szCs w:val="24"/>
          <w:highlight w:val="none"/>
          <w:lang w:val="en-US" w:eastAsia="zh-CN"/>
        </w:rPr>
        <w:t>养护工作（含水费）</w:t>
      </w:r>
      <w:r>
        <w:rPr>
          <w:rFonts w:hint="eastAsia" w:ascii="仿宋" w:hAnsi="仿宋" w:eastAsia="仿宋" w:cs="仿宋"/>
          <w:sz w:val="24"/>
          <w:szCs w:val="24"/>
          <w:highlight w:val="none"/>
          <w:lang w:eastAsia="zh-CN"/>
        </w:rPr>
        <w:t>（此内容为</w:t>
      </w:r>
      <w:r>
        <w:rPr>
          <w:rFonts w:hint="eastAsia" w:ascii="仿宋" w:hAnsi="仿宋" w:eastAsia="仿宋" w:cs="仿宋"/>
          <w:sz w:val="24"/>
          <w:szCs w:val="24"/>
          <w:highlight w:val="none"/>
        </w:rPr>
        <w:t>标项二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；本标段内雕塑、亮灯小品等常规养护；合同期间甲方落实的其他相关事宜。</w:t>
      </w:r>
    </w:p>
    <w:p>
      <w:pPr>
        <w:spacing w:line="288" w:lineRule="auto"/>
        <w:ind w:firstLine="480" w:firstLineChars="200"/>
        <w:rPr>
          <w:rFonts w:hint="eastAsia" w:ascii="仿宋" w:hAnsi="仿宋" w:eastAsia="仿宋_GB2312" w:cs="仿宋"/>
          <w:sz w:val="24"/>
          <w:szCs w:val="24"/>
          <w:highlight w:val="yellow"/>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w:t>
      </w:r>
      <w:r>
        <w:rPr>
          <w:rFonts w:hint="eastAsia" w:ascii="仿宋_GB2312" w:hAnsi="仿宋_GB2312" w:eastAsia="仿宋_GB2312" w:cs="仿宋_GB2312"/>
          <w:b/>
          <w:bCs/>
          <w:color w:val="000000"/>
          <w:szCs w:val="21"/>
          <w:highlight w:val="none"/>
        </w:rPr>
        <w:t>养护具体内容</w:t>
      </w:r>
      <w:r>
        <w:rPr>
          <w:rFonts w:hint="eastAsia" w:ascii="仿宋_GB2312" w:hAnsi="仿宋_GB2312" w:eastAsia="仿宋_GB2312" w:cs="仿宋_GB2312"/>
          <w:b/>
          <w:bCs/>
          <w:color w:val="000000"/>
          <w:szCs w:val="21"/>
          <w:highlight w:val="none"/>
          <w:lang w:eastAsia="zh-CN"/>
        </w:rPr>
        <w:t>：</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景观灯设施养护指的是</w:t>
      </w:r>
      <w:r>
        <w:rPr>
          <w:rFonts w:hint="eastAsia" w:ascii="仿宋" w:hAnsi="仿宋" w:eastAsia="仿宋" w:cs="仿宋"/>
          <w:sz w:val="24"/>
          <w:szCs w:val="24"/>
          <w:highlight w:val="none"/>
          <w:lang w:val="en-US" w:eastAsia="zh-CN"/>
        </w:rPr>
        <w:t>灯具、</w:t>
      </w:r>
      <w:r>
        <w:rPr>
          <w:rFonts w:hint="eastAsia" w:ascii="仿宋" w:hAnsi="仿宋" w:eastAsia="仿宋" w:cs="仿宋"/>
          <w:sz w:val="24"/>
          <w:szCs w:val="24"/>
          <w:highlight w:val="none"/>
        </w:rPr>
        <w:t>光源、电器、杆件、标识牌、配电设施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灯罩、支架、电缆</w:t>
      </w:r>
      <w:r>
        <w:rPr>
          <w:rFonts w:hint="eastAsia" w:ascii="仿宋" w:hAnsi="仿宋" w:eastAsia="仿宋" w:cs="仿宋"/>
          <w:sz w:val="24"/>
          <w:szCs w:val="24"/>
          <w:highlight w:val="none"/>
        </w:rPr>
        <w:t>（含电缆管道）</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控制柜、</w:t>
      </w:r>
      <w:r>
        <w:rPr>
          <w:rFonts w:hint="eastAsia" w:ascii="仿宋" w:hAnsi="仿宋" w:eastAsia="仿宋" w:cs="仿宋"/>
          <w:sz w:val="24"/>
          <w:szCs w:val="24"/>
          <w:highlight w:val="none"/>
          <w:lang w:val="en-US" w:eastAsia="zh-CN"/>
        </w:rPr>
        <w:t>穿线管、配电箱、线卡、绳索、</w:t>
      </w:r>
      <w:r>
        <w:rPr>
          <w:rFonts w:hint="eastAsia" w:ascii="仿宋" w:hAnsi="仿宋" w:eastAsia="仿宋" w:cs="仿宋"/>
          <w:sz w:val="24"/>
          <w:szCs w:val="24"/>
          <w:highlight w:val="none"/>
        </w:rPr>
        <w:t>箱变</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螺栓等涉及景观灯及其附属设施设备所有内容</w:t>
      </w:r>
      <w:r>
        <w:rPr>
          <w:rFonts w:hint="eastAsia" w:ascii="仿宋" w:hAnsi="仿宋" w:eastAsia="仿宋" w:cs="仿宋"/>
          <w:sz w:val="24"/>
          <w:szCs w:val="24"/>
          <w:highlight w:val="none"/>
        </w:rPr>
        <w:t>维修、保洁、保养</w:t>
      </w:r>
      <w:r>
        <w:rPr>
          <w:rFonts w:hint="eastAsia" w:ascii="仿宋" w:hAnsi="仿宋" w:eastAsia="仿宋" w:cs="仿宋"/>
          <w:sz w:val="24"/>
          <w:szCs w:val="24"/>
          <w:highlight w:val="none"/>
          <w:lang w:eastAsia="zh-CN"/>
        </w:rPr>
        <w:t>等日常维护工作；</w:t>
      </w:r>
      <w:r>
        <w:rPr>
          <w:rFonts w:hint="eastAsia" w:ascii="仿宋" w:hAnsi="仿宋" w:eastAsia="仿宋" w:cs="仿宋"/>
          <w:sz w:val="24"/>
          <w:szCs w:val="24"/>
          <w:highlight w:val="none"/>
        </w:rPr>
        <w:t>对项目进行日常巡查、安全检查、防盗管理等工作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防汛抗台、抗雪防冻等应急保障工作</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保障设施正常运行，确保照明设施安全正常运行，亮灯率达到98%。</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巡查及清洗：</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对养护内容进行日常巡查，对设备的运行情况及时记录，有关灯杆、灯罩、设备</w:t>
      </w:r>
      <w:r>
        <w:rPr>
          <w:rFonts w:hint="eastAsia" w:ascii="仿宋" w:hAnsi="仿宋" w:eastAsia="仿宋" w:cs="仿宋"/>
          <w:sz w:val="24"/>
          <w:szCs w:val="24"/>
          <w:highlight w:val="none"/>
          <w:lang w:eastAsia="zh-CN"/>
        </w:rPr>
        <w:t>等</w:t>
      </w:r>
      <w:r>
        <w:rPr>
          <w:rFonts w:hint="eastAsia" w:ascii="仿宋" w:hAnsi="仿宋" w:eastAsia="仿宋" w:cs="仿宋"/>
          <w:sz w:val="24"/>
          <w:szCs w:val="24"/>
          <w:highlight w:val="none"/>
        </w:rPr>
        <w:t>表面</w:t>
      </w:r>
      <w:r>
        <w:rPr>
          <w:rFonts w:hint="eastAsia" w:ascii="仿宋" w:hAnsi="仿宋" w:eastAsia="仿宋" w:cs="仿宋"/>
          <w:sz w:val="24"/>
          <w:szCs w:val="24"/>
          <w:highlight w:val="none"/>
          <w:lang w:eastAsia="zh-CN"/>
        </w:rPr>
        <w:t>进行</w:t>
      </w:r>
      <w:r>
        <w:rPr>
          <w:rFonts w:hint="eastAsia" w:ascii="仿宋" w:hAnsi="仿宋" w:eastAsia="仿宋" w:cs="仿宋"/>
          <w:sz w:val="24"/>
          <w:szCs w:val="24"/>
          <w:highlight w:val="none"/>
        </w:rPr>
        <w:t>清洗，或设施明显积尘的</w:t>
      </w:r>
      <w:r>
        <w:rPr>
          <w:rFonts w:ascii="仿宋" w:hAnsi="仿宋" w:eastAsia="仿宋" w:cs="仿宋"/>
          <w:sz w:val="24"/>
          <w:szCs w:val="24"/>
          <w:highlight w:val="none"/>
        </w:rPr>
        <w:t>,</w:t>
      </w:r>
      <w:r>
        <w:rPr>
          <w:rFonts w:hint="eastAsia" w:ascii="仿宋" w:hAnsi="仿宋" w:eastAsia="仿宋" w:cs="仿宋"/>
          <w:sz w:val="24"/>
          <w:szCs w:val="24"/>
          <w:highlight w:val="none"/>
        </w:rPr>
        <w:t>及时清除灯柱乱张贴。</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喷漆翻新：</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灯杆、箱体及其他影响观瞻的设备表面喷漆。</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设备设施维护检测：</w:t>
      </w:r>
    </w:p>
    <w:p>
      <w:pPr>
        <w:spacing w:line="288"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按维护要求，定期</w:t>
      </w:r>
      <w:r>
        <w:rPr>
          <w:rFonts w:hint="eastAsia" w:ascii="仿宋" w:hAnsi="仿宋" w:eastAsia="仿宋" w:cs="仿宋"/>
          <w:sz w:val="24"/>
          <w:szCs w:val="24"/>
          <w:highlight w:val="none"/>
          <w:lang w:eastAsia="zh-CN"/>
        </w:rPr>
        <w:t>开展</w:t>
      </w:r>
      <w:r>
        <w:rPr>
          <w:rFonts w:hint="eastAsia" w:ascii="仿宋" w:hAnsi="仿宋" w:eastAsia="仿宋" w:cs="仿宋"/>
          <w:sz w:val="24"/>
          <w:szCs w:val="24"/>
          <w:highlight w:val="none"/>
        </w:rPr>
        <w:t>电缆、灯具、</w:t>
      </w:r>
      <w:r>
        <w:rPr>
          <w:rFonts w:hint="eastAsia" w:ascii="仿宋" w:hAnsi="仿宋" w:eastAsia="仿宋" w:cs="仿宋"/>
          <w:sz w:val="24"/>
          <w:szCs w:val="24"/>
          <w:highlight w:val="none"/>
          <w:lang w:eastAsia="zh-CN"/>
        </w:rPr>
        <w:t>开关箱、</w:t>
      </w:r>
      <w:r>
        <w:rPr>
          <w:rFonts w:hint="eastAsia" w:ascii="仿宋" w:hAnsi="仿宋" w:eastAsia="仿宋" w:cs="仿宋"/>
          <w:sz w:val="24"/>
          <w:szCs w:val="24"/>
          <w:highlight w:val="none"/>
        </w:rPr>
        <w:t>箱变</w:t>
      </w:r>
      <w:r>
        <w:rPr>
          <w:rFonts w:hint="eastAsia" w:ascii="仿宋" w:hAnsi="仿宋" w:eastAsia="仿宋" w:cs="仿宋"/>
          <w:sz w:val="24"/>
          <w:szCs w:val="24"/>
          <w:highlight w:val="none"/>
          <w:lang w:eastAsia="zh-CN"/>
        </w:rPr>
        <w:t>等检测。</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日常维护：</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对</w:t>
      </w:r>
      <w:r>
        <w:rPr>
          <w:rFonts w:hint="eastAsia" w:ascii="仿宋" w:hAnsi="仿宋" w:eastAsia="仿宋" w:cs="仿宋"/>
          <w:sz w:val="24"/>
          <w:szCs w:val="24"/>
          <w:highlight w:val="none"/>
          <w:lang w:val="en-US" w:eastAsia="zh-CN"/>
        </w:rPr>
        <w:t>灯具、</w:t>
      </w:r>
      <w:r>
        <w:rPr>
          <w:rFonts w:hint="eastAsia" w:ascii="仿宋" w:hAnsi="仿宋" w:eastAsia="仿宋" w:cs="仿宋"/>
          <w:sz w:val="24"/>
          <w:szCs w:val="24"/>
          <w:highlight w:val="none"/>
        </w:rPr>
        <w:t>光源、电器、杆件、标识牌、配电设施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灯罩、支架、电缆</w:t>
      </w:r>
      <w:r>
        <w:rPr>
          <w:rFonts w:hint="eastAsia" w:ascii="仿宋" w:hAnsi="仿宋" w:eastAsia="仿宋" w:cs="仿宋"/>
          <w:sz w:val="24"/>
          <w:szCs w:val="24"/>
          <w:highlight w:val="none"/>
        </w:rPr>
        <w:t>（含电缆管道）</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控制柜、</w:t>
      </w:r>
      <w:r>
        <w:rPr>
          <w:rFonts w:hint="eastAsia" w:ascii="仿宋" w:hAnsi="仿宋" w:eastAsia="仿宋" w:cs="仿宋"/>
          <w:sz w:val="24"/>
          <w:szCs w:val="24"/>
          <w:highlight w:val="none"/>
          <w:lang w:val="en-US" w:eastAsia="zh-CN"/>
        </w:rPr>
        <w:t>穿线管、配电箱、线卡、绳索、</w:t>
      </w:r>
      <w:r>
        <w:rPr>
          <w:rFonts w:hint="eastAsia" w:ascii="仿宋" w:hAnsi="仿宋" w:eastAsia="仿宋" w:cs="仿宋"/>
          <w:sz w:val="24"/>
          <w:szCs w:val="24"/>
          <w:highlight w:val="none"/>
        </w:rPr>
        <w:t>箱变</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螺栓等涉及景观灯及其附属设施设备所有内容</w:t>
      </w:r>
      <w:r>
        <w:rPr>
          <w:rFonts w:hint="eastAsia" w:ascii="仿宋" w:hAnsi="仿宋" w:eastAsia="仿宋" w:cs="仿宋"/>
          <w:sz w:val="24"/>
          <w:szCs w:val="24"/>
          <w:highlight w:val="none"/>
        </w:rPr>
        <w:t>维护、维修、损坏更换及被盗修复；</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招标范围内的所有设施因各种原因造成的损坏（除不可抗力因素外）均由乙方负责维修或更新。</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对政府大型活动，外事活动提供完善的保障方案和实施24小时值班制度，并确保设施完好率、亮灯率、整洁率达到100%。</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6.按照甲方规定设定或调整亮灯时间。</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7.按照相关标准及要求，做好安全检查、防盗管理等工作，确保照明设施安全正常运行。</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8.做好防汛抗台、抗雪防冻等应急保障工作。</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9.承担抄表及电费支付，电费支付时间为从上一轮养护单位末次抄表之日起算至本轮养护期末次抄表后止。</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10.新增项目质保期内的巡查、抄表及督促维修等工作（维修由质保期内项目施工单位负责）。</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11.住宅、历史政府投资商业或办公项目景观亮灯电费。</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12.部分老旧景观灯及其附属设施的更新改造。</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13.文泽广场（东广场、西广场）音乐喷泉、金沙大道与海达南路交叉口东北角及东南角共4个喷泉养护工作，包括所有设备（从设备房到喷头）的日常巡查、运行、维修（包工包料）及水费；（此内容为标项二）</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14.结合实际情况，做好标段内雕塑、亮灯小品等养护工作。</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15.乙方根据实际需要处置管辖范围内的照明设施投诉案件（增亮、微改造），原则上每年不超过3件，预算价每件不超过5万元，</w:t>
      </w:r>
      <w:r>
        <w:rPr>
          <w:rFonts w:hint="eastAsia" w:ascii="仿宋" w:hAnsi="仿宋" w:eastAsia="仿宋" w:cs="仿宋"/>
          <w:sz w:val="24"/>
          <w:szCs w:val="24"/>
          <w:highlight w:val="none"/>
          <w:lang w:val="zh-CN" w:eastAsia="zh-CN"/>
        </w:rPr>
        <w:t>该费用由</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lang w:val="zh-CN" w:eastAsia="zh-CN"/>
        </w:rPr>
        <w:t>承担，甲方不再另行支付</w:t>
      </w:r>
      <w:r>
        <w:rPr>
          <w:rFonts w:hint="eastAsia" w:ascii="仿宋" w:hAnsi="仿宋" w:eastAsia="仿宋" w:cs="仿宋"/>
          <w:sz w:val="24"/>
          <w:szCs w:val="24"/>
          <w:highlight w:val="none"/>
          <w:lang w:val="en-US" w:eastAsia="zh-CN"/>
        </w:rPr>
        <w:t>；若无此类投诉案件，</w:t>
      </w:r>
      <w:r>
        <w:rPr>
          <w:rFonts w:hint="eastAsia" w:ascii="仿宋" w:hAnsi="仿宋" w:eastAsia="仿宋" w:cs="仿宋"/>
          <w:sz w:val="24"/>
          <w:szCs w:val="24"/>
          <w:highlight w:val="none"/>
          <w:lang w:val="zh-CN" w:eastAsia="zh-CN"/>
        </w:rPr>
        <w:t>年度养护费不予扣减该费用</w:t>
      </w:r>
      <w:r>
        <w:rPr>
          <w:rFonts w:hint="eastAsia" w:ascii="仿宋" w:hAnsi="仿宋" w:eastAsia="仿宋" w:cs="仿宋"/>
          <w:sz w:val="24"/>
          <w:szCs w:val="24"/>
          <w:highlight w:val="none"/>
          <w:lang w:val="en-US" w:eastAsia="zh-CN"/>
        </w:rPr>
        <w:t>。</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16.合同期间</w:t>
      </w:r>
      <w:r>
        <w:rPr>
          <w:rFonts w:hint="eastAsia" w:ascii="仿宋" w:hAnsi="仿宋" w:eastAsia="仿宋" w:cs="仿宋"/>
          <w:sz w:val="24"/>
          <w:szCs w:val="24"/>
          <w:highlight w:val="none"/>
          <w:lang w:val="zh-CN" w:eastAsia="zh-CN"/>
        </w:rPr>
        <w:t>甲方</w:t>
      </w:r>
      <w:r>
        <w:rPr>
          <w:rFonts w:hint="eastAsia" w:ascii="仿宋" w:hAnsi="仿宋" w:eastAsia="仿宋" w:cs="仿宋"/>
          <w:sz w:val="24"/>
          <w:szCs w:val="24"/>
          <w:highlight w:val="none"/>
          <w:lang w:val="en-US" w:eastAsia="zh-CN"/>
        </w:rPr>
        <w:t>落实的其他相关事宜。</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质量标准及要求</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按照《城市道路照明设计标准》（</w:t>
      </w:r>
      <w:r>
        <w:rPr>
          <w:rFonts w:ascii="仿宋" w:hAnsi="仿宋" w:eastAsia="仿宋" w:cs="仿宋"/>
          <w:sz w:val="24"/>
          <w:szCs w:val="24"/>
          <w:highlight w:val="none"/>
        </w:rPr>
        <w:t>CJJ45-2015</w:t>
      </w:r>
      <w:r>
        <w:rPr>
          <w:rFonts w:hint="eastAsia" w:ascii="仿宋" w:hAnsi="仿宋" w:eastAsia="仿宋" w:cs="仿宋"/>
          <w:sz w:val="24"/>
          <w:szCs w:val="24"/>
          <w:highlight w:val="none"/>
        </w:rPr>
        <w:t>）、《城市夜景照明设计规范》</w:t>
      </w:r>
      <w:r>
        <w:rPr>
          <w:rFonts w:ascii="仿宋" w:hAnsi="仿宋" w:eastAsia="仿宋" w:cs="仿宋"/>
          <w:sz w:val="24"/>
          <w:szCs w:val="24"/>
          <w:highlight w:val="none"/>
        </w:rPr>
        <w:t>(JGJ/T163-2008)</w:t>
      </w:r>
      <w:r>
        <w:rPr>
          <w:rFonts w:hint="eastAsia" w:ascii="仿宋" w:hAnsi="仿宋" w:eastAsia="仿宋" w:cs="仿宋"/>
          <w:sz w:val="24"/>
          <w:szCs w:val="24"/>
          <w:highlight w:val="none"/>
        </w:rPr>
        <w:t>》、《杭州市城市照明设施养护维修服务标准》（</w:t>
      </w:r>
      <w:r>
        <w:rPr>
          <w:rFonts w:ascii="仿宋" w:hAnsi="仿宋" w:eastAsia="仿宋" w:cs="仿宋"/>
          <w:sz w:val="24"/>
          <w:szCs w:val="24"/>
          <w:highlight w:val="none"/>
        </w:rPr>
        <w:t>DB 3301/T 0165-201</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《杭州市城市照明管理办法》、《杭州市亮化长效管理实施意见（</w:t>
      </w:r>
      <w:r>
        <w:rPr>
          <w:rFonts w:hint="eastAsia" w:ascii="仿宋" w:hAnsi="仿宋" w:eastAsia="仿宋" w:cs="仿宋"/>
          <w:sz w:val="24"/>
          <w:szCs w:val="24"/>
          <w:highlight w:val="none"/>
          <w:lang w:val="en-US" w:eastAsia="zh-CN"/>
        </w:rPr>
        <w:t>试行</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《杭州市钱塘区综合行政执法局景观照明设施养护作业标准及考核办法（2023年修订）》</w:t>
      </w:r>
      <w:r>
        <w:rPr>
          <w:rFonts w:hint="eastAsia" w:ascii="仿宋" w:hAnsi="仿宋" w:eastAsia="仿宋" w:cs="仿宋"/>
          <w:sz w:val="24"/>
          <w:szCs w:val="24"/>
          <w:highlight w:val="none"/>
        </w:rPr>
        <w:t>及国家有关强制性标准的规定执行。若有调整，以最新发布的为准。</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养护考核依据：按照《杭州市亮化长效管理实施意见（试行）》、《杭州市人民政府办公厅关于印发杭州市市区景观亮化运行管理工作方案的通知》、《杭州市公共部位照明设施养护评价标准》和</w:t>
      </w:r>
      <w:r>
        <w:rPr>
          <w:rFonts w:hint="eastAsia" w:ascii="仿宋" w:hAnsi="仿宋" w:eastAsia="仿宋" w:cs="仿宋"/>
          <w:sz w:val="24"/>
          <w:szCs w:val="24"/>
          <w:highlight w:val="none"/>
          <w:lang w:val="en-US" w:eastAsia="zh-CN"/>
        </w:rPr>
        <w:t>《杭州市钱塘区综合行政执法局景观照明设施养护作业标准及考核办法（2023年修订）》</w:t>
      </w:r>
      <w:r>
        <w:rPr>
          <w:rFonts w:hint="eastAsia" w:ascii="仿宋" w:hAnsi="仿宋" w:eastAsia="仿宋" w:cs="仿宋"/>
          <w:sz w:val="24"/>
          <w:szCs w:val="24"/>
          <w:highlight w:val="none"/>
        </w:rPr>
        <w:t>等相关规定要求。</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档案资料保管：</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应建立养护档案，健全日常养护作业记录，认真做好台帐的整理和归档工作；</w:t>
      </w:r>
      <w:r>
        <w:rPr>
          <w:rFonts w:hint="eastAsia" w:ascii="仿宋" w:hAnsi="仿宋" w:eastAsia="仿宋" w:cs="仿宋"/>
          <w:sz w:val="24"/>
          <w:szCs w:val="24"/>
          <w:highlight w:val="none"/>
          <w:lang w:eastAsia="zh-CN"/>
        </w:rPr>
        <w:t>按月（</w:t>
      </w:r>
      <w:r>
        <w:rPr>
          <w:rFonts w:hint="eastAsia" w:ascii="仿宋" w:hAnsi="仿宋" w:eastAsia="仿宋" w:cs="仿宋"/>
          <w:sz w:val="24"/>
          <w:szCs w:val="24"/>
          <w:highlight w:val="none"/>
          <w:lang w:val="en-US" w:eastAsia="zh-CN"/>
        </w:rPr>
        <w:t>每月【5】日前提交上月档案资料）</w:t>
      </w:r>
      <w:r>
        <w:rPr>
          <w:rFonts w:hint="eastAsia" w:ascii="仿宋" w:hAnsi="仿宋" w:eastAsia="仿宋" w:cs="仿宋"/>
          <w:sz w:val="24"/>
          <w:szCs w:val="24"/>
          <w:highlight w:val="none"/>
        </w:rPr>
        <w:t>将养护档案资料移交</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一份。</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以包工包料的方式实施养护总包干，养护所需的人员、材料、机械等均由</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自行解决。</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须确保养护灯具质量及亮灯质量，针对养护过程中出现的影响亮灯效果的问题，</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应及时制定整改方案，报</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同意后有效解决问题。</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合同期内，</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负责的灯具</w:t>
      </w:r>
      <w:r>
        <w:rPr>
          <w:rFonts w:hint="eastAsia" w:ascii="仿宋" w:hAnsi="仿宋" w:eastAsia="仿宋" w:cs="仿宋"/>
          <w:sz w:val="24"/>
          <w:szCs w:val="24"/>
          <w:highlight w:val="none"/>
          <w:lang w:eastAsia="zh-CN"/>
        </w:rPr>
        <w:t>等设施设备</w:t>
      </w:r>
      <w:r>
        <w:rPr>
          <w:rFonts w:hint="eastAsia" w:ascii="仿宋" w:hAnsi="仿宋" w:eastAsia="仿宋" w:cs="仿宋"/>
          <w:sz w:val="24"/>
          <w:szCs w:val="24"/>
          <w:highlight w:val="none"/>
        </w:rPr>
        <w:t>如有损坏、故障的，</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可采用修理、修补、更换等方式进行处理，更换的设备品牌、样式、规格等须与原项目相同,且更换灯具必须为新灯具。对无法采购到的光源、电器等设备，经报</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同意后可更换相同</w:t>
      </w:r>
      <w:r>
        <w:rPr>
          <w:rFonts w:hint="eastAsia" w:ascii="仿宋" w:hAnsi="仿宋" w:eastAsia="仿宋" w:cs="仿宋"/>
          <w:sz w:val="24"/>
          <w:szCs w:val="24"/>
          <w:highlight w:val="none"/>
          <w:lang w:eastAsia="zh-CN"/>
        </w:rPr>
        <w:t>或以上</w:t>
      </w:r>
      <w:r>
        <w:rPr>
          <w:rFonts w:hint="eastAsia" w:ascii="仿宋" w:hAnsi="仿宋" w:eastAsia="仿宋" w:cs="仿宋"/>
          <w:sz w:val="24"/>
          <w:szCs w:val="24"/>
          <w:highlight w:val="none"/>
        </w:rPr>
        <w:t>标准的设备，确保亮灯效果一致。</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亮灯时间必须严格按照规定时间实施；亮灯时间必须巡查，每次亮灯期间的巡查覆盖率为100%。</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市、区两级亮灯管理部门发出的保障通知、临时要求，</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必须落实响应并限期反馈。严格执行《杭州市建筑物景观照明设施养护评价办法》、《城市照明设施养护维修服务标准》</w:t>
      </w:r>
      <w:r>
        <w:rPr>
          <w:rFonts w:hint="eastAsia" w:ascii="仿宋" w:hAnsi="仿宋" w:eastAsia="仿宋" w:cs="仿宋"/>
          <w:sz w:val="24"/>
          <w:szCs w:val="24"/>
          <w:highlight w:val="none"/>
          <w:lang w:eastAsia="zh-CN"/>
        </w:rPr>
        <w:t>及</w:t>
      </w:r>
      <w:r>
        <w:rPr>
          <w:rFonts w:hint="eastAsia" w:ascii="仿宋" w:hAnsi="仿宋" w:eastAsia="仿宋" w:cs="仿宋"/>
          <w:sz w:val="24"/>
          <w:szCs w:val="24"/>
          <w:highlight w:val="none"/>
        </w:rPr>
        <w:t>钱塘区景观照明设施相关规定要求。其中景观照明灯具应每周按市级保障时间要求落实亮灯效果巡查，景观设施至少每周覆盖巡检一次，配电箱（柜）每月巡检一次，地埋电缆线路每半年巡检一次；接地装置应在每年的冬季晴天时巡检一次，独立的防雷装置应在每年的春季巡检一次，漏电保护装置应每季巡检一次；建筑物景观照明设施每半年清洗一次，公共道路、广场公园应每季清洗一次，污染严重地段加大清洁工作频率。</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要求对养护范围及重点区域范围的景观灯等设施进行全方位巡查，各类灯每周不少于3次，重要保障临时通知增加巡查，将断亮缺亮等问题拍照记录编辑。</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将亮灯问题整改处置后必须进行拍照，将问题与完成的对比照片按周、月度编辑报</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。要求</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对巡查与作业人员配置拍照高清手机，巡查、养护的效果及工作照片清哳直观，列入月度考核。</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建立健全安全管理、人员管理等制度，配备合格、齐全的养护队伍、养护设备、劳保用品等。建立养护档案，健全日常养护（包括防盗及修复）作业记录，认真做好台帐的整理和归档工作；养护档案资料接受</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定期检查，</w:t>
      </w:r>
      <w:r>
        <w:rPr>
          <w:rFonts w:hint="eastAsia" w:ascii="仿宋" w:hAnsi="仿宋" w:eastAsia="仿宋" w:cs="仿宋"/>
          <w:sz w:val="24"/>
          <w:szCs w:val="24"/>
          <w:highlight w:val="none"/>
          <w:lang w:eastAsia="zh-CN"/>
        </w:rPr>
        <w:t>按月</w:t>
      </w:r>
      <w:r>
        <w:rPr>
          <w:rFonts w:hint="eastAsia" w:ascii="仿宋" w:hAnsi="仿宋" w:eastAsia="仿宋" w:cs="仿宋"/>
          <w:sz w:val="24"/>
          <w:szCs w:val="24"/>
          <w:highlight w:val="none"/>
        </w:rPr>
        <w:t>将养护档案资料移交</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一份。</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设施设备更换过程中需做好防护、围挡、警示工作。</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重大活动保障要求现场值班保障，要求</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在保障期间有专人现场巡查，并保证景观设施正常亮灯，如重大活动及节假日期间，</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须做好应急保障措施，安排人员24小时值班，准备总维护量5%的数额备货。</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w:t>
      </w:r>
      <w:r>
        <w:rPr>
          <w:rFonts w:hint="eastAsia" w:ascii="仿宋" w:hAnsi="仿宋" w:eastAsia="仿宋" w:cs="仿宋"/>
          <w:sz w:val="24"/>
          <w:szCs w:val="24"/>
          <w:highlight w:val="none"/>
        </w:rPr>
        <w:t>项目中质保期内</w:t>
      </w:r>
      <w:r>
        <w:rPr>
          <w:rFonts w:hint="eastAsia" w:ascii="仿宋" w:hAnsi="仿宋" w:eastAsia="仿宋" w:cs="仿宋"/>
          <w:sz w:val="24"/>
          <w:szCs w:val="24"/>
          <w:highlight w:val="none"/>
          <w:lang w:eastAsia="zh-CN"/>
        </w:rPr>
        <w:t>，乙方负责做好</w:t>
      </w:r>
      <w:r>
        <w:rPr>
          <w:rFonts w:hint="eastAsia" w:ascii="仿宋" w:hAnsi="仿宋" w:eastAsia="仿宋" w:cs="仿宋"/>
          <w:sz w:val="24"/>
          <w:szCs w:val="24"/>
          <w:highlight w:val="none"/>
        </w:rPr>
        <w:t>灯具及相关附属设施</w:t>
      </w:r>
      <w:r>
        <w:rPr>
          <w:rFonts w:hint="eastAsia" w:ascii="仿宋" w:hAnsi="仿宋" w:eastAsia="仿宋" w:cs="仿宋"/>
          <w:sz w:val="24"/>
          <w:szCs w:val="24"/>
          <w:highlight w:val="none"/>
          <w:lang w:val="en-US" w:eastAsia="zh-CN"/>
        </w:rPr>
        <w:t>巡查、抄表及督促维修等工作（维修由质保期内项目施工单位负责）。</w:t>
      </w:r>
    </w:p>
    <w:p>
      <w:pPr>
        <w:spacing w:line="288"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养护到期后，</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须与新的养护单位做好工作交接；若养护到期，但单个项目未通过移交，</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仍有权按考核办法在合同期外对乙方实施监管考核及代整治工作，相关费用从养护尾款中扣除。</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中标第一次进入养护须经甲方书面同意后才能作业。因改建等原因单个子项目</w:t>
      </w:r>
      <w:r>
        <w:rPr>
          <w:rFonts w:hint="eastAsia" w:ascii="仿宋" w:hAnsi="仿宋" w:eastAsia="仿宋" w:cs="仿宋"/>
          <w:sz w:val="24"/>
          <w:szCs w:val="24"/>
          <w:highlight w:val="none"/>
          <w:lang w:val="en-US" w:eastAsia="zh-CN"/>
        </w:rPr>
        <w:t>需停止养护的则费用相应扣除。</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养护项目不得转包、分包，包括人员、车辆、高空作业等内容，甲方有权对乙方与养护项目相关的所有内容进行核实，一经发现有与采购要求不符的，乙方应立即按甲方要求限期进行整改；若未按要求整改到位的，甲方有权终止合同，并上报区采购监管部门。</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突发事件处理及防汛、抗台、抗雪、防冻。乙方应成立突发事件应急处理领导小组和应急抢险突击队，切实按照《杭州市突发事件应急抢险预案》等相关政策文件制定的相关预案组织实施。认真做好防汛、抗台、抗雪、防冻及突发事件应急抢险工作，确保人员、设备、材料“三落实”，并做好数据、图片和台帐的记录、存档，及时反映情况，严格服从甲方的统一指挥、安排和要求。若发生非养护原因引起的意外事故或人为破坏造成的设施损坏，乙方应立即采取相关措施或临时应急措施，并通知甲方和相关部门。</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19.乙方需设立项目部，场地数量和位置应便于养护、巡查及时响应（响应时间要求在20分钟内到达项目实施区域内大部分地方），项目部包括办公区、维修区、仓库区等，场所</w:t>
      </w:r>
      <w:r>
        <w:rPr>
          <w:rFonts w:hint="eastAsia" w:ascii="仿宋" w:hAnsi="仿宋" w:eastAsia="仿宋" w:cs="仿宋"/>
          <w:sz w:val="24"/>
          <w:szCs w:val="24"/>
          <w:highlight w:val="none"/>
          <w:lang w:val="en-GB" w:eastAsia="zh-CN"/>
        </w:rPr>
        <w:t>面积不小于200平方米</w:t>
      </w:r>
      <w:r>
        <w:rPr>
          <w:rFonts w:hint="eastAsia" w:ascii="仿宋" w:hAnsi="仿宋" w:eastAsia="仿宋" w:cs="仿宋"/>
          <w:sz w:val="24"/>
          <w:szCs w:val="24"/>
          <w:highlight w:val="none"/>
          <w:lang w:val="en-US" w:eastAsia="zh-CN"/>
        </w:rPr>
        <w:t>。办公场所要有各类设施设备的规范堆放管理制度，要设有专职人员进行管理，确保突发事件和应急抢险。</w:t>
      </w:r>
    </w:p>
    <w:p>
      <w:pPr>
        <w:spacing w:line="288" w:lineRule="auto"/>
        <w:ind w:firstLine="42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为做好数字抄告、投诉等问题确认、协调、处置以及应急保障等紧急、突发的、重要工作需要，每标项需配备一名亮化人员（该名人员建议入驻采购人单位），并落实好出行交通工具，提高工作效率，避免出现工作延误情况。</w:t>
      </w:r>
    </w:p>
    <w:p>
      <w:pPr>
        <w:tabs>
          <w:tab w:val="left" w:pos="2472"/>
        </w:tabs>
        <w:spacing w:line="288" w:lineRule="auto"/>
        <w:ind w:firstLine="482" w:firstLineChars="200"/>
        <w:jc w:val="left"/>
        <w:rPr>
          <w:rFonts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w:t>
      </w:r>
      <w:r>
        <w:rPr>
          <w:rFonts w:hint="eastAsia" w:ascii="仿宋" w:hAnsi="仿宋" w:eastAsia="仿宋" w:cs="仿宋"/>
          <w:b/>
          <w:bCs/>
          <w:snapToGrid w:val="0"/>
          <w:sz w:val="24"/>
          <w:szCs w:val="24"/>
          <w:highlight w:val="none"/>
          <w:lang w:eastAsia="zh-CN"/>
        </w:rPr>
        <w:t>二</w:t>
      </w:r>
      <w:r>
        <w:rPr>
          <w:rFonts w:hint="eastAsia" w:ascii="仿宋" w:hAnsi="仿宋" w:eastAsia="仿宋" w:cs="仿宋"/>
          <w:b/>
          <w:bCs/>
          <w:snapToGrid w:val="0"/>
          <w:sz w:val="24"/>
          <w:szCs w:val="24"/>
          <w:highlight w:val="none"/>
        </w:rPr>
        <w:t>条</w:t>
      </w:r>
      <w:r>
        <w:rPr>
          <w:rFonts w:ascii="仿宋" w:hAnsi="仿宋" w:eastAsia="仿宋" w:cs="仿宋"/>
          <w:b/>
          <w:bCs/>
          <w:snapToGrid w:val="0"/>
          <w:sz w:val="24"/>
          <w:szCs w:val="24"/>
          <w:highlight w:val="none"/>
        </w:rPr>
        <w:t xml:space="preserve"> </w:t>
      </w:r>
      <w:r>
        <w:rPr>
          <w:rFonts w:hint="eastAsia" w:ascii="仿宋" w:hAnsi="仿宋" w:eastAsia="仿宋" w:cs="仿宋"/>
          <w:b/>
          <w:bCs/>
          <w:snapToGrid w:val="0"/>
          <w:sz w:val="24"/>
          <w:szCs w:val="24"/>
          <w:highlight w:val="none"/>
        </w:rPr>
        <w:t>服务期限</w:t>
      </w:r>
    </w:p>
    <w:p>
      <w:pPr>
        <w:tabs>
          <w:tab w:val="left" w:pos="2472"/>
        </w:tabs>
        <w:spacing w:line="288" w:lineRule="auto"/>
        <w:ind w:firstLine="480" w:firstLineChars="200"/>
        <w:jc w:val="left"/>
        <w:rPr>
          <w:rFonts w:ascii="仿宋" w:hAnsi="仿宋" w:eastAsia="仿宋" w:cs="仿宋"/>
          <w:snapToGrid w:val="0"/>
          <w:sz w:val="24"/>
          <w:szCs w:val="24"/>
          <w:highlight w:val="none"/>
        </w:rPr>
      </w:pPr>
      <w:r>
        <w:rPr>
          <w:rFonts w:hint="eastAsia" w:ascii="仿宋" w:hAnsi="仿宋" w:eastAsia="仿宋" w:cs="仿宋"/>
          <w:snapToGrid w:val="0"/>
          <w:sz w:val="24"/>
          <w:szCs w:val="24"/>
          <w:highlight w:val="none"/>
        </w:rPr>
        <w:t>服务期限：自</w:t>
      </w:r>
      <w:r>
        <w:rPr>
          <w:rFonts w:ascii="仿宋" w:hAnsi="仿宋" w:eastAsia="仿宋" w:cs="仿宋"/>
          <w:snapToGrid w:val="0"/>
          <w:sz w:val="24"/>
          <w:szCs w:val="24"/>
          <w:highlight w:val="none"/>
        </w:rPr>
        <w:t xml:space="preserve">  </w:t>
      </w:r>
      <w:r>
        <w:rPr>
          <w:rFonts w:hint="eastAsia" w:ascii="仿宋" w:hAnsi="仿宋" w:eastAsia="仿宋" w:cs="仿宋"/>
          <w:snapToGrid w:val="0"/>
          <w:sz w:val="24"/>
          <w:szCs w:val="24"/>
          <w:highlight w:val="none"/>
        </w:rPr>
        <w:t>年</w:t>
      </w:r>
      <w:r>
        <w:rPr>
          <w:rFonts w:ascii="仿宋" w:hAnsi="仿宋" w:eastAsia="仿宋" w:cs="仿宋"/>
          <w:snapToGrid w:val="0"/>
          <w:sz w:val="24"/>
          <w:szCs w:val="24"/>
          <w:highlight w:val="none"/>
        </w:rPr>
        <w:t xml:space="preserve"> </w:t>
      </w:r>
      <w:r>
        <w:rPr>
          <w:rFonts w:hint="eastAsia" w:ascii="仿宋" w:hAnsi="仿宋" w:eastAsia="仿宋" w:cs="仿宋"/>
          <w:snapToGrid w:val="0"/>
          <w:sz w:val="24"/>
          <w:szCs w:val="24"/>
          <w:highlight w:val="none"/>
        </w:rPr>
        <w:t>月</w:t>
      </w:r>
      <w:r>
        <w:rPr>
          <w:rFonts w:ascii="仿宋" w:hAnsi="仿宋" w:eastAsia="仿宋" w:cs="仿宋"/>
          <w:snapToGrid w:val="0"/>
          <w:sz w:val="24"/>
          <w:szCs w:val="24"/>
          <w:highlight w:val="none"/>
        </w:rPr>
        <w:t xml:space="preserve"> </w:t>
      </w:r>
      <w:r>
        <w:rPr>
          <w:rFonts w:hint="eastAsia" w:ascii="仿宋" w:hAnsi="仿宋" w:eastAsia="仿宋" w:cs="仿宋"/>
          <w:snapToGrid w:val="0"/>
          <w:sz w:val="24"/>
          <w:szCs w:val="24"/>
          <w:highlight w:val="none"/>
        </w:rPr>
        <w:t>日至</w:t>
      </w:r>
      <w:r>
        <w:rPr>
          <w:rFonts w:ascii="仿宋" w:hAnsi="仿宋" w:eastAsia="仿宋" w:cs="仿宋"/>
          <w:snapToGrid w:val="0"/>
          <w:sz w:val="24"/>
          <w:szCs w:val="24"/>
          <w:highlight w:val="none"/>
        </w:rPr>
        <w:t xml:space="preserve">  </w:t>
      </w:r>
      <w:r>
        <w:rPr>
          <w:rFonts w:hint="eastAsia" w:ascii="仿宋" w:hAnsi="仿宋" w:eastAsia="仿宋" w:cs="仿宋"/>
          <w:snapToGrid w:val="0"/>
          <w:sz w:val="24"/>
          <w:szCs w:val="24"/>
          <w:highlight w:val="none"/>
        </w:rPr>
        <w:t>年</w:t>
      </w:r>
      <w:r>
        <w:rPr>
          <w:rFonts w:ascii="仿宋" w:hAnsi="仿宋" w:eastAsia="仿宋" w:cs="仿宋"/>
          <w:snapToGrid w:val="0"/>
          <w:sz w:val="24"/>
          <w:szCs w:val="24"/>
          <w:highlight w:val="none"/>
        </w:rPr>
        <w:t xml:space="preserve">  </w:t>
      </w:r>
      <w:r>
        <w:rPr>
          <w:rFonts w:hint="eastAsia" w:ascii="仿宋" w:hAnsi="仿宋" w:eastAsia="仿宋" w:cs="仿宋"/>
          <w:snapToGrid w:val="0"/>
          <w:sz w:val="24"/>
          <w:szCs w:val="24"/>
          <w:highlight w:val="none"/>
        </w:rPr>
        <w:t>月</w:t>
      </w:r>
      <w:r>
        <w:rPr>
          <w:rFonts w:ascii="仿宋" w:hAnsi="仿宋" w:eastAsia="仿宋" w:cs="仿宋"/>
          <w:snapToGrid w:val="0"/>
          <w:sz w:val="24"/>
          <w:szCs w:val="24"/>
          <w:highlight w:val="none"/>
        </w:rPr>
        <w:t xml:space="preserve">  </w:t>
      </w:r>
      <w:r>
        <w:rPr>
          <w:rFonts w:hint="eastAsia" w:ascii="仿宋" w:hAnsi="仿宋" w:eastAsia="仿宋" w:cs="仿宋"/>
          <w:snapToGrid w:val="0"/>
          <w:sz w:val="24"/>
          <w:szCs w:val="24"/>
          <w:highlight w:val="none"/>
        </w:rPr>
        <w:t>日。</w:t>
      </w:r>
    </w:p>
    <w:p>
      <w:pPr>
        <w:tabs>
          <w:tab w:val="left" w:pos="2472"/>
        </w:tabs>
        <w:spacing w:line="288" w:lineRule="auto"/>
        <w:ind w:firstLine="482" w:firstLineChars="200"/>
        <w:jc w:val="left"/>
        <w:rPr>
          <w:rFonts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第三条</w:t>
      </w:r>
      <w:r>
        <w:rPr>
          <w:rFonts w:ascii="仿宋" w:hAnsi="仿宋" w:eastAsia="仿宋" w:cs="仿宋"/>
          <w:snapToGrid w:val="0"/>
          <w:sz w:val="24"/>
          <w:szCs w:val="24"/>
          <w:highlight w:val="none"/>
        </w:rPr>
        <w:t xml:space="preserve"> </w:t>
      </w:r>
      <w:r>
        <w:rPr>
          <w:rFonts w:hint="eastAsia" w:ascii="仿宋" w:hAnsi="仿宋" w:eastAsia="仿宋" w:cs="仿宋"/>
          <w:b/>
          <w:bCs/>
          <w:snapToGrid w:val="0"/>
          <w:sz w:val="24"/>
          <w:szCs w:val="24"/>
          <w:highlight w:val="none"/>
        </w:rPr>
        <w:t>合同金额及履约保证金</w:t>
      </w:r>
    </w:p>
    <w:p>
      <w:pPr>
        <w:tabs>
          <w:tab w:val="left" w:pos="2472"/>
        </w:tabs>
        <w:spacing w:line="288" w:lineRule="auto"/>
        <w:ind w:firstLine="480" w:firstLineChars="200"/>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rPr>
        <w:t>合同金额：人民币</w:t>
      </w:r>
      <w:r>
        <w:rPr>
          <w:rFonts w:ascii="仿宋" w:hAnsi="仿宋" w:eastAsia="仿宋" w:cs="仿宋"/>
          <w:snapToGrid w:val="0"/>
          <w:sz w:val="24"/>
          <w:szCs w:val="24"/>
          <w:highlight w:val="none"/>
        </w:rPr>
        <w:t xml:space="preserve">                </w:t>
      </w:r>
      <w:r>
        <w:rPr>
          <w:rFonts w:hint="eastAsia" w:ascii="仿宋" w:hAnsi="仿宋" w:eastAsia="仿宋" w:cs="仿宋"/>
          <w:snapToGrid w:val="0"/>
          <w:sz w:val="24"/>
          <w:szCs w:val="24"/>
          <w:highlight w:val="none"/>
        </w:rPr>
        <w:t>元整（</w:t>
      </w:r>
      <w:r>
        <w:rPr>
          <w:rFonts w:ascii="宋体" w:cs="宋体"/>
          <w:snapToGrid w:val="0"/>
          <w:sz w:val="24"/>
          <w:szCs w:val="24"/>
          <w:highlight w:val="none"/>
        </w:rPr>
        <w:t>¥</w:t>
      </w:r>
      <w:r>
        <w:rPr>
          <w:rFonts w:ascii="仿宋" w:hAnsi="仿宋" w:eastAsia="仿宋" w:cs="仿宋"/>
          <w:snapToGrid w:val="0"/>
          <w:sz w:val="24"/>
          <w:szCs w:val="24"/>
          <w:highlight w:val="none"/>
        </w:rPr>
        <w:t xml:space="preserve">    .00</w:t>
      </w:r>
      <w:r>
        <w:rPr>
          <w:rFonts w:hint="eastAsia" w:ascii="仿宋" w:hAnsi="仿宋" w:eastAsia="仿宋" w:cs="仿宋"/>
          <w:snapToGrid w:val="0"/>
          <w:sz w:val="24"/>
          <w:szCs w:val="24"/>
          <w:highlight w:val="none"/>
        </w:rPr>
        <w:t>元）</w:t>
      </w:r>
      <w:r>
        <w:rPr>
          <w:rFonts w:hint="eastAsia" w:ascii="仿宋" w:hAnsi="仿宋" w:eastAsia="仿宋" w:cs="仿宋"/>
          <w:snapToGrid w:val="0"/>
          <w:sz w:val="24"/>
          <w:szCs w:val="24"/>
          <w:highlight w:val="none"/>
          <w:lang w:eastAsia="zh-CN"/>
        </w:rPr>
        <w:t>。</w:t>
      </w:r>
      <w:r>
        <w:rPr>
          <w:rFonts w:hint="eastAsia" w:ascii="仿宋" w:hAnsi="仿宋" w:eastAsia="仿宋" w:cs="仿宋"/>
          <w:snapToGrid w:val="0"/>
          <w:sz w:val="24"/>
          <w:szCs w:val="24"/>
          <w:highlight w:val="none"/>
          <w:lang w:val="en-US" w:eastAsia="zh-CN"/>
        </w:rPr>
        <w:t>该费用</w:t>
      </w:r>
      <w:r>
        <w:rPr>
          <w:rFonts w:hint="eastAsia" w:ascii="仿宋" w:hAnsi="仿宋" w:eastAsia="仿宋" w:cs="仿宋"/>
          <w:sz w:val="24"/>
          <w:szCs w:val="24"/>
          <w:highlight w:val="none"/>
        </w:rPr>
        <w:t>包括本项目一个服务年度所需的一切人工、工具、设备、保险、交通、利润、税金（包含须由</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承担的各种税费）、设施偷盗风险费用、其它需</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rPr>
        <w:t>承担的费用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本合同</w:t>
      </w:r>
      <w:r>
        <w:rPr>
          <w:rFonts w:hint="eastAsia" w:ascii="仿宋" w:hAnsi="仿宋" w:eastAsia="仿宋" w:cs="仿宋"/>
          <w:sz w:val="24"/>
          <w:szCs w:val="24"/>
          <w:highlight w:val="none"/>
          <w:lang w:eastAsia="zh-CN"/>
        </w:rPr>
        <w:t>涉及的相关内容</w:t>
      </w:r>
      <w:r>
        <w:rPr>
          <w:rFonts w:hint="eastAsia" w:ascii="仿宋" w:hAnsi="仿宋" w:eastAsia="仿宋" w:cs="仿宋"/>
          <w:sz w:val="24"/>
          <w:szCs w:val="24"/>
          <w:highlight w:val="none"/>
        </w:rPr>
        <w:t>及潜在满足</w:t>
      </w:r>
      <w:r>
        <w:rPr>
          <w:rFonts w:hint="eastAsia" w:ascii="仿宋" w:hAnsi="仿宋" w:eastAsia="仿宋" w:cs="仿宋"/>
          <w:sz w:val="24"/>
          <w:szCs w:val="24"/>
          <w:highlight w:val="none"/>
          <w:lang w:val="en-US" w:eastAsia="zh-CN"/>
        </w:rPr>
        <w:t>甲方</w:t>
      </w:r>
      <w:r>
        <w:rPr>
          <w:rFonts w:hint="eastAsia" w:ascii="仿宋" w:hAnsi="仿宋" w:eastAsia="仿宋" w:cs="仿宋"/>
          <w:sz w:val="24"/>
          <w:szCs w:val="24"/>
          <w:highlight w:val="none"/>
        </w:rPr>
        <w:t>监管要求可能涉及的一切费用</w:t>
      </w:r>
      <w:r>
        <w:rPr>
          <w:rFonts w:hint="eastAsia" w:ascii="仿宋" w:hAnsi="仿宋" w:eastAsia="仿宋" w:cs="仿宋"/>
          <w:sz w:val="24"/>
          <w:szCs w:val="24"/>
          <w:highlight w:val="none"/>
          <w:lang w:eastAsia="zh-CN"/>
        </w:rPr>
        <w:t>。</w:t>
      </w:r>
    </w:p>
    <w:p>
      <w:pPr>
        <w:spacing w:line="288" w:lineRule="auto"/>
        <w:ind w:firstLine="456" w:firstLineChars="200"/>
      </w:pPr>
      <w:r>
        <w:rPr>
          <w:rFonts w:hint="eastAsia" w:ascii="仿宋" w:hAnsi="仿宋" w:eastAsia="仿宋" w:cs="仿宋"/>
          <w:spacing w:val="-6"/>
          <w:sz w:val="24"/>
          <w:szCs w:val="24"/>
          <w:highlight w:val="none"/>
          <w:lang w:val="en-US"/>
        </w:rPr>
        <w:t>合同生效后</w:t>
      </w:r>
      <w:r>
        <w:rPr>
          <w:rFonts w:hint="eastAsia" w:ascii="仿宋" w:hAnsi="仿宋" w:eastAsia="仿宋" w:cs="仿宋"/>
          <w:spacing w:val="-6"/>
          <w:sz w:val="24"/>
          <w:szCs w:val="24"/>
          <w:highlight w:val="none"/>
          <w:lang w:val="en-US" w:eastAsia="zh-CN"/>
        </w:rPr>
        <w:t>【15】日内</w:t>
      </w:r>
      <w:r>
        <w:rPr>
          <w:rFonts w:hint="eastAsia" w:ascii="仿宋" w:hAnsi="仿宋" w:eastAsia="仿宋" w:cs="仿宋"/>
          <w:spacing w:val="-6"/>
          <w:sz w:val="24"/>
          <w:szCs w:val="24"/>
          <w:highlight w:val="none"/>
          <w:lang w:val="en-US"/>
        </w:rPr>
        <w:t>，</w:t>
      </w:r>
      <w:r>
        <w:rPr>
          <w:rFonts w:hint="eastAsia" w:ascii="仿宋" w:hAnsi="仿宋" w:eastAsia="仿宋" w:cs="仿宋"/>
          <w:spacing w:val="-6"/>
          <w:sz w:val="24"/>
          <w:szCs w:val="24"/>
          <w:highlight w:val="none"/>
          <w:lang w:val="en-US" w:eastAsia="zh-CN"/>
        </w:rPr>
        <w:t>乙方</w:t>
      </w:r>
      <w:r>
        <w:rPr>
          <w:rFonts w:hint="eastAsia" w:ascii="仿宋" w:hAnsi="仿宋" w:eastAsia="仿宋" w:cs="仿宋"/>
          <w:spacing w:val="-6"/>
          <w:sz w:val="24"/>
          <w:szCs w:val="24"/>
          <w:highlight w:val="none"/>
          <w:lang w:val="en-US"/>
        </w:rPr>
        <w:t>向</w:t>
      </w:r>
      <w:r>
        <w:rPr>
          <w:rFonts w:hint="eastAsia" w:ascii="仿宋" w:hAnsi="仿宋" w:eastAsia="仿宋" w:cs="仿宋"/>
          <w:spacing w:val="-6"/>
          <w:sz w:val="24"/>
          <w:szCs w:val="24"/>
          <w:highlight w:val="none"/>
          <w:lang w:val="en-US" w:eastAsia="zh-CN"/>
        </w:rPr>
        <w:t>甲方</w:t>
      </w:r>
      <w:r>
        <w:rPr>
          <w:rFonts w:hint="eastAsia" w:ascii="仿宋" w:hAnsi="仿宋" w:eastAsia="仿宋" w:cs="仿宋"/>
          <w:spacing w:val="-6"/>
          <w:sz w:val="24"/>
          <w:szCs w:val="24"/>
          <w:highlight w:val="none"/>
          <w:lang w:val="en-US"/>
        </w:rPr>
        <w:t>缴纳中标价的1%履约保证金，</w:t>
      </w:r>
      <w:r>
        <w:rPr>
          <w:rFonts w:hint="eastAsia" w:ascii="仿宋" w:hAnsi="仿宋" w:eastAsia="仿宋" w:cs="仿宋"/>
          <w:spacing w:val="-6"/>
          <w:sz w:val="24"/>
          <w:szCs w:val="24"/>
          <w:highlight w:val="none"/>
          <w:lang w:val="en-US" w:eastAsia="zh-CN"/>
        </w:rPr>
        <w:t>乙方</w:t>
      </w:r>
      <w:r>
        <w:rPr>
          <w:rFonts w:hint="eastAsia" w:ascii="仿宋" w:hAnsi="仿宋" w:eastAsia="仿宋" w:cs="仿宋"/>
          <w:spacing w:val="-6"/>
          <w:sz w:val="24"/>
          <w:szCs w:val="24"/>
          <w:highlight w:val="none"/>
          <w:lang w:val="en-US"/>
        </w:rPr>
        <w:t>应当以支票、汇票、本票或者金融机构、担保机构出具的保函等非现金形式提交，鼓励和支持</w:t>
      </w:r>
      <w:r>
        <w:rPr>
          <w:rFonts w:hint="eastAsia" w:ascii="仿宋" w:hAnsi="仿宋" w:eastAsia="仿宋" w:cs="仿宋"/>
          <w:spacing w:val="-6"/>
          <w:sz w:val="24"/>
          <w:szCs w:val="24"/>
          <w:highlight w:val="none"/>
          <w:lang w:val="en-US" w:eastAsia="zh-CN"/>
        </w:rPr>
        <w:t>乙方</w:t>
      </w:r>
      <w:r>
        <w:rPr>
          <w:rFonts w:hint="eastAsia" w:ascii="仿宋" w:hAnsi="仿宋" w:eastAsia="仿宋" w:cs="仿宋"/>
          <w:spacing w:val="-6"/>
          <w:sz w:val="24"/>
          <w:szCs w:val="24"/>
          <w:highlight w:val="none"/>
          <w:lang w:val="en-US"/>
        </w:rPr>
        <w:t>以银行、保险公司出具的保函形式提供履约保证金。</w:t>
      </w:r>
    </w:p>
    <w:p>
      <w:pPr>
        <w:spacing w:line="288" w:lineRule="auto"/>
        <w:ind w:firstLine="456" w:firstLineChars="200"/>
        <w:rPr>
          <w:rFonts w:hint="eastAsia" w:ascii="仿宋" w:hAnsi="仿宋" w:eastAsia="仿宋" w:cs="仿宋"/>
          <w:spacing w:val="-6"/>
          <w:sz w:val="24"/>
          <w:highlight w:val="none"/>
          <w:lang w:val="en-US" w:eastAsia="zh-CN"/>
        </w:rPr>
      </w:pPr>
      <w:r>
        <w:rPr>
          <w:rFonts w:hint="eastAsia" w:ascii="仿宋" w:hAnsi="仿宋" w:eastAsia="仿宋" w:cs="仿宋"/>
          <w:spacing w:val="-6"/>
          <w:sz w:val="24"/>
          <w:szCs w:val="24"/>
          <w:highlight w:val="none"/>
        </w:rPr>
        <w:t>乙方没有履行本合同项下约定的责任和义务所需承担的违约金、赔偿金及其他费用，</w:t>
      </w:r>
      <w:r>
        <w:rPr>
          <w:rFonts w:hint="eastAsia" w:ascii="仿宋" w:hAnsi="仿宋" w:eastAsia="仿宋" w:cs="仿宋"/>
          <w:spacing w:val="-6"/>
          <w:sz w:val="24"/>
          <w:szCs w:val="24"/>
          <w:highlight w:val="none"/>
          <w:lang w:val="en-US" w:eastAsia="zh-CN"/>
        </w:rPr>
        <w:t>除本合同另有约定外，甲</w:t>
      </w:r>
      <w:r>
        <w:rPr>
          <w:rFonts w:hint="eastAsia" w:ascii="仿宋" w:hAnsi="仿宋" w:eastAsia="仿宋" w:cs="仿宋"/>
          <w:spacing w:val="-6"/>
          <w:sz w:val="24"/>
          <w:szCs w:val="24"/>
          <w:highlight w:val="none"/>
        </w:rPr>
        <w:t>方有权直接从履约保证金中</w:t>
      </w:r>
      <w:r>
        <w:rPr>
          <w:rFonts w:hint="eastAsia" w:ascii="仿宋" w:hAnsi="仿宋" w:eastAsia="仿宋" w:cs="仿宋"/>
          <w:spacing w:val="-6"/>
          <w:sz w:val="24"/>
          <w:szCs w:val="24"/>
          <w:highlight w:val="none"/>
          <w:lang w:val="en-US" w:eastAsia="zh-CN"/>
        </w:rPr>
        <w:t>提取</w:t>
      </w:r>
      <w:r>
        <w:rPr>
          <w:rFonts w:hint="eastAsia" w:ascii="仿宋" w:hAnsi="仿宋" w:eastAsia="仿宋" w:cs="仿宋"/>
          <w:spacing w:val="-6"/>
          <w:sz w:val="24"/>
          <w:szCs w:val="24"/>
          <w:highlight w:val="none"/>
        </w:rPr>
        <w:t>，履约保证金中不足以</w:t>
      </w:r>
      <w:r>
        <w:rPr>
          <w:rFonts w:hint="eastAsia" w:ascii="仿宋" w:hAnsi="仿宋" w:eastAsia="仿宋" w:cs="仿宋"/>
          <w:spacing w:val="-6"/>
          <w:sz w:val="24"/>
          <w:szCs w:val="24"/>
          <w:highlight w:val="none"/>
          <w:lang w:val="en-US" w:eastAsia="zh-CN"/>
        </w:rPr>
        <w:t>支付</w:t>
      </w:r>
      <w:r>
        <w:rPr>
          <w:rFonts w:hint="eastAsia" w:ascii="仿宋" w:hAnsi="仿宋" w:eastAsia="仿宋" w:cs="仿宋"/>
          <w:spacing w:val="-6"/>
          <w:sz w:val="24"/>
          <w:szCs w:val="24"/>
          <w:highlight w:val="none"/>
        </w:rPr>
        <w:t>的，</w:t>
      </w:r>
      <w:r>
        <w:rPr>
          <w:rFonts w:hint="eastAsia" w:ascii="仿宋" w:hAnsi="仿宋" w:eastAsia="仿宋" w:cs="仿宋"/>
          <w:spacing w:val="-6"/>
          <w:sz w:val="24"/>
          <w:szCs w:val="24"/>
          <w:highlight w:val="none"/>
          <w:lang w:val="en-US" w:eastAsia="zh-CN"/>
        </w:rPr>
        <w:t>甲</w:t>
      </w:r>
      <w:r>
        <w:rPr>
          <w:rFonts w:hint="eastAsia" w:ascii="仿宋" w:hAnsi="仿宋" w:eastAsia="仿宋" w:cs="仿宋"/>
          <w:spacing w:val="-6"/>
          <w:sz w:val="24"/>
          <w:szCs w:val="24"/>
          <w:highlight w:val="none"/>
        </w:rPr>
        <w:t>方有权从</w:t>
      </w:r>
      <w:r>
        <w:rPr>
          <w:rFonts w:hint="eastAsia" w:ascii="仿宋" w:hAnsi="仿宋" w:eastAsia="仿宋" w:cs="仿宋"/>
          <w:spacing w:val="-6"/>
          <w:sz w:val="24"/>
          <w:szCs w:val="24"/>
          <w:highlight w:val="none"/>
          <w:lang w:val="en-US" w:eastAsia="zh-CN"/>
        </w:rPr>
        <w:t>合同</w:t>
      </w:r>
      <w:r>
        <w:rPr>
          <w:rFonts w:hint="eastAsia" w:ascii="仿宋" w:hAnsi="仿宋" w:eastAsia="仿宋" w:cs="仿宋"/>
          <w:spacing w:val="-6"/>
          <w:sz w:val="24"/>
          <w:szCs w:val="24"/>
          <w:highlight w:val="none"/>
        </w:rPr>
        <w:t>款中扣除。</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遇特殊情况停运，根据停运数量及日期扣除（按照中标综合单价）停运部分维护费，但乙方不得减少巡检次数和质量。</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合同期内，若景观灯设施减少或增加的，由甲方书面告知并按实际养护量予以结算。</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本项目招标灯具养护设施量为暂定数量，养护费用结算最终按实际增（减）数量为准。</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合同期内，乙方根据甲方要求对存在安全隐患的灯具按照“以料抵工”的方式进行拆除，甲方不再单独支付相关费用。合同期内，若亮灯设施减少或增加的，由甲方书面告知并按实际养护量予以结算。</w:t>
      </w:r>
    </w:p>
    <w:p>
      <w:pPr>
        <w:tabs>
          <w:tab w:val="left" w:pos="2472"/>
        </w:tabs>
        <w:spacing w:line="288" w:lineRule="auto"/>
        <w:ind w:firstLine="482" w:firstLineChars="200"/>
        <w:jc w:val="left"/>
        <w:rPr>
          <w:rFonts w:hint="default" w:ascii="仿宋" w:hAnsi="仿宋" w:eastAsia="仿宋" w:cs="仿宋"/>
          <w:snapToGrid w:val="0"/>
          <w:sz w:val="24"/>
          <w:szCs w:val="24"/>
          <w:highlight w:val="none"/>
          <w:lang w:val="en-US" w:eastAsia="zh-CN"/>
        </w:rPr>
      </w:pPr>
      <w:r>
        <w:rPr>
          <w:rFonts w:hint="eastAsia" w:ascii="仿宋" w:hAnsi="仿宋" w:eastAsia="仿宋" w:cs="仿宋"/>
          <w:b/>
          <w:bCs/>
          <w:snapToGrid w:val="0"/>
          <w:sz w:val="24"/>
          <w:szCs w:val="24"/>
          <w:highlight w:val="none"/>
        </w:rPr>
        <w:t>第四条</w:t>
      </w:r>
      <w:r>
        <w:rPr>
          <w:rFonts w:ascii="仿宋" w:hAnsi="仿宋" w:eastAsia="仿宋" w:cs="仿宋"/>
          <w:snapToGrid w:val="0"/>
          <w:sz w:val="24"/>
          <w:szCs w:val="24"/>
          <w:highlight w:val="none"/>
        </w:rPr>
        <w:t xml:space="preserve"> </w:t>
      </w:r>
      <w:r>
        <w:rPr>
          <w:rFonts w:hint="eastAsia" w:ascii="仿宋" w:hAnsi="仿宋" w:eastAsia="仿宋" w:cs="仿宋"/>
          <w:b/>
          <w:bCs/>
          <w:snapToGrid w:val="0"/>
          <w:sz w:val="24"/>
          <w:szCs w:val="24"/>
          <w:highlight w:val="none"/>
        </w:rPr>
        <w:t>付款方式</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合同签订、承包人递交以银行、保险公司等金融机构出具的预付款保函后，且乙方具备实施条件后7个工作日内，甲方向乙方支付年合同金额20%的预付款。</w:t>
      </w:r>
    </w:p>
    <w:p>
      <w:pPr>
        <w:spacing w:line="288" w:lineRule="auto"/>
        <w:ind w:firstLine="456"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养护费用根据考核、扣款等结果和养护量核增（减）等情况按季度支付，同时预付款从第一个季度养护费中进行扣除，若第一季度养护费不足，则顺延至第二季进行扣除。</w:t>
      </w:r>
      <w:r>
        <w:rPr>
          <w:rFonts w:hint="eastAsia" w:ascii="仿宋" w:hAnsi="仿宋" w:eastAsia="仿宋" w:cs="仿宋"/>
          <w:spacing w:val="-6"/>
          <w:sz w:val="24"/>
          <w:highlight w:val="none"/>
          <w:lang w:eastAsia="zh-CN"/>
        </w:rPr>
        <w:t>第一年考核评定优秀后</w:t>
      </w:r>
      <w:r>
        <w:rPr>
          <w:rFonts w:hint="eastAsia" w:ascii="仿宋" w:hAnsi="仿宋" w:eastAsia="仿宋" w:cs="仿宋"/>
          <w:spacing w:val="-6"/>
          <w:sz w:val="24"/>
          <w:highlight w:val="none"/>
          <w:lang w:val="en-US" w:eastAsia="zh-CN"/>
        </w:rPr>
        <w:t>方可续签第二年合同</w:t>
      </w:r>
      <w:r>
        <w:rPr>
          <w:rFonts w:hint="eastAsia" w:ascii="仿宋" w:hAnsi="仿宋" w:eastAsia="仿宋" w:cs="仿宋"/>
          <w:spacing w:val="-6"/>
          <w:sz w:val="24"/>
          <w:highlight w:val="none"/>
          <w:lang w:eastAsia="zh-CN"/>
        </w:rPr>
        <w:t>，第二年付款方式同第一年。</w:t>
      </w:r>
      <w:r>
        <w:rPr>
          <w:rFonts w:hint="eastAsia" w:ascii="仿宋" w:hAnsi="仿宋" w:eastAsia="仿宋" w:cs="仿宋"/>
          <w:spacing w:val="-6"/>
          <w:sz w:val="24"/>
          <w:highlight w:val="none"/>
        </w:rPr>
        <w:t>具体支付时间要以财政落实为准。</w:t>
      </w:r>
    </w:p>
    <w:p>
      <w:pPr>
        <w:spacing w:line="288" w:lineRule="auto"/>
        <w:ind w:firstLine="456" w:firstLineChars="200"/>
        <w:rPr>
          <w:rFonts w:hint="eastAsia" w:ascii="仿宋" w:hAnsi="仿宋" w:eastAsia="仿宋" w:cs="仿宋"/>
          <w:spacing w:val="-6"/>
          <w:sz w:val="24"/>
          <w:highlight w:val="none"/>
          <w:lang w:val="en-US" w:eastAsia="zh-CN"/>
        </w:rPr>
      </w:pPr>
      <w:r>
        <w:rPr>
          <w:rFonts w:hint="eastAsia" w:ascii="仿宋" w:hAnsi="仿宋" w:eastAsia="仿宋" w:cs="仿宋"/>
          <w:spacing w:val="-6"/>
          <w:sz w:val="24"/>
          <w:szCs w:val="24"/>
          <w:highlight w:val="none"/>
        </w:rPr>
        <w:t>甲方</w:t>
      </w:r>
      <w:r>
        <w:rPr>
          <w:rFonts w:hint="eastAsia" w:ascii="仿宋" w:hAnsi="仿宋" w:eastAsia="仿宋" w:cs="仿宋"/>
          <w:spacing w:val="-6"/>
          <w:sz w:val="24"/>
          <w:szCs w:val="24"/>
          <w:highlight w:val="none"/>
          <w:lang w:val="en-US"/>
        </w:rPr>
        <w:t>每次</w:t>
      </w:r>
      <w:r>
        <w:rPr>
          <w:rFonts w:hint="eastAsia" w:ascii="仿宋" w:hAnsi="仿宋" w:eastAsia="仿宋" w:cs="仿宋"/>
          <w:spacing w:val="-6"/>
          <w:sz w:val="24"/>
          <w:szCs w:val="24"/>
          <w:highlight w:val="none"/>
        </w:rPr>
        <w:t>付款前，乙方应向甲方开具等额有效的增值税发票，甲方未收到发票的，有权不予支付相应款项直至乙方提供合格发票，并不承担延迟付款责任。发票认证通过是付款的必要前提之一</w:t>
      </w:r>
      <w:r>
        <w:rPr>
          <w:rFonts w:hint="eastAsia" w:ascii="仿宋" w:hAnsi="仿宋" w:eastAsia="仿宋" w:cs="仿宋"/>
          <w:spacing w:val="-6"/>
          <w:sz w:val="24"/>
          <w:szCs w:val="24"/>
          <w:highlight w:val="none"/>
          <w:lang w:eastAsia="zh-CN"/>
        </w:rPr>
        <w:t>。</w:t>
      </w:r>
    </w:p>
    <w:p>
      <w:pPr>
        <w:pStyle w:val="27"/>
        <w:rPr>
          <w:rFonts w:hint="eastAsia" w:eastAsia="仿宋"/>
          <w:lang w:eastAsia="zh-CN"/>
        </w:rPr>
      </w:pPr>
    </w:p>
    <w:p>
      <w:pPr>
        <w:tabs>
          <w:tab w:val="left" w:pos="2472"/>
        </w:tabs>
        <w:spacing w:line="288" w:lineRule="auto"/>
        <w:ind w:firstLine="482" w:firstLineChars="200"/>
        <w:jc w:val="left"/>
        <w:rPr>
          <w:rFonts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w:t>
      </w:r>
      <w:r>
        <w:rPr>
          <w:rFonts w:hint="eastAsia" w:ascii="仿宋" w:hAnsi="仿宋" w:eastAsia="仿宋" w:cs="仿宋"/>
          <w:b/>
          <w:bCs/>
          <w:snapToGrid w:val="0"/>
          <w:sz w:val="24"/>
          <w:szCs w:val="24"/>
          <w:highlight w:val="none"/>
          <w:lang w:eastAsia="zh-CN"/>
        </w:rPr>
        <w:t>五</w:t>
      </w:r>
      <w:r>
        <w:rPr>
          <w:rFonts w:hint="eastAsia" w:ascii="仿宋" w:hAnsi="仿宋" w:eastAsia="仿宋" w:cs="仿宋"/>
          <w:b/>
          <w:bCs/>
          <w:snapToGrid w:val="0"/>
          <w:sz w:val="24"/>
          <w:szCs w:val="24"/>
          <w:highlight w:val="none"/>
        </w:rPr>
        <w:t>条</w:t>
      </w:r>
      <w:r>
        <w:rPr>
          <w:rFonts w:ascii="仿宋" w:hAnsi="仿宋" w:eastAsia="仿宋" w:cs="仿宋"/>
          <w:b/>
          <w:bCs/>
          <w:snapToGrid w:val="0"/>
          <w:sz w:val="24"/>
          <w:szCs w:val="24"/>
          <w:highlight w:val="none"/>
        </w:rPr>
        <w:t xml:space="preserve"> </w:t>
      </w:r>
      <w:r>
        <w:rPr>
          <w:rFonts w:hint="eastAsia" w:ascii="仿宋" w:hAnsi="仿宋" w:eastAsia="仿宋" w:cs="仿宋"/>
          <w:b/>
          <w:bCs/>
          <w:snapToGrid w:val="0"/>
          <w:sz w:val="24"/>
          <w:szCs w:val="24"/>
          <w:highlight w:val="none"/>
        </w:rPr>
        <w:t>甲方的权利和义务</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负责对设施运行情况、日常养护（包括防盗及修复）质量、安全和巡查工作及资料台帐等进行检查、考核，对设施完好状况进行核查。对于检查发现的景观照明设施各类问题，有权要求乙方按要求及时修复。甲方以及其委派的任何人，均可对乙方养护范围内的设施养护状况进行检查。</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2.负责向乙方提供有关景观照明设施养护的规范性文件、相关的技术规程、考核办法及各类相关文件，并对乙方工作进行指导。</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3.负责审定乙方的年度和月度养护计划，检查养护计划执行情况，核实乙方上报的养护工作量报表，并根据各项考核及保障要求明确养护任务。</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4.甲方在认为有必要的情况下，可要求乙方对设施进行特殊养护。</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负责对乙方养护工作进行检查、督促，发现乙方未按规范要求进行养护时，有权按合同约定进行处理；发现设施处于危急状况时立即限期要求乙方按应急预案采取相关措施；对于无法胜任工作或玩忽职守、工作不负责的人员有权要求乙方进行更换。</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6.有权对养护工作中采用新工艺、新材料、新方法的适用性、安全性进行审查。</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7.负责协调处理因不可抗力的自然因素造成的设施损坏事件。</w:t>
      </w:r>
    </w:p>
    <w:p>
      <w:pPr>
        <w:spacing w:line="288"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8.合同期间甲方落实的其他相关事宜。</w:t>
      </w:r>
    </w:p>
    <w:p>
      <w:pPr>
        <w:tabs>
          <w:tab w:val="left" w:pos="2472"/>
        </w:tabs>
        <w:spacing w:line="288" w:lineRule="auto"/>
        <w:ind w:firstLine="482" w:firstLineChars="200"/>
        <w:jc w:val="left"/>
        <w:rPr>
          <w:rFonts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w:t>
      </w:r>
      <w:r>
        <w:rPr>
          <w:rFonts w:hint="eastAsia" w:ascii="仿宋" w:hAnsi="仿宋" w:eastAsia="仿宋" w:cs="仿宋"/>
          <w:b/>
          <w:bCs/>
          <w:snapToGrid w:val="0"/>
          <w:sz w:val="24"/>
          <w:szCs w:val="24"/>
          <w:highlight w:val="none"/>
          <w:lang w:eastAsia="zh-CN"/>
        </w:rPr>
        <w:t>六</w:t>
      </w:r>
      <w:r>
        <w:rPr>
          <w:rFonts w:hint="eastAsia" w:ascii="仿宋" w:hAnsi="仿宋" w:eastAsia="仿宋" w:cs="仿宋"/>
          <w:b/>
          <w:bCs/>
          <w:snapToGrid w:val="0"/>
          <w:sz w:val="24"/>
          <w:szCs w:val="24"/>
          <w:highlight w:val="none"/>
        </w:rPr>
        <w:t>条</w:t>
      </w:r>
      <w:r>
        <w:rPr>
          <w:rFonts w:ascii="仿宋" w:hAnsi="仿宋" w:eastAsia="仿宋" w:cs="仿宋"/>
          <w:b/>
          <w:bCs/>
          <w:snapToGrid w:val="0"/>
          <w:sz w:val="24"/>
          <w:szCs w:val="24"/>
          <w:highlight w:val="none"/>
        </w:rPr>
        <w:t xml:space="preserve"> </w:t>
      </w:r>
      <w:r>
        <w:rPr>
          <w:rFonts w:hint="eastAsia" w:ascii="仿宋" w:hAnsi="仿宋" w:eastAsia="仿宋" w:cs="仿宋"/>
          <w:b/>
          <w:bCs/>
          <w:snapToGrid w:val="0"/>
          <w:sz w:val="24"/>
          <w:szCs w:val="24"/>
          <w:highlight w:val="none"/>
        </w:rPr>
        <w:t>乙方的权利和义务</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1.按照养护设施范围、实际养护设施量及考核等情况取得相应养护经费。</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2.编制年度、月度养护计划，按照现行的有关规范要求及合同各项规定，精心组织养护，保证设施正常运行，并按要求报送养护台账。</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3.对景观照明设施及喷泉设施按有关规定进行巡查，掌握设施动态，及时发现、防止和处理设施缺陷，确保景观照明设施及喷泉设施完好和安全运行。</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在实施养护作业过程中，应遵守国家、省、市颁布的法律、法令、条例以及有关规定，遵守有关部门的规章细则等，负责办理养护操作中涉及的有关审批及协调手续。由于乙方违反上述规定而导致的所有责任，由乙方自行承担。</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5.配合做好亮灯、喷泉的服务及安全保障工作，制定应急预案并报甲方备案。在重大活动期间、节假日、应急保障中应加大巡查频率，必要时采取监护措施，并无条件按照甲方要求开展保障工作。</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6.对全部现场作业和施工方法的适应、稳妥和安全性承担全部责任。在养护工作中，力求采用成熟的工艺、材料和方法。合同期间，发生养护相关的质量、安全事故，均由乙方承担全部责任。</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7.建立健全安全体制机制，不断提高工作人员的安全意识；工作人员必须经过专业培训并持证上岗，设专人负责。</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8</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配合</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做好合同范围内设施量及设施现状调查工作。</w:t>
      </w:r>
    </w:p>
    <w:p>
      <w:pPr>
        <w:spacing w:line="288" w:lineRule="auto"/>
        <w:ind w:firstLine="480" w:firstLineChars="200"/>
        <w:rPr>
          <w:rFonts w:ascii="仿宋" w:hAnsi="仿宋" w:eastAsia="仿宋" w:cs="仿宋"/>
          <w:sz w:val="24"/>
          <w:szCs w:val="24"/>
          <w:highlight w:val="none"/>
        </w:rPr>
      </w:pPr>
      <w:r>
        <w:rPr>
          <w:rFonts w:ascii="仿宋" w:hAnsi="仿宋" w:eastAsia="仿宋" w:cs="仿宋"/>
          <w:color w:val="000000"/>
          <w:sz w:val="24"/>
          <w:szCs w:val="24"/>
          <w:highlight w:val="none"/>
        </w:rPr>
        <w:t>9</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成立突发事件应急处理领导小组和应急抢险突击队，切实按照《杭州市突发事件应急抢险预案》等相关政策文件制定的相关预案组织实施。认真做好防汛、抗台、抗雪及突发事件应急抢险工作，确保人员、设备、材料“三落实”，并做好数据、图片和台帐的记录、存档，及时反映情况，严格服从</w:t>
      </w:r>
      <w:r>
        <w:rPr>
          <w:rFonts w:hint="eastAsia" w:ascii="仿宋" w:hAnsi="仿宋" w:eastAsia="仿宋" w:cs="仿宋"/>
          <w:sz w:val="24"/>
          <w:szCs w:val="24"/>
          <w:highlight w:val="none"/>
          <w:lang w:eastAsia="zh-CN"/>
        </w:rPr>
        <w:t>甲方</w:t>
      </w:r>
      <w:r>
        <w:rPr>
          <w:rFonts w:hint="eastAsia" w:ascii="仿宋" w:hAnsi="仿宋" w:eastAsia="仿宋" w:cs="仿宋"/>
          <w:color w:val="000000"/>
          <w:sz w:val="24"/>
          <w:szCs w:val="24"/>
          <w:highlight w:val="none"/>
        </w:rPr>
        <w:t>的统一</w:t>
      </w:r>
      <w:r>
        <w:rPr>
          <w:rFonts w:hint="eastAsia" w:ascii="仿宋" w:hAnsi="仿宋" w:eastAsia="仿宋" w:cs="仿宋"/>
          <w:sz w:val="24"/>
          <w:szCs w:val="24"/>
          <w:highlight w:val="none"/>
        </w:rPr>
        <w:t>指挥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安排</w:t>
      </w:r>
      <w:r>
        <w:rPr>
          <w:rFonts w:hint="eastAsia" w:ascii="仿宋" w:hAnsi="仿宋" w:eastAsia="仿宋" w:cs="仿宋"/>
          <w:sz w:val="24"/>
          <w:szCs w:val="24"/>
          <w:highlight w:val="none"/>
          <w:lang w:eastAsia="zh-CN"/>
        </w:rPr>
        <w:t>和要求</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投标文件</w:t>
      </w:r>
      <w:r>
        <w:rPr>
          <w:rFonts w:hint="eastAsia" w:ascii="仿宋" w:hAnsi="仿宋" w:eastAsia="仿宋" w:cs="仿宋"/>
          <w:sz w:val="24"/>
          <w:szCs w:val="24"/>
          <w:highlight w:val="none"/>
        </w:rPr>
        <w:t>中提供恶劣条件或应急事件情况下的预案。</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负责发现并及时制止养护范围内的所有设施免遭人为等因素导致的损坏和侵害，并做好赔偿、修复的调查工作。</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安全检查应每月对标段内设施覆盖一次，重大保障期间增加专项检查。</w:t>
      </w:r>
      <w:r>
        <w:rPr>
          <w:rFonts w:hint="eastAsia" w:ascii="仿宋_GB2312" w:hAnsi="仿宋" w:eastAsia="仿宋_GB2312" w:cs="仿宋_GB2312"/>
          <w:color w:val="auto"/>
          <w:sz w:val="24"/>
          <w:szCs w:val="20"/>
          <w:highlight w:val="none"/>
        </w:rPr>
        <w:t>乙方</w:t>
      </w:r>
      <w:r>
        <w:rPr>
          <w:rFonts w:hint="eastAsia" w:ascii="仿宋" w:hAnsi="仿宋" w:eastAsia="仿宋" w:cs="仿宋"/>
          <w:sz w:val="24"/>
          <w:szCs w:val="24"/>
          <w:highlight w:val="none"/>
        </w:rPr>
        <w:t>应切实加强养护区域现场管理，确保安全生产，养护期内，因被养护设施掉落、炫光、漏电等造成的人身或财产等损失，一律由</w:t>
      </w:r>
      <w:r>
        <w:rPr>
          <w:rFonts w:hint="eastAsia" w:ascii="仿宋_GB2312" w:hAnsi="仿宋" w:eastAsia="仿宋_GB2312" w:cs="仿宋_GB2312"/>
          <w:color w:val="auto"/>
          <w:sz w:val="24"/>
          <w:szCs w:val="20"/>
          <w:highlight w:val="none"/>
        </w:rPr>
        <w:t>乙方</w:t>
      </w:r>
      <w:r>
        <w:rPr>
          <w:rFonts w:hint="eastAsia" w:ascii="仿宋" w:hAnsi="仿宋" w:eastAsia="仿宋" w:cs="仿宋"/>
          <w:sz w:val="24"/>
          <w:szCs w:val="24"/>
          <w:highlight w:val="none"/>
        </w:rPr>
        <w:t>负责赔偿。养护期内，若发生任何故障和问题，</w:t>
      </w:r>
      <w:r>
        <w:rPr>
          <w:rFonts w:hint="eastAsia" w:ascii="仿宋_GB2312" w:hAnsi="仿宋" w:eastAsia="仿宋_GB2312" w:cs="仿宋_GB2312"/>
          <w:color w:val="auto"/>
          <w:sz w:val="24"/>
          <w:szCs w:val="20"/>
          <w:highlight w:val="none"/>
        </w:rPr>
        <w:t>乙方</w:t>
      </w:r>
      <w:r>
        <w:rPr>
          <w:rFonts w:hint="eastAsia" w:ascii="仿宋" w:hAnsi="仿宋" w:eastAsia="仿宋" w:cs="仿宋"/>
          <w:sz w:val="24"/>
          <w:szCs w:val="24"/>
          <w:highlight w:val="none"/>
        </w:rPr>
        <w:t>应立即采取相关应急措施，并通知</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和相关部门。任何原因造成的景观照明设施及喷泉设施缺损和第三方损失，均由</w:t>
      </w:r>
      <w:r>
        <w:rPr>
          <w:rFonts w:hint="eastAsia" w:ascii="仿宋_GB2312" w:hAnsi="仿宋" w:eastAsia="仿宋_GB2312" w:cs="仿宋_GB2312"/>
          <w:color w:val="auto"/>
          <w:sz w:val="24"/>
          <w:szCs w:val="20"/>
          <w:highlight w:val="none"/>
        </w:rPr>
        <w:t>乙方</w:t>
      </w:r>
      <w:r>
        <w:rPr>
          <w:rFonts w:hint="eastAsia" w:ascii="仿宋" w:hAnsi="仿宋" w:eastAsia="仿宋" w:cs="仿宋"/>
          <w:sz w:val="24"/>
          <w:szCs w:val="24"/>
          <w:highlight w:val="none"/>
        </w:rPr>
        <w:t>负责及时更换、维修及赔偿，并承担相关费用。</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12</w:t>
      </w:r>
      <w:r>
        <w:rPr>
          <w:rFonts w:hint="eastAsia" w:ascii="仿宋" w:hAnsi="仿宋" w:eastAsia="仿宋" w:cs="仿宋"/>
          <w:sz w:val="24"/>
          <w:szCs w:val="24"/>
          <w:highlight w:val="none"/>
          <w:lang w:eastAsia="zh-CN"/>
        </w:rPr>
        <w:t>.</w:t>
      </w:r>
      <w:r>
        <w:rPr>
          <w:rFonts w:hint="eastAsia" w:ascii="仿宋_GB2312" w:hAnsi="仿宋" w:eastAsia="仿宋_GB2312" w:cs="仿宋_GB2312"/>
          <w:color w:val="auto"/>
          <w:sz w:val="24"/>
          <w:szCs w:val="20"/>
          <w:highlight w:val="none"/>
        </w:rPr>
        <w:t>乙方</w:t>
      </w:r>
      <w:r>
        <w:rPr>
          <w:rFonts w:hint="eastAsia" w:ascii="仿宋" w:hAnsi="仿宋" w:eastAsia="仿宋" w:cs="仿宋"/>
          <w:sz w:val="24"/>
          <w:szCs w:val="24"/>
          <w:highlight w:val="none"/>
          <w:lang w:eastAsia="zh-CN"/>
        </w:rPr>
        <w:t>按照现状接收的标准进行中标养护，</w:t>
      </w:r>
      <w:r>
        <w:rPr>
          <w:rFonts w:hint="eastAsia" w:ascii="仿宋" w:hAnsi="仿宋" w:eastAsia="仿宋" w:cs="仿宋"/>
          <w:sz w:val="24"/>
          <w:szCs w:val="24"/>
          <w:highlight w:val="none"/>
        </w:rPr>
        <w:t>在中标公示结束起按照“交接一个，接收一个”的原则于</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天内完成交接。交接过程中有问题，</w:t>
      </w:r>
      <w:r>
        <w:rPr>
          <w:rFonts w:hint="eastAsia" w:ascii="仿宋_GB2312" w:hAnsi="仿宋" w:eastAsia="仿宋_GB2312" w:cs="仿宋_GB2312"/>
          <w:color w:val="auto"/>
          <w:sz w:val="24"/>
          <w:szCs w:val="20"/>
          <w:highlight w:val="none"/>
        </w:rPr>
        <w:t>乙方</w:t>
      </w:r>
      <w:r>
        <w:rPr>
          <w:rFonts w:hint="eastAsia" w:ascii="仿宋" w:hAnsi="仿宋" w:eastAsia="仿宋" w:cs="仿宋"/>
          <w:sz w:val="24"/>
          <w:szCs w:val="24"/>
          <w:highlight w:val="none"/>
        </w:rPr>
        <w:t>提供影像资料佐证，落实原养护单位修复。</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负责合同生效起一个月内完成所有设备资料复核调整和标识工作，按照</w:t>
      </w:r>
      <w:r>
        <w:rPr>
          <w:rFonts w:hint="eastAsia" w:ascii="仿宋" w:hAnsi="仿宋" w:eastAsia="仿宋" w:cs="仿宋"/>
          <w:sz w:val="24"/>
          <w:szCs w:val="24"/>
          <w:highlight w:val="none"/>
          <w:lang w:eastAsia="zh-CN"/>
        </w:rPr>
        <w:t>采购</w:t>
      </w:r>
      <w:r>
        <w:rPr>
          <w:rFonts w:hint="eastAsia" w:ascii="仿宋" w:hAnsi="仿宋" w:eastAsia="仿宋" w:cs="仿宋"/>
          <w:sz w:val="24"/>
          <w:szCs w:val="24"/>
          <w:highlight w:val="none"/>
        </w:rPr>
        <w:t>方要求落实贴牌标示等工作，并及时向</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提供资料和设备清单。做好定期核对相关资料等工作。</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负责对发现的缺亮、故障和缺陷等问题进行及时修复并做好反馈工作，确保设备完好可靠，确保亮灯率达到考核指标及喷泉设施运行正常。</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负责保持照明设备的清洁，及时清除未经许可的悬挂物。</w:t>
      </w:r>
    </w:p>
    <w:p>
      <w:pPr>
        <w:spacing w:line="288" w:lineRule="auto"/>
        <w:ind w:firstLine="480" w:firstLineChars="200"/>
        <w:rPr>
          <w:rFonts w:ascii="仿宋" w:hAnsi="仿宋" w:eastAsia="仿宋" w:cs="仿宋"/>
          <w:sz w:val="24"/>
          <w:szCs w:val="24"/>
          <w:highlight w:val="none"/>
        </w:rPr>
      </w:pPr>
      <w:r>
        <w:rPr>
          <w:rFonts w:ascii="仿宋" w:hAnsi="仿宋" w:eastAsia="仿宋" w:cs="仿宋"/>
          <w:sz w:val="24"/>
          <w:szCs w:val="24"/>
          <w:highlight w:val="none"/>
        </w:rPr>
        <w:t>16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建立</w:t>
      </w:r>
      <w:r>
        <w:rPr>
          <w:rFonts w:ascii="仿宋" w:hAnsi="仿宋" w:eastAsia="仿宋" w:cs="仿宋"/>
          <w:sz w:val="24"/>
          <w:szCs w:val="24"/>
          <w:highlight w:val="none"/>
        </w:rPr>
        <w:t>24</w:t>
      </w:r>
      <w:r>
        <w:rPr>
          <w:rFonts w:hint="eastAsia" w:ascii="仿宋" w:hAnsi="仿宋" w:eastAsia="仿宋" w:cs="仿宋"/>
          <w:sz w:val="24"/>
          <w:szCs w:val="24"/>
          <w:highlight w:val="none"/>
        </w:rPr>
        <w:t>小时值班制度，及时处理“三来件”事项，保证办结率、回复率、满意率达到</w:t>
      </w:r>
      <w:r>
        <w:rPr>
          <w:rFonts w:ascii="仿宋" w:hAnsi="仿宋" w:eastAsia="仿宋" w:cs="仿宋"/>
          <w:sz w:val="24"/>
          <w:szCs w:val="24"/>
          <w:highlight w:val="none"/>
        </w:rPr>
        <w:t>100%</w:t>
      </w:r>
      <w:r>
        <w:rPr>
          <w:rFonts w:hint="eastAsia" w:ascii="仿宋" w:hAnsi="仿宋" w:eastAsia="仿宋" w:cs="仿宋"/>
          <w:sz w:val="24"/>
          <w:szCs w:val="24"/>
          <w:highlight w:val="none"/>
        </w:rPr>
        <w:t>。</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乙方须确保养护灯具质量及亮灯质量，针对养护过程中出现的影响亮灯效果的问题，乙方应及时制定整改方案，报</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同意后有效解决问题。</w:t>
      </w:r>
    </w:p>
    <w:p>
      <w:pPr>
        <w:spacing w:line="288"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18</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合同期内，乙方负责的灯具如有损坏、故障的，乙方可采用修理、修补、更换等方式进行处理，更换的设备品牌、样式、规格等须与原项目相同</w:t>
      </w:r>
      <w:r>
        <w:rPr>
          <w:rFonts w:ascii="仿宋" w:hAnsi="仿宋" w:eastAsia="仿宋" w:cs="仿宋"/>
          <w:sz w:val="24"/>
          <w:szCs w:val="24"/>
          <w:highlight w:val="none"/>
        </w:rPr>
        <w:t>,</w:t>
      </w:r>
      <w:r>
        <w:rPr>
          <w:rFonts w:hint="eastAsia" w:ascii="仿宋" w:hAnsi="仿宋" w:eastAsia="仿宋" w:cs="仿宋"/>
          <w:sz w:val="24"/>
          <w:szCs w:val="24"/>
          <w:highlight w:val="none"/>
        </w:rPr>
        <w:t>且更换灯具必须为新灯具。对无法采购到的光源、电器等设备，经报</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同意后可更换相同标准的设备，确保亮灯效果一致。</w:t>
      </w:r>
    </w:p>
    <w:p>
      <w:pPr>
        <w:spacing w:line="288" w:lineRule="auto"/>
        <w:ind w:firstLine="42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亮灯时间必须严格按照规定时间实施；亮灯时间必须巡查，每次亮灯期间的巡查覆盖率为</w:t>
      </w:r>
      <w:r>
        <w:rPr>
          <w:rFonts w:ascii="仿宋" w:hAnsi="仿宋" w:eastAsia="仿宋" w:cs="仿宋"/>
          <w:sz w:val="24"/>
          <w:szCs w:val="24"/>
          <w:highlight w:val="none"/>
        </w:rPr>
        <w:t>100%</w:t>
      </w:r>
      <w:r>
        <w:rPr>
          <w:rFonts w:hint="eastAsia" w:ascii="仿宋" w:hAnsi="仿宋" w:eastAsia="仿宋" w:cs="仿宋"/>
          <w:sz w:val="24"/>
          <w:szCs w:val="24"/>
          <w:highlight w:val="none"/>
        </w:rPr>
        <w:t>。</w:t>
      </w:r>
    </w:p>
    <w:p>
      <w:pPr>
        <w:spacing w:line="288" w:lineRule="auto"/>
        <w:ind w:firstLine="42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市、区两级亮灯管理部门发出的保障通知、临时要求，乙方必须落实响应并限期反馈。严格执行《杭州市建筑物景观照明设施养护评价办法》、《城市照明设施养护维修服务标准》。其中景观照明灯具应每周按市级保障时间要求落实亮灯效果巡查，景观设施至少每周覆盖巡检一次，配电箱（柜）每月巡检一次，地埋电缆线路每半年巡检一次；接地装置应每年巡检一次，独立的防雷装置应每年巡检一次，漏电保护装置应每季巡检一次；建筑物景观照明设施每半年清洗一次，公共道路、广场公园应每季清洗一次，污染严重地段加大清洁工作频率。</w:t>
      </w:r>
    </w:p>
    <w:p>
      <w:pPr>
        <w:spacing w:line="288" w:lineRule="auto"/>
        <w:ind w:firstLine="42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要求对养护范围及重点区域范围的景观灯等设施进行全方位巡查，各类灯每周不少于</w:t>
      </w:r>
      <w:r>
        <w:rPr>
          <w:rFonts w:ascii="仿宋" w:hAnsi="仿宋" w:eastAsia="仿宋" w:cs="仿宋"/>
          <w:sz w:val="24"/>
          <w:szCs w:val="24"/>
          <w:highlight w:val="none"/>
        </w:rPr>
        <w:t>3</w:t>
      </w:r>
      <w:r>
        <w:rPr>
          <w:rFonts w:hint="eastAsia" w:ascii="仿宋" w:hAnsi="仿宋" w:eastAsia="仿宋" w:cs="仿宋"/>
          <w:sz w:val="24"/>
          <w:szCs w:val="24"/>
          <w:highlight w:val="none"/>
        </w:rPr>
        <w:t>次，重要保障临时通知增加巡查，将断亮缺亮等问题拍照记录编辑。</w:t>
      </w:r>
    </w:p>
    <w:p>
      <w:pPr>
        <w:spacing w:line="288" w:lineRule="auto"/>
        <w:ind w:firstLine="42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乙方将亮灯问题整改处置后必须进行拍照，将问题与完成的对比照片按周、月度编辑报</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。要求乙方对巡查与作业人员配置拍照高清手机，巡查、养护的效果及工作照片清哳直观，列入月度考核。</w:t>
      </w:r>
    </w:p>
    <w:p>
      <w:pPr>
        <w:spacing w:line="288" w:lineRule="auto"/>
        <w:ind w:firstLine="42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建立安全管理、人员管理等制度，配备合格、齐全的养护队伍、养护设备、劳保用品等。建立养护档案，健全日常养护（包括防盗及修复）作业记录，认真做好台帐的整理和归档工作；养护档案资料接受</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定期检查，</w:t>
      </w:r>
      <w:r>
        <w:rPr>
          <w:rFonts w:hint="eastAsia" w:ascii="仿宋" w:hAnsi="仿宋" w:eastAsia="仿宋" w:cs="仿宋"/>
          <w:sz w:val="24"/>
          <w:szCs w:val="24"/>
          <w:highlight w:val="none"/>
          <w:lang w:eastAsia="zh-CN"/>
        </w:rPr>
        <w:t>按月</w:t>
      </w:r>
      <w:r>
        <w:rPr>
          <w:rFonts w:hint="eastAsia" w:ascii="仿宋" w:hAnsi="仿宋" w:eastAsia="仿宋" w:cs="仿宋"/>
          <w:sz w:val="24"/>
          <w:szCs w:val="24"/>
          <w:highlight w:val="none"/>
        </w:rPr>
        <w:t>将养护档案资料移交</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一份。</w:t>
      </w:r>
    </w:p>
    <w:p>
      <w:pPr>
        <w:spacing w:line="288" w:lineRule="auto"/>
        <w:ind w:firstLine="42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24</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设施设备更换</w:t>
      </w:r>
      <w:r>
        <w:rPr>
          <w:rFonts w:hint="eastAsia" w:ascii="仿宋" w:hAnsi="仿宋" w:eastAsia="仿宋" w:cs="仿宋"/>
          <w:sz w:val="24"/>
          <w:szCs w:val="24"/>
          <w:highlight w:val="none"/>
          <w:lang w:eastAsia="zh-CN"/>
        </w:rPr>
        <w:t>、维修、维护等作业</w:t>
      </w:r>
      <w:r>
        <w:rPr>
          <w:rFonts w:hint="eastAsia" w:ascii="仿宋" w:hAnsi="仿宋" w:eastAsia="仿宋" w:cs="仿宋"/>
          <w:sz w:val="24"/>
          <w:szCs w:val="24"/>
          <w:highlight w:val="none"/>
        </w:rPr>
        <w:t>过程中需做好防护、围挡、警示工作。</w:t>
      </w:r>
    </w:p>
    <w:p>
      <w:pPr>
        <w:spacing w:line="288" w:lineRule="auto"/>
        <w:ind w:firstLine="42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重大活动保障要求现场值班保障，要求乙方在保障期间有专人现场巡查，并保证景观设施正常亮灯，如重大活动及节假日期间，乙方须做好应急保障措施，安排人员</w:t>
      </w:r>
      <w:r>
        <w:rPr>
          <w:rFonts w:ascii="仿宋" w:hAnsi="仿宋" w:eastAsia="仿宋" w:cs="仿宋"/>
          <w:sz w:val="24"/>
          <w:szCs w:val="24"/>
          <w:highlight w:val="none"/>
        </w:rPr>
        <w:t>24</w:t>
      </w:r>
      <w:r>
        <w:rPr>
          <w:rFonts w:hint="eastAsia" w:ascii="仿宋" w:hAnsi="仿宋" w:eastAsia="仿宋" w:cs="仿宋"/>
          <w:sz w:val="24"/>
          <w:szCs w:val="24"/>
          <w:highlight w:val="none"/>
        </w:rPr>
        <w:t>小时值班，准备总维护量</w:t>
      </w:r>
      <w:r>
        <w:rPr>
          <w:rFonts w:ascii="仿宋" w:hAnsi="仿宋" w:eastAsia="仿宋" w:cs="仿宋"/>
          <w:sz w:val="24"/>
          <w:szCs w:val="24"/>
          <w:highlight w:val="none"/>
        </w:rPr>
        <w:t>5%</w:t>
      </w:r>
      <w:r>
        <w:rPr>
          <w:rFonts w:hint="eastAsia" w:ascii="仿宋" w:hAnsi="仿宋" w:eastAsia="仿宋" w:cs="仿宋"/>
          <w:sz w:val="24"/>
          <w:szCs w:val="24"/>
          <w:highlight w:val="none"/>
        </w:rPr>
        <w:t>的数额备货。</w:t>
      </w:r>
    </w:p>
    <w:p>
      <w:pPr>
        <w:spacing w:line="288" w:lineRule="auto"/>
        <w:ind w:firstLine="4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项目中质保期内灯具及相关附属设施的养护标准与其他灯具、设施一致。</w:t>
      </w:r>
      <w:r>
        <w:rPr>
          <w:rFonts w:hint="eastAsia" w:ascii="仿宋" w:hAnsi="仿宋" w:eastAsia="仿宋" w:cs="仿宋"/>
          <w:sz w:val="24"/>
          <w:szCs w:val="24"/>
          <w:highlight w:val="none"/>
          <w:lang w:eastAsia="zh-CN"/>
        </w:rPr>
        <w:t>质保期内项目的维护费不再另行支付。</w:t>
      </w:r>
    </w:p>
    <w:p>
      <w:pPr>
        <w:spacing w:line="288" w:lineRule="auto"/>
        <w:ind w:firstLine="42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养护到期后，乙方须与新的养护单位做好工作交接；若养护到期，但单个项目未通过移交，</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仍有权按考核办法在合同期外对乙方实施监管考核及代整治工作，相关费用从养护尾款中扣除。</w:t>
      </w:r>
    </w:p>
    <w:p>
      <w:pPr>
        <w:spacing w:line="288" w:lineRule="auto"/>
        <w:ind w:firstLine="420"/>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乙方</w:t>
      </w:r>
      <w:r>
        <w:rPr>
          <w:rFonts w:hint="eastAsia" w:ascii="仿宋" w:hAnsi="仿宋" w:eastAsia="仿宋" w:cs="仿宋"/>
          <w:sz w:val="24"/>
          <w:szCs w:val="24"/>
          <w:highlight w:val="none"/>
          <w:lang w:eastAsia="zh-CN"/>
        </w:rPr>
        <w:t>移交完成后（包括单个项目）即进入养护期，但最终确定的养护时间以甲方认定为准，</w:t>
      </w:r>
      <w:r>
        <w:rPr>
          <w:rFonts w:hint="eastAsia" w:ascii="仿宋" w:hAnsi="仿宋" w:eastAsia="仿宋" w:cs="仿宋"/>
          <w:sz w:val="24"/>
          <w:szCs w:val="24"/>
          <w:highlight w:val="none"/>
        </w:rPr>
        <w:t>因改建等原因单个子项目需停止养护的则费用相应扣除。</w:t>
      </w:r>
    </w:p>
    <w:p>
      <w:pPr>
        <w:spacing w:line="288"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29</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养护项目中标后不得转包、分包，包括人员、车辆、高空作业等内容，</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有权对乙方与养护项目相关的所有内容进行核实，一经发现有与采购要求不符的，乙方应立即按</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要求限期进行整改；若未按要求整改到位的，</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有权终止合同，并上报区采购监管部门。</w:t>
      </w:r>
    </w:p>
    <w:p>
      <w:pPr>
        <w:spacing w:line="288" w:lineRule="auto"/>
        <w:ind w:firstLine="42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30.乙方在养护期内对所有项目进行一次配电箱接地电阻专项检测、三相平衡专项检测及电缆绝缘专项检测。</w:t>
      </w:r>
    </w:p>
    <w:p>
      <w:pPr>
        <w:spacing w:line="288"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31</w:t>
      </w:r>
      <w:r>
        <w:rPr>
          <w:rFonts w:hint="eastAsia" w:ascii="仿宋" w:hAnsi="仿宋" w:eastAsia="仿宋" w:cs="仿宋"/>
          <w:sz w:val="24"/>
          <w:szCs w:val="24"/>
          <w:highlight w:val="none"/>
        </w:rPr>
        <w:t>本合同终止时，须向</w:t>
      </w:r>
      <w:r>
        <w:rPr>
          <w:rFonts w:hint="eastAsia" w:ascii="仿宋" w:hAnsi="仿宋" w:eastAsia="仿宋" w:cs="仿宋"/>
          <w:sz w:val="24"/>
          <w:szCs w:val="24"/>
          <w:highlight w:val="none"/>
          <w:lang w:eastAsia="zh-CN"/>
        </w:rPr>
        <w:t>甲方</w:t>
      </w:r>
      <w:r>
        <w:rPr>
          <w:rFonts w:hint="eastAsia" w:ascii="仿宋" w:hAnsi="仿宋" w:eastAsia="仿宋" w:cs="仿宋"/>
          <w:sz w:val="24"/>
          <w:szCs w:val="24"/>
          <w:highlight w:val="none"/>
        </w:rPr>
        <w:t>移交全部档案资料。</w:t>
      </w:r>
    </w:p>
    <w:p>
      <w:pPr>
        <w:pStyle w:val="2"/>
        <w:numPr>
          <w:ilvl w:val="0"/>
          <w:numId w:val="0"/>
        </w:numPr>
        <w:tabs>
          <w:tab w:val="left" w:pos="706"/>
          <w:tab w:val="clear" w:pos="432"/>
        </w:tabs>
        <w:snapToGrid w:val="0"/>
        <w:ind w:firstLine="482" w:firstLineChars="200"/>
        <w:rPr>
          <w:rFonts w:hint="eastAsia" w:ascii="仿宋" w:hAnsi="仿宋" w:eastAsia="仿宋" w:cs="仿宋"/>
          <w:b/>
          <w:bCs w:val="0"/>
          <w:kern w:val="2"/>
          <w:sz w:val="24"/>
          <w:szCs w:val="24"/>
          <w:highlight w:val="none"/>
          <w:lang w:val="en-US" w:eastAsia="zh-CN" w:bidi="ar-SA"/>
        </w:rPr>
      </w:pPr>
      <w:r>
        <w:rPr>
          <w:rFonts w:hint="eastAsia" w:ascii="仿宋" w:eastAsia="仿宋" w:cs="仿宋"/>
          <w:b/>
          <w:bCs w:val="0"/>
          <w:kern w:val="2"/>
          <w:sz w:val="24"/>
          <w:szCs w:val="24"/>
          <w:highlight w:val="none"/>
          <w:lang w:val="en-US" w:eastAsia="zh-CN" w:bidi="ar-SA"/>
        </w:rPr>
        <w:t xml:space="preserve">第七条 </w:t>
      </w:r>
      <w:r>
        <w:rPr>
          <w:rFonts w:hint="eastAsia" w:ascii="仿宋" w:hAnsi="仿宋" w:eastAsia="仿宋" w:cs="仿宋"/>
          <w:b/>
          <w:bCs w:val="0"/>
          <w:kern w:val="2"/>
          <w:sz w:val="24"/>
          <w:szCs w:val="24"/>
          <w:highlight w:val="none"/>
          <w:lang w:val="en-US" w:eastAsia="zh-CN" w:bidi="ar-SA"/>
        </w:rPr>
        <w:t>其他要求</w:t>
      </w:r>
      <w:r>
        <w:rPr>
          <w:rFonts w:hint="eastAsia" w:ascii="仿宋" w:eastAsia="仿宋" w:cs="仿宋"/>
          <w:b/>
          <w:bCs w:val="0"/>
          <w:kern w:val="2"/>
          <w:sz w:val="24"/>
          <w:szCs w:val="24"/>
          <w:highlight w:val="none"/>
          <w:lang w:val="en-US" w:eastAsia="zh-CN" w:bidi="ar-SA"/>
        </w:rPr>
        <w:t>及规定</w:t>
      </w:r>
    </w:p>
    <w:p>
      <w:pPr>
        <w:spacing w:line="288" w:lineRule="auto"/>
        <w:ind w:firstLine="4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1.投入本项目的保障车辆均需按甲方要求自行安装GPS定位系统，并于每月提供设备车辆的轨迹图。</w:t>
      </w:r>
    </w:p>
    <w:p>
      <w:pPr>
        <w:spacing w:line="288" w:lineRule="auto"/>
        <w:ind w:firstLine="4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2.投入本项目的班组成员需能熟练使用手机APP，按甲方要求安装手机定位APP。</w:t>
      </w:r>
    </w:p>
    <w:p>
      <w:pPr>
        <w:spacing w:line="288" w:lineRule="auto"/>
        <w:ind w:firstLine="4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3.投入本项目的保障车辆及项目班组成员，需经甲方备案，并不得在其他项目中使用。</w:t>
      </w:r>
    </w:p>
    <w:p>
      <w:pPr>
        <w:spacing w:line="288" w:lineRule="auto"/>
        <w:ind w:firstLine="4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4.乙方需更换项目班组成员的，须向甲方报备并取得甲方书面同意后进行更换，更换的人员的资历、工作经验、资质等不得低于原班组成员。</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甲方有权要求乙方撤换工作不能胜任或玩忽职守、工作不负责的人员，更换的人员的资历、工作经验、资质等不得低于原班组成员，乙方应当在收到甲方要求更换人员的通知之日起【5】日内更换完毕，并将更换结果通报给甲方。</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以月为时间节点按要求报送各类对城市道路照明的宣传资料，为确保宣传质量，要求乙方在一年养护期内，在省市区各级平台发布宣传报道，具体数量为：各类省级及以上平台1篇（含）以上，市级平台2篇及以上，区级平台5篇及以上。</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以月为时间节点，每月必须有一篇被录用，上述宣传形式可以多样性，比如微信发布、电视台、抖音、报纸等多种形式，当一篇素材在多个平台发布时，只能计取1次，不能重复计算。当某月无宣传资料录用，则扣款1000元；当乙方未完成上述年度总宣传任务，则扣款2万元。</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7.养护作业人员需统一着装，相关费用由乙方自行承担。</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8.配合甲方做好设施量测绘等信息化工作。</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9.乙方在中标后15天内完成与原养护单位的设施量清点及设施移交工作。</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10.本合同终止时，须向甲方移交全部档案资料。</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11.乙方落实场地和人员，做好标项范围内因各种原因引起的淘汰老旧灯具保管工作，期限为合同养护期。此外需做好上一轮合同期间淘汰的老旧灯具接收、保管等工作。</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12.乙方须购买自身员工安全险、火灾险、第三者责任险（保费额度不低于150万元），保单在合同签订之前办理完毕，并作为合同生效的必要条件。</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13.甲方与乙方签定安全生产责任书，养护过程中造成的自身及第三方的安全伤亡事故由乙方全权负责并承担全部费用。</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14.中标公告发布7个工作日内，将人员、车辆、场地等清单交甲方备案。</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15.乙方人均工资不得低于目前杭州市劳动保障部门规定的最低工资标准，落实职工劳保福利待遇和休息休假权利、100%缴纳社会保险费（养老保险、医疗保险、失业保险、工伤保险和生育保险）与住房公积金。</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16.在服务期限内出现下列情形之一的，甲方可以对乙方实施清退并追究相关责任：</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（1）未按要求履行合同或者合同履行与投标承诺不符，无法完成养护任务的；</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（2）年度考核不合格的；</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（3）重大违反国家有关法律法规的；</w:t>
      </w:r>
    </w:p>
    <w:p>
      <w:pPr>
        <w:spacing w:line="288"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（4）发生严重安全事故的（由安全管理部门认定）。</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17.乙方合同签订起6个月内对中标标段内无集控系统项目进行改造安装（标项一无，标项二东方水岚佳苑）。</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18.养护期内承担住宅、历史政府投资商业或办公项目景观亮灯电费，养护期间由乙方及时支付各业主单位，电费支付时间为从上一轮养护单位末次抄表之日起算至本轮养护期末次抄表后止。</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19.新增项目质保期内的巡查、抄表及督促维修等工作（维修由质保期内项目施工单位负责）由乙方负责。</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20.项目中标后6个月内对中标标段中部分老旧项目进行提升改造，其中标项一提升改造项目费用约30万元，标项二提升改造费用约72万元。</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21.文泽广场（东广场、西广场）音乐喷泉、金沙大道与海达南路交叉口东北角及东南角共4个喷泉养护工作，并同步承担养护期时间内的喷泉水费。（此内容为标项二）</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22.结合实际情况，乙方做好各自标段内雕塑亮灯、雕塑、亮灯小品等养护工作，经初步统计，标段一雕塑共有2个，亮灯小品1个；标段二雕塑共有2个，亮灯小品4个；最终以现场实际为准。</w:t>
      </w:r>
    </w:p>
    <w:p>
      <w:pPr>
        <w:spacing w:line="288"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23.乙方根据实际需要处置各自管辖范围内的照明设施投诉案件（增亮、微改造），原则上每年不超过3件，预算价每件不超过5万元，</w:t>
      </w:r>
      <w:r>
        <w:rPr>
          <w:rFonts w:hint="eastAsia" w:ascii="仿宋" w:hAnsi="仿宋" w:eastAsia="仿宋" w:cs="仿宋"/>
          <w:sz w:val="24"/>
          <w:szCs w:val="24"/>
          <w:highlight w:val="none"/>
          <w:lang w:val="zh-CN" w:eastAsia="zh-CN"/>
        </w:rPr>
        <w:t>该费用由</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lang w:val="zh-CN" w:eastAsia="zh-CN"/>
        </w:rPr>
        <w:t>承担，甲方不再另行支付</w:t>
      </w:r>
      <w:r>
        <w:rPr>
          <w:rFonts w:hint="eastAsia" w:ascii="仿宋" w:hAnsi="仿宋" w:eastAsia="仿宋" w:cs="仿宋"/>
          <w:sz w:val="24"/>
          <w:szCs w:val="24"/>
          <w:highlight w:val="none"/>
          <w:lang w:val="en-US" w:eastAsia="zh-CN"/>
        </w:rPr>
        <w:t>；若无此类投诉案件，</w:t>
      </w:r>
      <w:r>
        <w:rPr>
          <w:rFonts w:hint="eastAsia" w:ascii="仿宋" w:hAnsi="仿宋" w:eastAsia="仿宋" w:cs="仿宋"/>
          <w:sz w:val="24"/>
          <w:szCs w:val="24"/>
          <w:highlight w:val="none"/>
          <w:lang w:val="zh-CN" w:eastAsia="zh-CN"/>
        </w:rPr>
        <w:t>年度养护费不予扣减该费用</w:t>
      </w:r>
      <w:r>
        <w:rPr>
          <w:rFonts w:hint="eastAsia" w:ascii="仿宋" w:hAnsi="仿宋" w:eastAsia="仿宋" w:cs="仿宋"/>
          <w:sz w:val="24"/>
          <w:szCs w:val="24"/>
          <w:highlight w:val="none"/>
          <w:lang w:val="en-US" w:eastAsia="zh-CN"/>
        </w:rPr>
        <w:t>;</w:t>
      </w:r>
    </w:p>
    <w:p>
      <w:pPr>
        <w:spacing w:line="288"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24.合同期间，根据相关要求，乙方完成一个各自标段内（或两个标段合作实施一个）景观灯光伏试点项目，每个标段预算价不超过10万元，</w:t>
      </w:r>
      <w:r>
        <w:rPr>
          <w:rFonts w:hint="eastAsia" w:ascii="仿宋" w:hAnsi="仿宋" w:eastAsia="仿宋" w:cs="仿宋"/>
          <w:sz w:val="24"/>
          <w:szCs w:val="24"/>
          <w:highlight w:val="none"/>
          <w:lang w:val="zh-CN" w:eastAsia="zh-CN"/>
        </w:rPr>
        <w:t>该费用由</w:t>
      </w:r>
      <w:r>
        <w:rPr>
          <w:rFonts w:hint="eastAsia" w:ascii="仿宋" w:hAnsi="仿宋" w:eastAsia="仿宋" w:cs="仿宋"/>
          <w:sz w:val="24"/>
          <w:szCs w:val="24"/>
          <w:highlight w:val="none"/>
          <w:lang w:val="en-US" w:eastAsia="zh-CN"/>
        </w:rPr>
        <w:t>乙方</w:t>
      </w:r>
      <w:r>
        <w:rPr>
          <w:rFonts w:hint="eastAsia" w:ascii="仿宋" w:hAnsi="仿宋" w:eastAsia="仿宋" w:cs="仿宋"/>
          <w:sz w:val="24"/>
          <w:szCs w:val="24"/>
          <w:highlight w:val="none"/>
          <w:lang w:val="zh-CN" w:eastAsia="zh-CN"/>
        </w:rPr>
        <w:t>承担，采购人不再另行支付</w:t>
      </w:r>
      <w:r>
        <w:rPr>
          <w:rFonts w:hint="eastAsia" w:ascii="仿宋" w:hAnsi="仿宋" w:eastAsia="仿宋" w:cs="仿宋"/>
          <w:sz w:val="24"/>
          <w:szCs w:val="24"/>
          <w:highlight w:val="none"/>
          <w:lang w:val="en-US" w:eastAsia="zh-CN"/>
        </w:rPr>
        <w:t>；若无此类要求，则无需实施此项目，</w:t>
      </w:r>
      <w:r>
        <w:rPr>
          <w:rFonts w:hint="eastAsia" w:ascii="仿宋" w:hAnsi="仿宋" w:eastAsia="仿宋" w:cs="仿宋"/>
          <w:sz w:val="24"/>
          <w:szCs w:val="24"/>
          <w:highlight w:val="none"/>
          <w:lang w:val="zh-CN" w:eastAsia="zh-CN"/>
        </w:rPr>
        <w:t>年度养护费不予扣减该费用</w:t>
      </w:r>
      <w:r>
        <w:rPr>
          <w:rFonts w:hint="eastAsia" w:ascii="仿宋" w:hAnsi="仿宋" w:eastAsia="仿宋" w:cs="仿宋"/>
          <w:sz w:val="24"/>
          <w:szCs w:val="24"/>
          <w:highlight w:val="none"/>
          <w:lang w:val="en-US" w:eastAsia="zh-CN"/>
        </w:rPr>
        <w:t>。</w:t>
      </w:r>
    </w:p>
    <w:p>
      <w:pPr>
        <w:tabs>
          <w:tab w:val="left" w:pos="2472"/>
        </w:tabs>
        <w:spacing w:line="288" w:lineRule="auto"/>
        <w:ind w:firstLine="482" w:firstLineChars="200"/>
        <w:jc w:val="left"/>
        <w:rPr>
          <w:rFonts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第八条</w:t>
      </w:r>
      <w:r>
        <w:rPr>
          <w:rFonts w:ascii="仿宋" w:hAnsi="仿宋" w:eastAsia="仿宋" w:cs="仿宋"/>
          <w:b/>
          <w:bCs/>
          <w:snapToGrid w:val="0"/>
          <w:sz w:val="24"/>
          <w:szCs w:val="24"/>
          <w:highlight w:val="none"/>
        </w:rPr>
        <w:t xml:space="preserve"> </w:t>
      </w:r>
      <w:r>
        <w:rPr>
          <w:rFonts w:hint="eastAsia" w:ascii="仿宋" w:hAnsi="仿宋" w:eastAsia="仿宋" w:cs="仿宋"/>
          <w:b/>
          <w:bCs/>
          <w:snapToGrid w:val="0"/>
          <w:sz w:val="24"/>
          <w:szCs w:val="24"/>
          <w:highlight w:val="none"/>
        </w:rPr>
        <w:t>违约责任</w:t>
      </w:r>
    </w:p>
    <w:p>
      <w:pPr>
        <w:tabs>
          <w:tab w:val="left" w:pos="2472"/>
        </w:tabs>
        <w:spacing w:line="288" w:lineRule="auto"/>
        <w:ind w:firstLine="480" w:firstLineChars="200"/>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lang w:eastAsia="zh-CN"/>
        </w:rPr>
        <w:t>按照钱塘区相关规定及考核办法进行处理。</w:t>
      </w:r>
    </w:p>
    <w:p>
      <w:pPr>
        <w:tabs>
          <w:tab w:val="left" w:pos="2472"/>
        </w:tabs>
        <w:spacing w:line="288" w:lineRule="auto"/>
        <w:ind w:firstLine="480" w:firstLineChars="200"/>
        <w:jc w:val="left"/>
        <w:rPr>
          <w:rFonts w:ascii="仿宋" w:hAnsi="仿宋" w:eastAsia="仿宋" w:cs="仿宋"/>
          <w:snapToGrid w:val="0"/>
          <w:sz w:val="24"/>
          <w:szCs w:val="24"/>
          <w:highlight w:val="none"/>
        </w:rPr>
      </w:pPr>
      <w:r>
        <w:rPr>
          <w:rFonts w:hint="eastAsia" w:ascii="仿宋" w:hAnsi="仿宋" w:eastAsia="仿宋" w:cs="仿宋"/>
          <w:snapToGrid w:val="0"/>
          <w:sz w:val="24"/>
          <w:szCs w:val="24"/>
          <w:highlight w:val="none"/>
        </w:rPr>
        <w:t>其他违约责任按《中华人民共和国民法典》处理。</w:t>
      </w:r>
    </w:p>
    <w:p>
      <w:pPr>
        <w:tabs>
          <w:tab w:val="left" w:pos="2472"/>
        </w:tabs>
        <w:spacing w:line="288" w:lineRule="auto"/>
        <w:ind w:firstLine="482" w:firstLineChars="200"/>
        <w:jc w:val="left"/>
        <w:rPr>
          <w:rFonts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第九条</w:t>
      </w:r>
      <w:r>
        <w:rPr>
          <w:rFonts w:ascii="仿宋" w:hAnsi="仿宋" w:eastAsia="仿宋" w:cs="仿宋"/>
          <w:b/>
          <w:bCs/>
          <w:snapToGrid w:val="0"/>
          <w:sz w:val="24"/>
          <w:szCs w:val="24"/>
          <w:highlight w:val="none"/>
        </w:rPr>
        <w:t xml:space="preserve"> </w:t>
      </w:r>
      <w:r>
        <w:rPr>
          <w:rFonts w:hint="eastAsia" w:ascii="仿宋" w:hAnsi="仿宋" w:eastAsia="仿宋" w:cs="仿宋"/>
          <w:b/>
          <w:bCs/>
          <w:snapToGrid w:val="0"/>
          <w:sz w:val="24"/>
          <w:szCs w:val="24"/>
          <w:highlight w:val="none"/>
        </w:rPr>
        <w:t>知识产权归属</w:t>
      </w:r>
    </w:p>
    <w:p>
      <w:pPr>
        <w:tabs>
          <w:tab w:val="left" w:pos="2472"/>
        </w:tabs>
        <w:spacing w:line="288" w:lineRule="auto"/>
        <w:ind w:firstLine="480" w:firstLineChars="200"/>
        <w:jc w:val="left"/>
        <w:rPr>
          <w:rFonts w:ascii="仿宋" w:hAnsi="仿宋" w:eastAsia="仿宋" w:cs="仿宋"/>
          <w:snapToGrid w:val="0"/>
          <w:sz w:val="24"/>
          <w:szCs w:val="24"/>
          <w:highlight w:val="none"/>
        </w:rPr>
      </w:pPr>
      <w:r>
        <w:rPr>
          <w:rFonts w:hint="eastAsia" w:ascii="仿宋" w:hAnsi="仿宋" w:eastAsia="仿宋" w:cs="仿宋"/>
          <w:snapToGrid w:val="0"/>
          <w:sz w:val="24"/>
          <w:szCs w:val="24"/>
          <w:highlight w:val="none"/>
        </w:rPr>
        <w:t>无</w:t>
      </w:r>
    </w:p>
    <w:p>
      <w:pPr>
        <w:tabs>
          <w:tab w:val="left" w:pos="2472"/>
        </w:tabs>
        <w:spacing w:line="288" w:lineRule="auto"/>
        <w:ind w:firstLine="482" w:firstLineChars="200"/>
        <w:jc w:val="left"/>
        <w:rPr>
          <w:rFonts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第十条</w:t>
      </w:r>
      <w:r>
        <w:rPr>
          <w:rFonts w:ascii="仿宋" w:hAnsi="仿宋" w:eastAsia="仿宋" w:cs="仿宋"/>
          <w:b/>
          <w:bCs/>
          <w:snapToGrid w:val="0"/>
          <w:sz w:val="24"/>
          <w:szCs w:val="24"/>
          <w:highlight w:val="none"/>
        </w:rPr>
        <w:t xml:space="preserve"> </w:t>
      </w:r>
      <w:r>
        <w:rPr>
          <w:rFonts w:hint="eastAsia" w:ascii="仿宋" w:hAnsi="仿宋" w:eastAsia="仿宋" w:cs="仿宋"/>
          <w:b/>
          <w:bCs/>
          <w:snapToGrid w:val="0"/>
          <w:sz w:val="24"/>
          <w:szCs w:val="24"/>
          <w:highlight w:val="none"/>
        </w:rPr>
        <w:t>保密条款</w:t>
      </w:r>
    </w:p>
    <w:p>
      <w:pPr>
        <w:tabs>
          <w:tab w:val="left" w:pos="2472"/>
        </w:tabs>
        <w:spacing w:line="288" w:lineRule="auto"/>
        <w:ind w:firstLine="480" w:firstLineChars="200"/>
        <w:jc w:val="left"/>
        <w:rPr>
          <w:rFonts w:ascii="仿宋" w:hAnsi="仿宋" w:eastAsia="仿宋" w:cs="仿宋"/>
          <w:snapToGrid w:val="0"/>
          <w:sz w:val="24"/>
          <w:szCs w:val="24"/>
          <w:highlight w:val="none"/>
        </w:rPr>
      </w:pPr>
      <w:r>
        <w:rPr>
          <w:rFonts w:ascii="仿宋" w:hAnsi="仿宋" w:eastAsia="仿宋" w:cs="仿宋"/>
          <w:snapToGrid w:val="0"/>
          <w:sz w:val="24"/>
          <w:szCs w:val="24"/>
          <w:highlight w:val="none"/>
        </w:rPr>
        <w:t>1</w:t>
      </w:r>
      <w:r>
        <w:rPr>
          <w:rFonts w:hint="eastAsia" w:ascii="仿宋" w:hAnsi="仿宋" w:eastAsia="仿宋" w:cs="仿宋"/>
          <w:snapToGrid w:val="0"/>
          <w:sz w:val="24"/>
          <w:szCs w:val="24"/>
          <w:highlight w:val="none"/>
        </w:rPr>
        <w:t>、乙方应遵守国家有关保密的法律法规和行业规定，并对甲方提供的资料负有保密义务。未经甲方同意，不得将承接政府公共服务项目获得的政府、公民个人等各种信息和资料提供给其他单位和个人或用于本合同以外的</w:t>
      </w:r>
      <w:r>
        <w:rPr>
          <w:rFonts w:hint="eastAsia" w:ascii="仿宋" w:hAnsi="仿宋" w:eastAsia="仿宋" w:cs="仿宋"/>
          <w:snapToGrid w:val="0"/>
          <w:sz w:val="24"/>
          <w:szCs w:val="24"/>
          <w:highlight w:val="none"/>
          <w:lang w:val="en-US" w:eastAsia="zh-CN"/>
        </w:rPr>
        <w:t>用途</w:t>
      </w:r>
      <w:r>
        <w:rPr>
          <w:rFonts w:hint="eastAsia" w:ascii="仿宋" w:hAnsi="仿宋" w:eastAsia="仿宋" w:cs="仿宋"/>
          <w:snapToGrid w:val="0"/>
          <w:sz w:val="24"/>
          <w:szCs w:val="24"/>
          <w:highlight w:val="none"/>
        </w:rPr>
        <w:t>。如发生以上情况，甲方有权索赔。</w:t>
      </w:r>
    </w:p>
    <w:p>
      <w:pPr>
        <w:tabs>
          <w:tab w:val="left" w:pos="2472"/>
        </w:tabs>
        <w:spacing w:line="288" w:lineRule="auto"/>
        <w:ind w:firstLine="480" w:firstLineChars="200"/>
        <w:jc w:val="left"/>
        <w:rPr>
          <w:rFonts w:hint="eastAsia" w:ascii="仿宋" w:hAnsi="仿宋" w:eastAsia="仿宋" w:cs="仿宋"/>
          <w:snapToGrid w:val="0"/>
          <w:sz w:val="24"/>
          <w:szCs w:val="24"/>
          <w:highlight w:val="none"/>
        </w:rPr>
      </w:pPr>
      <w:r>
        <w:rPr>
          <w:rFonts w:ascii="仿宋" w:hAnsi="仿宋" w:eastAsia="仿宋" w:cs="仿宋"/>
          <w:snapToGrid w:val="0"/>
          <w:sz w:val="24"/>
          <w:szCs w:val="24"/>
          <w:highlight w:val="none"/>
        </w:rPr>
        <w:t>2</w:t>
      </w:r>
      <w:r>
        <w:rPr>
          <w:rFonts w:hint="eastAsia" w:ascii="仿宋" w:hAnsi="仿宋" w:eastAsia="仿宋" w:cs="仿宋"/>
          <w:snapToGrid w:val="0"/>
          <w:sz w:val="24"/>
          <w:szCs w:val="24"/>
          <w:highlight w:val="none"/>
        </w:rPr>
        <w:t>、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pPr>
        <w:tabs>
          <w:tab w:val="left" w:pos="2472"/>
        </w:tabs>
        <w:spacing w:line="288" w:lineRule="auto"/>
        <w:ind w:firstLine="480" w:firstLineChars="200"/>
        <w:jc w:val="left"/>
        <w:rPr>
          <w:rFonts w:hint="default" w:ascii="仿宋" w:hAnsi="仿宋" w:eastAsia="仿宋" w:cs="仿宋"/>
          <w:bCs w:val="0"/>
          <w:snapToGrid w:val="0"/>
          <w:sz w:val="24"/>
          <w:highlight w:val="none"/>
          <w:lang w:val="en-US" w:eastAsia="zh-CN"/>
        </w:rPr>
      </w:pPr>
      <w:r>
        <w:rPr>
          <w:rFonts w:hint="default" w:ascii="仿宋" w:hAnsi="仿宋" w:eastAsia="仿宋" w:cs="仿宋"/>
          <w:snapToGrid w:val="0"/>
          <w:sz w:val="24"/>
          <w:szCs w:val="24"/>
          <w:highlight w:val="none"/>
          <w:lang w:val="en-US" w:eastAsia="zh-CN"/>
        </w:rPr>
        <w:t>3.</w:t>
      </w:r>
      <w:r>
        <w:rPr>
          <w:rFonts w:hint="default" w:ascii="仿宋" w:hAnsi="仿宋" w:eastAsia="仿宋" w:cs="仿宋"/>
          <w:bCs w:val="0"/>
          <w:snapToGrid w:val="0"/>
          <w:sz w:val="24"/>
          <w:highlight w:val="none"/>
          <w:lang w:val="en-US" w:eastAsia="zh-CN"/>
        </w:rPr>
        <w:t>因乙方原因导致</w:t>
      </w:r>
      <w:r>
        <w:rPr>
          <w:rFonts w:hint="default" w:ascii="仿宋" w:hAnsi="仿宋" w:eastAsia="仿宋" w:cs="仿宋"/>
          <w:bCs w:val="0"/>
          <w:snapToGrid w:val="0"/>
          <w:sz w:val="24"/>
          <w:highlight w:val="none"/>
        </w:rPr>
        <w:t>本合同的内容、因履行本合同或在本合同期间接触或知悉的甲方保密信息</w:t>
      </w:r>
      <w:r>
        <w:rPr>
          <w:rFonts w:hint="default" w:ascii="仿宋" w:hAnsi="仿宋" w:eastAsia="仿宋" w:cs="仿宋"/>
          <w:bCs w:val="0"/>
          <w:snapToGrid w:val="0"/>
          <w:sz w:val="24"/>
          <w:highlight w:val="none"/>
          <w:lang w:val="en-US" w:eastAsia="zh-CN"/>
        </w:rPr>
        <w:t>等保密资料未经甲方许可泄露的，甲方有权要求乙方承担【</w:t>
      </w:r>
      <w:r>
        <w:rPr>
          <w:rFonts w:hint="eastAsia" w:ascii="仿宋" w:hAnsi="仿宋" w:eastAsia="仿宋" w:cs="仿宋"/>
          <w:bCs w:val="0"/>
          <w:snapToGrid w:val="0"/>
          <w:sz w:val="24"/>
          <w:highlight w:val="none"/>
          <w:lang w:val="en-US" w:eastAsia="zh-CN"/>
        </w:rPr>
        <w:t>10000</w:t>
      </w:r>
      <w:r>
        <w:rPr>
          <w:rFonts w:hint="default" w:ascii="仿宋" w:hAnsi="仿宋" w:eastAsia="仿宋" w:cs="仿宋"/>
          <w:bCs w:val="0"/>
          <w:snapToGrid w:val="0"/>
          <w:sz w:val="24"/>
          <w:highlight w:val="none"/>
          <w:lang w:val="en-US" w:eastAsia="zh-CN"/>
        </w:rPr>
        <w:t>】元违约金，造成甲方损失的，还应当承担全部损失。</w:t>
      </w:r>
    </w:p>
    <w:p>
      <w:pPr>
        <w:tabs>
          <w:tab w:val="left" w:pos="2472"/>
        </w:tabs>
        <w:spacing w:line="288" w:lineRule="auto"/>
        <w:ind w:firstLine="480" w:firstLineChars="200"/>
        <w:jc w:val="left"/>
        <w:rPr>
          <w:rFonts w:hint="default" w:ascii="仿宋" w:hAnsi="仿宋" w:eastAsia="仿宋" w:cs="仿宋"/>
          <w:snapToGrid w:val="0"/>
          <w:sz w:val="24"/>
          <w:highlight w:val="none"/>
          <w:lang w:val="en-US" w:eastAsia="zh-CN"/>
        </w:rPr>
      </w:pPr>
      <w:r>
        <w:rPr>
          <w:rFonts w:hint="default" w:ascii="仿宋" w:hAnsi="仿宋" w:eastAsia="仿宋" w:cs="仿宋"/>
          <w:bCs w:val="0"/>
          <w:snapToGrid w:val="0"/>
          <w:sz w:val="24"/>
          <w:highlight w:val="none"/>
          <w:lang w:val="en-US" w:eastAsia="zh-CN"/>
        </w:rPr>
        <w:t>4.本</w:t>
      </w:r>
      <w:r>
        <w:rPr>
          <w:rFonts w:hint="default" w:ascii="仿宋" w:hAnsi="仿宋" w:eastAsia="仿宋" w:cs="仿宋"/>
          <w:bCs w:val="0"/>
          <w:snapToGrid w:val="0"/>
          <w:sz w:val="24"/>
          <w:highlight w:val="none"/>
        </w:rPr>
        <w:t>条</w:t>
      </w:r>
      <w:r>
        <w:rPr>
          <w:rFonts w:hint="eastAsia" w:ascii="仿宋" w:hAnsi="仿宋" w:eastAsia="仿宋" w:cs="仿宋"/>
          <w:bCs w:val="0"/>
          <w:snapToGrid w:val="0"/>
          <w:sz w:val="24"/>
          <w:highlight w:val="none"/>
          <w:lang w:val="en-US" w:eastAsia="zh-CN"/>
        </w:rPr>
        <w:t>约</w:t>
      </w:r>
      <w:r>
        <w:rPr>
          <w:rFonts w:hint="default" w:ascii="仿宋" w:hAnsi="仿宋" w:eastAsia="仿宋" w:cs="仿宋"/>
          <w:bCs w:val="0"/>
          <w:snapToGrid w:val="0"/>
          <w:sz w:val="24"/>
          <w:highlight w:val="none"/>
        </w:rPr>
        <w:t>定自本合同生效之日起即应履行，长期有效，并且不受本合同届满、提前终止或本合同中其他条款的无效或履行完毕等情形的影响</w:t>
      </w:r>
      <w:r>
        <w:rPr>
          <w:rFonts w:hint="default" w:ascii="仿宋" w:hAnsi="仿宋" w:eastAsia="仿宋" w:cs="仿宋"/>
          <w:snapToGrid w:val="0"/>
          <w:sz w:val="24"/>
          <w:szCs w:val="24"/>
          <w:highlight w:val="none"/>
          <w:lang w:val="en-US" w:eastAsia="zh-CN"/>
        </w:rPr>
        <w:t>。</w:t>
      </w:r>
    </w:p>
    <w:p>
      <w:pPr>
        <w:tabs>
          <w:tab w:val="left" w:pos="2472"/>
        </w:tabs>
        <w:spacing w:line="288" w:lineRule="auto"/>
        <w:ind w:firstLine="482" w:firstLineChars="200"/>
        <w:jc w:val="left"/>
        <w:rPr>
          <w:rFonts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第十一条</w:t>
      </w:r>
      <w:r>
        <w:rPr>
          <w:rFonts w:ascii="仿宋" w:hAnsi="仿宋" w:eastAsia="仿宋" w:cs="仿宋"/>
          <w:b/>
          <w:bCs/>
          <w:snapToGrid w:val="0"/>
          <w:sz w:val="24"/>
          <w:szCs w:val="24"/>
          <w:highlight w:val="none"/>
        </w:rPr>
        <w:t xml:space="preserve"> </w:t>
      </w:r>
      <w:r>
        <w:rPr>
          <w:rFonts w:hint="eastAsia" w:ascii="仿宋" w:hAnsi="仿宋" w:eastAsia="仿宋" w:cs="仿宋"/>
          <w:b/>
          <w:bCs/>
          <w:snapToGrid w:val="0"/>
          <w:sz w:val="24"/>
          <w:szCs w:val="24"/>
          <w:highlight w:val="none"/>
        </w:rPr>
        <w:t>争议的解决</w:t>
      </w:r>
    </w:p>
    <w:p>
      <w:pPr>
        <w:tabs>
          <w:tab w:val="left" w:pos="2472"/>
        </w:tabs>
        <w:spacing w:line="288" w:lineRule="auto"/>
        <w:ind w:firstLine="480" w:firstLineChars="200"/>
        <w:jc w:val="left"/>
        <w:rPr>
          <w:rFonts w:hint="eastAsia" w:ascii="仿宋" w:hAnsi="仿宋" w:eastAsia="仿宋" w:cs="仿宋"/>
          <w:snapToGrid w:val="0"/>
          <w:sz w:val="24"/>
          <w:szCs w:val="24"/>
          <w:highlight w:val="none"/>
          <w:lang w:eastAsia="zh-CN"/>
        </w:rPr>
      </w:pPr>
      <w:r>
        <w:rPr>
          <w:rFonts w:hint="eastAsia" w:ascii="仿宋" w:hAnsi="仿宋" w:eastAsia="仿宋" w:cs="仿宋"/>
          <w:snapToGrid w:val="0"/>
          <w:sz w:val="24"/>
          <w:szCs w:val="24"/>
          <w:highlight w:val="none"/>
        </w:rPr>
        <w:t>本合同在履行过程中发生的任何争议，如双方不能通过友好协商解决，通过甲方所在地有管辖权的人民法院诉讼处理。</w:t>
      </w:r>
      <w:r>
        <w:rPr>
          <w:rFonts w:hint="eastAsia" w:ascii="仿宋" w:hAnsi="仿宋" w:eastAsia="仿宋" w:cs="仿宋"/>
          <w:snapToGrid w:val="0"/>
          <w:sz w:val="24"/>
          <w:highlight w:val="none"/>
        </w:rPr>
        <w:t>败诉方应承担另一方因主张权利而实际支出的律师费、诉讼费、财产保全费、保全担保费</w:t>
      </w:r>
      <w:r>
        <w:rPr>
          <w:rFonts w:hint="eastAsia" w:ascii="仿宋" w:hAnsi="仿宋" w:eastAsia="仿宋" w:cs="仿宋"/>
          <w:snapToGrid w:val="0"/>
          <w:sz w:val="24"/>
          <w:highlight w:val="none"/>
          <w:lang w:eastAsia="zh-CN"/>
        </w:rPr>
        <w:t>、</w:t>
      </w:r>
      <w:r>
        <w:rPr>
          <w:rFonts w:hint="eastAsia" w:ascii="仿宋" w:hAnsi="仿宋" w:eastAsia="仿宋" w:cs="仿宋"/>
          <w:snapToGrid w:val="0"/>
          <w:sz w:val="24"/>
          <w:highlight w:val="none"/>
          <w:lang w:val="en-US" w:eastAsia="zh-CN"/>
        </w:rPr>
        <w:t>执行费</w:t>
      </w:r>
      <w:r>
        <w:rPr>
          <w:rFonts w:hint="eastAsia" w:ascii="仿宋" w:hAnsi="仿宋" w:eastAsia="仿宋" w:cs="仿宋"/>
          <w:snapToGrid w:val="0"/>
          <w:sz w:val="24"/>
          <w:highlight w:val="none"/>
        </w:rPr>
        <w:t>等全部费用</w:t>
      </w:r>
      <w:r>
        <w:rPr>
          <w:rFonts w:hint="eastAsia" w:ascii="仿宋" w:hAnsi="仿宋" w:eastAsia="仿宋" w:cs="仿宋"/>
          <w:snapToGrid w:val="0"/>
          <w:sz w:val="24"/>
          <w:highlight w:val="none"/>
          <w:lang w:eastAsia="zh-CN"/>
        </w:rPr>
        <w:t>。</w:t>
      </w:r>
    </w:p>
    <w:p>
      <w:pPr>
        <w:tabs>
          <w:tab w:val="left" w:pos="2472"/>
        </w:tabs>
        <w:spacing w:line="288" w:lineRule="auto"/>
        <w:ind w:firstLine="482" w:firstLineChars="200"/>
        <w:jc w:val="left"/>
        <w:rPr>
          <w:rFonts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第十二条</w:t>
      </w:r>
      <w:r>
        <w:rPr>
          <w:rFonts w:ascii="仿宋" w:hAnsi="仿宋" w:eastAsia="仿宋" w:cs="仿宋"/>
          <w:b/>
          <w:bCs/>
          <w:snapToGrid w:val="0"/>
          <w:sz w:val="24"/>
          <w:szCs w:val="24"/>
          <w:highlight w:val="none"/>
        </w:rPr>
        <w:t xml:space="preserve"> </w:t>
      </w:r>
      <w:r>
        <w:rPr>
          <w:rFonts w:hint="eastAsia" w:ascii="仿宋" w:hAnsi="仿宋" w:eastAsia="仿宋" w:cs="仿宋"/>
          <w:b/>
          <w:bCs/>
          <w:snapToGrid w:val="0"/>
          <w:sz w:val="24"/>
          <w:szCs w:val="24"/>
          <w:highlight w:val="none"/>
        </w:rPr>
        <w:t>不可抗力</w:t>
      </w:r>
    </w:p>
    <w:p>
      <w:pPr>
        <w:tabs>
          <w:tab w:val="left" w:pos="2472"/>
        </w:tabs>
        <w:spacing w:line="288" w:lineRule="auto"/>
        <w:ind w:firstLine="480" w:firstLineChars="200"/>
        <w:jc w:val="left"/>
        <w:rPr>
          <w:rFonts w:ascii="仿宋" w:hAnsi="仿宋" w:eastAsia="仿宋" w:cs="仿宋"/>
          <w:snapToGrid w:val="0"/>
          <w:sz w:val="24"/>
          <w:szCs w:val="24"/>
          <w:highlight w:val="none"/>
        </w:rPr>
      </w:pPr>
      <w:r>
        <w:rPr>
          <w:rFonts w:hint="eastAsia" w:ascii="仿宋" w:hAnsi="仿宋" w:eastAsia="仿宋" w:cs="仿宋"/>
          <w:snapToGrid w:val="0"/>
          <w:sz w:val="24"/>
          <w:szCs w:val="24"/>
          <w:highlight w:val="none"/>
        </w:rPr>
        <w:t>任何一方由于不可抗力原因不能履行合同时，应在不可抗力事件发生后</w:t>
      </w:r>
      <w:r>
        <w:rPr>
          <w:rFonts w:ascii="仿宋" w:hAnsi="仿宋" w:eastAsia="仿宋" w:cs="仿宋"/>
          <w:snapToGrid w:val="0"/>
          <w:sz w:val="24"/>
          <w:szCs w:val="24"/>
          <w:highlight w:val="none"/>
        </w:rPr>
        <w:t>1</w:t>
      </w:r>
      <w:r>
        <w:rPr>
          <w:rFonts w:hint="eastAsia" w:ascii="仿宋" w:hAnsi="仿宋" w:eastAsia="仿宋" w:cs="仿宋"/>
          <w:snapToGrid w:val="0"/>
          <w:sz w:val="24"/>
          <w:szCs w:val="24"/>
          <w:highlight w:val="none"/>
        </w:rPr>
        <w:t>日内向对方通报，以减轻可能给对方造成的损失，在取得有关机构的不可抗力证明或双方谅解确认后，允许延期履行或修订合同，并可根据具体情况部分或全部免于承担违约责任。</w:t>
      </w:r>
    </w:p>
    <w:p>
      <w:pPr>
        <w:tabs>
          <w:tab w:val="left" w:pos="2472"/>
        </w:tabs>
        <w:spacing w:line="288" w:lineRule="auto"/>
        <w:ind w:firstLine="482" w:firstLineChars="200"/>
        <w:jc w:val="left"/>
        <w:rPr>
          <w:rFonts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第十三条</w:t>
      </w:r>
      <w:r>
        <w:rPr>
          <w:rFonts w:ascii="仿宋" w:hAnsi="仿宋" w:eastAsia="仿宋" w:cs="仿宋"/>
          <w:b/>
          <w:bCs/>
          <w:snapToGrid w:val="0"/>
          <w:sz w:val="24"/>
          <w:szCs w:val="24"/>
          <w:highlight w:val="none"/>
        </w:rPr>
        <w:t xml:space="preserve"> </w:t>
      </w:r>
      <w:r>
        <w:rPr>
          <w:rFonts w:hint="eastAsia" w:ascii="仿宋" w:hAnsi="仿宋" w:eastAsia="仿宋" w:cs="仿宋"/>
          <w:b/>
          <w:bCs/>
          <w:snapToGrid w:val="0"/>
          <w:sz w:val="24"/>
          <w:szCs w:val="24"/>
          <w:highlight w:val="none"/>
        </w:rPr>
        <w:t>合同的终止</w:t>
      </w:r>
    </w:p>
    <w:p>
      <w:pPr>
        <w:tabs>
          <w:tab w:val="left" w:pos="2472"/>
        </w:tabs>
        <w:spacing w:line="288" w:lineRule="auto"/>
        <w:ind w:firstLine="480" w:firstLineChars="200"/>
        <w:jc w:val="left"/>
        <w:rPr>
          <w:rFonts w:hint="eastAsia" w:ascii="仿宋" w:hAnsi="仿宋" w:eastAsia="宋体" w:cs="仿宋"/>
          <w:snapToGrid w:val="0"/>
          <w:sz w:val="24"/>
          <w:szCs w:val="24"/>
          <w:highlight w:val="none"/>
          <w:lang w:val="en-US" w:eastAsia="zh-CN"/>
        </w:rPr>
      </w:pPr>
      <w:r>
        <w:rPr>
          <w:rFonts w:hint="eastAsia" w:ascii="仿宋" w:hAnsi="仿宋" w:eastAsia="仿宋" w:cs="仿宋"/>
          <w:snapToGrid w:val="0"/>
          <w:sz w:val="24"/>
          <w:highlight w:val="none"/>
        </w:rPr>
        <w:t>有下列情形之一的，本合同</w:t>
      </w:r>
      <w:r>
        <w:rPr>
          <w:rFonts w:hint="eastAsia" w:ascii="仿宋" w:hAnsi="仿宋" w:eastAsia="仿宋" w:cs="仿宋"/>
          <w:snapToGrid w:val="0"/>
          <w:sz w:val="24"/>
          <w:highlight w:val="none"/>
          <w:lang w:val="en-US" w:eastAsia="zh-CN"/>
        </w:rPr>
        <w:t>终止：</w:t>
      </w:r>
    </w:p>
    <w:p>
      <w:pPr>
        <w:tabs>
          <w:tab w:val="left" w:pos="2472"/>
        </w:tabs>
        <w:spacing w:line="288" w:lineRule="auto"/>
        <w:ind w:firstLine="480" w:firstLineChars="200"/>
        <w:jc w:val="left"/>
        <w:rPr>
          <w:rFonts w:ascii="仿宋" w:hAnsi="仿宋" w:eastAsia="仿宋" w:cs="仿宋"/>
          <w:snapToGrid w:val="0"/>
          <w:sz w:val="24"/>
          <w:szCs w:val="24"/>
          <w:highlight w:val="none"/>
        </w:rPr>
      </w:pPr>
      <w:r>
        <w:rPr>
          <w:rFonts w:ascii="仿宋" w:hAnsi="仿宋" w:eastAsia="仿宋" w:cs="仿宋"/>
          <w:snapToGrid w:val="0"/>
          <w:sz w:val="24"/>
          <w:szCs w:val="24"/>
          <w:highlight w:val="none"/>
        </w:rPr>
        <w:t>1</w:t>
      </w:r>
      <w:r>
        <w:rPr>
          <w:rFonts w:hint="eastAsia" w:ascii="仿宋" w:hAnsi="仿宋" w:eastAsia="仿宋" w:cs="仿宋"/>
          <w:snapToGrid w:val="0"/>
          <w:sz w:val="24"/>
          <w:szCs w:val="24"/>
          <w:highlight w:val="none"/>
        </w:rPr>
        <w:t>、本合同期满，双方未续签合同的；</w:t>
      </w:r>
    </w:p>
    <w:p>
      <w:pPr>
        <w:tabs>
          <w:tab w:val="left" w:pos="2472"/>
        </w:tabs>
        <w:spacing w:line="288" w:lineRule="auto"/>
        <w:ind w:firstLine="480" w:firstLineChars="200"/>
        <w:jc w:val="left"/>
        <w:rPr>
          <w:rFonts w:ascii="仿宋" w:hAnsi="仿宋" w:eastAsia="仿宋" w:cs="仿宋"/>
          <w:snapToGrid w:val="0"/>
          <w:sz w:val="24"/>
          <w:szCs w:val="24"/>
          <w:highlight w:val="none"/>
        </w:rPr>
      </w:pPr>
      <w:r>
        <w:rPr>
          <w:rFonts w:ascii="仿宋" w:hAnsi="仿宋" w:eastAsia="仿宋" w:cs="仿宋"/>
          <w:snapToGrid w:val="0"/>
          <w:sz w:val="24"/>
          <w:szCs w:val="24"/>
          <w:highlight w:val="none"/>
        </w:rPr>
        <w:t>2</w:t>
      </w:r>
      <w:r>
        <w:rPr>
          <w:rFonts w:hint="eastAsia" w:ascii="仿宋" w:hAnsi="仿宋" w:eastAsia="仿宋" w:cs="仿宋"/>
          <w:snapToGrid w:val="0"/>
          <w:sz w:val="24"/>
          <w:szCs w:val="24"/>
          <w:highlight w:val="none"/>
        </w:rPr>
        <w:t>、乙方服务能力丧失，致使本合同服务无法正常提供的；</w:t>
      </w:r>
    </w:p>
    <w:p>
      <w:pPr>
        <w:tabs>
          <w:tab w:val="left" w:pos="2472"/>
        </w:tabs>
        <w:spacing w:line="288" w:lineRule="auto"/>
        <w:ind w:firstLine="480" w:firstLineChars="200"/>
        <w:jc w:val="left"/>
        <w:rPr>
          <w:rFonts w:ascii="仿宋" w:hAnsi="仿宋" w:eastAsia="仿宋" w:cs="仿宋"/>
          <w:snapToGrid w:val="0"/>
          <w:sz w:val="24"/>
          <w:szCs w:val="24"/>
          <w:highlight w:val="none"/>
        </w:rPr>
      </w:pPr>
      <w:r>
        <w:rPr>
          <w:rFonts w:ascii="仿宋" w:hAnsi="仿宋" w:eastAsia="仿宋" w:cs="仿宋"/>
          <w:snapToGrid w:val="0"/>
          <w:sz w:val="24"/>
          <w:szCs w:val="24"/>
          <w:highlight w:val="none"/>
        </w:rPr>
        <w:t>3</w:t>
      </w:r>
      <w:r>
        <w:rPr>
          <w:rFonts w:hint="eastAsia" w:ascii="仿宋" w:hAnsi="仿宋" w:eastAsia="仿宋" w:cs="仿宋"/>
          <w:snapToGrid w:val="0"/>
          <w:sz w:val="24"/>
          <w:szCs w:val="24"/>
          <w:highlight w:val="none"/>
        </w:rPr>
        <w:t>、在履行合同过程中，发现乙方已不符合承接主体应具备的条件，造成合同无法履行的；</w:t>
      </w:r>
    </w:p>
    <w:p>
      <w:pPr>
        <w:tabs>
          <w:tab w:val="left" w:pos="2472"/>
        </w:tabs>
        <w:spacing w:line="288" w:lineRule="auto"/>
        <w:ind w:firstLine="480" w:firstLineChars="200"/>
        <w:jc w:val="left"/>
        <w:rPr>
          <w:rFonts w:ascii="仿宋" w:hAnsi="仿宋" w:eastAsia="仿宋" w:cs="仿宋"/>
          <w:snapToGrid w:val="0"/>
          <w:sz w:val="24"/>
          <w:szCs w:val="24"/>
          <w:highlight w:val="none"/>
        </w:rPr>
      </w:pPr>
      <w:r>
        <w:rPr>
          <w:rFonts w:ascii="仿宋" w:hAnsi="仿宋" w:eastAsia="仿宋" w:cs="仿宋"/>
          <w:snapToGrid w:val="0"/>
          <w:sz w:val="24"/>
          <w:szCs w:val="24"/>
          <w:highlight w:val="none"/>
        </w:rPr>
        <w:t>4</w:t>
      </w:r>
      <w:r>
        <w:rPr>
          <w:rFonts w:hint="eastAsia" w:ascii="仿宋" w:hAnsi="仿宋" w:eastAsia="仿宋" w:cs="仿宋"/>
          <w:snapToGrid w:val="0"/>
          <w:sz w:val="24"/>
          <w:szCs w:val="24"/>
          <w:highlight w:val="none"/>
        </w:rPr>
        <w:t>、变更、中止或者终止本合同应按《浙江省合同管理办法》向财政部门备案。</w:t>
      </w:r>
    </w:p>
    <w:p>
      <w:pPr>
        <w:tabs>
          <w:tab w:val="left" w:pos="2472"/>
        </w:tabs>
        <w:spacing w:line="288" w:lineRule="auto"/>
        <w:ind w:firstLine="482" w:firstLineChars="200"/>
        <w:jc w:val="left"/>
        <w:rPr>
          <w:rFonts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第十四条</w:t>
      </w:r>
      <w:r>
        <w:rPr>
          <w:rFonts w:ascii="仿宋" w:hAnsi="仿宋" w:eastAsia="仿宋" w:cs="仿宋"/>
          <w:b/>
          <w:bCs/>
          <w:snapToGrid w:val="0"/>
          <w:sz w:val="24"/>
          <w:szCs w:val="24"/>
          <w:highlight w:val="none"/>
        </w:rPr>
        <w:t xml:space="preserve"> </w:t>
      </w:r>
      <w:r>
        <w:rPr>
          <w:rFonts w:hint="eastAsia" w:ascii="仿宋" w:hAnsi="仿宋" w:eastAsia="仿宋" w:cs="仿宋"/>
          <w:b/>
          <w:bCs/>
          <w:snapToGrid w:val="0"/>
          <w:sz w:val="24"/>
          <w:szCs w:val="24"/>
          <w:highlight w:val="none"/>
        </w:rPr>
        <w:t>税费发生与履行</w:t>
      </w:r>
    </w:p>
    <w:p>
      <w:pPr>
        <w:tabs>
          <w:tab w:val="left" w:pos="2472"/>
        </w:tabs>
        <w:spacing w:line="288" w:lineRule="auto"/>
        <w:ind w:firstLine="480" w:firstLineChars="200"/>
        <w:jc w:val="left"/>
        <w:rPr>
          <w:rFonts w:ascii="仿宋" w:hAnsi="仿宋" w:eastAsia="仿宋" w:cs="仿宋"/>
          <w:snapToGrid w:val="0"/>
          <w:sz w:val="24"/>
          <w:szCs w:val="24"/>
          <w:highlight w:val="none"/>
        </w:rPr>
      </w:pPr>
      <w:r>
        <w:rPr>
          <w:rFonts w:hint="eastAsia" w:ascii="仿宋" w:hAnsi="仿宋" w:eastAsia="仿宋" w:cs="仿宋"/>
          <w:snapToGrid w:val="0"/>
          <w:sz w:val="24"/>
          <w:szCs w:val="24"/>
          <w:highlight w:val="none"/>
        </w:rPr>
        <w:t>本合同有关的一切税费均由乙方负担。</w:t>
      </w:r>
    </w:p>
    <w:p>
      <w:pPr>
        <w:tabs>
          <w:tab w:val="left" w:pos="2472"/>
        </w:tabs>
        <w:spacing w:line="288" w:lineRule="auto"/>
        <w:ind w:firstLine="482" w:firstLineChars="200"/>
        <w:jc w:val="left"/>
        <w:rPr>
          <w:rFonts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第十五条</w:t>
      </w:r>
      <w:r>
        <w:rPr>
          <w:rFonts w:ascii="仿宋" w:hAnsi="仿宋" w:eastAsia="仿宋" w:cs="仿宋"/>
          <w:b/>
          <w:bCs/>
          <w:snapToGrid w:val="0"/>
          <w:sz w:val="24"/>
          <w:szCs w:val="24"/>
          <w:highlight w:val="none"/>
        </w:rPr>
        <w:t xml:space="preserve"> </w:t>
      </w:r>
      <w:r>
        <w:rPr>
          <w:rFonts w:hint="eastAsia" w:ascii="仿宋" w:hAnsi="仿宋" w:eastAsia="仿宋" w:cs="仿宋"/>
          <w:b/>
          <w:bCs/>
          <w:snapToGrid w:val="0"/>
          <w:sz w:val="24"/>
          <w:szCs w:val="24"/>
          <w:highlight w:val="none"/>
        </w:rPr>
        <w:t>补充条款</w:t>
      </w:r>
    </w:p>
    <w:p>
      <w:pPr>
        <w:tabs>
          <w:tab w:val="left" w:pos="2472"/>
        </w:tabs>
        <w:spacing w:line="288" w:lineRule="auto"/>
        <w:ind w:firstLine="480" w:firstLineChars="200"/>
        <w:jc w:val="left"/>
        <w:rPr>
          <w:rFonts w:ascii="仿宋" w:hAnsi="仿宋" w:eastAsia="仿宋" w:cs="仿宋"/>
          <w:snapToGrid w:val="0"/>
          <w:sz w:val="24"/>
          <w:szCs w:val="24"/>
          <w:highlight w:val="none"/>
        </w:rPr>
      </w:pPr>
      <w:r>
        <w:rPr>
          <w:rFonts w:hint="eastAsia" w:ascii="仿宋" w:hAnsi="仿宋" w:eastAsia="仿宋" w:cs="仿宋"/>
          <w:snapToGrid w:val="0"/>
          <w:sz w:val="24"/>
          <w:szCs w:val="24"/>
          <w:highlight w:val="none"/>
        </w:rPr>
        <w:t>无</w:t>
      </w:r>
    </w:p>
    <w:p>
      <w:pPr>
        <w:tabs>
          <w:tab w:val="left" w:pos="2472"/>
        </w:tabs>
        <w:spacing w:line="288" w:lineRule="auto"/>
        <w:ind w:firstLine="482" w:firstLineChars="200"/>
        <w:jc w:val="left"/>
        <w:rPr>
          <w:rFonts w:ascii="仿宋" w:hAnsi="仿宋" w:eastAsia="仿宋" w:cs="仿宋"/>
          <w:b/>
          <w:bCs/>
          <w:snapToGrid w:val="0"/>
          <w:sz w:val="24"/>
          <w:szCs w:val="24"/>
          <w:highlight w:val="none"/>
        </w:rPr>
      </w:pPr>
      <w:r>
        <w:rPr>
          <w:rFonts w:hint="eastAsia" w:ascii="仿宋" w:hAnsi="仿宋" w:eastAsia="仿宋" w:cs="仿宋"/>
          <w:b/>
          <w:bCs/>
          <w:snapToGrid w:val="0"/>
          <w:sz w:val="24"/>
          <w:szCs w:val="24"/>
          <w:highlight w:val="none"/>
        </w:rPr>
        <w:t>第十六条</w:t>
      </w:r>
      <w:r>
        <w:rPr>
          <w:rFonts w:ascii="仿宋" w:hAnsi="仿宋" w:eastAsia="仿宋" w:cs="仿宋"/>
          <w:b/>
          <w:bCs/>
          <w:snapToGrid w:val="0"/>
          <w:sz w:val="24"/>
          <w:szCs w:val="24"/>
          <w:highlight w:val="none"/>
        </w:rPr>
        <w:t xml:space="preserve"> </w:t>
      </w:r>
      <w:r>
        <w:rPr>
          <w:rFonts w:hint="eastAsia" w:ascii="仿宋" w:hAnsi="仿宋" w:eastAsia="仿宋" w:cs="仿宋"/>
          <w:b/>
          <w:bCs/>
          <w:snapToGrid w:val="0"/>
          <w:sz w:val="24"/>
          <w:szCs w:val="24"/>
          <w:highlight w:val="none"/>
        </w:rPr>
        <w:t>合同生效</w:t>
      </w:r>
    </w:p>
    <w:p>
      <w:pPr>
        <w:tabs>
          <w:tab w:val="left" w:pos="2472"/>
        </w:tabs>
        <w:spacing w:line="288" w:lineRule="auto"/>
        <w:ind w:firstLine="480" w:firstLineChars="200"/>
        <w:jc w:val="left"/>
        <w:rPr>
          <w:rFonts w:ascii="仿宋" w:hAnsi="仿宋" w:eastAsia="仿宋" w:cs="仿宋"/>
          <w:snapToGrid w:val="0"/>
          <w:sz w:val="24"/>
          <w:szCs w:val="24"/>
          <w:highlight w:val="none"/>
        </w:rPr>
      </w:pPr>
      <w:r>
        <w:rPr>
          <w:rFonts w:ascii="仿宋" w:hAnsi="仿宋" w:eastAsia="仿宋" w:cs="仿宋"/>
          <w:snapToGrid w:val="0"/>
          <w:sz w:val="24"/>
          <w:szCs w:val="24"/>
          <w:highlight w:val="none"/>
        </w:rPr>
        <w:t>1</w:t>
      </w:r>
      <w:r>
        <w:rPr>
          <w:rFonts w:hint="eastAsia" w:ascii="仿宋" w:hAnsi="仿宋" w:eastAsia="仿宋" w:cs="仿宋"/>
          <w:snapToGrid w:val="0"/>
          <w:sz w:val="24"/>
          <w:szCs w:val="24"/>
          <w:highlight w:val="none"/>
        </w:rPr>
        <w:t>、本合同在甲、乙双方签名并加盖单位公章后生效。</w:t>
      </w:r>
    </w:p>
    <w:p>
      <w:pPr>
        <w:tabs>
          <w:tab w:val="left" w:pos="2472"/>
        </w:tabs>
        <w:spacing w:line="288" w:lineRule="auto"/>
        <w:ind w:firstLine="480" w:firstLineChars="200"/>
        <w:jc w:val="left"/>
        <w:rPr>
          <w:rFonts w:ascii="仿宋" w:hAnsi="仿宋" w:eastAsia="仿宋" w:cs="仿宋"/>
          <w:snapToGrid w:val="0"/>
          <w:sz w:val="24"/>
          <w:szCs w:val="24"/>
          <w:highlight w:val="none"/>
        </w:rPr>
      </w:pPr>
      <w:r>
        <w:rPr>
          <w:rFonts w:ascii="仿宋" w:hAnsi="仿宋" w:eastAsia="仿宋" w:cs="仿宋"/>
          <w:snapToGrid w:val="0"/>
          <w:sz w:val="24"/>
          <w:szCs w:val="24"/>
          <w:highlight w:val="none"/>
        </w:rPr>
        <w:t>2</w:t>
      </w:r>
      <w:r>
        <w:rPr>
          <w:rFonts w:hint="eastAsia" w:ascii="仿宋" w:hAnsi="仿宋" w:eastAsia="仿宋" w:cs="仿宋"/>
          <w:snapToGrid w:val="0"/>
          <w:sz w:val="24"/>
          <w:szCs w:val="24"/>
          <w:highlight w:val="none"/>
        </w:rPr>
        <w:t>、本合同所有附件及采购文件、响应文件均为本合同的有效组成部分，与本合同具有同等法律效力。</w:t>
      </w:r>
    </w:p>
    <w:p>
      <w:pPr>
        <w:tabs>
          <w:tab w:val="left" w:pos="2472"/>
        </w:tabs>
        <w:spacing w:line="288" w:lineRule="auto"/>
        <w:ind w:firstLine="480" w:firstLineChars="200"/>
        <w:jc w:val="left"/>
        <w:rPr>
          <w:rFonts w:ascii="仿宋" w:hAnsi="仿宋" w:eastAsia="仿宋" w:cs="仿宋"/>
          <w:snapToGrid w:val="0"/>
          <w:sz w:val="24"/>
          <w:szCs w:val="24"/>
          <w:highlight w:val="none"/>
        </w:rPr>
      </w:pPr>
      <w:r>
        <w:rPr>
          <w:rFonts w:ascii="仿宋" w:hAnsi="仿宋" w:eastAsia="仿宋" w:cs="仿宋"/>
          <w:snapToGrid w:val="0"/>
          <w:sz w:val="24"/>
          <w:szCs w:val="24"/>
          <w:highlight w:val="none"/>
        </w:rPr>
        <w:t>3</w:t>
      </w:r>
      <w:r>
        <w:rPr>
          <w:rFonts w:hint="eastAsia" w:ascii="仿宋" w:hAnsi="仿宋" w:eastAsia="仿宋" w:cs="仿宋"/>
          <w:snapToGrid w:val="0"/>
          <w:sz w:val="24"/>
          <w:szCs w:val="24"/>
          <w:highlight w:val="none"/>
        </w:rPr>
        <w:t>、合同执行过程中涉及采购资金和采购内容修改或补充的，须经财政部门审批，并签书面补充协议，经报政府采购监督管理部门备案后，方可作为主合同不可分割的一部分。</w:t>
      </w:r>
    </w:p>
    <w:p>
      <w:pPr>
        <w:tabs>
          <w:tab w:val="left" w:pos="2472"/>
        </w:tabs>
        <w:spacing w:line="288" w:lineRule="auto"/>
        <w:ind w:firstLine="480" w:firstLineChars="200"/>
        <w:jc w:val="left"/>
        <w:rPr>
          <w:rFonts w:ascii="仿宋" w:hAnsi="仿宋" w:eastAsia="仿宋" w:cs="仿宋"/>
          <w:snapToGrid w:val="0"/>
          <w:sz w:val="24"/>
          <w:szCs w:val="24"/>
          <w:highlight w:val="none"/>
        </w:rPr>
      </w:pPr>
      <w:r>
        <w:rPr>
          <w:rFonts w:ascii="仿宋" w:hAnsi="仿宋" w:eastAsia="仿宋" w:cs="仿宋"/>
          <w:snapToGrid w:val="0"/>
          <w:sz w:val="24"/>
          <w:szCs w:val="24"/>
          <w:highlight w:val="none"/>
        </w:rPr>
        <w:t>4</w:t>
      </w:r>
      <w:r>
        <w:rPr>
          <w:rFonts w:hint="eastAsia" w:ascii="仿宋" w:hAnsi="仿宋" w:eastAsia="仿宋" w:cs="仿宋"/>
          <w:snapToGrid w:val="0"/>
          <w:sz w:val="24"/>
          <w:szCs w:val="24"/>
          <w:highlight w:val="none"/>
        </w:rPr>
        <w:t>、本合同未尽事宜，遵照《</w:t>
      </w:r>
      <w:r>
        <w:rPr>
          <w:rFonts w:hint="eastAsia" w:ascii="仿宋" w:hAnsi="仿宋" w:eastAsia="仿宋" w:cs="仿宋"/>
          <w:snapToGrid w:val="0"/>
          <w:sz w:val="24"/>
          <w:szCs w:val="24"/>
          <w:highlight w:val="none"/>
          <w:lang w:val="en-US" w:eastAsia="zh-CN"/>
        </w:rPr>
        <w:t>中华人民共和国民法典</w:t>
      </w:r>
      <w:r>
        <w:rPr>
          <w:rFonts w:hint="eastAsia" w:ascii="仿宋" w:hAnsi="仿宋" w:eastAsia="仿宋" w:cs="仿宋"/>
          <w:snapToGrid w:val="0"/>
          <w:sz w:val="24"/>
          <w:szCs w:val="24"/>
          <w:highlight w:val="none"/>
        </w:rPr>
        <w:t>》有关条文执行。</w:t>
      </w:r>
    </w:p>
    <w:p>
      <w:pPr>
        <w:tabs>
          <w:tab w:val="left" w:pos="2472"/>
        </w:tabs>
        <w:spacing w:line="288" w:lineRule="auto"/>
        <w:ind w:firstLine="480" w:firstLineChars="200"/>
        <w:jc w:val="left"/>
        <w:rPr>
          <w:rFonts w:ascii="仿宋" w:hAnsi="仿宋" w:eastAsia="仿宋" w:cs="仿宋"/>
          <w:snapToGrid w:val="0"/>
          <w:sz w:val="24"/>
          <w:szCs w:val="24"/>
          <w:highlight w:val="none"/>
        </w:rPr>
      </w:pPr>
      <w:r>
        <w:rPr>
          <w:rFonts w:ascii="仿宋" w:hAnsi="仿宋" w:eastAsia="仿宋" w:cs="仿宋"/>
          <w:snapToGrid w:val="0"/>
          <w:sz w:val="24"/>
          <w:szCs w:val="24"/>
          <w:highlight w:val="none"/>
        </w:rPr>
        <w:t>5</w:t>
      </w:r>
      <w:r>
        <w:rPr>
          <w:rFonts w:hint="eastAsia" w:ascii="仿宋" w:hAnsi="仿宋" w:eastAsia="仿宋" w:cs="仿宋"/>
          <w:snapToGrid w:val="0"/>
          <w:sz w:val="24"/>
          <w:szCs w:val="24"/>
          <w:highlight w:val="none"/>
        </w:rPr>
        <w:t>、本合同一式柒份，具有同等法律效力，甲、乙双方各执三份，采购代理机构执一份。</w:t>
      </w:r>
    </w:p>
    <w:p>
      <w:pPr>
        <w:tabs>
          <w:tab w:val="left" w:pos="2472"/>
        </w:tabs>
        <w:spacing w:line="288" w:lineRule="auto"/>
        <w:ind w:firstLine="480" w:firstLineChars="200"/>
        <w:jc w:val="left"/>
        <w:rPr>
          <w:rFonts w:ascii="仿宋" w:hAnsi="仿宋" w:eastAsia="仿宋" w:cs="仿宋"/>
          <w:sz w:val="24"/>
          <w:szCs w:val="24"/>
          <w:highlight w:val="none"/>
        </w:rPr>
      </w:pPr>
      <w:r>
        <w:rPr>
          <w:rFonts w:ascii="仿宋" w:hAnsi="仿宋" w:eastAsia="仿宋" w:cs="仿宋"/>
          <w:snapToGrid w:val="0"/>
          <w:sz w:val="24"/>
          <w:szCs w:val="24"/>
          <w:highlight w:val="none"/>
        </w:rPr>
        <w:t>6</w:t>
      </w:r>
      <w:r>
        <w:rPr>
          <w:rFonts w:hint="eastAsia" w:ascii="仿宋" w:hAnsi="仿宋" w:eastAsia="仿宋" w:cs="仿宋"/>
          <w:snapToGrid w:val="0"/>
          <w:sz w:val="24"/>
          <w:szCs w:val="24"/>
          <w:highlight w:val="none"/>
        </w:rPr>
        <w:t>、如一方地址、电话、传真号码及乙方银行账户信息有变更，应在变更当日书面通知对方，否则，应承担相应责任。</w:t>
      </w:r>
    </w:p>
    <w:tbl>
      <w:tblPr>
        <w:tblStyle w:val="63"/>
        <w:tblW w:w="9356"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4678"/>
        <w:gridCol w:w="467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288" w:lineRule="auto"/>
              <w:rPr>
                <w:rFonts w:ascii="仿宋" w:hAnsi="仿宋" w:eastAsia="仿宋" w:cs="仿宋"/>
                <w:sz w:val="24"/>
                <w:szCs w:val="24"/>
                <w:highlight w:val="none"/>
              </w:rPr>
            </w:pPr>
            <w:r>
              <w:rPr>
                <w:rStyle w:val="977"/>
                <w:rFonts w:hint="eastAsia" w:ascii="仿宋" w:hAnsi="仿宋" w:eastAsia="仿宋" w:cs="仿宋"/>
                <w:spacing w:val="-6"/>
                <w:sz w:val="24"/>
                <w:szCs w:val="24"/>
                <w:highlight w:val="none"/>
                <w:lang w:val="zh-TW" w:eastAsia="zh-TW"/>
              </w:rPr>
              <w:t>甲方（需方）：（公章）</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288" w:lineRule="auto"/>
              <w:rPr>
                <w:rFonts w:ascii="仿宋" w:hAnsi="仿宋" w:eastAsia="仿宋" w:cs="仿宋"/>
                <w:sz w:val="24"/>
                <w:szCs w:val="24"/>
                <w:highlight w:val="none"/>
              </w:rPr>
            </w:pPr>
            <w:r>
              <w:rPr>
                <w:rStyle w:val="977"/>
                <w:rFonts w:hint="eastAsia" w:ascii="仿宋" w:hAnsi="仿宋" w:eastAsia="仿宋" w:cs="仿宋"/>
                <w:spacing w:val="-6"/>
                <w:sz w:val="24"/>
                <w:szCs w:val="24"/>
                <w:highlight w:val="none"/>
                <w:lang w:val="zh-TW" w:eastAsia="zh-TW"/>
              </w:rPr>
              <w:t>乙方（供方）：（公章）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67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288" w:lineRule="auto"/>
              <w:rPr>
                <w:rStyle w:val="977"/>
                <w:rFonts w:hint="eastAsia" w:ascii="仿宋" w:hAnsi="仿宋" w:eastAsia="仿宋" w:cs="仿宋"/>
                <w:spacing w:val="-6"/>
                <w:sz w:val="24"/>
                <w:szCs w:val="24"/>
                <w:highlight w:val="none"/>
                <w:lang w:val="zh-TW" w:eastAsia="zh-TW"/>
              </w:rPr>
            </w:pPr>
            <w:r>
              <w:rPr>
                <w:rStyle w:val="977"/>
                <w:rFonts w:hint="eastAsia" w:ascii="仿宋" w:hAnsi="仿宋" w:eastAsia="仿宋" w:cs="仿宋"/>
                <w:spacing w:val="-6"/>
                <w:sz w:val="24"/>
                <w:szCs w:val="24"/>
                <w:highlight w:val="none"/>
                <w:lang w:val="zh-TW" w:eastAsia="zh-TW"/>
              </w:rPr>
              <w:t>法人或授权代表：</w:t>
            </w:r>
          </w:p>
          <w:p>
            <w:pPr>
              <w:spacing w:line="288" w:lineRule="auto"/>
              <w:rPr>
                <w:rStyle w:val="977"/>
                <w:rFonts w:hint="eastAsia" w:ascii="仿宋" w:hAnsi="仿宋" w:eastAsia="仿宋" w:cs="仿宋"/>
                <w:spacing w:val="-6"/>
                <w:sz w:val="24"/>
                <w:szCs w:val="24"/>
                <w:highlight w:val="none"/>
                <w:lang w:val="zh-TW" w:eastAsia="zh-CN"/>
              </w:rPr>
            </w:pPr>
            <w:r>
              <w:rPr>
                <w:rStyle w:val="977"/>
                <w:rFonts w:hint="eastAsia" w:ascii="仿宋" w:hAnsi="仿宋" w:eastAsia="仿宋" w:cs="仿宋"/>
                <w:spacing w:val="-6"/>
                <w:sz w:val="24"/>
                <w:szCs w:val="24"/>
                <w:highlight w:val="none"/>
                <w:lang w:val="zh-TW" w:eastAsia="zh-CN"/>
              </w:rPr>
              <w:t>（签字或盖章）</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288" w:lineRule="auto"/>
              <w:rPr>
                <w:rStyle w:val="977"/>
                <w:rFonts w:hint="eastAsia" w:ascii="仿宋" w:hAnsi="仿宋" w:eastAsia="仿宋" w:cs="仿宋"/>
                <w:spacing w:val="-6"/>
                <w:sz w:val="24"/>
                <w:szCs w:val="24"/>
                <w:highlight w:val="none"/>
                <w:lang w:val="zh-TW" w:eastAsia="zh-TW"/>
              </w:rPr>
            </w:pPr>
            <w:r>
              <w:rPr>
                <w:rStyle w:val="977"/>
                <w:rFonts w:hint="eastAsia" w:ascii="仿宋" w:hAnsi="仿宋" w:eastAsia="仿宋" w:cs="仿宋"/>
                <w:spacing w:val="-6"/>
                <w:sz w:val="24"/>
                <w:szCs w:val="24"/>
                <w:highlight w:val="none"/>
                <w:lang w:val="zh-TW" w:eastAsia="zh-TW"/>
              </w:rPr>
              <w:t>法人或授权代表：</w:t>
            </w:r>
          </w:p>
          <w:p>
            <w:pPr>
              <w:spacing w:line="288" w:lineRule="auto"/>
              <w:rPr>
                <w:rStyle w:val="977"/>
                <w:rFonts w:hint="eastAsia" w:ascii="仿宋" w:hAnsi="仿宋" w:eastAsia="仿宋" w:cs="仿宋"/>
                <w:spacing w:val="-6"/>
                <w:sz w:val="24"/>
                <w:szCs w:val="24"/>
                <w:highlight w:val="none"/>
                <w:lang w:val="zh-TW" w:eastAsia="zh-TW"/>
              </w:rPr>
            </w:pPr>
            <w:r>
              <w:rPr>
                <w:rStyle w:val="977"/>
                <w:rFonts w:hint="eastAsia" w:ascii="仿宋" w:hAnsi="仿宋" w:eastAsia="仿宋" w:cs="仿宋"/>
                <w:spacing w:val="-6"/>
                <w:sz w:val="24"/>
                <w:szCs w:val="24"/>
                <w:highlight w:val="none"/>
                <w:lang w:val="zh-TW" w:eastAsia="zh-CN"/>
              </w:rPr>
              <w:t>（签字或盖章）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288" w:lineRule="auto"/>
              <w:rPr>
                <w:rFonts w:ascii="仿宋" w:hAnsi="仿宋" w:eastAsia="仿宋" w:cs="仿宋"/>
                <w:sz w:val="24"/>
                <w:szCs w:val="24"/>
                <w:highlight w:val="none"/>
              </w:rPr>
            </w:pPr>
            <w:r>
              <w:rPr>
                <w:rStyle w:val="977"/>
                <w:rFonts w:hint="eastAsia" w:ascii="仿宋" w:hAnsi="仿宋" w:eastAsia="仿宋" w:cs="仿宋"/>
                <w:sz w:val="24"/>
                <w:szCs w:val="24"/>
                <w:highlight w:val="none"/>
                <w:lang w:val="zh-TW" w:eastAsia="zh-TW"/>
              </w:rPr>
              <w:t>地址：</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288" w:lineRule="auto"/>
              <w:rPr>
                <w:rFonts w:ascii="仿宋" w:hAnsi="仿宋" w:eastAsia="仿宋" w:cs="仿宋"/>
                <w:sz w:val="24"/>
                <w:szCs w:val="24"/>
                <w:highlight w:val="none"/>
              </w:rPr>
            </w:pPr>
            <w:r>
              <w:rPr>
                <w:rStyle w:val="977"/>
                <w:rFonts w:hint="eastAsia" w:ascii="仿宋" w:hAnsi="仿宋" w:eastAsia="仿宋" w:cs="仿宋"/>
                <w:spacing w:val="-6"/>
                <w:sz w:val="24"/>
                <w:szCs w:val="24"/>
                <w:highlight w:val="none"/>
                <w:lang w:val="zh-TW" w:eastAsia="zh-TW"/>
              </w:rPr>
              <w:t>地址：</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288" w:lineRule="auto"/>
              <w:rPr>
                <w:rFonts w:ascii="仿宋" w:hAnsi="仿宋" w:eastAsia="仿宋" w:cs="仿宋"/>
                <w:sz w:val="24"/>
                <w:szCs w:val="24"/>
                <w:highlight w:val="none"/>
              </w:rPr>
            </w:pPr>
            <w:r>
              <w:rPr>
                <w:rStyle w:val="977"/>
                <w:rFonts w:hint="eastAsia" w:ascii="仿宋" w:hAnsi="仿宋" w:eastAsia="仿宋" w:cs="仿宋"/>
                <w:sz w:val="24"/>
                <w:szCs w:val="24"/>
                <w:highlight w:val="none"/>
                <w:lang w:val="zh-TW" w:eastAsia="zh-TW"/>
              </w:rPr>
              <w:t>邮编：</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288" w:lineRule="auto"/>
              <w:rPr>
                <w:rFonts w:ascii="仿宋" w:hAnsi="仿宋" w:eastAsia="仿宋" w:cs="仿宋"/>
                <w:sz w:val="24"/>
                <w:szCs w:val="24"/>
                <w:highlight w:val="none"/>
              </w:rPr>
            </w:pPr>
            <w:r>
              <w:rPr>
                <w:rStyle w:val="977"/>
                <w:rFonts w:hint="eastAsia" w:ascii="仿宋" w:hAnsi="仿宋" w:eastAsia="仿宋" w:cs="仿宋"/>
                <w:spacing w:val="-6"/>
                <w:sz w:val="24"/>
                <w:szCs w:val="24"/>
                <w:highlight w:val="none"/>
                <w:lang w:val="zh-TW" w:eastAsia="zh-TW"/>
              </w:rPr>
              <w:t>邮编：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288" w:lineRule="auto"/>
              <w:rPr>
                <w:rFonts w:ascii="仿宋" w:hAnsi="仿宋" w:eastAsia="仿宋" w:cs="仿宋"/>
                <w:sz w:val="24"/>
                <w:szCs w:val="24"/>
                <w:highlight w:val="none"/>
              </w:rPr>
            </w:pPr>
            <w:r>
              <w:rPr>
                <w:rStyle w:val="977"/>
                <w:rFonts w:hint="eastAsia" w:ascii="仿宋" w:hAnsi="仿宋" w:eastAsia="仿宋" w:cs="仿宋"/>
                <w:sz w:val="24"/>
                <w:szCs w:val="24"/>
                <w:highlight w:val="none"/>
                <w:lang w:val="zh-TW" w:eastAsia="zh-TW"/>
              </w:rPr>
              <w:t>电话：</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288" w:lineRule="auto"/>
              <w:rPr>
                <w:rFonts w:ascii="仿宋" w:hAnsi="仿宋" w:eastAsia="仿宋" w:cs="仿宋"/>
                <w:sz w:val="24"/>
                <w:szCs w:val="24"/>
                <w:highlight w:val="none"/>
              </w:rPr>
            </w:pPr>
            <w:r>
              <w:rPr>
                <w:rStyle w:val="977"/>
                <w:rFonts w:hint="eastAsia" w:ascii="仿宋" w:hAnsi="仿宋" w:eastAsia="仿宋" w:cs="仿宋"/>
                <w:spacing w:val="-6"/>
                <w:sz w:val="24"/>
                <w:szCs w:val="24"/>
                <w:highlight w:val="none"/>
                <w:lang w:val="zh-TW" w:eastAsia="zh-TW"/>
              </w:rPr>
              <w:t>电话：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288" w:lineRule="auto"/>
              <w:rPr>
                <w:rFonts w:ascii="仿宋" w:hAnsi="仿宋" w:eastAsia="仿宋" w:cs="仿宋"/>
                <w:sz w:val="24"/>
                <w:szCs w:val="24"/>
                <w:highlight w:val="none"/>
              </w:rPr>
            </w:pPr>
            <w:r>
              <w:rPr>
                <w:rStyle w:val="977"/>
                <w:rFonts w:hint="eastAsia" w:ascii="仿宋" w:hAnsi="仿宋" w:eastAsia="仿宋" w:cs="仿宋"/>
                <w:sz w:val="24"/>
                <w:szCs w:val="24"/>
                <w:highlight w:val="none"/>
                <w:lang w:val="zh-TW" w:eastAsia="zh-TW"/>
              </w:rPr>
              <w:t>传真：</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288" w:lineRule="auto"/>
              <w:rPr>
                <w:rFonts w:ascii="仿宋" w:hAnsi="仿宋" w:eastAsia="仿宋" w:cs="仿宋"/>
                <w:sz w:val="24"/>
                <w:szCs w:val="24"/>
                <w:highlight w:val="none"/>
              </w:rPr>
            </w:pPr>
            <w:r>
              <w:rPr>
                <w:rStyle w:val="977"/>
                <w:rFonts w:hint="eastAsia" w:ascii="仿宋" w:hAnsi="仿宋" w:eastAsia="仿宋" w:cs="仿宋"/>
                <w:spacing w:val="-6"/>
                <w:sz w:val="24"/>
                <w:szCs w:val="24"/>
                <w:highlight w:val="none"/>
                <w:lang w:val="zh-TW" w:eastAsia="zh-TW"/>
              </w:rPr>
              <w:t>传真：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288" w:lineRule="auto"/>
              <w:rPr>
                <w:rFonts w:ascii="仿宋" w:hAnsi="仿宋" w:eastAsia="仿宋" w:cs="仿宋"/>
                <w:sz w:val="24"/>
                <w:szCs w:val="24"/>
                <w:highlight w:val="none"/>
              </w:rPr>
            </w:pPr>
            <w:r>
              <w:rPr>
                <w:rStyle w:val="977"/>
                <w:rFonts w:hint="eastAsia" w:ascii="仿宋" w:hAnsi="仿宋" w:eastAsia="仿宋" w:cs="仿宋"/>
                <w:sz w:val="24"/>
                <w:szCs w:val="24"/>
                <w:highlight w:val="none"/>
                <w:lang w:val="zh-TW" w:eastAsia="zh-TW"/>
              </w:rPr>
              <w:t>开户银行：</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288" w:lineRule="auto"/>
              <w:rPr>
                <w:rFonts w:ascii="仿宋" w:hAnsi="仿宋" w:eastAsia="仿宋" w:cs="仿宋"/>
                <w:sz w:val="24"/>
                <w:szCs w:val="24"/>
                <w:highlight w:val="none"/>
              </w:rPr>
            </w:pPr>
            <w:r>
              <w:rPr>
                <w:rStyle w:val="977"/>
                <w:rFonts w:hint="eastAsia" w:ascii="仿宋" w:hAnsi="仿宋" w:eastAsia="仿宋" w:cs="仿宋"/>
                <w:spacing w:val="-6"/>
                <w:sz w:val="24"/>
                <w:szCs w:val="24"/>
                <w:highlight w:val="none"/>
                <w:lang w:val="zh-TW" w:eastAsia="zh-TW"/>
              </w:rPr>
              <w:t>开户银行：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288" w:lineRule="auto"/>
              <w:rPr>
                <w:rFonts w:ascii="仿宋" w:hAnsi="仿宋" w:eastAsia="仿宋" w:cs="仿宋"/>
                <w:sz w:val="24"/>
                <w:szCs w:val="24"/>
                <w:highlight w:val="none"/>
              </w:rPr>
            </w:pPr>
            <w:r>
              <w:rPr>
                <w:rStyle w:val="977"/>
                <w:rFonts w:hint="eastAsia" w:ascii="仿宋" w:hAnsi="仿宋" w:eastAsia="仿宋" w:cs="仿宋"/>
                <w:sz w:val="24"/>
                <w:szCs w:val="24"/>
                <w:highlight w:val="none"/>
                <w:lang w:val="zh-TW" w:eastAsia="zh-TW"/>
              </w:rPr>
              <w:t>帐号：</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288" w:lineRule="auto"/>
              <w:rPr>
                <w:rFonts w:ascii="仿宋" w:hAnsi="仿宋" w:eastAsia="仿宋" w:cs="仿宋"/>
                <w:sz w:val="24"/>
                <w:szCs w:val="24"/>
                <w:highlight w:val="none"/>
              </w:rPr>
            </w:pPr>
            <w:r>
              <w:rPr>
                <w:rStyle w:val="977"/>
                <w:rFonts w:hint="eastAsia" w:ascii="仿宋" w:hAnsi="仿宋" w:eastAsia="仿宋" w:cs="仿宋"/>
                <w:spacing w:val="-6"/>
                <w:sz w:val="24"/>
                <w:szCs w:val="24"/>
                <w:highlight w:val="none"/>
                <w:lang w:val="zh-TW" w:eastAsia="zh-TW"/>
              </w:rPr>
              <w:t>帐号：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10" w:hRule="atLeast"/>
        </w:trPr>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288" w:lineRule="auto"/>
              <w:rPr>
                <w:rFonts w:ascii="仿宋" w:hAnsi="仿宋" w:eastAsia="仿宋" w:cs="仿宋"/>
                <w:sz w:val="24"/>
                <w:szCs w:val="24"/>
                <w:highlight w:val="none"/>
              </w:rPr>
            </w:pPr>
            <w:r>
              <w:rPr>
                <w:rStyle w:val="977"/>
                <w:rFonts w:hint="eastAsia" w:ascii="仿宋" w:hAnsi="仿宋" w:eastAsia="仿宋" w:cs="仿宋"/>
                <w:spacing w:val="-6"/>
                <w:sz w:val="24"/>
                <w:szCs w:val="24"/>
                <w:highlight w:val="none"/>
                <w:lang w:val="zh-TW" w:eastAsia="zh-TW"/>
              </w:rPr>
              <w:t>签字日期：</w:t>
            </w:r>
            <w:r>
              <w:rPr>
                <w:rStyle w:val="978"/>
                <w:rFonts w:ascii="仿宋" w:hAnsi="仿宋" w:eastAsia="仿宋" w:cs="仿宋"/>
                <w:spacing w:val="-6"/>
                <w:sz w:val="24"/>
                <w:szCs w:val="24"/>
                <w:highlight w:val="none"/>
                <w:lang w:eastAsia="zh-CN"/>
              </w:rPr>
              <w:t xml:space="preserve">      </w:t>
            </w:r>
            <w:r>
              <w:rPr>
                <w:rStyle w:val="977"/>
                <w:rFonts w:hint="eastAsia" w:ascii="仿宋" w:hAnsi="仿宋" w:eastAsia="仿宋" w:cs="仿宋"/>
                <w:spacing w:val="-6"/>
                <w:sz w:val="24"/>
                <w:szCs w:val="24"/>
                <w:highlight w:val="none"/>
                <w:lang w:val="zh-TW" w:eastAsia="zh-TW"/>
              </w:rPr>
              <w:t>年</w:t>
            </w:r>
            <w:r>
              <w:rPr>
                <w:rStyle w:val="978"/>
                <w:rFonts w:ascii="仿宋" w:hAnsi="仿宋" w:eastAsia="仿宋" w:cs="仿宋"/>
                <w:spacing w:val="-6"/>
                <w:sz w:val="24"/>
                <w:szCs w:val="24"/>
                <w:highlight w:val="none"/>
                <w:lang w:eastAsia="zh-CN"/>
              </w:rPr>
              <w:t xml:space="preserve">    </w:t>
            </w:r>
            <w:r>
              <w:rPr>
                <w:rStyle w:val="977"/>
                <w:rFonts w:hint="eastAsia" w:ascii="仿宋" w:hAnsi="仿宋" w:eastAsia="仿宋" w:cs="仿宋"/>
                <w:spacing w:val="-6"/>
                <w:sz w:val="24"/>
                <w:szCs w:val="24"/>
                <w:highlight w:val="none"/>
                <w:lang w:val="zh-TW" w:eastAsia="zh-TW"/>
              </w:rPr>
              <w:t>月</w:t>
            </w:r>
            <w:r>
              <w:rPr>
                <w:rStyle w:val="978"/>
                <w:rFonts w:ascii="仿宋" w:hAnsi="仿宋" w:eastAsia="仿宋" w:cs="仿宋"/>
                <w:spacing w:val="-6"/>
                <w:sz w:val="24"/>
                <w:szCs w:val="24"/>
                <w:highlight w:val="none"/>
                <w:lang w:eastAsia="zh-CN"/>
              </w:rPr>
              <w:t xml:space="preserve">    </w:t>
            </w:r>
            <w:r>
              <w:rPr>
                <w:rStyle w:val="977"/>
                <w:rFonts w:hint="eastAsia" w:ascii="仿宋" w:hAnsi="仿宋" w:eastAsia="仿宋" w:cs="仿宋"/>
                <w:spacing w:val="-6"/>
                <w:sz w:val="24"/>
                <w:szCs w:val="24"/>
                <w:highlight w:val="none"/>
                <w:lang w:val="zh-TW" w:eastAsia="zh-TW"/>
              </w:rPr>
              <w:t>日</w:t>
            </w:r>
          </w:p>
        </w:tc>
        <w:tc>
          <w:tcPr>
            <w:tcW w:w="4678" w:type="dxa"/>
            <w:tcBorders>
              <w:top w:val="single" w:color="000000" w:sz="4" w:space="0"/>
              <w:left w:val="single" w:color="000000" w:sz="4" w:space="0"/>
              <w:bottom w:val="single" w:color="000000" w:sz="4" w:space="0"/>
              <w:right w:val="single" w:color="000000" w:sz="4" w:space="0"/>
            </w:tcBorders>
            <w:noWrap w:val="0"/>
            <w:tcMar>
              <w:top w:w="80" w:type="dxa"/>
              <w:left w:w="80" w:type="dxa"/>
              <w:bottom w:w="80" w:type="dxa"/>
              <w:right w:w="80" w:type="dxa"/>
            </w:tcMar>
            <w:vAlign w:val="center"/>
          </w:tcPr>
          <w:p>
            <w:pPr>
              <w:spacing w:line="288" w:lineRule="auto"/>
              <w:rPr>
                <w:rFonts w:ascii="仿宋" w:hAnsi="仿宋" w:eastAsia="仿宋" w:cs="仿宋"/>
                <w:sz w:val="24"/>
                <w:szCs w:val="24"/>
                <w:highlight w:val="none"/>
              </w:rPr>
            </w:pPr>
            <w:r>
              <w:rPr>
                <w:rStyle w:val="977"/>
                <w:rFonts w:hint="eastAsia" w:ascii="仿宋" w:hAnsi="仿宋" w:eastAsia="仿宋" w:cs="仿宋"/>
                <w:spacing w:val="-6"/>
                <w:sz w:val="24"/>
                <w:szCs w:val="24"/>
                <w:highlight w:val="none"/>
                <w:lang w:val="zh-TW" w:eastAsia="zh-TW"/>
              </w:rPr>
              <w:t>签字日期：</w:t>
            </w:r>
            <w:r>
              <w:rPr>
                <w:rStyle w:val="978"/>
                <w:rFonts w:ascii="仿宋" w:hAnsi="仿宋" w:eastAsia="仿宋" w:cs="仿宋"/>
                <w:spacing w:val="-6"/>
                <w:sz w:val="24"/>
                <w:szCs w:val="24"/>
                <w:highlight w:val="none"/>
                <w:lang w:eastAsia="zh-CN"/>
              </w:rPr>
              <w:t xml:space="preserve">      </w:t>
            </w:r>
            <w:r>
              <w:rPr>
                <w:rStyle w:val="977"/>
                <w:rFonts w:hint="eastAsia" w:ascii="仿宋" w:hAnsi="仿宋" w:eastAsia="仿宋" w:cs="仿宋"/>
                <w:spacing w:val="-6"/>
                <w:sz w:val="24"/>
                <w:szCs w:val="24"/>
                <w:highlight w:val="none"/>
                <w:lang w:val="zh-TW" w:eastAsia="zh-TW"/>
              </w:rPr>
              <w:t>年</w:t>
            </w:r>
            <w:r>
              <w:rPr>
                <w:rStyle w:val="978"/>
                <w:rFonts w:ascii="仿宋" w:hAnsi="仿宋" w:eastAsia="仿宋" w:cs="仿宋"/>
                <w:spacing w:val="-6"/>
                <w:sz w:val="24"/>
                <w:szCs w:val="24"/>
                <w:highlight w:val="none"/>
                <w:lang w:eastAsia="zh-CN"/>
              </w:rPr>
              <w:t xml:space="preserve">    </w:t>
            </w:r>
            <w:r>
              <w:rPr>
                <w:rStyle w:val="977"/>
                <w:rFonts w:hint="eastAsia" w:ascii="仿宋" w:hAnsi="仿宋" w:eastAsia="仿宋" w:cs="仿宋"/>
                <w:spacing w:val="-6"/>
                <w:sz w:val="24"/>
                <w:szCs w:val="24"/>
                <w:highlight w:val="none"/>
                <w:lang w:val="zh-TW" w:eastAsia="zh-TW"/>
              </w:rPr>
              <w:t>月</w:t>
            </w:r>
            <w:r>
              <w:rPr>
                <w:rStyle w:val="978"/>
                <w:rFonts w:ascii="仿宋" w:hAnsi="仿宋" w:eastAsia="仿宋" w:cs="仿宋"/>
                <w:spacing w:val="-6"/>
                <w:sz w:val="24"/>
                <w:szCs w:val="24"/>
                <w:highlight w:val="none"/>
                <w:lang w:eastAsia="zh-CN"/>
              </w:rPr>
              <w:t xml:space="preserve">    </w:t>
            </w:r>
            <w:r>
              <w:rPr>
                <w:rStyle w:val="977"/>
                <w:rFonts w:hint="eastAsia" w:ascii="仿宋" w:hAnsi="仿宋" w:eastAsia="仿宋" w:cs="仿宋"/>
                <w:spacing w:val="-6"/>
                <w:sz w:val="24"/>
                <w:szCs w:val="24"/>
                <w:highlight w:val="none"/>
                <w:lang w:val="zh-TW" w:eastAsia="zh-TW"/>
              </w:rPr>
              <w:t>日</w:t>
            </w:r>
          </w:p>
        </w:tc>
      </w:tr>
    </w:tbl>
    <w:p>
      <w:pPr>
        <w:pStyle w:val="2"/>
      </w:pPr>
    </w:p>
    <w:p>
      <w:pPr>
        <w:rPr>
          <w:rFonts w:hint="eastAsia" w:ascii="仿宋" w:hAnsi="仿宋" w:eastAsia="仿宋" w:cs="仿宋"/>
          <w:b/>
          <w:sz w:val="36"/>
          <w:szCs w:val="20"/>
        </w:rPr>
      </w:pPr>
      <w:r>
        <w:rPr>
          <w:rFonts w:hint="eastAsia" w:ascii="仿宋" w:hAnsi="仿宋" w:eastAsia="仿宋" w:cs="仿宋"/>
          <w:b/>
          <w:sz w:val="36"/>
          <w:szCs w:val="20"/>
        </w:rPr>
        <w:br w:type="page"/>
      </w:r>
    </w:p>
    <w:p>
      <w:pPr>
        <w:spacing w:line="360" w:lineRule="auto"/>
        <w:ind w:left="720" w:firstLine="723" w:firstLineChars="200"/>
        <w:outlineLvl w:val="0"/>
        <w:rPr>
          <w:rFonts w:ascii="仿宋" w:hAnsi="仿宋" w:eastAsia="仿宋" w:cs="仿宋"/>
          <w:b/>
          <w:sz w:val="36"/>
          <w:szCs w:val="20"/>
        </w:rPr>
      </w:pPr>
      <w:r>
        <w:rPr>
          <w:rFonts w:hint="eastAsia" w:ascii="仿宋" w:hAnsi="仿宋" w:eastAsia="仿宋" w:cs="仿宋"/>
          <w:b/>
          <w:sz w:val="36"/>
          <w:szCs w:val="20"/>
        </w:rPr>
        <w:t>第六部分</w:t>
      </w:r>
      <w:bookmarkEnd w:id="394"/>
      <w:r>
        <w:rPr>
          <w:rFonts w:hint="eastAsia" w:ascii="仿宋" w:hAnsi="仿宋" w:eastAsia="仿宋" w:cs="仿宋"/>
          <w:b/>
          <w:sz w:val="36"/>
          <w:szCs w:val="20"/>
        </w:rPr>
        <w:t xml:space="preserve"> </w:t>
      </w:r>
      <w:bookmarkEnd w:id="395"/>
      <w:r>
        <w:rPr>
          <w:rFonts w:hint="eastAsia" w:ascii="仿宋" w:hAnsi="仿宋" w:eastAsia="仿宋" w:cs="仿宋"/>
          <w:b/>
          <w:sz w:val="36"/>
          <w:szCs w:val="20"/>
        </w:rPr>
        <w:t>应提交的有关格式范例</w:t>
      </w:r>
    </w:p>
    <w:p>
      <w:pPr>
        <w:spacing w:line="360" w:lineRule="auto"/>
        <w:jc w:val="center"/>
        <w:outlineLvl w:val="0"/>
        <w:rPr>
          <w:rFonts w:ascii="仿宋" w:hAnsi="仿宋" w:eastAsia="仿宋" w:cs="仿宋"/>
          <w:b/>
          <w:kern w:val="0"/>
          <w:sz w:val="36"/>
          <w:szCs w:val="36"/>
        </w:r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snapToGrid w:val="0"/>
        <w:spacing w:line="360" w:lineRule="auto"/>
        <w:rPr>
          <w:rFonts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ascii="仿宋" w:hAnsi="仿宋" w:eastAsia="仿宋" w:cs="仿宋"/>
          <w:sz w:val="24"/>
        </w:rPr>
      </w:pPr>
      <w:r>
        <w:rPr>
          <w:rFonts w:hint="eastAsia" w:ascii="仿宋" w:hAnsi="仿宋" w:eastAsia="仿宋" w:cs="仿宋"/>
          <w:sz w:val="24"/>
        </w:rPr>
        <w:t>（2）联合协议（如果有）…………………………………………………（页码）</w:t>
      </w:r>
    </w:p>
    <w:p>
      <w:pPr>
        <w:snapToGrid w:val="0"/>
        <w:spacing w:line="360" w:lineRule="auto"/>
        <w:rPr>
          <w:rFonts w:ascii="仿宋" w:hAnsi="仿宋" w:eastAsia="仿宋" w:cs="仿宋"/>
          <w:sz w:val="24"/>
        </w:rPr>
      </w:pPr>
      <w:r>
        <w:rPr>
          <w:rFonts w:hint="eastAsia" w:ascii="仿宋" w:hAnsi="仿宋" w:eastAsia="仿宋" w:cs="仿宋"/>
          <w:sz w:val="24"/>
        </w:rPr>
        <w:t>（3）落实政府采购政策需满足的资格要求（如果有）…………………（页码）</w:t>
      </w:r>
    </w:p>
    <w:p>
      <w:pPr>
        <w:snapToGrid w:val="0"/>
        <w:spacing w:line="360" w:lineRule="auto"/>
        <w:rPr>
          <w:rFonts w:ascii="仿宋" w:hAnsi="仿宋" w:eastAsia="仿宋" w:cs="仿宋"/>
          <w:sz w:val="24"/>
        </w:rPr>
      </w:pPr>
      <w:r>
        <w:rPr>
          <w:rFonts w:hint="eastAsia" w:ascii="仿宋" w:hAnsi="仿宋" w:eastAsia="仿宋" w:cs="仿宋"/>
          <w:sz w:val="24"/>
        </w:rPr>
        <w:t>（4）本项目的特定资格要求（如果有）…………………………………（页码）</w:t>
      </w:r>
    </w:p>
    <w:p>
      <w:pPr>
        <w:snapToGrid w:val="0"/>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ind w:right="480"/>
        <w:jc w:val="center"/>
        <w:rPr>
          <w:rFonts w:ascii="仿宋" w:hAnsi="仿宋" w:eastAsia="仿宋" w:cs="仿宋"/>
          <w:b/>
          <w:kern w:val="0"/>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firstLine="559" w:firstLineChars="233"/>
        <w:jc w:val="left"/>
        <w:rPr>
          <w:rFonts w:ascii="仿宋" w:hAnsi="仿宋" w:eastAsia="仿宋" w:cs="仿宋"/>
          <w:b/>
          <w:kern w:val="0"/>
          <w:sz w:val="32"/>
          <w:szCs w:val="32"/>
        </w:rPr>
      </w:pPr>
      <w:r>
        <w:rPr>
          <w:rFonts w:hint="eastAsia" w:ascii="仿宋" w:hAnsi="仿宋" w:eastAsia="仿宋" w:cs="仿宋"/>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rPr>
          <w:rFonts w:ascii="仿宋" w:hAnsi="仿宋" w:eastAsia="仿宋" w:cs="仿宋"/>
          <w:b/>
          <w:kern w:val="0"/>
          <w:sz w:val="32"/>
          <w:szCs w:val="32"/>
        </w:rPr>
      </w:pPr>
    </w:p>
    <w:p>
      <w:pPr>
        <w:pStyle w:val="2"/>
      </w:pPr>
    </w:p>
    <w:p>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三、落实政府采购政策需满足的资格要求（如果有）</w:t>
      </w:r>
    </w:p>
    <w:p>
      <w:pPr>
        <w:spacing w:line="360" w:lineRule="auto"/>
        <w:rPr>
          <w:rFonts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.专门面向中小企业，货物全部由符合政策要求的中小企业（或小微企业）制造或者服务全部由符合政策要求的中小企业（或小微企业）承接的，提供相应的中小企业声明函（附件7）。 </w:t>
      </w:r>
    </w:p>
    <w:p>
      <w:pPr>
        <w:widowControl/>
        <w:spacing w:line="360" w:lineRule="auto"/>
        <w:ind w:firstLine="480"/>
        <w:jc w:val="left"/>
        <w:rPr>
          <w:rFonts w:ascii="仿宋" w:hAnsi="仿宋" w:eastAsia="仿宋" w:cs="仿宋"/>
          <w:sz w:val="24"/>
        </w:rPr>
      </w:pPr>
    </w:p>
    <w:p>
      <w:pPr>
        <w:widowControl/>
        <w:spacing w:line="360" w:lineRule="auto"/>
        <w:ind w:firstLine="472" w:firstLineChars="196"/>
        <w:jc w:val="left"/>
        <w:rPr>
          <w:rFonts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制造或承接的，并相应达到了前述比例要求，视同符合了资格条件，无需再与其他中小企业组成联合体参加政府采购活动，无需提供联合协议。</w:t>
      </w:r>
    </w:p>
    <w:p>
      <w:pPr>
        <w:spacing w:line="360" w:lineRule="auto"/>
        <w:ind w:firstLine="480" w:firstLineChars="200"/>
        <w:rPr>
          <w:rFonts w:ascii="仿宋" w:hAnsi="仿宋" w:eastAsia="仿宋" w:cs="仿宋"/>
          <w:sz w:val="24"/>
        </w:rPr>
      </w:pPr>
    </w:p>
    <w:p>
      <w:pPr>
        <w:spacing w:line="360" w:lineRule="auto"/>
        <w:ind w:firstLine="482" w:firstLineChars="200"/>
        <w:rPr>
          <w:rFonts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制造或承接，并相应达到了前述比例要求，视同符合了资格条件，无需再向中小企业分包，无需提供分包意向协议。</w:t>
      </w: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p>
    <w:p>
      <w:pPr>
        <w:widowControl/>
        <w:spacing w:line="360" w:lineRule="auto"/>
        <w:ind w:left="150"/>
        <w:jc w:val="center"/>
        <w:rPr>
          <w:rFonts w:ascii="仿宋" w:hAnsi="仿宋" w:eastAsia="仿宋" w:cs="仿宋"/>
          <w:b/>
          <w:kern w:val="0"/>
          <w:sz w:val="32"/>
          <w:szCs w:val="32"/>
        </w:rPr>
      </w:pPr>
      <w:r>
        <w:rPr>
          <w:rFonts w:hint="eastAsia" w:ascii="仿宋" w:hAnsi="仿宋" w:eastAsia="仿宋" w:cs="仿宋"/>
          <w:b/>
          <w:kern w:val="0"/>
          <w:sz w:val="32"/>
          <w:szCs w:val="32"/>
        </w:rPr>
        <w:t>四、本项目的特定资格要求（如果有）</w:t>
      </w:r>
    </w:p>
    <w:p>
      <w:pPr>
        <w:spacing w:line="360" w:lineRule="auto"/>
        <w:jc w:val="center"/>
        <w:rPr>
          <w:rFonts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spacing w:line="360" w:lineRule="auto"/>
        <w:ind w:right="420"/>
        <w:rPr>
          <w:rFonts w:ascii="仿宋" w:hAnsi="仿宋" w:eastAsia="仿宋" w:cs="仿宋"/>
          <w:b/>
          <w:kern w:val="0"/>
          <w:sz w:val="36"/>
          <w:szCs w:val="36"/>
        </w:rPr>
        <w:sectPr>
          <w:pgSz w:w="11906" w:h="16838"/>
          <w:pgMar w:top="1276" w:right="1418" w:bottom="1247" w:left="1418" w:header="851" w:footer="992" w:gutter="0"/>
          <w:cols w:space="720" w:num="1"/>
          <w:titlePg/>
          <w:docGrid w:linePitch="312" w:charSpace="0"/>
        </w:sectPr>
      </w:pPr>
    </w:p>
    <w:p>
      <w:pPr>
        <w:spacing w:line="360" w:lineRule="auto"/>
        <w:ind w:right="420"/>
        <w:jc w:val="center"/>
        <w:rPr>
          <w:rFonts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ascii="仿宋" w:hAnsi="仿宋" w:eastAsia="仿宋" w:cs="仿宋"/>
          <w:b/>
          <w:kern w:val="0"/>
          <w:sz w:val="24"/>
        </w:rPr>
      </w:pPr>
    </w:p>
    <w:p>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（1）投标函………………………………………………………………………（页码）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（2）授权委托书或法定代表人（单位负责人、自然人本人）身份证明……（页码）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（3）分包意向协议（如果有）…………………………………………………（页码）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（4）符合性审查资料……………………………………………………………（页码）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（5）评标标准相应的商务技术资料……………………………………………（页码）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（6）投标标的清单………………………………………………………………（页码）</w:t>
      </w:r>
    </w:p>
    <w:p>
      <w:pPr>
        <w:snapToGrid w:val="0"/>
        <w:spacing w:line="360" w:lineRule="auto"/>
        <w:ind w:left="479" w:leftChars="228"/>
        <w:rPr>
          <w:rFonts w:ascii="仿宋" w:hAnsi="仿宋" w:eastAsia="仿宋" w:cs="仿宋"/>
          <w:sz w:val="24"/>
        </w:rPr>
      </w:pPr>
      <w:r>
        <w:rPr>
          <w:rFonts w:hint="eastAsia" w:ascii="仿宋" w:hAnsi="仿宋" w:eastAsia="仿宋" w:cs="仿宋"/>
          <w:sz w:val="24"/>
        </w:rPr>
        <w:t>（7）商务技术偏离表……………………………………………………………（页码）</w:t>
      </w:r>
    </w:p>
    <w:p>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napToGrid w:val="0"/>
        <w:spacing w:line="360" w:lineRule="auto"/>
        <w:outlineLvl w:val="0"/>
        <w:rPr>
          <w:rFonts w:ascii="仿宋" w:hAnsi="仿宋" w:eastAsia="仿宋" w:cs="仿宋"/>
          <w:b/>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pPr>
      <w:r>
        <w:rPr>
          <w:rFonts w:hint="eastAsia" w:ascii="仿宋" w:hAnsi="仿宋" w:eastAsia="仿宋" w:cs="仿宋"/>
          <w:sz w:val="24"/>
        </w:rPr>
        <w:t>2.1.2联合协议（如果有）；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firstLine="720" w:firstLineChars="3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720" w:firstLineChars="3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ascii="仿宋" w:hAnsi="仿宋" w:eastAsia="仿宋" w:cs="仿宋"/>
          <w:sz w:val="24"/>
        </w:rPr>
      </w:pPr>
      <w:r>
        <w:rPr>
          <w:rFonts w:hint="eastAsia" w:ascii="仿宋" w:hAnsi="仿宋" w:eastAsia="仿宋" w:cs="仿宋"/>
          <w:sz w:val="24"/>
        </w:rPr>
        <w:t xml:space="preserve">     日期：  年   月   日</w:t>
      </w:r>
    </w:p>
    <w:p>
      <w:pPr>
        <w:jc w:val="center"/>
        <w:rPr>
          <w:rFonts w:ascii="仿宋" w:hAnsi="仿宋" w:eastAsia="仿宋" w:cs="仿宋"/>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pStyle w:val="2"/>
        <w:rPr>
          <w:lang w:val="en-US"/>
        </w:rPr>
        <w:sectPr>
          <w:pgSz w:w="11906" w:h="16838"/>
          <w:pgMar w:top="1276" w:right="1418" w:bottom="1247" w:left="1418" w:header="851" w:footer="992" w:gutter="0"/>
          <w:cols w:space="720" w:num="1"/>
          <w:titlePg/>
          <w:docGrid w:linePitch="312" w:charSpace="0"/>
        </w:sectPr>
      </w:pPr>
    </w:p>
    <w:p>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ascii="仿宋" w:hAnsi="仿宋" w:eastAsia="仿宋" w:cs="仿宋"/>
          <w:sz w:val="24"/>
        </w:rPr>
      </w:pPr>
    </w:p>
    <w:p>
      <w:pPr>
        <w:jc w:val="center"/>
        <w:rPr>
          <w:rFonts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ascii="仿宋" w:hAnsi="仿宋" w:eastAsia="仿宋" w:cs="仿宋"/>
          <w:b/>
          <w:kern w:val="0"/>
          <w:sz w:val="32"/>
          <w:szCs w:val="32"/>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rPr>
          <w:rFonts w:ascii="仿宋" w:hAnsi="仿宋" w:eastAsia="仿宋" w:cs="仿宋"/>
          <w:b/>
          <w:kern w:val="0"/>
          <w:sz w:val="32"/>
          <w:szCs w:val="32"/>
        </w:rPr>
      </w:pPr>
    </w:p>
    <w:p>
      <w:pPr>
        <w:rPr>
          <w:rFonts w:ascii="仿宋" w:hAnsi="仿宋" w:eastAsia="仿宋" w:cs="仿宋"/>
        </w:rPr>
      </w:pP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pStyle w:val="2"/>
        <w:rPr>
          <w:rFonts w:ascii="仿宋" w:eastAsia="仿宋" w:cs="仿宋"/>
          <w:kern w:val="0"/>
          <w:sz w:val="24"/>
        </w:rPr>
      </w:pPr>
    </w:p>
    <w:p>
      <w:pPr>
        <w:spacing w:line="360" w:lineRule="auto"/>
        <w:ind w:firstLine="480" w:firstLineChars="200"/>
        <w:rPr>
          <w:rFonts w:ascii="仿宋" w:hAnsi="仿宋" w:eastAsia="仿宋" w:cs="仿宋"/>
          <w:kern w:val="0"/>
          <w:sz w:val="24"/>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
          <w:kern w:val="0"/>
          <w:sz w:val="24"/>
          <w:lang w:val="zh-CN"/>
        </w:rPr>
        <w:t>注：▲供应商委派不在本单位缴纳社保的人员作为授权代表（代理人）的，应当在投标（响应）文件中，说明具体原因、授权代表缴纳社保的单位，并附列该授权代表缴纳社保清单。</w:t>
      </w:r>
    </w:p>
    <w:p>
      <w:pPr>
        <w:snapToGrid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50"/>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ascii="仿宋" w:hAnsi="仿宋" w:eastAsia="仿宋" w:cs="仿宋"/>
                <w:bCs/>
                <w:sz w:val="24"/>
              </w:rPr>
            </w:pPr>
            <w:r>
              <w:rPr>
                <w:rFonts w:hint="eastAsia" w:ascii="仿宋" w:hAnsi="仿宋" w:eastAsia="仿宋" w:cs="仿宋"/>
                <w:bCs/>
                <w:sz w:val="24"/>
              </w:rPr>
              <w:t>正面：                                 反面：</w:t>
            </w:r>
          </w:p>
          <w:p>
            <w:pPr>
              <w:pStyle w:val="150"/>
              <w:adjustRightInd w:val="0"/>
              <w:spacing w:line="360" w:lineRule="auto"/>
              <w:rPr>
                <w:rFonts w:ascii="仿宋" w:hAnsi="仿宋" w:eastAsia="仿宋" w:cs="仿宋"/>
                <w:bCs/>
                <w:sz w:val="24"/>
              </w:rPr>
            </w:pPr>
          </w:p>
        </w:tc>
      </w:tr>
    </w:tbl>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napToGrid w:val="0"/>
        <w:spacing w:line="360" w:lineRule="auto"/>
        <w:rPr>
          <w:rFonts w:ascii="仿宋" w:hAnsi="仿宋" w:eastAsia="仿宋" w:cs="仿宋"/>
          <w:b/>
          <w:kern w:val="0"/>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三、分包意向协议（如果有）</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pStyle w:val="2"/>
      </w:pPr>
    </w:p>
    <w:p/>
    <w:p>
      <w:pPr>
        <w:pStyle w:val="2"/>
      </w:pPr>
    </w:p>
    <w:p>
      <w:pPr>
        <w:jc w:val="center"/>
        <w:rPr>
          <w:rFonts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1</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见投标文件</w:t>
            </w:r>
          </w:p>
          <w:p>
            <w:pPr>
              <w:rPr>
                <w:rFonts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2</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ascii="仿宋" w:hAnsi="仿宋" w:eastAsia="仿宋" w:cs="仿宋"/>
                <w:sz w:val="24"/>
              </w:rPr>
            </w:pPr>
            <w:r>
              <w:rPr>
                <w:rFonts w:hint="eastAsia" w:ascii="仿宋" w:hAnsi="仿宋" w:eastAsia="仿宋" w:cs="仿宋"/>
                <w:sz w:val="24"/>
              </w:rPr>
              <w:t>投标函</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sz w:val="24"/>
              </w:rPr>
            </w:pPr>
            <w:r>
              <w:rPr>
                <w:rFonts w:hint="eastAsia" w:ascii="仿宋" w:hAnsi="仿宋" w:eastAsia="仿宋" w:cs="仿宋"/>
                <w:sz w:val="24"/>
              </w:rPr>
              <w:t>3</w:t>
            </w:r>
          </w:p>
        </w:tc>
        <w:tc>
          <w:tcPr>
            <w:tcW w:w="4991" w:type="dxa"/>
          </w:tcPr>
          <w:p>
            <w:pPr>
              <w:spacing w:line="360" w:lineRule="auto"/>
              <w:rPr>
                <w:rFonts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jc w:val="center"/>
        <w:rPr>
          <w:rFonts w:ascii="仿宋" w:hAnsi="仿宋" w:eastAsia="仿宋" w:cs="仿宋"/>
          <w:b/>
          <w:kern w:val="0"/>
          <w:sz w:val="32"/>
          <w:szCs w:val="32"/>
        </w:rPr>
        <w:sectPr>
          <w:pgSz w:w="11906" w:h="16838"/>
          <w:pgMar w:top="1276" w:right="1418" w:bottom="1247" w:left="1418" w:header="851" w:footer="992" w:gutter="0"/>
          <w:cols w:space="720" w:num="1"/>
          <w:titlePg/>
          <w:docGrid w:linePitch="312" w:charSpace="0"/>
        </w:sectPr>
      </w:pPr>
    </w:p>
    <w:p>
      <w:pPr>
        <w:jc w:val="center"/>
        <w:rPr>
          <w:rFonts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ascii="仿宋" w:hAnsi="仿宋" w:eastAsia="仿宋" w:cs="仿宋"/>
          <w:b/>
          <w:kern w:val="0"/>
          <w:sz w:val="32"/>
          <w:szCs w:val="32"/>
        </w:rPr>
      </w:pPr>
    </w:p>
    <w:p>
      <w:pPr>
        <w:rPr>
          <w:rFonts w:ascii="仿宋" w:hAnsi="仿宋" w:eastAsia="仿宋" w:cs="仿宋"/>
          <w:b/>
          <w:kern w:val="0"/>
          <w:sz w:val="32"/>
          <w:szCs w:val="32"/>
        </w:rPr>
      </w:pPr>
    </w:p>
    <w:p>
      <w:pPr>
        <w:pStyle w:val="23"/>
      </w:pPr>
    </w:p>
    <w:p>
      <w:pPr>
        <w:pStyle w:val="23"/>
      </w:pPr>
    </w:p>
    <w:p>
      <w:pPr>
        <w:ind w:firstLine="2891" w:firstLineChars="900"/>
        <w:rPr>
          <w:rFonts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3"/>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276"/>
        <w:gridCol w:w="1308"/>
        <w:gridCol w:w="1625"/>
        <w:gridCol w:w="187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服务范围</w:t>
            </w:r>
          </w:p>
        </w:tc>
        <w:tc>
          <w:tcPr>
            <w:tcW w:w="13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服务要求</w:t>
            </w: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服务时间</w:t>
            </w: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服务标准</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sz w:val="24"/>
              </w:rPr>
            </w:pPr>
          </w:p>
        </w:tc>
        <w:tc>
          <w:tcPr>
            <w:tcW w:w="1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8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0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rPr>
          <w:rFonts w:ascii="仿宋" w:hAnsi="仿宋" w:eastAsia="仿宋" w:cs="仿宋"/>
          <w:b/>
          <w:kern w:val="0"/>
          <w:sz w:val="32"/>
          <w:szCs w:val="32"/>
        </w:rPr>
      </w:pPr>
    </w:p>
    <w:p>
      <w:pPr>
        <w:pStyle w:val="23"/>
        <w:rPr>
          <w:lang w:val="en-US"/>
        </w:rPr>
      </w:pPr>
    </w:p>
    <w:p>
      <w:pPr>
        <w:jc w:val="center"/>
        <w:rPr>
          <w:rFonts w:ascii="仿宋" w:hAnsi="仿宋" w:eastAsia="仿宋" w:cs="仿宋"/>
          <w:b/>
          <w:kern w:val="0"/>
          <w:sz w:val="32"/>
          <w:szCs w:val="32"/>
        </w:rPr>
      </w:pPr>
    </w:p>
    <w:p>
      <w:pPr>
        <w:pStyle w:val="23"/>
        <w:rPr>
          <w:lang w:val="en-US"/>
        </w:rPr>
      </w:pPr>
    </w:p>
    <w:p>
      <w:pPr>
        <w:jc w:val="center"/>
        <w:rPr>
          <w:rFonts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ascii="仿宋" w:hAnsi="仿宋" w:eastAsia="仿宋" w:cs="仿宋"/>
                <w:b/>
                <w:kern w:val="0"/>
                <w:sz w:val="32"/>
                <w:szCs w:val="32"/>
              </w:rPr>
            </w:pPr>
          </w:p>
        </w:tc>
        <w:tc>
          <w:tcPr>
            <w:tcW w:w="3546" w:type="dxa"/>
          </w:tcPr>
          <w:p>
            <w:pPr>
              <w:jc w:val="center"/>
              <w:rPr>
                <w:rFonts w:ascii="仿宋" w:hAnsi="仿宋" w:eastAsia="仿宋" w:cs="仿宋"/>
                <w:b/>
                <w:kern w:val="0"/>
                <w:sz w:val="32"/>
                <w:szCs w:val="32"/>
              </w:rPr>
            </w:pPr>
          </w:p>
        </w:tc>
        <w:tc>
          <w:tcPr>
            <w:tcW w:w="1276" w:type="dxa"/>
          </w:tcPr>
          <w:p>
            <w:pPr>
              <w:jc w:val="center"/>
              <w:rPr>
                <w:rFonts w:ascii="仿宋" w:hAnsi="仿宋" w:eastAsia="仿宋" w:cs="仿宋"/>
                <w:b/>
                <w:kern w:val="0"/>
                <w:sz w:val="32"/>
                <w:szCs w:val="32"/>
              </w:rPr>
            </w:pPr>
          </w:p>
        </w:tc>
      </w:tr>
    </w:tbl>
    <w:p>
      <w:pPr>
        <w:jc w:val="left"/>
        <w:rPr>
          <w:rFonts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left"/>
        <w:rPr>
          <w:rFonts w:ascii="仿宋" w:hAnsi="仿宋" w:eastAsia="仿宋" w:cs="仿宋"/>
          <w:kern w:val="0"/>
          <w:sz w:val="24"/>
        </w:rPr>
      </w:pPr>
    </w:p>
    <w:p>
      <w:pPr>
        <w:jc w:val="left"/>
        <w:rPr>
          <w:rFonts w:ascii="仿宋" w:hAnsi="仿宋" w:eastAsia="仿宋" w:cs="仿宋"/>
          <w:kern w:val="0"/>
          <w:sz w:val="24"/>
        </w:rPr>
      </w:pPr>
      <w:r>
        <w:rPr>
          <w:rFonts w:hint="eastAsia" w:ascii="仿宋" w:hAnsi="仿宋" w:eastAsia="仿宋" w:cs="仿宋"/>
          <w:kern w:val="0"/>
          <w:sz w:val="24"/>
        </w:rPr>
        <w:t>注：按本格式和要求提供。</w:t>
      </w:r>
    </w:p>
    <w:p>
      <w:pPr>
        <w:pStyle w:val="23"/>
        <w:rPr>
          <w:rFonts w:ascii="仿宋" w:hAnsi="仿宋" w:eastAsia="仿宋" w:cs="仿宋"/>
          <w:b/>
          <w:kern w:val="0"/>
          <w:sz w:val="32"/>
          <w:szCs w:val="32"/>
          <w:lang w:val="en-US"/>
        </w:rPr>
      </w:pPr>
    </w:p>
    <w:p>
      <w:pPr>
        <w:jc w:val="center"/>
        <w:sectPr>
          <w:pgSz w:w="11906" w:h="16838"/>
          <w:pgMar w:top="1276" w:right="1418" w:bottom="1247" w:left="1418" w:header="851" w:footer="992" w:gutter="0"/>
          <w:cols w:space="720" w:num="1"/>
          <w:titlePg/>
          <w:docGrid w:linePitch="312" w:charSpace="0"/>
        </w:sectPr>
      </w:pPr>
    </w:p>
    <w:p>
      <w:pPr>
        <w:ind w:firstLine="1911" w:firstLineChars="595"/>
        <w:rPr>
          <w:rFonts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pPr>
        <w:snapToGrid w:val="0"/>
        <w:spacing w:line="360" w:lineRule="auto"/>
        <w:rPr>
          <w:rFonts w:ascii="仿宋" w:hAnsi="仿宋" w:eastAsia="仿宋" w:cs="仿宋"/>
          <w:sz w:val="24"/>
        </w:rPr>
      </w:pPr>
    </w:p>
    <w:p>
      <w:pPr>
        <w:snapToGrid w:val="0"/>
        <w:spacing w:line="360" w:lineRule="auto"/>
        <w:rPr>
          <w:rFonts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jc w:val="left"/>
        <w:rPr>
          <w:rFonts w:ascii="仿宋" w:hAnsi="仿宋" w:eastAsia="仿宋" w:cs="仿宋"/>
          <w:kern w:val="0"/>
          <w:sz w:val="24"/>
          <w:lang w:val="zh-CN"/>
        </w:rPr>
      </w:pPr>
    </w:p>
    <w:p>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ascii="仿宋" w:hAnsi="仿宋" w:eastAsia="仿宋" w:cs="仿宋"/>
          <w:b/>
          <w:bCs/>
          <w:sz w:val="24"/>
        </w:rPr>
      </w:pPr>
    </w:p>
    <w:p>
      <w:pPr>
        <w:spacing w:line="360" w:lineRule="auto"/>
        <w:jc w:val="center"/>
        <w:rPr>
          <w:rFonts w:ascii="仿宋" w:hAnsi="仿宋" w:eastAsia="仿宋" w:cs="仿宋"/>
          <w:b/>
          <w:bCs/>
          <w:sz w:val="24"/>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ascii="仿宋" w:hAnsi="仿宋" w:eastAsia="仿宋" w:cs="仿宋"/>
          <w:b/>
          <w:kern w:val="0"/>
          <w:sz w:val="36"/>
          <w:szCs w:val="36"/>
        </w:rPr>
      </w:pPr>
    </w:p>
    <w:p>
      <w:pPr>
        <w:numPr>
          <w:ilvl w:val="0"/>
          <w:numId w:val="4"/>
        </w:numPr>
        <w:snapToGrid w:val="0"/>
        <w:spacing w:line="360" w:lineRule="auto"/>
        <w:ind w:right="480"/>
        <w:jc w:val="both"/>
        <w:rPr>
          <w:rFonts w:hint="eastAsia" w:ascii="仿宋" w:hAnsi="仿宋" w:eastAsia="仿宋" w:cs="仿宋"/>
          <w:sz w:val="24"/>
        </w:rPr>
      </w:pPr>
      <w:r>
        <w:rPr>
          <w:rFonts w:hint="eastAsia" w:ascii="仿宋" w:hAnsi="仿宋" w:eastAsia="仿宋" w:cs="仿宋"/>
          <w:sz w:val="24"/>
          <w:lang w:eastAsia="zh-CN"/>
        </w:rPr>
        <w:t>投标总价表</w:t>
      </w:r>
      <w:r>
        <w:rPr>
          <w:rFonts w:hint="eastAsia" w:ascii="仿宋" w:hAnsi="仿宋" w:eastAsia="仿宋" w:cs="仿宋"/>
          <w:sz w:val="24"/>
        </w:rPr>
        <w:t>…………………………………………………（页码）</w:t>
      </w:r>
    </w:p>
    <w:p>
      <w:pPr>
        <w:numPr>
          <w:ilvl w:val="0"/>
          <w:numId w:val="4"/>
        </w:numPr>
        <w:snapToGrid w:val="0"/>
        <w:spacing w:line="360" w:lineRule="auto"/>
        <w:ind w:right="480"/>
        <w:jc w:val="both"/>
      </w:pPr>
      <w:r>
        <w:rPr>
          <w:rFonts w:hint="eastAsia" w:ascii="仿宋" w:hAnsi="仿宋" w:eastAsia="仿宋" w:cs="仿宋"/>
          <w:sz w:val="24"/>
          <w:lang w:eastAsia="zh-CN"/>
        </w:rPr>
        <w:t>投标报价明细表</w:t>
      </w:r>
      <w:r>
        <w:rPr>
          <w:rFonts w:hint="eastAsia" w:ascii="仿宋" w:hAnsi="仿宋" w:eastAsia="仿宋" w:cs="仿宋"/>
          <w:sz w:val="24"/>
        </w:rPr>
        <w:t>…………………………………………………（页码）</w:t>
      </w:r>
    </w:p>
    <w:p>
      <w:pPr>
        <w:snapToGrid w:val="0"/>
        <w:spacing w:line="360" w:lineRule="auto"/>
        <w:ind w:right="480"/>
        <w:jc w:val="both"/>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）中小企业声明函（如果有）…………………………………………（页码）</w:t>
      </w: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snapToGrid w:val="0"/>
        <w:spacing w:line="360" w:lineRule="auto"/>
        <w:ind w:right="480"/>
        <w:jc w:val="center"/>
        <w:rPr>
          <w:rFonts w:ascii="仿宋" w:hAnsi="仿宋" w:eastAsia="仿宋" w:cs="仿宋"/>
          <w:b/>
          <w:kern w:val="0"/>
          <w:sz w:val="32"/>
          <w:szCs w:val="32"/>
        </w:rPr>
      </w:pP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pPr>
    </w:p>
    <w:p>
      <w:pPr>
        <w:adjustRightInd w:val="0"/>
        <w:snapToGrid w:val="0"/>
        <w:spacing w:line="360" w:lineRule="auto"/>
        <w:jc w:val="center"/>
        <w:outlineLvl w:val="0"/>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二、《投标总价表》</w:t>
      </w:r>
    </w:p>
    <w:tbl>
      <w:tblPr>
        <w:tblStyle w:val="63"/>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9498" w:type="dxa"/>
            <w:tcBorders>
              <w:top w:val="single" w:color="auto" w:sz="4" w:space="0"/>
              <w:bottom w:val="single" w:color="auto" w:sz="4" w:space="0"/>
            </w:tcBorders>
            <w:vAlign w:val="center"/>
          </w:tcPr>
          <w:p>
            <w:pPr>
              <w:spacing w:line="360" w:lineRule="auto"/>
              <w:rPr>
                <w:rFonts w:ascii="仿宋" w:hAnsi="仿宋" w:eastAsia="仿宋" w:cs="仿宋"/>
                <w:spacing w:val="-6"/>
                <w:sz w:val="24"/>
                <w:szCs w:val="24"/>
                <w:highlight w:val="none"/>
              </w:rPr>
            </w:pPr>
          </w:p>
          <w:p>
            <w:pPr>
              <w:spacing w:line="360" w:lineRule="auto"/>
              <w:rPr>
                <w:rFonts w:ascii="仿宋" w:hAnsi="仿宋" w:eastAsia="仿宋" w:cs="仿宋"/>
                <w:spacing w:val="-6"/>
                <w:sz w:val="24"/>
                <w:szCs w:val="24"/>
                <w:highlight w:val="none"/>
              </w:rPr>
            </w:pPr>
          </w:p>
          <w:p>
            <w:pPr>
              <w:spacing w:line="360" w:lineRule="auto"/>
              <w:jc w:val="center"/>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大写</w:t>
            </w:r>
            <w:r>
              <w:rPr>
                <w:rFonts w:ascii="仿宋" w:hAnsi="仿宋" w:eastAsia="仿宋" w:cs="仿宋"/>
                <w:spacing w:val="-6"/>
                <w:sz w:val="24"/>
                <w:szCs w:val="24"/>
                <w:highlight w:val="none"/>
                <w:u w:val="single"/>
              </w:rPr>
              <w:tab/>
            </w:r>
            <w:r>
              <w:rPr>
                <w:rFonts w:ascii="仿宋" w:hAnsi="仿宋" w:eastAsia="仿宋" w:cs="仿宋"/>
                <w:spacing w:val="-6"/>
                <w:sz w:val="24"/>
                <w:szCs w:val="24"/>
                <w:highlight w:val="none"/>
                <w:u w:val="single"/>
              </w:rPr>
              <w:tab/>
            </w:r>
            <w:r>
              <w:rPr>
                <w:rFonts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（小写</w:t>
            </w:r>
            <w:r>
              <w:rPr>
                <w:rFonts w:ascii="仿宋" w:hAnsi="仿宋" w:eastAsia="仿宋" w:cs="仿宋"/>
                <w:spacing w:val="-6"/>
                <w:sz w:val="24"/>
                <w:szCs w:val="24"/>
                <w:highlight w:val="none"/>
                <w:u w:val="single"/>
              </w:rPr>
              <w:tab/>
            </w:r>
            <w:r>
              <w:rPr>
                <w:rFonts w:ascii="仿宋" w:hAnsi="仿宋" w:eastAsia="仿宋" w:cs="仿宋"/>
                <w:spacing w:val="-6"/>
                <w:sz w:val="24"/>
                <w:szCs w:val="24"/>
                <w:highlight w:val="none"/>
                <w:u w:val="single"/>
              </w:rPr>
              <w:tab/>
            </w:r>
            <w:r>
              <w:rPr>
                <w:rFonts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w:t>
            </w:r>
          </w:p>
          <w:p>
            <w:pPr>
              <w:spacing w:line="360" w:lineRule="auto"/>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单位：人民币元</w:t>
            </w:r>
          </w:p>
          <w:p>
            <w:pPr>
              <w:spacing w:line="360" w:lineRule="auto"/>
              <w:rPr>
                <w:rFonts w:ascii="仿宋" w:hAnsi="仿宋" w:eastAsia="仿宋" w:cs="仿宋"/>
                <w:spacing w:val="-6"/>
                <w:sz w:val="24"/>
                <w:szCs w:val="24"/>
                <w:highlight w:val="none"/>
              </w:rPr>
            </w:pPr>
          </w:p>
          <w:p>
            <w:pPr>
              <w:spacing w:line="360" w:lineRule="auto"/>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▲投标多个标项的，中标标项优选顺序（仅投一个标项的投标人可以不填写下表）：</w:t>
            </w:r>
          </w:p>
          <w:tbl>
            <w:tblPr>
              <w:tblStyle w:val="63"/>
              <w:tblW w:w="5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t>优选顺序</w:t>
                  </w:r>
                </w:p>
              </w:tc>
              <w:tc>
                <w:tcPr>
                  <w:tcW w:w="3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t>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第一优选</w:t>
                  </w:r>
                </w:p>
              </w:tc>
              <w:tc>
                <w:tcPr>
                  <w:tcW w:w="3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第二优选</w:t>
                  </w:r>
                </w:p>
              </w:tc>
              <w:tc>
                <w:tcPr>
                  <w:tcW w:w="3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仿宋"/>
                      <w:spacing w:val="-6"/>
                      <w:sz w:val="24"/>
                      <w:szCs w:val="24"/>
                      <w:highlight w:val="none"/>
                    </w:rPr>
                  </w:pPr>
                </w:p>
              </w:tc>
            </w:tr>
          </w:tbl>
          <w:p>
            <w:pPr>
              <w:spacing w:line="360" w:lineRule="auto"/>
              <w:rPr>
                <w:rFonts w:ascii="仿宋" w:hAnsi="仿宋" w:eastAsia="仿宋" w:cs="仿宋"/>
                <w:spacing w:val="-6"/>
                <w:sz w:val="24"/>
                <w:szCs w:val="24"/>
                <w:highlight w:val="none"/>
              </w:rPr>
            </w:pPr>
          </w:p>
          <w:p>
            <w:pPr>
              <w:spacing w:line="360" w:lineRule="auto"/>
              <w:jc w:val="left"/>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t>投标总价包括履行所有规定服务所产生的全部费用。</w:t>
            </w:r>
          </w:p>
        </w:tc>
      </w:tr>
    </w:tbl>
    <w:p>
      <w:pPr>
        <w:spacing w:line="360" w:lineRule="auto"/>
        <w:rPr>
          <w:rFonts w:ascii="宋体"/>
          <w:spacing w:val="-6"/>
          <w:sz w:val="24"/>
          <w:highlight w:val="none"/>
        </w:rPr>
      </w:pPr>
    </w:p>
    <w:p>
      <w:pPr>
        <w:spacing w:line="360" w:lineRule="auto"/>
        <w:rPr>
          <w:rFonts w:ascii="宋体"/>
          <w:b/>
          <w:bCs/>
          <w:spacing w:val="-6"/>
          <w:szCs w:val="21"/>
          <w:highlight w:val="none"/>
        </w:rPr>
      </w:pPr>
      <w:r>
        <w:rPr>
          <w:rFonts w:hint="eastAsia" w:ascii="宋体" w:hAnsi="宋体"/>
          <w:b/>
          <w:bCs/>
          <w:spacing w:val="-6"/>
          <w:szCs w:val="21"/>
          <w:highlight w:val="none"/>
        </w:rPr>
        <w:t>注：▲本项目选取中标候选人按照“兼投不兼中”原则</w:t>
      </w:r>
      <w:r>
        <w:rPr>
          <w:rFonts w:hint="eastAsia"/>
          <w:highlight w:val="none"/>
          <w:lang w:eastAsia="zh-CN"/>
        </w:rPr>
        <w:t>（因本项目区域涉及广，设备和人员要求高，为保证养护服务质量，设置兼投不兼中条件。）</w:t>
      </w:r>
      <w:r>
        <w:rPr>
          <w:rFonts w:hint="eastAsia" w:ascii="宋体" w:hAnsi="宋体"/>
          <w:b/>
          <w:bCs/>
          <w:spacing w:val="-6"/>
          <w:szCs w:val="21"/>
          <w:highlight w:val="none"/>
        </w:rPr>
        <w:t>，投标多个标项的投标人必须明确其中标标项的优选顺序，根据投标人明确的优选顺序确定中标人，每个投标人只允许中标一个标项。优选顺序是唯一的，投标文件出现</w:t>
      </w:r>
      <w:r>
        <w:rPr>
          <w:rFonts w:ascii="宋体" w:hAnsi="宋体"/>
          <w:b/>
          <w:bCs/>
          <w:spacing w:val="-6"/>
          <w:szCs w:val="21"/>
          <w:highlight w:val="none"/>
        </w:rPr>
        <w:t>2</w:t>
      </w:r>
      <w:r>
        <w:rPr>
          <w:rFonts w:hint="eastAsia" w:ascii="宋体" w:hAnsi="宋体"/>
          <w:b/>
          <w:bCs/>
          <w:spacing w:val="-6"/>
          <w:szCs w:val="21"/>
          <w:highlight w:val="none"/>
        </w:rPr>
        <w:t>种或</w:t>
      </w:r>
      <w:r>
        <w:rPr>
          <w:rFonts w:ascii="宋体" w:hAnsi="宋体"/>
          <w:b/>
          <w:bCs/>
          <w:spacing w:val="-6"/>
          <w:szCs w:val="21"/>
          <w:highlight w:val="none"/>
        </w:rPr>
        <w:t>2</w:t>
      </w:r>
      <w:r>
        <w:rPr>
          <w:rFonts w:hint="eastAsia" w:ascii="宋体" w:hAnsi="宋体"/>
          <w:b/>
          <w:bCs/>
          <w:spacing w:val="-6"/>
          <w:szCs w:val="21"/>
          <w:highlight w:val="none"/>
        </w:rPr>
        <w:t>种以上优选顺序的投标无效。</w:t>
      </w:r>
    </w:p>
    <w:p>
      <w:pPr>
        <w:rPr>
          <w:rFonts w:ascii="宋体"/>
          <w:spacing w:val="-6"/>
          <w:sz w:val="24"/>
          <w:highlight w:val="none"/>
        </w:rPr>
      </w:pPr>
    </w:p>
    <w:p>
      <w:pPr>
        <w:jc w:val="right"/>
        <w:rPr>
          <w:rFonts w:ascii="宋体"/>
          <w:spacing w:val="-6"/>
          <w:sz w:val="24"/>
          <w:highlight w:val="none"/>
        </w:rPr>
      </w:pPr>
      <w:r>
        <w:rPr>
          <w:rFonts w:hint="eastAsia" w:ascii="宋体" w:hAnsi="宋体"/>
          <w:spacing w:val="-6"/>
          <w:sz w:val="24"/>
          <w:highlight w:val="none"/>
        </w:rPr>
        <w:t>投标人名称：（电子签名）：</w:t>
      </w:r>
    </w:p>
    <w:p>
      <w:pP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日期：</w:t>
      </w:r>
      <w:r>
        <w:rPr>
          <w:rFonts w:ascii="宋体" w:hAnsi="宋体"/>
          <w:spacing w:val="-6"/>
          <w:sz w:val="24"/>
          <w:highlight w:val="none"/>
        </w:rPr>
        <w:t xml:space="preserve">  </w:t>
      </w:r>
      <w:r>
        <w:rPr>
          <w:rFonts w:hint="eastAsia" w:ascii="宋体" w:hAnsi="宋体"/>
          <w:spacing w:val="-6"/>
          <w:sz w:val="24"/>
          <w:highlight w:val="none"/>
        </w:rPr>
        <w:t>年</w:t>
      </w:r>
      <w:r>
        <w:rPr>
          <w:rFonts w:ascii="宋体" w:hAnsi="宋体"/>
          <w:spacing w:val="-6"/>
          <w:sz w:val="24"/>
          <w:highlight w:val="none"/>
        </w:rPr>
        <w:t xml:space="preserve">   </w:t>
      </w:r>
      <w:r>
        <w:rPr>
          <w:rFonts w:hint="eastAsia" w:ascii="宋体" w:hAnsi="宋体"/>
          <w:spacing w:val="-6"/>
          <w:sz w:val="24"/>
          <w:highlight w:val="none"/>
        </w:rPr>
        <w:t>月</w:t>
      </w:r>
      <w:r>
        <w:rPr>
          <w:rFonts w:ascii="宋体" w:hAnsi="宋体"/>
          <w:spacing w:val="-6"/>
          <w:sz w:val="24"/>
          <w:highlight w:val="none"/>
        </w:rPr>
        <w:t xml:space="preserve">   </w:t>
      </w:r>
      <w:r>
        <w:rPr>
          <w:rFonts w:hint="eastAsia" w:ascii="宋体" w:hAnsi="宋体"/>
          <w:spacing w:val="-6"/>
          <w:sz w:val="24"/>
          <w:highlight w:val="none"/>
        </w:rPr>
        <w:t>日</w:t>
      </w:r>
    </w:p>
    <w:p>
      <w:pPr>
        <w:pStyle w:val="26"/>
        <w:ind w:left="31680"/>
        <w:rPr>
          <w:highlight w:val="none"/>
        </w:rPr>
      </w:pPr>
    </w:p>
    <w:p>
      <w:pPr>
        <w:rPr>
          <w:rFonts w:ascii="仿宋_GB2312" w:hAnsi="仿宋" w:eastAsia="仿宋_GB2312" w:cs="仿宋_GB2312"/>
          <w:b/>
          <w:sz w:val="32"/>
          <w:szCs w:val="32"/>
          <w:highlight w:val="none"/>
        </w:rPr>
      </w:pPr>
      <w:r>
        <w:rPr>
          <w:rFonts w:ascii="仿宋_GB2312" w:hAnsi="仿宋" w:eastAsia="仿宋_GB2312" w:cs="仿宋_GB2312"/>
          <w:b/>
          <w:sz w:val="32"/>
          <w:szCs w:val="32"/>
          <w:highlight w:val="none"/>
        </w:rPr>
        <w:br w:type="page"/>
      </w:r>
    </w:p>
    <w:p>
      <w:pPr>
        <w:adjustRightInd w:val="0"/>
        <w:snapToGrid w:val="0"/>
        <w:spacing w:before="120" w:after="120" w:line="360" w:lineRule="auto"/>
        <w:ind w:firstLine="643"/>
        <w:jc w:val="center"/>
        <w:rPr>
          <w:rFonts w:ascii="仿宋_GB2312" w:hAnsi="仿宋" w:eastAsia="仿宋_GB2312" w:cs="仿宋_GB2312"/>
          <w:b/>
          <w:sz w:val="32"/>
          <w:szCs w:val="32"/>
          <w:highlight w:val="none"/>
        </w:rPr>
      </w:pPr>
      <w:r>
        <w:rPr>
          <w:rFonts w:hint="eastAsia" w:ascii="仿宋_GB2312" w:hAnsi="仿宋" w:eastAsia="仿宋_GB2312" w:cs="仿宋_GB2312"/>
          <w:b/>
          <w:sz w:val="32"/>
          <w:szCs w:val="32"/>
          <w:highlight w:val="none"/>
        </w:rPr>
        <w:t>三、《投标报价明细表》</w:t>
      </w:r>
    </w:p>
    <w:p>
      <w:pPr>
        <w:adjustRightInd w:val="0"/>
        <w:snapToGrid w:val="0"/>
        <w:spacing w:line="360" w:lineRule="auto"/>
        <w:rPr>
          <w:rFonts w:ascii="仿宋_GB2312" w:hAnsi="仿宋" w:eastAsia="仿宋_GB2312" w:cs="仿宋_GB2312"/>
          <w:kern w:val="0"/>
          <w:sz w:val="24"/>
          <w:szCs w:val="24"/>
          <w:highlight w:val="none"/>
        </w:rPr>
      </w:pPr>
      <w:bookmarkStart w:id="396" w:name="_Toc86217005"/>
      <w:r>
        <w:rPr>
          <w:rFonts w:hint="eastAsia" w:ascii="仿宋_GB2312" w:hAnsi="仿宋" w:eastAsia="仿宋_GB2312" w:cs="仿宋_GB2312"/>
          <w:sz w:val="24"/>
          <w:szCs w:val="24"/>
          <w:highlight w:val="none"/>
        </w:rPr>
        <w:t>杭州市钱塘区综合行政执法局、杭州市公共资源交易中心钱塘区分中心</w:t>
      </w:r>
      <w:r>
        <w:rPr>
          <w:rFonts w:hint="eastAsia" w:ascii="仿宋_GB2312" w:hAnsi="仿宋" w:eastAsia="仿宋_GB2312" w:cs="仿宋_GB2312"/>
          <w:kern w:val="0"/>
          <w:sz w:val="24"/>
          <w:szCs w:val="24"/>
          <w:highlight w:val="none"/>
          <w:lang w:val="zh-CN"/>
        </w:rPr>
        <w:t>：</w:t>
      </w:r>
    </w:p>
    <w:p>
      <w:pPr>
        <w:adjustRightInd w:val="0"/>
        <w:snapToGrid w:val="0"/>
        <w:spacing w:line="360" w:lineRule="auto"/>
        <w:ind w:firstLine="482"/>
        <w:rPr>
          <w:rFonts w:ascii="仿宋_GB2312" w:hAnsi="仿宋" w:eastAsia="仿宋_GB2312" w:cs="仿宋_GB2312"/>
          <w:kern w:val="0"/>
          <w:sz w:val="24"/>
          <w:szCs w:val="24"/>
          <w:highlight w:val="none"/>
          <w:lang w:val="zh-CN"/>
        </w:rPr>
      </w:pPr>
      <w:r>
        <w:rPr>
          <w:rFonts w:hint="eastAsia" w:ascii="仿宋_GB2312" w:hAnsi="仿宋" w:eastAsia="仿宋_GB2312" w:cs="仿宋_GB2312"/>
          <w:kern w:val="0"/>
          <w:sz w:val="24"/>
          <w:szCs w:val="24"/>
          <w:highlight w:val="none"/>
          <w:lang w:val="zh-CN"/>
        </w:rPr>
        <w:t>按你方招标文件要求，我们，本投标文件签字方，谨此向你方发出要约如下：如你方接受本投标，我方承诺按照如下《投标报价明细表》的价格完成</w:t>
      </w:r>
      <w:r>
        <w:rPr>
          <w:rFonts w:ascii="仿宋_GB2312" w:hAnsi="仿宋" w:eastAsia="仿宋_GB2312" w:cs="仿宋_GB2312"/>
          <w:sz w:val="24"/>
          <w:szCs w:val="24"/>
          <w:highlight w:val="none"/>
        </w:rPr>
        <w:t xml:space="preserve"> </w:t>
      </w:r>
      <w:r>
        <w:rPr>
          <w:rFonts w:hint="eastAsia" w:ascii="仿宋_GB2312" w:hAnsi="仿宋" w:eastAsia="仿宋_GB2312" w:cs="仿宋_GB2312"/>
          <w:sz w:val="24"/>
          <w:szCs w:val="24"/>
          <w:highlight w:val="none"/>
        </w:rPr>
        <w:t>2023-2025年钱塘区景观灯及附属设施养护服务项目</w:t>
      </w:r>
      <w:r>
        <w:rPr>
          <w:rFonts w:hint="eastAsia" w:ascii="仿宋_GB2312" w:hAnsi="仿宋" w:eastAsia="仿宋_GB2312" w:cs="仿宋_GB2312"/>
          <w:kern w:val="0"/>
          <w:sz w:val="24"/>
          <w:szCs w:val="24"/>
          <w:highlight w:val="none"/>
          <w:lang w:val="zh-CN"/>
        </w:rPr>
        <w:t>【招标编号：</w:t>
      </w:r>
      <w:r>
        <w:rPr>
          <w:rFonts w:ascii="仿宋_GB2312" w:hAnsi="仿宋" w:eastAsia="仿宋_GB2312" w:cs="仿宋_GB2312"/>
          <w:sz w:val="24"/>
          <w:szCs w:val="24"/>
          <w:highlight w:val="none"/>
        </w:rPr>
        <w:t>QT</w:t>
      </w:r>
      <w:r>
        <w:rPr>
          <w:rFonts w:hint="eastAsia" w:ascii="仿宋_GB2312" w:hAnsi="仿宋" w:eastAsia="仿宋_GB2312" w:cs="仿宋_GB2312"/>
          <w:sz w:val="24"/>
          <w:szCs w:val="24"/>
          <w:highlight w:val="none"/>
          <w:lang w:val="en-US" w:eastAsia="zh-CN"/>
        </w:rPr>
        <w:t>CK</w:t>
      </w:r>
      <w:r>
        <w:rPr>
          <w:rFonts w:ascii="仿宋_GB2312" w:hAnsi="仿宋" w:eastAsia="仿宋_GB2312" w:cs="仿宋_GB2312"/>
          <w:sz w:val="24"/>
          <w:szCs w:val="24"/>
          <w:highlight w:val="none"/>
        </w:rPr>
        <w:t>-GK-202</w:t>
      </w:r>
      <w:r>
        <w:rPr>
          <w:rFonts w:hint="eastAsia" w:ascii="仿宋_GB2312" w:hAnsi="仿宋" w:eastAsia="仿宋_GB2312" w:cs="仿宋_GB2312"/>
          <w:sz w:val="24"/>
          <w:szCs w:val="24"/>
          <w:highlight w:val="none"/>
          <w:lang w:val="en-US" w:eastAsia="zh-CN"/>
        </w:rPr>
        <w:t>3</w:t>
      </w:r>
      <w:r>
        <w:rPr>
          <w:rFonts w:ascii="仿宋_GB2312" w:hAnsi="仿宋" w:eastAsia="仿宋_GB2312" w:cs="仿宋_GB2312"/>
          <w:sz w:val="24"/>
          <w:szCs w:val="24"/>
          <w:highlight w:val="none"/>
        </w:rPr>
        <w:t>-</w:t>
      </w:r>
      <w:r>
        <w:rPr>
          <w:rFonts w:hint="eastAsia" w:ascii="仿宋_GB2312" w:hAnsi="仿宋" w:eastAsia="仿宋_GB2312" w:cs="仿宋_GB2312"/>
          <w:sz w:val="24"/>
          <w:szCs w:val="24"/>
          <w:highlight w:val="none"/>
          <w:lang w:val="en-US" w:eastAsia="zh-CN"/>
        </w:rPr>
        <w:t>358</w:t>
      </w:r>
      <w:r>
        <w:rPr>
          <w:rFonts w:hint="eastAsia" w:ascii="仿宋_GB2312" w:hAnsi="仿宋" w:eastAsia="仿宋_GB2312" w:cs="仿宋_GB2312"/>
          <w:sz w:val="24"/>
          <w:szCs w:val="24"/>
          <w:highlight w:val="none"/>
        </w:rPr>
        <w:t>】</w:t>
      </w:r>
      <w:r>
        <w:rPr>
          <w:rFonts w:hint="eastAsia" w:ascii="仿宋_GB2312" w:hAnsi="仿宋" w:eastAsia="仿宋_GB2312" w:cs="仿宋_GB2312"/>
          <w:sz w:val="24"/>
          <w:szCs w:val="24"/>
          <w:highlight w:val="none"/>
        </w:rPr>
        <w:t>的实施</w:t>
      </w:r>
      <w:r>
        <w:rPr>
          <w:rFonts w:hint="eastAsia" w:ascii="仿宋_GB2312" w:hAnsi="仿宋" w:eastAsia="仿宋_GB2312" w:cs="仿宋_GB2312"/>
          <w:kern w:val="0"/>
          <w:sz w:val="24"/>
          <w:szCs w:val="24"/>
          <w:highlight w:val="none"/>
          <w:lang w:val="zh-CN"/>
        </w:rPr>
        <w:t>。</w:t>
      </w:r>
    </w:p>
    <w:p>
      <w:pPr>
        <w:adjustRightInd w:val="0"/>
        <w:spacing w:line="360" w:lineRule="auto"/>
        <w:jc w:val="center"/>
        <w:rPr>
          <w:rFonts w:ascii="仿宋_GB2312" w:hAnsi="仿宋" w:eastAsia="仿宋_GB2312" w:cs="仿宋_GB2312"/>
          <w:b/>
          <w:kern w:val="0"/>
          <w:sz w:val="24"/>
          <w:szCs w:val="24"/>
          <w:highlight w:val="none"/>
          <w:lang w:val="zh-CN"/>
        </w:rPr>
      </w:pPr>
      <w:r>
        <w:rPr>
          <w:rFonts w:hint="eastAsia" w:ascii="仿宋_GB2312" w:hAnsi="仿宋" w:eastAsia="仿宋_GB2312" w:cs="仿宋_GB2312"/>
          <w:b/>
          <w:kern w:val="0"/>
          <w:sz w:val="24"/>
          <w:szCs w:val="24"/>
          <w:highlight w:val="none"/>
          <w:lang w:val="zh-CN"/>
        </w:rPr>
        <w:t>投标报价明细表</w:t>
      </w:r>
      <w:r>
        <w:rPr>
          <w:rFonts w:ascii="仿宋_GB2312" w:hAnsi="仿宋" w:eastAsia="仿宋_GB2312" w:cs="仿宋_GB2312"/>
          <w:b/>
          <w:kern w:val="0"/>
          <w:sz w:val="24"/>
          <w:szCs w:val="24"/>
          <w:highlight w:val="none"/>
          <w:lang w:val="zh-CN"/>
        </w:rPr>
        <w:t>(</w:t>
      </w:r>
      <w:r>
        <w:rPr>
          <w:rFonts w:hint="eastAsia" w:ascii="仿宋_GB2312" w:hAnsi="仿宋" w:eastAsia="仿宋_GB2312" w:cs="仿宋_GB2312"/>
          <w:b/>
          <w:kern w:val="0"/>
          <w:sz w:val="24"/>
          <w:szCs w:val="24"/>
          <w:highlight w:val="none"/>
          <w:lang w:val="zh-CN"/>
        </w:rPr>
        <w:t>单位均为人民币元</w:t>
      </w:r>
      <w:r>
        <w:rPr>
          <w:rFonts w:ascii="仿宋_GB2312" w:hAnsi="仿宋" w:eastAsia="仿宋_GB2312" w:cs="仿宋_GB2312"/>
          <w:b/>
          <w:kern w:val="0"/>
          <w:sz w:val="24"/>
          <w:szCs w:val="24"/>
          <w:highlight w:val="none"/>
          <w:lang w:val="zh-CN"/>
        </w:rPr>
        <w:t>)</w:t>
      </w:r>
    </w:p>
    <w:tbl>
      <w:tblPr>
        <w:tblStyle w:val="63"/>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91"/>
        <w:gridCol w:w="1605"/>
        <w:gridCol w:w="1605"/>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17" w:type="dxa"/>
            <w:vAlign w:val="center"/>
          </w:tcPr>
          <w:p>
            <w:pPr>
              <w:spacing w:line="360" w:lineRule="auto"/>
              <w:jc w:val="center"/>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序号</w:t>
            </w:r>
          </w:p>
        </w:tc>
        <w:tc>
          <w:tcPr>
            <w:tcW w:w="2391" w:type="dxa"/>
            <w:vAlign w:val="center"/>
          </w:tcPr>
          <w:p>
            <w:pPr>
              <w:spacing w:line="360" w:lineRule="auto"/>
              <w:jc w:val="center"/>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类型</w:t>
            </w:r>
          </w:p>
        </w:tc>
        <w:tc>
          <w:tcPr>
            <w:tcW w:w="1605" w:type="dxa"/>
            <w:vAlign w:val="center"/>
          </w:tcPr>
          <w:p>
            <w:pPr>
              <w:spacing w:line="360" w:lineRule="auto"/>
              <w:jc w:val="center"/>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数量</w:t>
            </w:r>
          </w:p>
        </w:tc>
        <w:tc>
          <w:tcPr>
            <w:tcW w:w="1605" w:type="dxa"/>
            <w:vAlign w:val="center"/>
          </w:tcPr>
          <w:p>
            <w:pPr>
              <w:spacing w:line="360" w:lineRule="auto"/>
              <w:jc w:val="center"/>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综合单价</w:t>
            </w:r>
          </w:p>
          <w:p>
            <w:pPr>
              <w:spacing w:line="360" w:lineRule="auto"/>
              <w:jc w:val="center"/>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（元</w:t>
            </w:r>
            <w:r>
              <w:rPr>
                <w:rFonts w:ascii="仿宋" w:hAnsi="仿宋" w:eastAsia="仿宋" w:cs="仿宋"/>
                <w:spacing w:val="-6"/>
                <w:sz w:val="24"/>
                <w:szCs w:val="24"/>
                <w:highlight w:val="none"/>
              </w:rPr>
              <w:t>/</w:t>
            </w:r>
            <w:r>
              <w:rPr>
                <w:rFonts w:hint="eastAsia" w:ascii="仿宋" w:hAnsi="仿宋" w:eastAsia="仿宋" w:cs="仿宋"/>
                <w:spacing w:val="-6"/>
                <w:sz w:val="24"/>
                <w:szCs w:val="24"/>
                <w:highlight w:val="none"/>
              </w:rPr>
              <w:t>盏</w:t>
            </w:r>
            <w:r>
              <w:rPr>
                <w:rFonts w:ascii="仿宋" w:hAnsi="仿宋" w:eastAsia="仿宋" w:cs="仿宋"/>
                <w:spacing w:val="-6"/>
                <w:sz w:val="24"/>
                <w:szCs w:val="24"/>
                <w:highlight w:val="none"/>
              </w:rPr>
              <w:t>/</w:t>
            </w:r>
            <w:r>
              <w:rPr>
                <w:rFonts w:hint="eastAsia" w:ascii="仿宋" w:hAnsi="仿宋" w:eastAsia="仿宋" w:cs="仿宋"/>
                <w:spacing w:val="-6"/>
                <w:sz w:val="24"/>
                <w:szCs w:val="24"/>
                <w:highlight w:val="none"/>
              </w:rPr>
              <w:t>年）</w:t>
            </w:r>
          </w:p>
        </w:tc>
        <w:tc>
          <w:tcPr>
            <w:tcW w:w="1605" w:type="dxa"/>
            <w:vAlign w:val="center"/>
          </w:tcPr>
          <w:p>
            <w:pPr>
              <w:spacing w:line="360" w:lineRule="auto"/>
              <w:jc w:val="center"/>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小计</w:t>
            </w:r>
          </w:p>
        </w:tc>
        <w:tc>
          <w:tcPr>
            <w:tcW w:w="1605" w:type="dxa"/>
            <w:vAlign w:val="center"/>
          </w:tcPr>
          <w:p>
            <w:pPr>
              <w:spacing w:line="360" w:lineRule="auto"/>
              <w:jc w:val="center"/>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pPr>
              <w:spacing w:line="360" w:lineRule="auto"/>
              <w:jc w:val="center"/>
              <w:rPr>
                <w:rFonts w:ascii="仿宋" w:hAnsi="仿宋" w:eastAsia="仿宋" w:cs="仿宋"/>
                <w:spacing w:val="-6"/>
                <w:sz w:val="24"/>
                <w:szCs w:val="24"/>
                <w:highlight w:val="none"/>
              </w:rPr>
            </w:pPr>
            <w:r>
              <w:rPr>
                <w:rFonts w:ascii="仿宋" w:hAnsi="仿宋" w:eastAsia="仿宋" w:cs="仿宋"/>
                <w:spacing w:val="-6"/>
                <w:sz w:val="24"/>
                <w:szCs w:val="24"/>
                <w:highlight w:val="none"/>
              </w:rPr>
              <w:t>1</w:t>
            </w:r>
          </w:p>
        </w:tc>
        <w:tc>
          <w:tcPr>
            <w:tcW w:w="2391" w:type="dxa"/>
            <w:vAlign w:val="center"/>
          </w:tcPr>
          <w:p>
            <w:pPr>
              <w:spacing w:line="360" w:lineRule="auto"/>
              <w:jc w:val="center"/>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楼宇灯具</w:t>
            </w:r>
          </w:p>
        </w:tc>
        <w:tc>
          <w:tcPr>
            <w:tcW w:w="1605" w:type="dxa"/>
            <w:vAlign w:val="center"/>
          </w:tcPr>
          <w:p>
            <w:pPr>
              <w:wordWrap w:val="0"/>
              <w:spacing w:line="360" w:lineRule="auto"/>
              <w:jc w:val="right"/>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（盏）</w:t>
            </w:r>
          </w:p>
        </w:tc>
        <w:tc>
          <w:tcPr>
            <w:tcW w:w="1605" w:type="dxa"/>
            <w:vAlign w:val="center"/>
          </w:tcPr>
          <w:p>
            <w:pPr>
              <w:spacing w:line="360" w:lineRule="auto"/>
              <w:jc w:val="center"/>
              <w:rPr>
                <w:rFonts w:ascii="仿宋" w:hAnsi="仿宋" w:eastAsia="仿宋" w:cs="仿宋"/>
                <w:spacing w:val="-6"/>
                <w:sz w:val="24"/>
                <w:szCs w:val="24"/>
                <w:highlight w:val="none"/>
              </w:rPr>
            </w:pPr>
          </w:p>
        </w:tc>
        <w:tc>
          <w:tcPr>
            <w:tcW w:w="1605" w:type="dxa"/>
            <w:vAlign w:val="center"/>
          </w:tcPr>
          <w:p>
            <w:pPr>
              <w:spacing w:line="360" w:lineRule="auto"/>
              <w:jc w:val="center"/>
              <w:rPr>
                <w:rFonts w:ascii="仿宋" w:hAnsi="仿宋" w:eastAsia="仿宋" w:cs="仿宋"/>
                <w:spacing w:val="-6"/>
                <w:sz w:val="24"/>
                <w:szCs w:val="24"/>
                <w:highlight w:val="none"/>
              </w:rPr>
            </w:pPr>
          </w:p>
        </w:tc>
        <w:tc>
          <w:tcPr>
            <w:tcW w:w="1605" w:type="dxa"/>
            <w:vAlign w:val="center"/>
          </w:tcPr>
          <w:p>
            <w:pPr>
              <w:spacing w:line="360" w:lineRule="auto"/>
              <w:jc w:val="center"/>
              <w:rPr>
                <w:rFonts w:ascii="仿宋" w:hAnsi="仿宋" w:eastAsia="仿宋" w:cs="仿宋"/>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17" w:type="dxa"/>
            <w:vAlign w:val="center"/>
          </w:tcPr>
          <w:p>
            <w:pPr>
              <w:spacing w:line="360" w:lineRule="auto"/>
              <w:jc w:val="center"/>
              <w:rPr>
                <w:rFonts w:ascii="仿宋" w:hAnsi="仿宋" w:eastAsia="仿宋" w:cs="仿宋"/>
                <w:spacing w:val="-6"/>
                <w:sz w:val="24"/>
                <w:szCs w:val="24"/>
                <w:highlight w:val="none"/>
              </w:rPr>
            </w:pPr>
            <w:r>
              <w:rPr>
                <w:rFonts w:ascii="仿宋" w:hAnsi="仿宋" w:eastAsia="仿宋" w:cs="仿宋"/>
                <w:spacing w:val="-6"/>
                <w:sz w:val="24"/>
                <w:szCs w:val="24"/>
                <w:highlight w:val="none"/>
              </w:rPr>
              <w:t>2</w:t>
            </w:r>
          </w:p>
        </w:tc>
        <w:tc>
          <w:tcPr>
            <w:tcW w:w="2391" w:type="dxa"/>
            <w:vAlign w:val="center"/>
          </w:tcPr>
          <w:p>
            <w:pPr>
              <w:spacing w:line="360" w:lineRule="auto"/>
              <w:jc w:val="center"/>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地面灯具</w:t>
            </w:r>
          </w:p>
        </w:tc>
        <w:tc>
          <w:tcPr>
            <w:tcW w:w="1605" w:type="dxa"/>
            <w:vAlign w:val="center"/>
          </w:tcPr>
          <w:p>
            <w:pPr>
              <w:spacing w:line="360" w:lineRule="auto"/>
              <w:jc w:val="right"/>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（盏）</w:t>
            </w:r>
          </w:p>
        </w:tc>
        <w:tc>
          <w:tcPr>
            <w:tcW w:w="1605" w:type="dxa"/>
            <w:vAlign w:val="center"/>
          </w:tcPr>
          <w:p>
            <w:pPr>
              <w:spacing w:line="360" w:lineRule="auto"/>
              <w:jc w:val="center"/>
              <w:rPr>
                <w:rFonts w:ascii="仿宋" w:hAnsi="仿宋" w:eastAsia="仿宋" w:cs="仿宋"/>
                <w:spacing w:val="-6"/>
                <w:sz w:val="24"/>
                <w:szCs w:val="24"/>
                <w:highlight w:val="none"/>
              </w:rPr>
            </w:pPr>
          </w:p>
        </w:tc>
        <w:tc>
          <w:tcPr>
            <w:tcW w:w="1605" w:type="dxa"/>
            <w:vAlign w:val="center"/>
          </w:tcPr>
          <w:p>
            <w:pPr>
              <w:spacing w:line="360" w:lineRule="auto"/>
              <w:jc w:val="center"/>
              <w:rPr>
                <w:rFonts w:ascii="仿宋" w:hAnsi="仿宋" w:eastAsia="仿宋" w:cs="仿宋"/>
                <w:spacing w:val="-6"/>
                <w:sz w:val="24"/>
                <w:szCs w:val="24"/>
                <w:highlight w:val="none"/>
              </w:rPr>
            </w:pPr>
          </w:p>
        </w:tc>
        <w:tc>
          <w:tcPr>
            <w:tcW w:w="1605" w:type="dxa"/>
            <w:vAlign w:val="center"/>
          </w:tcPr>
          <w:p>
            <w:pPr>
              <w:spacing w:line="360" w:lineRule="auto"/>
              <w:jc w:val="center"/>
              <w:rPr>
                <w:rFonts w:ascii="仿宋" w:hAnsi="仿宋" w:eastAsia="仿宋" w:cs="仿宋"/>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7" w:type="dxa"/>
            <w:vAlign w:val="center"/>
          </w:tcPr>
          <w:p>
            <w:pPr>
              <w:spacing w:line="360" w:lineRule="auto"/>
              <w:jc w:val="center"/>
              <w:rPr>
                <w:rFonts w:ascii="仿宋" w:hAnsi="仿宋" w:eastAsia="仿宋" w:cs="仿宋"/>
                <w:spacing w:val="-6"/>
                <w:sz w:val="24"/>
                <w:szCs w:val="24"/>
                <w:highlight w:val="none"/>
              </w:rPr>
            </w:pPr>
            <w:r>
              <w:rPr>
                <w:rFonts w:ascii="仿宋" w:hAnsi="仿宋" w:eastAsia="仿宋" w:cs="仿宋"/>
                <w:spacing w:val="-6"/>
                <w:sz w:val="24"/>
                <w:szCs w:val="24"/>
                <w:highlight w:val="none"/>
              </w:rPr>
              <w:t>3</w:t>
            </w:r>
          </w:p>
        </w:tc>
        <w:tc>
          <w:tcPr>
            <w:tcW w:w="2391" w:type="dxa"/>
            <w:vAlign w:val="center"/>
          </w:tcPr>
          <w:p>
            <w:pPr>
              <w:spacing w:line="360" w:lineRule="auto"/>
              <w:jc w:val="center"/>
              <w:rPr>
                <w:rFonts w:ascii="仿宋" w:hAnsi="仿宋" w:eastAsia="仿宋" w:cs="仿宋"/>
                <w:spacing w:val="-6"/>
                <w:sz w:val="24"/>
                <w:szCs w:val="24"/>
                <w:highlight w:val="none"/>
              </w:rPr>
            </w:pPr>
            <w:r>
              <w:rPr>
                <w:rFonts w:hint="eastAsia" w:ascii="仿宋" w:hAnsi="仿宋" w:eastAsia="仿宋" w:cs="仿宋"/>
                <w:spacing w:val="-6"/>
                <w:sz w:val="24"/>
                <w:szCs w:val="24"/>
                <w:highlight w:val="none"/>
              </w:rPr>
              <w:t>·····</w:t>
            </w:r>
          </w:p>
        </w:tc>
        <w:tc>
          <w:tcPr>
            <w:tcW w:w="1605" w:type="dxa"/>
            <w:vAlign w:val="center"/>
          </w:tcPr>
          <w:p>
            <w:pPr>
              <w:spacing w:line="360" w:lineRule="auto"/>
              <w:jc w:val="center"/>
              <w:rPr>
                <w:rFonts w:ascii="仿宋" w:hAnsi="仿宋" w:eastAsia="仿宋" w:cs="仿宋"/>
                <w:spacing w:val="-6"/>
                <w:sz w:val="24"/>
                <w:szCs w:val="24"/>
                <w:highlight w:val="none"/>
              </w:rPr>
            </w:pPr>
          </w:p>
        </w:tc>
        <w:tc>
          <w:tcPr>
            <w:tcW w:w="1605" w:type="dxa"/>
            <w:vAlign w:val="center"/>
          </w:tcPr>
          <w:p>
            <w:pPr>
              <w:spacing w:line="360" w:lineRule="auto"/>
              <w:jc w:val="center"/>
              <w:rPr>
                <w:rFonts w:ascii="仿宋" w:hAnsi="仿宋" w:eastAsia="仿宋" w:cs="仿宋"/>
                <w:spacing w:val="-6"/>
                <w:sz w:val="24"/>
                <w:szCs w:val="24"/>
                <w:highlight w:val="none"/>
              </w:rPr>
            </w:pPr>
          </w:p>
        </w:tc>
        <w:tc>
          <w:tcPr>
            <w:tcW w:w="1605" w:type="dxa"/>
            <w:vAlign w:val="center"/>
          </w:tcPr>
          <w:p>
            <w:pPr>
              <w:spacing w:line="360" w:lineRule="auto"/>
              <w:jc w:val="center"/>
              <w:rPr>
                <w:rFonts w:ascii="仿宋" w:hAnsi="仿宋" w:eastAsia="仿宋" w:cs="仿宋"/>
                <w:spacing w:val="-6"/>
                <w:sz w:val="24"/>
                <w:szCs w:val="24"/>
                <w:highlight w:val="none"/>
              </w:rPr>
            </w:pPr>
          </w:p>
        </w:tc>
        <w:tc>
          <w:tcPr>
            <w:tcW w:w="1605" w:type="dxa"/>
            <w:vAlign w:val="center"/>
          </w:tcPr>
          <w:p>
            <w:pPr>
              <w:spacing w:line="360" w:lineRule="auto"/>
              <w:jc w:val="center"/>
              <w:rPr>
                <w:rFonts w:ascii="仿宋" w:hAnsi="仿宋" w:eastAsia="仿宋" w:cs="仿宋"/>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17" w:type="dxa"/>
            <w:vAlign w:val="center"/>
          </w:tcPr>
          <w:p>
            <w:pPr>
              <w:spacing w:line="360" w:lineRule="auto"/>
              <w:jc w:val="center"/>
              <w:rPr>
                <w:rFonts w:ascii="仿宋" w:hAnsi="仿宋" w:eastAsia="仿宋" w:cs="仿宋"/>
                <w:spacing w:val="-6"/>
                <w:sz w:val="24"/>
                <w:szCs w:val="24"/>
                <w:highlight w:val="none"/>
              </w:rPr>
            </w:pPr>
            <w:r>
              <w:rPr>
                <w:rFonts w:ascii="仿宋" w:hAnsi="仿宋" w:eastAsia="仿宋" w:cs="仿宋"/>
                <w:spacing w:val="-6"/>
                <w:sz w:val="24"/>
                <w:szCs w:val="24"/>
                <w:highlight w:val="none"/>
              </w:rPr>
              <w:t>4</w:t>
            </w:r>
          </w:p>
        </w:tc>
        <w:tc>
          <w:tcPr>
            <w:tcW w:w="2391" w:type="dxa"/>
            <w:vAlign w:val="center"/>
          </w:tcPr>
          <w:p>
            <w:pPr>
              <w:spacing w:line="360" w:lineRule="auto"/>
              <w:jc w:val="center"/>
              <w:rPr>
                <w:rFonts w:ascii="仿宋" w:hAnsi="仿宋" w:eastAsia="仿宋" w:cs="仿宋"/>
                <w:spacing w:val="-6"/>
                <w:sz w:val="24"/>
                <w:szCs w:val="24"/>
                <w:highlight w:val="none"/>
              </w:rPr>
            </w:pPr>
          </w:p>
        </w:tc>
        <w:tc>
          <w:tcPr>
            <w:tcW w:w="1605" w:type="dxa"/>
            <w:vAlign w:val="center"/>
          </w:tcPr>
          <w:p>
            <w:pPr>
              <w:spacing w:line="360" w:lineRule="auto"/>
              <w:jc w:val="center"/>
              <w:rPr>
                <w:rFonts w:ascii="仿宋" w:hAnsi="仿宋" w:eastAsia="仿宋" w:cs="仿宋"/>
                <w:spacing w:val="-6"/>
                <w:sz w:val="24"/>
                <w:szCs w:val="24"/>
                <w:highlight w:val="none"/>
              </w:rPr>
            </w:pPr>
          </w:p>
        </w:tc>
        <w:tc>
          <w:tcPr>
            <w:tcW w:w="1605" w:type="dxa"/>
            <w:vAlign w:val="center"/>
          </w:tcPr>
          <w:p>
            <w:pPr>
              <w:spacing w:line="360" w:lineRule="auto"/>
              <w:jc w:val="center"/>
              <w:rPr>
                <w:rFonts w:ascii="仿宋" w:hAnsi="仿宋" w:eastAsia="仿宋" w:cs="仿宋"/>
                <w:spacing w:val="-6"/>
                <w:sz w:val="24"/>
                <w:szCs w:val="24"/>
                <w:highlight w:val="none"/>
              </w:rPr>
            </w:pPr>
          </w:p>
        </w:tc>
        <w:tc>
          <w:tcPr>
            <w:tcW w:w="1605" w:type="dxa"/>
            <w:vAlign w:val="center"/>
          </w:tcPr>
          <w:p>
            <w:pPr>
              <w:spacing w:line="360" w:lineRule="auto"/>
              <w:jc w:val="center"/>
              <w:rPr>
                <w:rFonts w:ascii="仿宋" w:hAnsi="仿宋" w:eastAsia="仿宋" w:cs="仿宋"/>
                <w:spacing w:val="-6"/>
                <w:sz w:val="24"/>
                <w:szCs w:val="24"/>
                <w:highlight w:val="none"/>
              </w:rPr>
            </w:pPr>
          </w:p>
        </w:tc>
        <w:tc>
          <w:tcPr>
            <w:tcW w:w="1605" w:type="dxa"/>
            <w:vAlign w:val="center"/>
          </w:tcPr>
          <w:p>
            <w:pPr>
              <w:spacing w:line="360" w:lineRule="auto"/>
              <w:jc w:val="center"/>
              <w:rPr>
                <w:rFonts w:ascii="仿宋" w:hAnsi="仿宋" w:eastAsia="仿宋" w:cs="仿宋"/>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628" w:type="dxa"/>
            <w:gridSpan w:val="6"/>
            <w:vAlign w:val="center"/>
          </w:tcPr>
          <w:p>
            <w:pPr>
              <w:spacing w:line="360" w:lineRule="auto"/>
              <w:jc w:val="left"/>
              <w:rPr>
                <w:rFonts w:ascii="仿宋" w:hAnsi="仿宋" w:eastAsia="仿宋" w:cs="仿宋"/>
                <w:spacing w:val="-6"/>
                <w:sz w:val="24"/>
                <w:szCs w:val="24"/>
                <w:highlight w:val="none"/>
                <w:u w:val="single"/>
              </w:rPr>
            </w:pPr>
            <w:r>
              <w:rPr>
                <w:rFonts w:hint="eastAsia" w:ascii="仿宋" w:hAnsi="仿宋" w:eastAsia="仿宋" w:cs="仿宋"/>
                <w:spacing w:val="-6"/>
                <w:sz w:val="24"/>
                <w:szCs w:val="24"/>
                <w:highlight w:val="none"/>
              </w:rPr>
              <w:t>合计：</w:t>
            </w:r>
            <w:r>
              <w:rPr>
                <w:rFonts w:ascii="仿宋" w:hAnsi="仿宋" w:eastAsia="仿宋" w:cs="仿宋"/>
                <w:spacing w:val="-6"/>
                <w:sz w:val="24"/>
                <w:szCs w:val="24"/>
                <w:highlight w:val="none"/>
                <w:u w:val="single"/>
              </w:rPr>
              <w:t xml:space="preserve">             </w:t>
            </w:r>
            <w:r>
              <w:rPr>
                <w:rFonts w:hint="eastAsia" w:ascii="仿宋" w:hAnsi="仿宋" w:eastAsia="仿宋" w:cs="仿宋"/>
                <w:spacing w:val="-6"/>
                <w:sz w:val="24"/>
                <w:szCs w:val="24"/>
                <w:highlight w:val="none"/>
              </w:rPr>
              <w:t>元人民币</w:t>
            </w:r>
          </w:p>
        </w:tc>
      </w:tr>
    </w:tbl>
    <w:p>
      <w:pPr>
        <w:adjustRightInd w:val="0"/>
        <w:snapToGrid w:val="0"/>
        <w:spacing w:line="360" w:lineRule="auto"/>
        <w:ind w:left="480"/>
        <w:rPr>
          <w:rFonts w:hint="eastAsia" w:ascii="仿宋_GB2312" w:hAnsi="仿宋" w:eastAsia="仿宋_GB2312" w:cs="仿宋_GB2312"/>
          <w:b/>
          <w:kern w:val="0"/>
          <w:sz w:val="24"/>
          <w:szCs w:val="24"/>
          <w:highlight w:val="none"/>
          <w:lang w:val="zh-CN"/>
          <w:rPrChange w:id="0" w:author="user" w:date="2023-10-09T14:10:07Z">
            <w:rPr>
              <w:rFonts w:ascii="仿宋_GB2312" w:hAnsi="仿宋" w:eastAsia="仿宋_GB2312" w:cs="仿宋_GB2312"/>
              <w:b/>
              <w:kern w:val="0"/>
              <w:sz w:val="24"/>
              <w:szCs w:val="24"/>
              <w:highlight w:val="none"/>
              <w:lang w:val="zh-CN"/>
            </w:rPr>
          </w:rPrChange>
        </w:rPr>
      </w:pPr>
    </w:p>
    <w:p>
      <w:pPr>
        <w:adjustRightInd w:val="0"/>
        <w:snapToGrid w:val="0"/>
        <w:spacing w:line="360" w:lineRule="auto"/>
        <w:ind w:left="480"/>
        <w:rPr>
          <w:ins w:id="1" w:author="user" w:date="2023-10-09T14:13:28Z"/>
          <w:rFonts w:hint="eastAsia" w:ascii="仿宋_GB2312" w:hAnsi="仿宋" w:eastAsia="仿宋_GB2312" w:cs="仿宋_GB2312"/>
          <w:b/>
          <w:kern w:val="0"/>
          <w:sz w:val="24"/>
          <w:szCs w:val="24"/>
          <w:highlight w:val="none"/>
          <w:lang w:val="en-US"/>
        </w:rPr>
      </w:pPr>
      <w:r>
        <w:rPr>
          <w:rFonts w:hint="eastAsia" w:ascii="仿宋_GB2312" w:hAnsi="仿宋" w:eastAsia="仿宋_GB2312" w:cs="仿宋_GB2312"/>
          <w:b/>
          <w:kern w:val="0"/>
          <w:sz w:val="24"/>
          <w:szCs w:val="24"/>
          <w:highlight w:val="none"/>
          <w:lang w:val="en-US"/>
        </w:rPr>
        <w:t>注：</w:t>
      </w:r>
    </w:p>
    <w:p>
      <w:pPr>
        <w:snapToGrid w:val="0"/>
        <w:spacing w:line="360" w:lineRule="auto"/>
        <w:ind w:left="480"/>
        <w:rPr>
          <w:rFonts w:hint="eastAsia" w:ascii="仿宋_GB2312" w:hAnsi="仿宋" w:eastAsia="仿宋_GB2312" w:cs="仿宋_GB2312"/>
          <w:b/>
          <w:kern w:val="0"/>
          <w:sz w:val="24"/>
          <w:highlight w:val="none"/>
          <w:lang w:val="en-US"/>
        </w:rPr>
      </w:pPr>
      <w:r>
        <w:rPr>
          <w:rFonts w:hint="eastAsia" w:ascii="仿宋" w:hAnsi="仿宋" w:eastAsia="仿宋" w:cs="仿宋"/>
          <w:kern w:val="0"/>
          <w:sz w:val="24"/>
          <w:lang w:val="zh-CN"/>
        </w:rPr>
        <w:t>1、</w:t>
      </w:r>
      <w:r>
        <w:rPr>
          <w:rFonts w:hint="eastAsia" w:ascii="仿宋_GB2312" w:hAnsi="仿宋" w:eastAsia="仿宋_GB2312" w:cs="仿宋_GB2312"/>
          <w:b/>
          <w:kern w:val="0"/>
          <w:sz w:val="24"/>
          <w:szCs w:val="24"/>
          <w:highlight w:val="none"/>
          <w:lang w:val="en-US"/>
        </w:rPr>
        <w:t>楼宇灯具最高限价为65元/盏/年，地面灯具最高限价为49.6元/盏/年。</w:t>
      </w:r>
    </w:p>
    <w:p>
      <w:pPr>
        <w:spacing w:line="360" w:lineRule="auto"/>
        <w:ind w:left="-2" w:leftChars="-1" w:firstLine="480" w:firstLineChars="200"/>
        <w:rPr>
          <w:rFonts w:ascii="仿宋" w:hAnsi="仿宋" w:eastAsia="仿宋" w:cs="仿宋"/>
          <w:kern w:val="0"/>
          <w:sz w:val="24"/>
          <w:lang w:val="zh-CN"/>
        </w:rPr>
      </w:pPr>
      <w:r>
        <w:rPr>
          <w:rFonts w:hint="eastAsia" w:ascii="仿宋" w:hAnsi="仿宋" w:eastAsia="仿宋" w:cs="仿宋"/>
          <w:kern w:val="0"/>
          <w:sz w:val="24"/>
          <w:lang w:val="en-US" w:eastAsia="zh-CN"/>
        </w:rPr>
        <w:t>2</w:t>
      </w:r>
      <w:r>
        <w:rPr>
          <w:rFonts w:hint="eastAsia" w:ascii="仿宋" w:hAnsi="仿宋" w:eastAsia="仿宋" w:cs="仿宋"/>
          <w:kern w:val="0"/>
          <w:sz w:val="24"/>
          <w:lang w:val="zh-CN"/>
        </w:rPr>
        <w:t>、投标人需按本表格式填写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kern w:val="0"/>
          <w:sz w:val="24"/>
          <w:lang w:val="zh-CN"/>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、有关本项目实施所涉及的一切费用均计入报价。合同总价不为零，</w:t>
      </w:r>
      <w:r>
        <w:rPr>
          <w:rFonts w:hint="eastAsia" w:ascii="仿宋" w:hAnsi="仿宋" w:eastAsia="仿宋" w:cs="仿宋"/>
          <w:b w:val="0"/>
          <w:kern w:val="0"/>
          <w:sz w:val="24"/>
          <w:szCs w:val="24"/>
          <w:lang w:val="zh-CN"/>
        </w:rPr>
        <w:t>《投标报价明细表》</w:t>
      </w:r>
      <w:r>
        <w:rPr>
          <w:rFonts w:hint="eastAsia" w:ascii="仿宋" w:hAnsi="仿宋" w:eastAsia="仿宋" w:cs="仿宋"/>
          <w:kern w:val="0"/>
          <w:sz w:val="24"/>
          <w:lang w:val="zh-CN"/>
        </w:rPr>
        <w:t>中部分产品、服务单价为零的，视作已包含在总价中。</w:t>
      </w:r>
      <w:r>
        <w:rPr>
          <w:rFonts w:hint="eastAsia" w:ascii="仿宋" w:hAnsi="仿宋" w:eastAsia="仿宋" w:cs="仿宋"/>
          <w:b/>
          <w:kern w:val="0"/>
          <w:sz w:val="24"/>
          <w:lang w:val="zh-CN"/>
        </w:rPr>
        <w:t>采购人将以合同形式有偿取得货物或服务，不接受投标人给予的赠品、回扣或者与采购无关的其他商品、服务；采购内容未包含在</w:t>
      </w:r>
      <w:r>
        <w:rPr>
          <w:rFonts w:hint="eastAsia" w:ascii="仿宋" w:hAnsi="仿宋" w:eastAsia="仿宋" w:cs="仿宋"/>
          <w:b w:val="0"/>
          <w:kern w:val="0"/>
          <w:sz w:val="24"/>
          <w:szCs w:val="24"/>
          <w:lang w:val="zh-CN"/>
        </w:rPr>
        <w:t>《投标报价明细表》</w:t>
      </w:r>
      <w:r>
        <w:rPr>
          <w:rFonts w:hint="eastAsia" w:ascii="仿宋" w:hAnsi="仿宋" w:eastAsia="仿宋" w:cs="仿宋"/>
          <w:b/>
          <w:kern w:val="0"/>
          <w:sz w:val="24"/>
          <w:lang w:val="zh-CN"/>
        </w:rPr>
        <w:t>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szCs w:val="22"/>
          <w:lang w:val="en-US" w:eastAsia="zh-CN"/>
        </w:rPr>
        <w:t>4</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2" w:firstLineChars="200"/>
        <w:jc w:val="left"/>
        <w:rPr>
          <w:rFonts w:ascii="仿宋" w:hAnsi="仿宋" w:eastAsia="仿宋" w:cs="仿宋"/>
          <w:kern w:val="0"/>
          <w:sz w:val="24"/>
          <w:lang w:val="zh-CN"/>
        </w:rPr>
      </w:pPr>
      <w:r>
        <w:rPr>
          <w:rFonts w:hint="eastAsia" w:ascii="仿宋" w:hAnsi="仿宋" w:eastAsia="仿宋" w:cs="仿宋"/>
          <w:b/>
          <w:sz w:val="24"/>
          <w:lang w:val="en-US" w:eastAsia="zh-CN"/>
        </w:rPr>
        <w:t>5</w:t>
      </w:r>
      <w:r>
        <w:rPr>
          <w:rFonts w:hint="eastAsia" w:ascii="仿宋" w:hAnsi="仿宋" w:eastAsia="仿宋" w:cs="仿宋"/>
          <w:b/>
          <w:sz w:val="24"/>
        </w:rPr>
        <w:t>、特别说明：▲供应商报价低于项目预算50%的，应当在报价文件中详细阐述不影响产品质量或者诚信履约的具体原因。</w:t>
      </w:r>
    </w:p>
    <w:p>
      <w:pPr>
        <w:snapToGrid w:val="0"/>
        <w:spacing w:line="360" w:lineRule="auto"/>
        <w:ind w:firstLine="480" w:firstLineChars="200"/>
        <w:jc w:val="left"/>
        <w:rPr>
          <w:rFonts w:ascii="仿宋" w:hAnsi="仿宋" w:eastAsia="仿宋" w:cs="仿宋"/>
          <w:kern w:val="0"/>
          <w:sz w:val="24"/>
          <w:lang w:val="zh-CN"/>
        </w:rPr>
      </w:pPr>
    </w:p>
    <w:p>
      <w:pPr>
        <w:adjustRightInd w:val="0"/>
        <w:snapToGrid w:val="0"/>
        <w:spacing w:line="360" w:lineRule="auto"/>
        <w:ind w:firstLine="482" w:firstLineChars="200"/>
        <w:jc w:val="right"/>
        <w:rPr>
          <w:rFonts w:ascii="仿宋_GB2312" w:hAnsi="仿宋" w:eastAsia="仿宋_GB2312"/>
          <w:b/>
          <w:kern w:val="0"/>
          <w:sz w:val="24"/>
          <w:szCs w:val="24"/>
          <w:highlight w:val="none"/>
        </w:rPr>
      </w:pPr>
    </w:p>
    <w:bookmarkEnd w:id="396"/>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pPr>
    </w:p>
    <w:p>
      <w:pPr>
        <w:pStyle w:val="694"/>
        <w:keepNext w:val="0"/>
        <w:pageBreakBefore w:val="0"/>
        <w:tabs>
          <w:tab w:val="clear" w:pos="720"/>
        </w:tabs>
        <w:snapToGrid w:val="0"/>
        <w:spacing w:before="120" w:after="120"/>
        <w:ind w:firstLine="643"/>
        <w:outlineLvl w:val="9"/>
        <w:rPr>
          <w:rFonts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4"/>
        <w:keepNext w:val="0"/>
        <w:pageBreakBefore w:val="0"/>
        <w:tabs>
          <w:tab w:val="clear" w:pos="720"/>
        </w:tabs>
        <w:snapToGrid w:val="0"/>
        <w:spacing w:before="120" w:after="120"/>
        <w:ind w:firstLine="643"/>
        <w:outlineLvl w:val="9"/>
        <w:rPr>
          <w:rFonts w:ascii="仿宋" w:hAnsi="仿宋" w:eastAsia="仿宋" w:cs="仿宋"/>
          <w:b w:val="0"/>
          <w:sz w:val="32"/>
          <w:szCs w:val="32"/>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ind w:right="420" w:firstLine="3614" w:firstLineChars="1000"/>
        <w:rPr>
          <w:rFonts w:ascii="仿宋" w:hAnsi="仿宋" w:eastAsia="仿宋" w:cs="仿宋"/>
          <w:b/>
          <w:kern w:val="0"/>
          <w:sz w:val="36"/>
          <w:szCs w:val="36"/>
        </w:rPr>
      </w:pPr>
    </w:p>
    <w:p>
      <w:pPr>
        <w:spacing w:line="360" w:lineRule="auto"/>
        <w:jc w:val="center"/>
        <w:rPr>
          <w:rFonts w:ascii="仿宋" w:hAnsi="仿宋" w:eastAsia="仿宋" w:cs="仿宋"/>
          <w:b/>
          <w:sz w:val="32"/>
          <w:szCs w:val="32"/>
        </w:rPr>
      </w:pPr>
      <w:r>
        <w:rPr>
          <w:rFonts w:hint="eastAsia" w:ascii="仿宋" w:hAnsi="仿宋" w:eastAsia="仿宋" w:cs="仿宋"/>
          <w:b/>
          <w:sz w:val="30"/>
          <w:szCs w:val="30"/>
        </w:rPr>
        <w:t>关于钱塘新区政府采购支持中小企业信用融资相关事项通知</w:t>
      </w:r>
    </w:p>
    <w:p>
      <w:pPr>
        <w:spacing w:line="360" w:lineRule="auto"/>
        <w:jc w:val="center"/>
        <w:rPr>
          <w:rFonts w:ascii="仿宋" w:hAnsi="仿宋" w:eastAsia="仿宋" w:cs="仿宋"/>
          <w:b/>
          <w:sz w:val="10"/>
          <w:szCs w:val="10"/>
        </w:rPr>
      </w:pP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一、适用对象</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在浙江“政采云”平台注册入库，并取得钱塘区政府采购合同的中小企业供应商。</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二、相关信息获取方式</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请登陆杭州钱塘新区管理委员会官网（http://qt.hangzhou.gov.cn） “公告公示”专栏，查看信用融资政策文件及各相关银行服务方案。</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三、申请方式和步骤</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1、供应商若有融资意向，需先与钱塘区财政局合作的银行对接，办理相关融资前期手续；</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2、中标后，供应商应与采购单位或者采购代理机构及时联系，告知融资需求；</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3、相关合作银行联系并审核供应商及相关中标信息，办理相关融资事宜；</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rPr>
        <w:t>4</w:t>
      </w:r>
      <w:r>
        <w:rPr>
          <w:rFonts w:hint="eastAsia" w:ascii="仿宋" w:hAnsi="仿宋" w:eastAsia="仿宋" w:cs="仿宋"/>
          <w:kern w:val="0"/>
          <w:sz w:val="24"/>
          <w:lang w:val="zh-CN"/>
        </w:rPr>
        <w:t>、采购单位应及时将信用融资合同提交备案。</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四、注意事项</w:t>
      </w:r>
    </w:p>
    <w:p>
      <w:pPr>
        <w:snapToGrid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请各采购单位和采购代理机构积极支持和配合政府采购信用融资工作，在合同备案环节务必请仔细核对收款银行、账号信息等内容。</w:t>
      </w:r>
    </w:p>
    <w:p>
      <w:pPr>
        <w:snapToGrid w:val="0"/>
        <w:spacing w:line="360" w:lineRule="auto"/>
        <w:ind w:firstLine="482" w:firstLineChars="200"/>
        <w:jc w:val="left"/>
        <w:rPr>
          <w:rFonts w:ascii="仿宋" w:hAnsi="仿宋" w:eastAsia="仿宋" w:cs="仿宋"/>
          <w:b/>
          <w:bCs/>
          <w:kern w:val="0"/>
          <w:sz w:val="24"/>
          <w:lang w:val="zh-CN"/>
        </w:rPr>
      </w:pPr>
      <w:r>
        <w:rPr>
          <w:rFonts w:hint="eastAsia" w:ascii="仿宋" w:hAnsi="仿宋" w:eastAsia="仿宋" w:cs="仿宋"/>
          <w:b/>
          <w:bCs/>
          <w:kern w:val="0"/>
          <w:sz w:val="24"/>
          <w:lang w:val="zh-CN"/>
        </w:rPr>
        <w:t>五、合作银行及联系方式</w:t>
      </w:r>
    </w:p>
    <w:tbl>
      <w:tblPr>
        <w:tblStyle w:val="63"/>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建设银行钱塘支行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张苏航</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13065710830</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杭州银行钱塘支行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费莎</w:t>
            </w:r>
          </w:p>
          <w:p>
            <w:pPr>
              <w:widowControl/>
              <w:jc w:val="center"/>
              <w:rPr>
                <w:rFonts w:ascii="仿宋" w:hAnsi="仿宋" w:eastAsia="仿宋" w:cs="仿宋"/>
                <w:kern w:val="0"/>
                <w:sz w:val="24"/>
              </w:rPr>
            </w:pPr>
            <w:r>
              <w:rPr>
                <w:rFonts w:hint="eastAsia" w:ascii="仿宋" w:hAnsi="仿宋" w:eastAsia="仿宋" w:cs="仿宋"/>
                <w:kern w:val="0"/>
                <w:sz w:val="24"/>
              </w:rPr>
              <w:t>严培蓓</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13388617781</w:t>
            </w:r>
          </w:p>
          <w:p>
            <w:pPr>
              <w:widowControl/>
              <w:jc w:val="center"/>
              <w:rPr>
                <w:rFonts w:ascii="仿宋" w:hAnsi="仿宋" w:eastAsia="仿宋" w:cs="仿宋"/>
                <w:kern w:val="0"/>
                <w:sz w:val="24"/>
              </w:rPr>
            </w:pPr>
            <w:r>
              <w:rPr>
                <w:rFonts w:hint="eastAsia" w:ascii="仿宋" w:hAnsi="仿宋" w:eastAsia="仿宋" w:cs="仿宋"/>
                <w:kern w:val="0"/>
                <w:sz w:val="24"/>
              </w:rPr>
              <w:t>13858023883</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6</w:t>
            </w:r>
          </w:p>
        </w:tc>
        <w:tc>
          <w:tcPr>
            <w:tcW w:w="30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中国银行钱塘支行</w:t>
            </w:r>
          </w:p>
        </w:tc>
        <w:tc>
          <w:tcPr>
            <w:tcW w:w="14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高飞</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86722499</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工商银行开发区支行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李燕珍</w:t>
            </w:r>
          </w:p>
        </w:tc>
        <w:tc>
          <w:tcPr>
            <w:tcW w:w="322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13735710338</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18906520030</w:t>
            </w:r>
          </w:p>
        </w:tc>
      </w:tr>
      <w:tr>
        <w:tblPrEx>
          <w:tblCellMar>
            <w:top w:w="0" w:type="dxa"/>
            <w:left w:w="108" w:type="dxa"/>
            <w:bottom w:w="0" w:type="dxa"/>
            <w:right w:w="108" w:type="dxa"/>
          </w:tblCellMar>
        </w:tblPrEx>
        <w:trPr>
          <w:trHeight w:val="562"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农业银行钱塘支行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王安东</w:t>
            </w:r>
          </w:p>
          <w:p>
            <w:pPr>
              <w:widowControl/>
              <w:jc w:val="center"/>
              <w:rPr>
                <w:rFonts w:ascii="仿宋" w:hAnsi="仿宋" w:eastAsia="仿宋" w:cs="仿宋"/>
                <w:kern w:val="0"/>
                <w:sz w:val="24"/>
              </w:rPr>
            </w:pPr>
            <w:r>
              <w:rPr>
                <w:rFonts w:hint="eastAsia" w:ascii="仿宋" w:hAnsi="仿宋" w:eastAsia="仿宋" w:cs="仿宋"/>
                <w:kern w:val="0"/>
                <w:sz w:val="24"/>
              </w:rPr>
              <w:t>方若愚</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15158025713</w:t>
            </w:r>
          </w:p>
          <w:p>
            <w:pPr>
              <w:widowControl/>
              <w:jc w:val="center"/>
              <w:rPr>
                <w:rFonts w:ascii="仿宋" w:hAnsi="仿宋" w:eastAsia="仿宋" w:cs="仿宋"/>
              </w:rPr>
            </w:pPr>
            <w:r>
              <w:rPr>
                <w:rFonts w:hint="eastAsia" w:ascii="仿宋" w:hAnsi="仿宋" w:eastAsia="仿宋" w:cs="仿宋"/>
                <w:kern w:val="0"/>
                <w:sz w:val="24"/>
              </w:rPr>
              <w:t>15067483470</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11</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浙商银行杭州钱塘支行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徐伟刚</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82921293，18258888258</w:t>
            </w:r>
          </w:p>
        </w:tc>
      </w:tr>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12</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浦发银行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林云鹏</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kern w:val="0"/>
                <w:sz w:val="24"/>
              </w:rPr>
            </w:pPr>
            <w:r>
              <w:rPr>
                <w:rFonts w:hint="eastAsia" w:ascii="仿宋" w:hAnsi="仿宋" w:eastAsia="仿宋" w:cs="仿宋"/>
                <w:kern w:val="0"/>
                <w:sz w:val="24"/>
              </w:rPr>
              <w:t>18805812679</w:t>
            </w:r>
          </w:p>
        </w:tc>
      </w:tr>
    </w:tbl>
    <w:p>
      <w:pPr>
        <w:spacing w:line="360" w:lineRule="auto"/>
        <w:ind w:left="5060" w:hanging="5060" w:hangingChars="2100"/>
        <w:rPr>
          <w:rFonts w:ascii="仿宋" w:hAnsi="仿宋" w:eastAsia="仿宋" w:cs="仿宋"/>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ascii="仿宋" w:hAnsi="仿宋" w:eastAsia="仿宋" w:cs="仿宋"/>
        </w:rPr>
      </w:pPr>
      <w:bookmarkStart w:id="397" w:name="_Toc465665161"/>
      <w:r>
        <w:rPr>
          <w:rFonts w:hint="eastAsia" w:ascii="仿宋" w:hAnsi="仿宋" w:eastAsia="仿宋" w:cs="仿宋"/>
        </w:rPr>
        <w:t>附件</w:t>
      </w:r>
      <w:bookmarkEnd w:id="397"/>
    </w:p>
    <w:p>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ascii="仿宋" w:hAnsi="仿宋" w:eastAsia="仿宋" w:cs="仿宋"/>
          <w:b/>
          <w:spacing w:val="6"/>
          <w:sz w:val="32"/>
          <w:szCs w:val="32"/>
        </w:rPr>
      </w:pPr>
      <w:bookmarkStart w:id="398" w:name="OLE_LINK13"/>
      <w:bookmarkStart w:id="399" w:name="OLE_LINK14"/>
      <w:r>
        <w:rPr>
          <w:rFonts w:hint="eastAsia" w:ascii="仿宋" w:hAnsi="仿宋" w:eastAsia="仿宋" w:cs="仿宋"/>
          <w:b/>
          <w:spacing w:val="6"/>
          <w:sz w:val="32"/>
          <w:szCs w:val="32"/>
        </w:rPr>
        <w:t>残疾人福利性单位声明函</w:t>
      </w:r>
      <w:bookmarkEnd w:id="398"/>
      <w:bookmarkEnd w:id="399"/>
    </w:p>
    <w:p>
      <w:pPr>
        <w:spacing w:line="360" w:lineRule="auto"/>
        <w:rPr>
          <w:rFonts w:ascii="仿宋" w:hAnsi="仿宋" w:eastAsia="仿宋" w:cs="仿宋"/>
          <w:b/>
          <w:spacing w:val="6"/>
          <w:sz w:val="30"/>
          <w:szCs w:val="30"/>
        </w:rPr>
      </w:pPr>
    </w:p>
    <w:p>
      <w:pPr>
        <w:spacing w:line="360" w:lineRule="auto"/>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ascii="仿宋" w:hAnsi="仿宋" w:eastAsia="仿宋" w:cs="仿宋"/>
          <w:sz w:val="24"/>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ind w:firstLine="420" w:firstLineChars="200"/>
        <w:rPr>
          <w:rFonts w:ascii="仿宋" w:hAnsi="仿宋" w:eastAsia="仿宋" w:cs="仿宋"/>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ascii="仿宋" w:hAnsi="仿宋" w:eastAsia="仿宋" w:cs="仿宋"/>
          <w:sz w:val="24"/>
        </w:rPr>
      </w:pPr>
      <w:r>
        <w:rPr>
          <w:rFonts w:hint="eastAsia" w:ascii="仿宋" w:hAnsi="仿宋" w:eastAsia="仿宋" w:cs="仿宋"/>
          <w:sz w:val="24"/>
        </w:rPr>
        <w:t>……</w:t>
      </w:r>
    </w:p>
    <w:p>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jc w:val="center"/>
        <w:rPr>
          <w:rFonts w:ascii="仿宋" w:hAnsi="仿宋" w:eastAsia="仿宋" w:cs="仿宋"/>
          <w:b/>
          <w:bCs/>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sz w:val="30"/>
          <w:szCs w:val="30"/>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center"/>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p>
    <w:p>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ascii="仿宋" w:hAnsi="仿宋" w:eastAsia="仿宋" w:cs="仿宋"/>
          <w:b/>
          <w:sz w:val="24"/>
        </w:rPr>
      </w:pPr>
    </w:p>
    <w:p>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ascii="仿宋" w:hAnsi="仿宋" w:eastAsia="仿宋" w:cs="仿宋"/>
          <w:sz w:val="24"/>
        </w:rPr>
      </w:pPr>
      <w:r>
        <w:rPr>
          <w:rFonts w:hint="eastAsia" w:ascii="仿宋" w:hAnsi="仿宋" w:eastAsia="仿宋" w:cs="仿宋"/>
          <w:sz w:val="24"/>
        </w:rPr>
        <w:t>一、投诉相关主体基本情况</w:t>
      </w:r>
    </w:p>
    <w:p>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被投诉人2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rPr>
      </w:pPr>
      <w:r>
        <w:rPr>
          <w:rFonts w:hint="eastAsia" w:ascii="仿宋" w:hAnsi="仿宋" w:eastAsia="仿宋" w:cs="仿宋"/>
          <w:sz w:val="24"/>
        </w:rPr>
        <w:t>二、投诉项目基本情况</w:t>
      </w:r>
    </w:p>
    <w:p>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ascii="仿宋" w:hAnsi="仿宋" w:eastAsia="仿宋" w:cs="仿宋"/>
          <w:sz w:val="24"/>
        </w:rPr>
      </w:pPr>
      <w:r>
        <w:rPr>
          <w:rFonts w:hint="eastAsia" w:ascii="仿宋" w:hAnsi="仿宋" w:eastAsia="仿宋" w:cs="仿宋"/>
          <w:sz w:val="24"/>
        </w:rPr>
        <w:t>四、投诉事项具体内容</w:t>
      </w:r>
    </w:p>
    <w:p>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ascii="仿宋" w:hAnsi="仿宋" w:eastAsia="仿宋" w:cs="仿宋"/>
          <w:sz w:val="24"/>
        </w:rPr>
      </w:pPr>
      <w:r>
        <w:rPr>
          <w:rFonts w:hint="eastAsia" w:ascii="仿宋" w:hAnsi="仿宋" w:eastAsia="仿宋" w:cs="仿宋"/>
          <w:sz w:val="24"/>
        </w:rPr>
        <w:t>投诉事项2</w:t>
      </w:r>
    </w:p>
    <w:p>
      <w:pPr>
        <w:spacing w:line="360" w:lineRule="auto"/>
        <w:rPr>
          <w:rFonts w:ascii="仿宋" w:hAnsi="仿宋" w:eastAsia="仿宋" w:cs="仿宋"/>
          <w:sz w:val="24"/>
          <w:u w:val="dotted"/>
        </w:rPr>
      </w:pPr>
      <w:r>
        <w:rPr>
          <w:rFonts w:hint="eastAsia" w:ascii="仿宋" w:hAnsi="仿宋" w:eastAsia="仿宋" w:cs="仿宋"/>
          <w:sz w:val="24"/>
        </w:rPr>
        <w:t>……</w:t>
      </w:r>
    </w:p>
    <w:p>
      <w:pPr>
        <w:spacing w:line="360" w:lineRule="auto"/>
        <w:rPr>
          <w:rFonts w:ascii="仿宋" w:hAnsi="仿宋" w:eastAsia="仿宋" w:cs="仿宋"/>
          <w:sz w:val="24"/>
        </w:rPr>
      </w:pPr>
      <w:r>
        <w:rPr>
          <w:rFonts w:hint="eastAsia" w:ascii="仿宋" w:hAnsi="仿宋" w:eastAsia="仿宋" w:cs="仿宋"/>
          <w:sz w:val="24"/>
        </w:rPr>
        <w:t>五、与投诉事项相关的投诉请求</w:t>
      </w:r>
    </w:p>
    <w:p>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ascii="仿宋" w:hAnsi="仿宋" w:eastAsia="仿宋" w:cs="仿宋"/>
          <w:sz w:val="24"/>
          <w:u w:val="single"/>
        </w:rPr>
      </w:pPr>
      <w:r>
        <w:rPr>
          <w:rFonts w:hint="eastAsia" w:ascii="仿宋" w:hAnsi="仿宋" w:eastAsia="仿宋" w:cs="仿宋"/>
          <w:sz w:val="24"/>
        </w:rPr>
        <w:t xml:space="preserve">                                                                                                    </w:t>
      </w:r>
    </w:p>
    <w:p>
      <w:pPr>
        <w:spacing w:line="360" w:lineRule="auto"/>
        <w:rPr>
          <w:rFonts w:ascii="仿宋" w:hAnsi="仿宋" w:eastAsia="仿宋" w:cs="仿宋"/>
          <w:sz w:val="24"/>
        </w:rPr>
      </w:pPr>
      <w:r>
        <w:rPr>
          <w:rFonts w:hint="eastAsia" w:ascii="仿宋" w:hAnsi="仿宋" w:eastAsia="仿宋" w:cs="仿宋"/>
          <w:sz w:val="24"/>
        </w:rPr>
        <w:t xml:space="preserve">签字(签章)：                   公章：                      </w:t>
      </w:r>
    </w:p>
    <w:p>
      <w:pPr>
        <w:spacing w:line="360" w:lineRule="auto"/>
        <w:rPr>
          <w:rFonts w:ascii="仿宋" w:hAnsi="仿宋" w:eastAsia="仿宋" w:cs="仿宋"/>
          <w:sz w:val="24"/>
        </w:rPr>
      </w:pPr>
      <w:r>
        <w:rPr>
          <w:rFonts w:hint="eastAsia" w:ascii="仿宋" w:hAnsi="仿宋" w:eastAsia="仿宋" w:cs="仿宋"/>
          <w:sz w:val="24"/>
        </w:rPr>
        <w:t xml:space="preserve">日期：    </w:t>
      </w:r>
    </w:p>
    <w:p>
      <w:pPr>
        <w:spacing w:line="360" w:lineRule="auto"/>
        <w:rPr>
          <w:rFonts w:ascii="仿宋" w:hAnsi="仿宋" w:eastAsia="仿宋" w:cs="仿宋"/>
          <w:b/>
          <w:sz w:val="24"/>
        </w:rPr>
      </w:pPr>
    </w:p>
    <w:p>
      <w:pPr>
        <w:spacing w:line="360" w:lineRule="auto"/>
        <w:rPr>
          <w:rFonts w:ascii="仿宋" w:hAnsi="仿宋" w:eastAsia="仿宋" w:cs="仿宋"/>
          <w:b/>
          <w:sz w:val="24"/>
        </w:rPr>
      </w:pPr>
    </w:p>
    <w:p>
      <w:pPr>
        <w:spacing w:line="360" w:lineRule="auto"/>
        <w:rPr>
          <w:rFonts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sz w:val="24"/>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sz w:val="24"/>
        </w:rPr>
      </w:pPr>
      <w:r>
        <w:rPr>
          <w:rFonts w:hint="eastAsia" w:ascii="仿宋" w:hAnsi="仿宋" w:eastAsia="仿宋" w:cs="仿宋"/>
          <w:sz w:val="24"/>
        </w:rPr>
        <w:t>特此说明。</w:t>
      </w: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firstLine="494"/>
        <w:rPr>
          <w:rFonts w:ascii="仿宋" w:hAnsi="仿宋" w:eastAsia="仿宋" w:cs="仿宋"/>
          <w:sz w:val="24"/>
        </w:rPr>
      </w:pPr>
    </w:p>
    <w:p>
      <w:pPr>
        <w:spacing w:line="360" w:lineRule="auto"/>
        <w:ind w:right="480" w:firstLine="4080" w:firstLineChars="1700"/>
        <w:rPr>
          <w:rFonts w:ascii="仿宋" w:hAnsi="仿宋" w:eastAsia="仿宋" w:cs="仿宋"/>
          <w:sz w:val="24"/>
        </w:rPr>
      </w:pPr>
      <w:r>
        <w:rPr>
          <w:rFonts w:hint="eastAsia" w:ascii="仿宋" w:hAnsi="仿宋" w:eastAsia="仿宋" w:cs="仿宋"/>
          <w:sz w:val="24"/>
        </w:rPr>
        <w:t>投标单位（法定名称章）：</w:t>
      </w:r>
    </w:p>
    <w:p>
      <w:pPr>
        <w:ind w:right="1440" w:firstLine="494"/>
        <w:jc w:val="center"/>
        <w:rPr>
          <w:rFonts w:ascii="仿宋" w:hAnsi="仿宋" w:eastAsia="仿宋" w:cs="仿宋"/>
          <w:sz w:val="24"/>
        </w:rPr>
      </w:pPr>
      <w:r>
        <w:rPr>
          <w:rFonts w:hint="eastAsia" w:ascii="仿宋" w:hAnsi="仿宋" w:eastAsia="仿宋" w:cs="仿宋"/>
          <w:sz w:val="24"/>
        </w:rPr>
        <w:t xml:space="preserve">                              日期：       年     月     日</w:t>
      </w:r>
    </w:p>
    <w:p>
      <w:pPr>
        <w:rPr>
          <w:rFonts w:ascii="仿宋" w:hAnsi="仿宋" w:eastAsia="仿宋" w:cs="仿宋"/>
          <w:sz w:val="24"/>
        </w:rPr>
      </w:pPr>
      <w:r>
        <w:rPr>
          <w:rFonts w:hint="eastAsia" w:ascii="仿宋" w:hAnsi="仿宋" w:eastAsia="仿宋" w:cs="仿宋"/>
          <w:b/>
          <w:bCs/>
          <w:sz w:val="24"/>
        </w:rPr>
        <w:t>附：</w:t>
      </w:r>
    </w:p>
    <w:p>
      <w:pPr>
        <w:spacing w:line="360" w:lineRule="auto"/>
        <w:rPr>
          <w:rFonts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-90170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1pt;margin-top:30.3pt;height:177.45pt;width:208.5pt;z-index:-251656192;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ZfC0d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autoSpaceDE w:val="0"/>
        <w:autoSpaceDN w:val="0"/>
        <w:jc w:val="center"/>
        <w:rPr>
          <w:rFonts w:ascii="仿宋" w:hAnsi="仿宋" w:eastAsia="仿宋" w:cs="仿宋"/>
          <w:b/>
          <w:spacing w:val="6"/>
          <w:sz w:val="32"/>
          <w:szCs w:val="32"/>
        </w:rPr>
      </w:pPr>
    </w:p>
    <w:p>
      <w:pPr>
        <w:rPr>
          <w:rFonts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ascii="仿宋" w:hAnsi="仿宋" w:eastAsia="仿宋" w:cs="仿宋"/>
          <w:kern w:val="0"/>
          <w:sz w:val="24"/>
          <w:lang w:val="zh-CN"/>
        </w:rPr>
      </w:pPr>
      <w:bookmarkStart w:id="400"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w:t>
      </w:r>
    </w:p>
    <w:bookmarkEnd w:id="400"/>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提供的服务全部由</w:t>
      </w:r>
      <w:r>
        <w:rPr>
          <w:rFonts w:hint="eastAsia" w:ascii="仿宋" w:hAnsi="仿宋" w:eastAsia="仿宋" w:cs="仿宋"/>
          <w:kern w:val="0"/>
          <w:sz w:val="24"/>
          <w:u w:val="single"/>
        </w:rPr>
        <w:t>（中型或小型或微型）</w:t>
      </w:r>
      <w:r>
        <w:rPr>
          <w:rFonts w:hint="eastAsia" w:ascii="仿宋" w:hAnsi="仿宋" w:eastAsia="仿宋" w:cs="仿宋"/>
          <w:kern w:val="0"/>
          <w:sz w:val="24"/>
        </w:rPr>
        <w:t>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仿宋" w:hAnsi="仿宋" w:eastAsia="仿宋" w:cs="仿宋"/>
          <w:b/>
          <w:kern w:val="0"/>
          <w:sz w:val="24"/>
        </w:rPr>
        <w:t>6</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pStyle w:val="2"/>
        <w:ind w:left="664" w:leftChars="316" w:firstLine="4325" w:firstLineChars="1795"/>
      </w:pPr>
      <w:r>
        <w:rPr>
          <w:rFonts w:hint="eastAsia" w:ascii="宋体" w:hAnsi="宋体" w:cs="宋体"/>
          <w:kern w:val="0"/>
          <w:sz w:val="24"/>
        </w:rPr>
        <w:t>……</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ascii="仿宋" w:hAnsi="仿宋" w:eastAsia="仿宋" w:cs="仿宋"/>
          <w:sz w:val="24"/>
        </w:rPr>
      </w:pPr>
      <w:r>
        <w:rPr>
          <w:rFonts w:hint="eastAsia" w:ascii="仿宋" w:hAnsi="仿宋" w:eastAsia="仿宋" w:cs="仿宋"/>
          <w:sz w:val="24"/>
        </w:rPr>
        <w:t>注：按本格式和要求提供。</w:t>
      </w:r>
    </w:p>
    <w:p>
      <w:pPr>
        <w:snapToGrid w:val="0"/>
        <w:spacing w:line="360" w:lineRule="auto"/>
        <w:ind w:firstLine="3666" w:firstLineChars="1100"/>
        <w:rPr>
          <w:rFonts w:ascii="仿宋" w:hAnsi="仿宋" w:eastAsia="仿宋" w:cs="仿宋"/>
          <w:b/>
          <w:spacing w:val="6"/>
          <w:sz w:val="32"/>
          <w:szCs w:val="32"/>
        </w:rPr>
        <w:sectPr>
          <w:headerReference r:id="rId29" w:type="first"/>
          <w:footerReference r:id="rId32" w:type="first"/>
          <w:headerReference r:id="rId28" w:type="default"/>
          <w:footerReference r:id="rId30" w:type="default"/>
          <w:footerReference r:id="rId31" w:type="even"/>
          <w:pgSz w:w="11906" w:h="16838"/>
          <w:pgMar w:top="1276" w:right="536" w:bottom="1247" w:left="1418" w:header="851" w:footer="992" w:gutter="0"/>
          <w:cols w:space="720" w:num="1"/>
          <w:titlePg/>
          <w:docGrid w:linePitch="312" w:charSpace="0"/>
        </w:sectPr>
      </w:pPr>
    </w:p>
    <w:p>
      <w:pPr>
        <w:snapToGrid w:val="0"/>
        <w:spacing w:line="360" w:lineRule="auto"/>
        <w:ind w:firstLine="3666" w:firstLineChars="1100"/>
        <w:rPr>
          <w:rFonts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2"/>
        <w:ind w:left="664" w:leftChars="316" w:firstLine="229" w:firstLineChars="95"/>
        <w:rPr>
          <w:rFonts w:ascii="仿宋" w:eastAsia="仿宋" w:cs="仿宋"/>
          <w:kern w:val="0"/>
          <w:sz w:val="24"/>
          <w:szCs w:val="24"/>
        </w:rPr>
      </w:pPr>
      <w:r>
        <w:rPr>
          <w:rFonts w:hint="eastAsia" w:ascii="仿宋" w:eastAsia="仿宋" w:cs="仿宋"/>
          <w:kern w:val="0"/>
          <w:sz w:val="24"/>
          <w:szCs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w:t>
      </w:r>
      <w:r>
        <w:rPr>
          <w:rFonts w:hint="eastAsia" w:ascii="仿宋" w:hAnsi="仿宋" w:eastAsia="仿宋" w:cs="仿宋"/>
          <w:kern w:val="0"/>
          <w:sz w:val="24"/>
        </w:rPr>
        <w:t>提供的服务全部由</w:t>
      </w:r>
      <w:r>
        <w:rPr>
          <w:rFonts w:hint="eastAsia" w:ascii="仿宋" w:hAnsi="仿宋" w:eastAsia="仿宋" w:cs="仿宋"/>
          <w:kern w:val="0"/>
          <w:sz w:val="24"/>
          <w:u w:val="single"/>
        </w:rPr>
        <w:t>（中型或小型或微型）</w:t>
      </w:r>
      <w:r>
        <w:rPr>
          <w:rFonts w:hint="eastAsia" w:ascii="仿宋" w:hAnsi="仿宋" w:eastAsia="仿宋" w:cs="仿宋"/>
          <w:kern w:val="0"/>
          <w:sz w:val="24"/>
        </w:rPr>
        <w:t>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rPr>
        <w:t>6</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401"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401"/>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ind w:firstLine="576"/>
        <w:rPr>
          <w:rFonts w:ascii="仿宋" w:hAnsi="仿宋" w:eastAsia="仿宋" w:cs="仿宋"/>
          <w:u w:val="single"/>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ind w:left="573" w:leftChars="273"/>
        <w:rPr>
          <w:rFonts w:ascii="仿宋" w:hAnsi="仿宋" w:eastAsia="仿宋" w:cs="仿宋"/>
          <w:kern w:val="0"/>
          <w:sz w:val="24"/>
          <w:lang w:val="zh-CN"/>
        </w:rPr>
      </w:pPr>
      <w:r>
        <w:rPr>
          <w:rFonts w:hint="eastAsia" w:ascii="仿宋" w:hAnsi="仿宋" w:eastAsia="仿宋" w:cs="仿宋"/>
          <w:u w:val="single"/>
        </w:rPr>
        <w:t xml:space="preserve">                                                                                     </w:t>
      </w:r>
    </w:p>
    <w:p>
      <w:pPr>
        <w:snapToGrid w:val="0"/>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ind w:firstLine="576"/>
        <w:rPr>
          <w:rFonts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58" w:leftChars="342" w:hanging="5040" w:hangingChars="2100"/>
        <w:rPr>
          <w:rFonts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pPr>
        <w:snapToGrid w:val="0"/>
        <w:spacing w:line="360" w:lineRule="auto"/>
        <w:ind w:firstLine="5640" w:firstLineChars="2350"/>
        <w:rPr>
          <w:rFonts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ascii="仿宋" w:hAnsi="仿宋" w:eastAsia="仿宋" w:cs="仿宋"/>
        </w:rPr>
      </w:pPr>
      <w:r>
        <w:rPr>
          <w:rFonts w:hint="eastAsia" w:ascii="仿宋" w:hAnsi="仿宋" w:eastAsia="仿宋" w:cs="仿宋"/>
          <w:kern w:val="0"/>
          <w:sz w:val="24"/>
          <w:lang w:val="zh-CN"/>
        </w:rPr>
        <w:t>……</w:t>
      </w:r>
    </w:p>
    <w:p>
      <w:pPr>
        <w:autoSpaceDE w:val="0"/>
        <w:autoSpaceDN w:val="0"/>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jc w:val="center"/>
        <w:rPr>
          <w:rFonts w:ascii="仿宋" w:hAnsi="仿宋" w:eastAsia="仿宋" w:cs="仿宋"/>
          <w:b/>
          <w:spacing w:val="6"/>
          <w:sz w:val="32"/>
          <w:szCs w:val="32"/>
        </w:rPr>
        <w:sectPr>
          <w:pgSz w:w="11906" w:h="16838"/>
          <w:pgMar w:top="1276" w:right="536" w:bottom="1247" w:left="1418" w:header="851" w:footer="992" w:gutter="0"/>
          <w:cols w:space="720" w:num="1"/>
          <w:titlePg/>
          <w:docGrid w:linePitch="312" w:charSpace="0"/>
        </w:sectPr>
      </w:pPr>
    </w:p>
    <w:p>
      <w:pPr>
        <w:autoSpaceDE w:val="0"/>
        <w:autoSpaceDN w:val="0"/>
        <w:jc w:val="center"/>
        <w:rPr>
          <w:rFonts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480" w:firstLineChars="200"/>
        <w:rPr>
          <w:rFonts w:ascii="仿宋" w:hAnsi="仿宋" w:eastAsia="仿宋" w:cs="仿宋"/>
          <w:sz w:val="24"/>
        </w:rPr>
      </w:pPr>
      <w:r>
        <w:rPr>
          <w:rFonts w:hint="eastAsia" w:ascii="仿宋" w:hAnsi="仿宋" w:eastAsia="仿宋" w:cs="仿宋"/>
          <w:sz w:val="24"/>
        </w:rPr>
        <w:t>本公司（联合体）郑重声明，根据《政府采购促进中小企业发展管理办法》（财库﹝2020﹞46 号）的规定，本公司（联合体）参加 （采购人） 的 （项目名称） 采购活动，服务全部由符合政策要求的中小企业承接。相关企业（含联合体中的中小企业、签订分包意向协议的中小企业）的具体情况如下：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kern w:val="0"/>
          <w:sz w:val="24"/>
          <w:u w:val="single"/>
        </w:rPr>
        <w:t>景观灯及附属设施养护</w:t>
      </w:r>
      <w:r>
        <w:rPr>
          <w:rFonts w:hint="eastAsia" w:ascii="仿宋" w:hAnsi="仿宋" w:eastAsia="仿宋" w:cs="仿宋"/>
          <w:sz w:val="24"/>
        </w:rPr>
        <w:t xml:space="preserve"> ，属于 </w:t>
      </w:r>
      <w:r>
        <w:rPr>
          <w:rFonts w:hint="eastAsia" w:ascii="仿宋" w:hAnsi="仿宋" w:eastAsia="仿宋" w:cs="Arial"/>
          <w:kern w:val="0"/>
          <w:sz w:val="24"/>
          <w:u w:val="single"/>
        </w:rPr>
        <w:t xml:space="preserve">其他未列明行业 </w:t>
      </w:r>
      <w:r>
        <w:rPr>
          <w:rFonts w:hint="eastAsia" w:ascii="仿宋" w:hAnsi="仿宋" w:eastAsia="仿宋" w:cs="仿宋"/>
          <w:sz w:val="24"/>
        </w:rPr>
        <w:t xml:space="preserve"> 行业 ；承建（承接）为</w:t>
      </w:r>
      <w:r>
        <w:rPr>
          <w:rFonts w:hint="eastAsia" w:ascii="仿宋" w:hAnsi="仿宋" w:eastAsia="仿宋" w:cs="仿宋"/>
          <w:sz w:val="24"/>
          <w:u w:val="single"/>
        </w:rPr>
        <w:t xml:space="preserve"> （企业名称）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60" w:lineRule="auto"/>
        <w:ind w:firstLine="480" w:firstLineChars="200"/>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napToGrid w:val="0"/>
        <w:spacing w:line="360" w:lineRule="auto"/>
        <w:ind w:firstLine="5160" w:firstLineChars="2150"/>
        <w:rPr>
          <w:rFonts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pacing w:line="360" w:lineRule="auto"/>
        <w:jc w:val="left"/>
        <w:rPr>
          <w:rFonts w:ascii="仿宋" w:hAnsi="仿宋" w:eastAsia="仿宋" w:cs="仿宋"/>
          <w:sz w:val="18"/>
          <w:szCs w:val="18"/>
        </w:rPr>
      </w:pPr>
      <w:r>
        <w:rPr>
          <w:rFonts w:hint="eastAsia" w:ascii="仿宋" w:hAnsi="仿宋" w:eastAsia="仿宋" w:cs="仿宋"/>
          <w:szCs w:val="21"/>
        </w:rPr>
        <w:t>从业人员、营业收入、资产总额填报上一年度数据，无上一年度数据的新成立企业可不填报。</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注：</w:t>
      </w:r>
    </w:p>
    <w:p>
      <w:pPr>
        <w:spacing w:line="360" w:lineRule="auto"/>
        <w:ind w:right="420" w:firstLine="480" w:firstLineChars="200"/>
        <w:rPr>
          <w:rFonts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http://www.ccgp.gov.cn/zcfg/mof/201310/t20131029_3587674.htm）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cs="仿宋"/>
          <w:bCs/>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pgSz w:w="11906" w:h="16838"/>
      <w:pgMar w:top="1276" w:right="536"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Futura Bk">
    <w:altName w:val="Courier New"/>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Courier New"/>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Courier New"/>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09F" w:csb1="0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Courier New"/>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小标宋">
    <w:altName w:val="微软雅黑"/>
    <w:panose1 w:val="03000509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86</w:t>
    </w:r>
    <w:r>
      <w:rPr>
        <w:rFonts w:hint="eastAsia" w:ascii="仿宋_GB2312" w:eastAsia="仿宋_GB2312"/>
        <w:kern w:val="0"/>
        <w:szCs w:val="21"/>
      </w:rPr>
      <w:fldChar w:fldCharType="end"/>
    </w:r>
    <w:bookmarkStart w:id="402" w:name="_Toc36110187"/>
    <w:bookmarkStart w:id="403" w:name="_Toc164085800"/>
    <w:bookmarkStart w:id="404" w:name="_Toc91899912"/>
    <w:bookmarkStart w:id="405" w:name="_Toc131845147"/>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rPr>
    </w:pPr>
    <w:r>
      <w:fldChar w:fldCharType="begin"/>
    </w:r>
    <w:r>
      <w:rPr>
        <w:rStyle w:val="73"/>
      </w:rPr>
      <w:instrText xml:space="preserve">PAGE  </w:instrText>
    </w:r>
    <w:r>
      <w:fldChar w:fldCharType="end"/>
    </w:r>
  </w:p>
  <w:p>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9792970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2"/>
                            <w:jc w:val="center"/>
                          </w:pPr>
                          <w:r>
                            <w:rPr>
                              <w:rFonts w:hint="eastAsia"/>
                            </w:rPr>
                            <w:t>第</w:t>
                          </w:r>
                          <w:r>
                            <w:t xml:space="preserve"> </w:t>
                          </w:r>
                          <w:r>
                            <w:fldChar w:fldCharType="begin"/>
                          </w:r>
                          <w:r>
                            <w:instrText xml:space="preserve"> PAGE  \* MERGEFORMAT </w:instrText>
                          </w:r>
                          <w:r>
                            <w:fldChar w:fldCharType="separate"/>
                          </w:r>
                          <w:r>
                            <w:t>25</w:t>
                          </w:r>
                          <w:r>
                            <w:fldChar w:fldCharType="end"/>
                          </w:r>
                          <w:r>
                            <w:t xml:space="preserve"> </w:t>
                          </w:r>
                          <w:r>
                            <w:rPr>
                              <w:rFonts w:hint="eastAsia"/>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771.1pt;height:144pt;width:144pt;mso-position-horizontal:center;mso-position-horizontal-relative:margin;mso-position-vertical-relative:page;mso-wrap-style:none;z-index:251662336;mso-width-relative:page;mso-height-relative:page;" filled="f" stroked="f" coordsize="21600,21600" o:gfxdata="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rDn7B1gAAAAoBAAAPAAAAAAAAAAEAIAAAACIAAABkcnMvZG93bnJldi54bWxQSwECFAAUAAAA&#10;CACHTuJA/Sqt6rcBAABUAwAADgAAAAAAAAABACAAAAAlAQAAZHJzL2Uyb0RvYy54bWxQSwUGAAAA&#10;AAYABgBZAQAATgUAAAAA&#10;">
              <v:fill on="f" focussize="0,0"/>
              <v:stroke on="f" weight="0.5pt"/>
              <v:imagedata o:title=""/>
              <o:lock v:ext="edit" aspectratio="f"/>
              <v:textbox inset="0mm,0mm,0mm,0mm" style="mso-fit-shape-to-text:t;">
                <w:txbxContent>
                  <w:p>
                    <w:pPr>
                      <w:pStyle w:val="42"/>
                      <w:jc w:val="center"/>
                    </w:pPr>
                    <w:r>
                      <w:rPr>
                        <w:rFonts w:hint="eastAsia"/>
                      </w:rPr>
                      <w:t>第</w:t>
                    </w:r>
                    <w:r>
                      <w:t xml:space="preserve"> </w:t>
                    </w:r>
                    <w:r>
                      <w:fldChar w:fldCharType="begin"/>
                    </w:r>
                    <w:r>
                      <w:instrText xml:space="preserve"> PAGE  \* MERGEFORMAT </w:instrText>
                    </w:r>
                    <w:r>
                      <w:fldChar w:fldCharType="separate"/>
                    </w:r>
                    <w:r>
                      <w:t>25</w:t>
                    </w:r>
                    <w:r>
                      <w:fldChar w:fldCharType="end"/>
                    </w:r>
                    <w:r>
                      <w:t xml:space="preserve"> </w:t>
                    </w:r>
                    <w:r>
                      <w:rPr>
                        <w:rFonts w:hint="eastAsia"/>
                      </w:rPr>
                      <w:t>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3"/>
        <w:sz w:val="18"/>
      </w:rPr>
    </w:pPr>
    <w:r>
      <w:rPr>
        <w:rStyle w:val="73"/>
        <w:sz w:val="18"/>
      </w:rPr>
      <w:fldChar w:fldCharType="begin"/>
    </w:r>
    <w:r>
      <w:rPr>
        <w:rStyle w:val="73"/>
        <w:sz w:val="18"/>
      </w:rPr>
      <w:instrText xml:space="preserve">PAGE  </w:instrText>
    </w:r>
    <w:r>
      <w:rPr>
        <w:rStyle w:val="73"/>
        <w:sz w:val="18"/>
      </w:rPr>
      <w:fldChar w:fldCharType="end"/>
    </w:r>
  </w:p>
  <w:p>
    <w:pPr>
      <w:pStyle w:val="42"/>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ge">
                <wp:posOffset>9792970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2"/>
                            <w:jc w:val="center"/>
                          </w:pPr>
                          <w:r>
                            <w:rPr>
                              <w:rFonts w:hint="eastAsia"/>
                            </w:rPr>
                            <w:t>第</w:t>
                          </w:r>
                          <w:r>
                            <w:t xml:space="preserve"> </w:t>
                          </w:r>
                          <w:r>
                            <w:fldChar w:fldCharType="begin"/>
                          </w:r>
                          <w:r>
                            <w:instrText xml:space="preserve"> PAGE  \* MERGEFORMAT </w:instrText>
                          </w:r>
                          <w:r>
                            <w:fldChar w:fldCharType="separate"/>
                          </w:r>
                          <w:r>
                            <w:t>73</w:t>
                          </w:r>
                          <w:r>
                            <w:fldChar w:fldCharType="end"/>
                          </w:r>
                          <w:r>
                            <w:t xml:space="preserve"> </w:t>
                          </w:r>
                          <w:r>
                            <w:rPr>
                              <w:rFonts w:hint="eastAsia"/>
                            </w:rPr>
                            <w:t>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771.1pt;height:144pt;width:144pt;mso-position-horizontal:center;mso-position-horizontal-relative:margin;mso-position-vertical-relative:page;mso-wrap-style:none;z-index:251663360;mso-width-relative:page;mso-height-relative:page;" filled="f" stroked="f" coordsize="21600,21600" o:gfxdata="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sOfsHWAAAACgEAAA8AAAAAAAAAAQAgAAAAIgAAAGRycy9kb3ducmV2LnhtbFBLAQIUABQAAAAI&#10;AIdO4kDInqDCtgEAAFQDAAAOAAAAAAAAAAEAIAAAACUBAABkcnMvZTJvRG9jLnhtbFBLBQYAAAAA&#10;BgAGAFkBAABNBQAAAAA=&#10;">
              <v:fill on="f" focussize="0,0"/>
              <v:stroke on="f" weight="0.5pt"/>
              <v:imagedata o:title=""/>
              <o:lock v:ext="edit" aspectratio="f"/>
              <v:textbox inset="0mm,0mm,0mm,0mm" style="mso-fit-shape-to-text:t;">
                <w:txbxContent>
                  <w:p>
                    <w:pPr>
                      <w:pStyle w:val="42"/>
                      <w:jc w:val="center"/>
                    </w:pPr>
                    <w:r>
                      <w:rPr>
                        <w:rFonts w:hint="eastAsia"/>
                      </w:rPr>
                      <w:t>第</w:t>
                    </w:r>
                    <w:r>
                      <w:t xml:space="preserve"> </w:t>
                    </w:r>
                    <w:r>
                      <w:fldChar w:fldCharType="begin"/>
                    </w:r>
                    <w:r>
                      <w:instrText xml:space="preserve"> PAGE  \* MERGEFORMAT </w:instrText>
                    </w:r>
                    <w:r>
                      <w:fldChar w:fldCharType="separate"/>
                    </w:r>
                    <w:r>
                      <w:t>73</w:t>
                    </w:r>
                    <w:r>
                      <w:fldChar w:fldCharType="end"/>
                    </w:r>
                    <w:r>
                      <w:t xml:space="preserve"> </w:t>
                    </w:r>
                    <w:r>
                      <w:rPr>
                        <w:rFonts w:hint="eastAsia"/>
                      </w:rPr>
                      <w:t>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2"/>
                            <w:rPr>
                              <w:rStyle w:val="73"/>
                            </w:rPr>
                          </w:pPr>
                          <w:r>
                            <w:fldChar w:fldCharType="begin"/>
                          </w:r>
                          <w:r>
                            <w:rPr>
                              <w:rStyle w:val="73"/>
                            </w:rPr>
                            <w:instrText xml:space="preserve">PAGE  </w:instrText>
                          </w:r>
                          <w:r>
                            <w:fldChar w:fldCharType="separate"/>
                          </w:r>
                          <w:r>
                            <w:rPr>
                              <w:rStyle w:val="73"/>
                            </w:rPr>
                            <w:t>45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jxFmg&#10;sAEAAEkDAAAOAAAAAAAAAAEAIAAAACIBAABkcnMvZTJvRG9jLnhtbFBLBQYAAAAABgAGAFkBAABE&#10;BQAAAAA=&#10;">
              <v:fill on="f" focussize="0,0"/>
              <v:stroke on="f" weight="1.25pt"/>
              <v:imagedata o:title=""/>
              <o:lock v:ext="edit" aspectratio="f"/>
              <v:textbox inset="0mm,0mm,0mm,0mm" style="mso-fit-shape-to-text:t;">
                <w:txbxContent>
                  <w:p>
                    <w:pPr>
                      <w:pStyle w:val="42"/>
                      <w:rPr>
                        <w:rStyle w:val="73"/>
                      </w:rPr>
                    </w:pPr>
                    <w:r>
                      <w:fldChar w:fldCharType="begin"/>
                    </w:r>
                    <w:r>
                      <w:rPr>
                        <w:rStyle w:val="73"/>
                      </w:rPr>
                      <w:instrText xml:space="preserve">PAGE  </w:instrText>
                    </w:r>
                    <w:r>
                      <w:fldChar w:fldCharType="separate"/>
                    </w:r>
                    <w:r>
                      <w:rPr>
                        <w:rStyle w:val="73"/>
                      </w:rPr>
                      <w:t>45</w:t>
                    </w:r>
                    <w:r>
                      <w:fldChar w:fldCharType="end"/>
                    </w:r>
                  </w:p>
                </w:txbxContent>
              </v:textbox>
            </v:shape>
          </w:pict>
        </mc:Fallback>
      </mc:AlternateContent>
    </w: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tabs>
        <w:tab w:val="right" w:pos="9040"/>
        <w:tab w:val="clear" w:pos="8306"/>
      </w:tabs>
      <w:ind w:right="-540" w:rightChars="-257"/>
      <w:jc w:val="right"/>
    </w:pPr>
    <w:r>
      <w:t></w:t>
    </w:r>
    <w:r>
      <w:rPr>
        <w:rFonts w:hint="eastAsia"/>
      </w:rPr>
      <w:t xml:space="preserve">       </w:t>
    </w:r>
    <w:r>
      <w:t>杭州市</w:t>
    </w:r>
    <w:r>
      <w:rPr>
        <w:rFonts w:hint="eastAsia"/>
      </w:rPr>
      <w:t>钱塘区</w:t>
    </w:r>
    <w:r>
      <w:t>政府采购公开招标文件</w:t>
    </w:r>
  </w:p>
  <w:p>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w:t>
    </w:r>
    <w:r>
      <w:rPr>
        <w:rFonts w:hint="eastAsia"/>
      </w:rPr>
      <w:t>钱塘区</w:t>
    </w:r>
    <w: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 xml:space="preserve">                                                                                                        </w:t>
    </w:r>
    <w:r>
      <w:t>杭州市</w:t>
    </w:r>
    <w:r>
      <w:rPr>
        <w:rFonts w:hint="eastAsia"/>
      </w:rPr>
      <w:t>钱塘区</w:t>
    </w:r>
    <w:r>
      <w:t>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iCs/>
        <w:u w:val="single"/>
      </w:rPr>
    </w:pPr>
    <w:r>
      <w:t>杭州市</w:t>
    </w:r>
    <w:r>
      <w:rPr>
        <w:rFonts w:hint="eastAsia"/>
      </w:rPr>
      <w:t>钱塘区</w:t>
    </w:r>
    <w:r>
      <w:t>政府采购公开招标文件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r>
      <w:t>杭州市</w:t>
    </w:r>
    <w:r>
      <w:rPr>
        <w:rFonts w:hint="eastAsia"/>
      </w:rPr>
      <w:t>钱塘区</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rPr>
      <w:t>钱塘区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i/>
        <w:u w:val="single"/>
      </w:rPr>
    </w:pPr>
    <w:r>
      <w:rPr>
        <w:rFonts w:hint="eastAsia"/>
      </w:rPr>
      <w:t>钱塘区政府采购招标文件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rPr>
        <w:rFonts w:hint="eastAsia"/>
      </w:rPr>
      <w:t>钱塘区政府采购招标文件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none" w:color="auto" w:sz="0" w:space="0"/>
      </w:pBdr>
      <w:jc w:val="both"/>
      <w:rPr>
        <w:u w:val="single"/>
      </w:rPr>
    </w:pPr>
  </w:p>
  <w:p>
    <w:pPr>
      <w:pBdr>
        <w:bottom w:val="single" w:color="auto" w:sz="4" w:space="0"/>
      </w:pBdr>
      <w:jc w:val="right"/>
      <w:rPr>
        <w:u w:val="single"/>
      </w:rPr>
    </w:pPr>
    <w:r>
      <w:rPr>
        <w:sz w:val="18"/>
        <w:szCs w:val="18"/>
        <w:lang w:val="zh-CN"/>
      </w:rPr>
      <w:t>杭州市</w:t>
    </w:r>
    <w:r>
      <w:rPr>
        <w:rFonts w:hint="eastAsia"/>
        <w:sz w:val="18"/>
        <w:szCs w:val="18"/>
      </w:rPr>
      <w:t>钱塘区</w:t>
    </w:r>
    <w:r>
      <w:rPr>
        <w:sz w:val="18"/>
        <w:szCs w:val="18"/>
        <w:lang w:val="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w:t>
    </w:r>
    <w:r>
      <w:rPr>
        <w:rFonts w:hint="eastAsia"/>
      </w:rPr>
      <w:t xml:space="preserve">         </w:t>
    </w:r>
  </w:p>
  <w:p>
    <w:pPr>
      <w:pStyle w:val="44"/>
    </w:pPr>
    <w:r>
      <w:rPr>
        <w:rFonts w:hint="eastAsia"/>
      </w:rPr>
      <w:t xml:space="preserve">                                                                  </w:t>
    </w:r>
    <w:r>
      <w:t>杭州市</w:t>
    </w:r>
    <w:r>
      <w:rPr>
        <w:rFonts w:hint="eastAsia"/>
      </w:rPr>
      <w:t>钱塘区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i/>
        <w:u w:val="single"/>
      </w:rPr>
    </w:pPr>
    <w:r>
      <w:t></w:t>
    </w:r>
    <w:r>
      <w:rPr>
        <w:rFonts w:hint="eastAsia"/>
      </w:rPr>
      <w:t xml:space="preserve">                                                  </w:t>
    </w:r>
    <w:r>
      <w:t>杭州市</w:t>
    </w:r>
    <w:r>
      <w:rPr>
        <w:rFonts w:hint="eastAsia"/>
      </w:rPr>
      <w:t>钱塘区</w:t>
    </w:r>
    <w:r>
      <w:t>政府采购公开招标文件</w:t>
    </w:r>
  </w:p>
  <w:p>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7CA55"/>
    <w:multiLevelType w:val="singleLevel"/>
    <w:tmpl w:val="9BF7CA55"/>
    <w:lvl w:ilvl="0" w:tentative="0">
      <w:start w:val="3"/>
      <w:numFmt w:val="chineseCounting"/>
      <w:suff w:val="space"/>
      <w:lvlText w:val="第%1部分"/>
      <w:lvlJc w:val="left"/>
      <w:rPr>
        <w:rFonts w:hint="eastAsia"/>
      </w:rPr>
    </w:lvl>
  </w:abstractNum>
  <w:abstractNum w:abstractNumId="1">
    <w:nsid w:val="FAF7A09D"/>
    <w:multiLevelType w:val="singleLevel"/>
    <w:tmpl w:val="FAF7A09D"/>
    <w:lvl w:ilvl="0" w:tentative="0">
      <w:start w:val="1"/>
      <w:numFmt w:val="decimal"/>
      <w:suff w:val="nothing"/>
      <w:lvlText w:val="（%1）"/>
      <w:lvlJc w:val="left"/>
    </w:lvl>
  </w:abstractNum>
  <w:abstractNum w:abstractNumId="2">
    <w:nsid w:val="FDD6B76A"/>
    <w:multiLevelType w:val="singleLevel"/>
    <w:tmpl w:val="FDD6B76A"/>
    <w:lvl w:ilvl="0" w:tentative="0">
      <w:start w:val="26"/>
      <w:numFmt w:val="decimal"/>
      <w:suff w:val="space"/>
      <w:lvlText w:val="%1."/>
      <w:lvlJc w:val="left"/>
    </w:lvl>
  </w:abstractNum>
  <w:abstractNum w:abstractNumId="3">
    <w:nsid w:val="08F43007"/>
    <w:multiLevelType w:val="multilevel"/>
    <w:tmpl w:val="08F43007"/>
    <w:lvl w:ilvl="0" w:tentative="0">
      <w:start w:val="3"/>
      <w:numFmt w:val="japaneseCounting"/>
      <w:lvlText w:val="第%1条"/>
      <w:lvlJc w:val="left"/>
      <w:pPr>
        <w:tabs>
          <w:tab w:val="left" w:pos="1719"/>
        </w:tabs>
        <w:ind w:left="1719"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NTFlMzdjOWYyYTliODZlNDA0NGI1ZTllMWI4OT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35"/>
    <w:rsid w:val="0001337C"/>
    <w:rsid w:val="000138C4"/>
    <w:rsid w:val="00013C1F"/>
    <w:rsid w:val="00013F31"/>
    <w:rsid w:val="000140D8"/>
    <w:rsid w:val="00014530"/>
    <w:rsid w:val="00014A03"/>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104"/>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020"/>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AF1"/>
    <w:rsid w:val="000C3B1A"/>
    <w:rsid w:val="000C4727"/>
    <w:rsid w:val="000C47AE"/>
    <w:rsid w:val="000C51AD"/>
    <w:rsid w:val="000C5374"/>
    <w:rsid w:val="000C5EC0"/>
    <w:rsid w:val="000C6162"/>
    <w:rsid w:val="000C64CC"/>
    <w:rsid w:val="000C6688"/>
    <w:rsid w:val="000C692E"/>
    <w:rsid w:val="000C6B28"/>
    <w:rsid w:val="000C727E"/>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B67"/>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B33"/>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051"/>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13E"/>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EFC"/>
    <w:rsid w:val="002E37C5"/>
    <w:rsid w:val="002E3956"/>
    <w:rsid w:val="002E3C08"/>
    <w:rsid w:val="002E3CF2"/>
    <w:rsid w:val="002E469E"/>
    <w:rsid w:val="002E4C01"/>
    <w:rsid w:val="002E4D50"/>
    <w:rsid w:val="002E55FF"/>
    <w:rsid w:val="002E587E"/>
    <w:rsid w:val="002E672A"/>
    <w:rsid w:val="002E6853"/>
    <w:rsid w:val="002E6BBF"/>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BC3"/>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53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07"/>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5C2"/>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1B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992"/>
    <w:rsid w:val="00522FF1"/>
    <w:rsid w:val="00523946"/>
    <w:rsid w:val="0052397A"/>
    <w:rsid w:val="005256D6"/>
    <w:rsid w:val="00525AD8"/>
    <w:rsid w:val="00526429"/>
    <w:rsid w:val="005266C1"/>
    <w:rsid w:val="005267F4"/>
    <w:rsid w:val="005269D3"/>
    <w:rsid w:val="00526ED2"/>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F48"/>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A0F"/>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2B22"/>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BFF"/>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5DA"/>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E7E16"/>
    <w:rsid w:val="006F01FF"/>
    <w:rsid w:val="006F0CB2"/>
    <w:rsid w:val="006F1DE9"/>
    <w:rsid w:val="006F2046"/>
    <w:rsid w:val="006F2AAB"/>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523"/>
    <w:rsid w:val="00716C67"/>
    <w:rsid w:val="007170AB"/>
    <w:rsid w:val="0071779C"/>
    <w:rsid w:val="00717808"/>
    <w:rsid w:val="00717B4C"/>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21"/>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2D7"/>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1A0"/>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C19"/>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586"/>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EA3"/>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C72"/>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55B6"/>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C55"/>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4956"/>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4A1"/>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3DCE"/>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39AD"/>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72"/>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72A"/>
    <w:rsid w:val="00F15A85"/>
    <w:rsid w:val="00F15C81"/>
    <w:rsid w:val="00F15D8C"/>
    <w:rsid w:val="00F15F18"/>
    <w:rsid w:val="00F16B86"/>
    <w:rsid w:val="00F16E1A"/>
    <w:rsid w:val="00F16F92"/>
    <w:rsid w:val="00F17C3E"/>
    <w:rsid w:val="00F17CFC"/>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066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6"/>
    <w:rsid w:val="00F8056E"/>
    <w:rsid w:val="00F805B7"/>
    <w:rsid w:val="00F810C1"/>
    <w:rsid w:val="00F81623"/>
    <w:rsid w:val="00F81D25"/>
    <w:rsid w:val="00F8245C"/>
    <w:rsid w:val="00F82928"/>
    <w:rsid w:val="00F829B9"/>
    <w:rsid w:val="00F83045"/>
    <w:rsid w:val="00F833E8"/>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44F9"/>
    <w:rsid w:val="011F6449"/>
    <w:rsid w:val="01236AFB"/>
    <w:rsid w:val="012435ED"/>
    <w:rsid w:val="01500697"/>
    <w:rsid w:val="01756639"/>
    <w:rsid w:val="01833F19"/>
    <w:rsid w:val="019F7441"/>
    <w:rsid w:val="01B37585"/>
    <w:rsid w:val="01D55165"/>
    <w:rsid w:val="01DF6BF8"/>
    <w:rsid w:val="01EA20C0"/>
    <w:rsid w:val="01EC2C57"/>
    <w:rsid w:val="02184B5B"/>
    <w:rsid w:val="0247556A"/>
    <w:rsid w:val="026B2E25"/>
    <w:rsid w:val="02824D4D"/>
    <w:rsid w:val="02DC4B10"/>
    <w:rsid w:val="02DD76CE"/>
    <w:rsid w:val="02F36323"/>
    <w:rsid w:val="02F5619C"/>
    <w:rsid w:val="0326446A"/>
    <w:rsid w:val="032D5555"/>
    <w:rsid w:val="036634D2"/>
    <w:rsid w:val="03675D1E"/>
    <w:rsid w:val="0388408C"/>
    <w:rsid w:val="03DD35E4"/>
    <w:rsid w:val="03F1763A"/>
    <w:rsid w:val="04031F32"/>
    <w:rsid w:val="04063CD1"/>
    <w:rsid w:val="04076900"/>
    <w:rsid w:val="040A684F"/>
    <w:rsid w:val="041A5A3B"/>
    <w:rsid w:val="042311BA"/>
    <w:rsid w:val="042B157A"/>
    <w:rsid w:val="04413F7B"/>
    <w:rsid w:val="04427FFC"/>
    <w:rsid w:val="048F763B"/>
    <w:rsid w:val="049F330E"/>
    <w:rsid w:val="04AA775C"/>
    <w:rsid w:val="04AD1AC5"/>
    <w:rsid w:val="04AF1889"/>
    <w:rsid w:val="04D75109"/>
    <w:rsid w:val="04F66F48"/>
    <w:rsid w:val="05251E14"/>
    <w:rsid w:val="05A16594"/>
    <w:rsid w:val="05A7762D"/>
    <w:rsid w:val="05B178CA"/>
    <w:rsid w:val="05DA64B7"/>
    <w:rsid w:val="05DE0936"/>
    <w:rsid w:val="060E5941"/>
    <w:rsid w:val="06110FAF"/>
    <w:rsid w:val="06493CA7"/>
    <w:rsid w:val="065A6178"/>
    <w:rsid w:val="066F1CF3"/>
    <w:rsid w:val="067A4160"/>
    <w:rsid w:val="06930BB8"/>
    <w:rsid w:val="069D7E4F"/>
    <w:rsid w:val="07245D42"/>
    <w:rsid w:val="07264C62"/>
    <w:rsid w:val="07524795"/>
    <w:rsid w:val="0779354C"/>
    <w:rsid w:val="07A934AA"/>
    <w:rsid w:val="07EC1752"/>
    <w:rsid w:val="07F044D6"/>
    <w:rsid w:val="08061376"/>
    <w:rsid w:val="081C4DA3"/>
    <w:rsid w:val="08452D77"/>
    <w:rsid w:val="086401F8"/>
    <w:rsid w:val="08751CAA"/>
    <w:rsid w:val="087E49FE"/>
    <w:rsid w:val="087E4C40"/>
    <w:rsid w:val="08904099"/>
    <w:rsid w:val="08D42173"/>
    <w:rsid w:val="08D66AD6"/>
    <w:rsid w:val="08DA33A3"/>
    <w:rsid w:val="08E80F13"/>
    <w:rsid w:val="09267C87"/>
    <w:rsid w:val="09335624"/>
    <w:rsid w:val="0944690F"/>
    <w:rsid w:val="09535675"/>
    <w:rsid w:val="095900C1"/>
    <w:rsid w:val="095F057D"/>
    <w:rsid w:val="09642282"/>
    <w:rsid w:val="09733572"/>
    <w:rsid w:val="09772C16"/>
    <w:rsid w:val="098353B5"/>
    <w:rsid w:val="099755EF"/>
    <w:rsid w:val="09A83CB3"/>
    <w:rsid w:val="09A92330"/>
    <w:rsid w:val="09B06B87"/>
    <w:rsid w:val="09C13146"/>
    <w:rsid w:val="09E04166"/>
    <w:rsid w:val="09E2784C"/>
    <w:rsid w:val="0A05236F"/>
    <w:rsid w:val="0A1C0718"/>
    <w:rsid w:val="0A312D88"/>
    <w:rsid w:val="0A3E7710"/>
    <w:rsid w:val="0A5B7E63"/>
    <w:rsid w:val="0A6F4439"/>
    <w:rsid w:val="0A782765"/>
    <w:rsid w:val="0A920ABD"/>
    <w:rsid w:val="0AA374A5"/>
    <w:rsid w:val="0AAB7649"/>
    <w:rsid w:val="0ABC5606"/>
    <w:rsid w:val="0B091A99"/>
    <w:rsid w:val="0B30404E"/>
    <w:rsid w:val="0B3303A8"/>
    <w:rsid w:val="0B4C6C14"/>
    <w:rsid w:val="0B631A88"/>
    <w:rsid w:val="0B683D45"/>
    <w:rsid w:val="0B6B4275"/>
    <w:rsid w:val="0B7F3F11"/>
    <w:rsid w:val="0B884417"/>
    <w:rsid w:val="0BA10CBE"/>
    <w:rsid w:val="0BF6188C"/>
    <w:rsid w:val="0BF73C91"/>
    <w:rsid w:val="0BFD02C5"/>
    <w:rsid w:val="0C126BE9"/>
    <w:rsid w:val="0C170175"/>
    <w:rsid w:val="0C571A41"/>
    <w:rsid w:val="0C5C1171"/>
    <w:rsid w:val="0C5E1CBC"/>
    <w:rsid w:val="0C615B50"/>
    <w:rsid w:val="0C8445DA"/>
    <w:rsid w:val="0C87121B"/>
    <w:rsid w:val="0CC007F7"/>
    <w:rsid w:val="0CED7EB6"/>
    <w:rsid w:val="0CFE707A"/>
    <w:rsid w:val="0D063BDA"/>
    <w:rsid w:val="0D08375F"/>
    <w:rsid w:val="0D14551D"/>
    <w:rsid w:val="0D184CFB"/>
    <w:rsid w:val="0D274559"/>
    <w:rsid w:val="0D4A7419"/>
    <w:rsid w:val="0D4C342B"/>
    <w:rsid w:val="0D827401"/>
    <w:rsid w:val="0D84094E"/>
    <w:rsid w:val="0D8A00E9"/>
    <w:rsid w:val="0D8D589E"/>
    <w:rsid w:val="0D9F6096"/>
    <w:rsid w:val="0DA01C73"/>
    <w:rsid w:val="0DD63300"/>
    <w:rsid w:val="0DE66707"/>
    <w:rsid w:val="0DF50604"/>
    <w:rsid w:val="0DF702FE"/>
    <w:rsid w:val="0DFF67E0"/>
    <w:rsid w:val="0E060E51"/>
    <w:rsid w:val="0E5439CC"/>
    <w:rsid w:val="0E5604B2"/>
    <w:rsid w:val="0E6D5D79"/>
    <w:rsid w:val="0E9D0089"/>
    <w:rsid w:val="0EB803EE"/>
    <w:rsid w:val="0ED4462A"/>
    <w:rsid w:val="0EF94D4B"/>
    <w:rsid w:val="0F4958DC"/>
    <w:rsid w:val="0F515DF7"/>
    <w:rsid w:val="0F5903DB"/>
    <w:rsid w:val="0F596BA8"/>
    <w:rsid w:val="0F6248D2"/>
    <w:rsid w:val="0F693536"/>
    <w:rsid w:val="0F7379A1"/>
    <w:rsid w:val="0F7B0511"/>
    <w:rsid w:val="0F7B76D9"/>
    <w:rsid w:val="0F816ACD"/>
    <w:rsid w:val="0F93220B"/>
    <w:rsid w:val="0F9832DB"/>
    <w:rsid w:val="0FBF3FD2"/>
    <w:rsid w:val="0FBF7FF3"/>
    <w:rsid w:val="0FC87CEA"/>
    <w:rsid w:val="0FD03043"/>
    <w:rsid w:val="0FE73EE9"/>
    <w:rsid w:val="0FF56606"/>
    <w:rsid w:val="10166DF4"/>
    <w:rsid w:val="10646583"/>
    <w:rsid w:val="107D4B15"/>
    <w:rsid w:val="108A3C80"/>
    <w:rsid w:val="10A049F6"/>
    <w:rsid w:val="10C26171"/>
    <w:rsid w:val="10EE20E4"/>
    <w:rsid w:val="10F33360"/>
    <w:rsid w:val="10FC16EA"/>
    <w:rsid w:val="110F1D40"/>
    <w:rsid w:val="11266F33"/>
    <w:rsid w:val="1162023A"/>
    <w:rsid w:val="118963A1"/>
    <w:rsid w:val="11A625E0"/>
    <w:rsid w:val="11C6522A"/>
    <w:rsid w:val="11E104CC"/>
    <w:rsid w:val="11E20309"/>
    <w:rsid w:val="11E807A4"/>
    <w:rsid w:val="11EE5A02"/>
    <w:rsid w:val="121C72DF"/>
    <w:rsid w:val="12224473"/>
    <w:rsid w:val="12255233"/>
    <w:rsid w:val="12530213"/>
    <w:rsid w:val="125D4C68"/>
    <w:rsid w:val="127723A9"/>
    <w:rsid w:val="12862074"/>
    <w:rsid w:val="12883966"/>
    <w:rsid w:val="129E45B4"/>
    <w:rsid w:val="12AF7335"/>
    <w:rsid w:val="12D81596"/>
    <w:rsid w:val="12EA383B"/>
    <w:rsid w:val="13072A44"/>
    <w:rsid w:val="134D130F"/>
    <w:rsid w:val="13540CE3"/>
    <w:rsid w:val="135F4BE2"/>
    <w:rsid w:val="138228A6"/>
    <w:rsid w:val="139B1A0A"/>
    <w:rsid w:val="139D25C7"/>
    <w:rsid w:val="13BF3CE4"/>
    <w:rsid w:val="13C133CE"/>
    <w:rsid w:val="13DF0B81"/>
    <w:rsid w:val="13F60AC4"/>
    <w:rsid w:val="14092897"/>
    <w:rsid w:val="141008D8"/>
    <w:rsid w:val="14125FE6"/>
    <w:rsid w:val="143F2362"/>
    <w:rsid w:val="14464107"/>
    <w:rsid w:val="145F7307"/>
    <w:rsid w:val="14641FAC"/>
    <w:rsid w:val="14678B2C"/>
    <w:rsid w:val="146D271E"/>
    <w:rsid w:val="14982588"/>
    <w:rsid w:val="149A5AD9"/>
    <w:rsid w:val="149D3F83"/>
    <w:rsid w:val="14A7619D"/>
    <w:rsid w:val="150536C3"/>
    <w:rsid w:val="150C1963"/>
    <w:rsid w:val="151447A0"/>
    <w:rsid w:val="154A6454"/>
    <w:rsid w:val="15762120"/>
    <w:rsid w:val="15B44660"/>
    <w:rsid w:val="15CA5987"/>
    <w:rsid w:val="16A8729C"/>
    <w:rsid w:val="16AC07E4"/>
    <w:rsid w:val="16B33777"/>
    <w:rsid w:val="16B574FF"/>
    <w:rsid w:val="16BC70A7"/>
    <w:rsid w:val="16C6339E"/>
    <w:rsid w:val="170D2487"/>
    <w:rsid w:val="171741F5"/>
    <w:rsid w:val="172A128B"/>
    <w:rsid w:val="172F2D79"/>
    <w:rsid w:val="17520859"/>
    <w:rsid w:val="17557BEF"/>
    <w:rsid w:val="176201D3"/>
    <w:rsid w:val="17CC38C7"/>
    <w:rsid w:val="17D349C1"/>
    <w:rsid w:val="18051DF4"/>
    <w:rsid w:val="1830729E"/>
    <w:rsid w:val="1870062C"/>
    <w:rsid w:val="18817102"/>
    <w:rsid w:val="18830A15"/>
    <w:rsid w:val="18852B28"/>
    <w:rsid w:val="188B5321"/>
    <w:rsid w:val="18AD2173"/>
    <w:rsid w:val="18F356AC"/>
    <w:rsid w:val="1906512C"/>
    <w:rsid w:val="19280074"/>
    <w:rsid w:val="198A4263"/>
    <w:rsid w:val="19932372"/>
    <w:rsid w:val="19A20DD5"/>
    <w:rsid w:val="19AE03F1"/>
    <w:rsid w:val="19FEF2B4"/>
    <w:rsid w:val="1A071A03"/>
    <w:rsid w:val="1A1F16AE"/>
    <w:rsid w:val="1A362486"/>
    <w:rsid w:val="1A3B5C77"/>
    <w:rsid w:val="1A442B13"/>
    <w:rsid w:val="1A572366"/>
    <w:rsid w:val="1A984BAD"/>
    <w:rsid w:val="1AA245F7"/>
    <w:rsid w:val="1AA25EA9"/>
    <w:rsid w:val="1AA7450E"/>
    <w:rsid w:val="1AAC1FB7"/>
    <w:rsid w:val="1AB8220E"/>
    <w:rsid w:val="1ADC6D40"/>
    <w:rsid w:val="1AE4166C"/>
    <w:rsid w:val="1AEB5268"/>
    <w:rsid w:val="1AF06CFB"/>
    <w:rsid w:val="1AF11B8D"/>
    <w:rsid w:val="1B11359C"/>
    <w:rsid w:val="1B2A271F"/>
    <w:rsid w:val="1B530544"/>
    <w:rsid w:val="1B5777A0"/>
    <w:rsid w:val="1B713184"/>
    <w:rsid w:val="1B894423"/>
    <w:rsid w:val="1BA209CF"/>
    <w:rsid w:val="1BB4777D"/>
    <w:rsid w:val="1BC6D311"/>
    <w:rsid w:val="1BCA0E71"/>
    <w:rsid w:val="1BD75AB8"/>
    <w:rsid w:val="1C0459C2"/>
    <w:rsid w:val="1C1B3B4A"/>
    <w:rsid w:val="1C7DB08F"/>
    <w:rsid w:val="1C88086E"/>
    <w:rsid w:val="1C92024C"/>
    <w:rsid w:val="1CBA27B2"/>
    <w:rsid w:val="1CE248DF"/>
    <w:rsid w:val="1CF249C4"/>
    <w:rsid w:val="1D210A3A"/>
    <w:rsid w:val="1D266CE1"/>
    <w:rsid w:val="1D3306AD"/>
    <w:rsid w:val="1D3963AF"/>
    <w:rsid w:val="1D4E37F9"/>
    <w:rsid w:val="1D630730"/>
    <w:rsid w:val="1D6A673C"/>
    <w:rsid w:val="1D7F918A"/>
    <w:rsid w:val="1D9247AE"/>
    <w:rsid w:val="1DAF2E9A"/>
    <w:rsid w:val="1DB567EC"/>
    <w:rsid w:val="1DBF0EC2"/>
    <w:rsid w:val="1DF51A98"/>
    <w:rsid w:val="1DF789D5"/>
    <w:rsid w:val="1E08301D"/>
    <w:rsid w:val="1E3D060F"/>
    <w:rsid w:val="1E3F7D2E"/>
    <w:rsid w:val="1E4134E4"/>
    <w:rsid w:val="1E5062B3"/>
    <w:rsid w:val="1E523514"/>
    <w:rsid w:val="1E714A66"/>
    <w:rsid w:val="1E802593"/>
    <w:rsid w:val="1EA703CC"/>
    <w:rsid w:val="1EB7330C"/>
    <w:rsid w:val="1ED57051"/>
    <w:rsid w:val="1EECEE5A"/>
    <w:rsid w:val="1F0A0FF3"/>
    <w:rsid w:val="1F5771FF"/>
    <w:rsid w:val="1F8854DA"/>
    <w:rsid w:val="1FAA8463"/>
    <w:rsid w:val="1FBE20C7"/>
    <w:rsid w:val="1FD40B31"/>
    <w:rsid w:val="1FE868A9"/>
    <w:rsid w:val="20034907"/>
    <w:rsid w:val="2006735B"/>
    <w:rsid w:val="200F3851"/>
    <w:rsid w:val="20173E4B"/>
    <w:rsid w:val="20360CA0"/>
    <w:rsid w:val="204E48BC"/>
    <w:rsid w:val="208921B3"/>
    <w:rsid w:val="20973DEB"/>
    <w:rsid w:val="20B120D5"/>
    <w:rsid w:val="20B26522"/>
    <w:rsid w:val="20B31FCF"/>
    <w:rsid w:val="20B44310"/>
    <w:rsid w:val="20BB6D5F"/>
    <w:rsid w:val="20FD2B4B"/>
    <w:rsid w:val="211116EB"/>
    <w:rsid w:val="21366A1B"/>
    <w:rsid w:val="216133FC"/>
    <w:rsid w:val="21D56769"/>
    <w:rsid w:val="21E52EF3"/>
    <w:rsid w:val="21FB5D7B"/>
    <w:rsid w:val="220B1C3D"/>
    <w:rsid w:val="221D1D20"/>
    <w:rsid w:val="22334A87"/>
    <w:rsid w:val="22864D9F"/>
    <w:rsid w:val="22BE6801"/>
    <w:rsid w:val="230706D2"/>
    <w:rsid w:val="232E3EB1"/>
    <w:rsid w:val="233500BF"/>
    <w:rsid w:val="23377FF7"/>
    <w:rsid w:val="236B425F"/>
    <w:rsid w:val="23836192"/>
    <w:rsid w:val="23901F29"/>
    <w:rsid w:val="23932309"/>
    <w:rsid w:val="239C0061"/>
    <w:rsid w:val="23A509F4"/>
    <w:rsid w:val="23B908A4"/>
    <w:rsid w:val="23D235D7"/>
    <w:rsid w:val="23E95BEF"/>
    <w:rsid w:val="23F8A502"/>
    <w:rsid w:val="23FD0064"/>
    <w:rsid w:val="241F664E"/>
    <w:rsid w:val="24240656"/>
    <w:rsid w:val="244853A5"/>
    <w:rsid w:val="245375B0"/>
    <w:rsid w:val="24642C0A"/>
    <w:rsid w:val="24B22173"/>
    <w:rsid w:val="24B95AD9"/>
    <w:rsid w:val="24BE24DA"/>
    <w:rsid w:val="24CF5825"/>
    <w:rsid w:val="24D663E6"/>
    <w:rsid w:val="24D77F2B"/>
    <w:rsid w:val="24D804D4"/>
    <w:rsid w:val="25382E18"/>
    <w:rsid w:val="258B00E2"/>
    <w:rsid w:val="25A917A6"/>
    <w:rsid w:val="25AC5196"/>
    <w:rsid w:val="25BE27CC"/>
    <w:rsid w:val="25F74A5C"/>
    <w:rsid w:val="2628662C"/>
    <w:rsid w:val="262D45DE"/>
    <w:rsid w:val="26652135"/>
    <w:rsid w:val="26A53EF9"/>
    <w:rsid w:val="26A94201"/>
    <w:rsid w:val="26AC274F"/>
    <w:rsid w:val="26B62C16"/>
    <w:rsid w:val="26BC3644"/>
    <w:rsid w:val="26ED5133"/>
    <w:rsid w:val="27044A29"/>
    <w:rsid w:val="271D34C8"/>
    <w:rsid w:val="273E043A"/>
    <w:rsid w:val="276142BF"/>
    <w:rsid w:val="27783712"/>
    <w:rsid w:val="27907362"/>
    <w:rsid w:val="27AC4EAD"/>
    <w:rsid w:val="28333E1D"/>
    <w:rsid w:val="28454BD6"/>
    <w:rsid w:val="28455253"/>
    <w:rsid w:val="28551971"/>
    <w:rsid w:val="285B1C53"/>
    <w:rsid w:val="28730988"/>
    <w:rsid w:val="287D4F02"/>
    <w:rsid w:val="28834C9E"/>
    <w:rsid w:val="289F7086"/>
    <w:rsid w:val="28C25188"/>
    <w:rsid w:val="28C32028"/>
    <w:rsid w:val="28CC490F"/>
    <w:rsid w:val="28DE40AA"/>
    <w:rsid w:val="29345E77"/>
    <w:rsid w:val="293715E5"/>
    <w:rsid w:val="294C65AD"/>
    <w:rsid w:val="2963612E"/>
    <w:rsid w:val="29806583"/>
    <w:rsid w:val="29881E2F"/>
    <w:rsid w:val="298B3C4C"/>
    <w:rsid w:val="29B873C6"/>
    <w:rsid w:val="29F00112"/>
    <w:rsid w:val="29F26D24"/>
    <w:rsid w:val="2A15033F"/>
    <w:rsid w:val="2A1662C1"/>
    <w:rsid w:val="2A1C7367"/>
    <w:rsid w:val="2A2815FA"/>
    <w:rsid w:val="2A5B0AFA"/>
    <w:rsid w:val="2A6D6092"/>
    <w:rsid w:val="2A7D76B4"/>
    <w:rsid w:val="2A866380"/>
    <w:rsid w:val="2A930A9D"/>
    <w:rsid w:val="2A9B2458"/>
    <w:rsid w:val="2AD417DA"/>
    <w:rsid w:val="2B2B6F28"/>
    <w:rsid w:val="2B3773EC"/>
    <w:rsid w:val="2B437463"/>
    <w:rsid w:val="2B533CC4"/>
    <w:rsid w:val="2B60427F"/>
    <w:rsid w:val="2B67536E"/>
    <w:rsid w:val="2B7807EE"/>
    <w:rsid w:val="2B7E48FF"/>
    <w:rsid w:val="2B88437A"/>
    <w:rsid w:val="2BBF00EC"/>
    <w:rsid w:val="2BC37CFD"/>
    <w:rsid w:val="2BD5237F"/>
    <w:rsid w:val="2BE536CE"/>
    <w:rsid w:val="2BE758D9"/>
    <w:rsid w:val="2BFD75A0"/>
    <w:rsid w:val="2C09049E"/>
    <w:rsid w:val="2C0A653C"/>
    <w:rsid w:val="2C191F85"/>
    <w:rsid w:val="2C593CC6"/>
    <w:rsid w:val="2CE82D6F"/>
    <w:rsid w:val="2CF3CFCC"/>
    <w:rsid w:val="2D113745"/>
    <w:rsid w:val="2D1760D1"/>
    <w:rsid w:val="2D2E2C0D"/>
    <w:rsid w:val="2D343236"/>
    <w:rsid w:val="2DD15014"/>
    <w:rsid w:val="2DDF576E"/>
    <w:rsid w:val="2DF72DE4"/>
    <w:rsid w:val="2E0220AF"/>
    <w:rsid w:val="2E243BAF"/>
    <w:rsid w:val="2E4B082A"/>
    <w:rsid w:val="2E563BF7"/>
    <w:rsid w:val="2E5D4E86"/>
    <w:rsid w:val="2E5D790B"/>
    <w:rsid w:val="2E786212"/>
    <w:rsid w:val="2E901BAC"/>
    <w:rsid w:val="2E9A3C18"/>
    <w:rsid w:val="2EBB0FEE"/>
    <w:rsid w:val="2EC63002"/>
    <w:rsid w:val="2ECD5874"/>
    <w:rsid w:val="2ED54CB2"/>
    <w:rsid w:val="2F0A6B38"/>
    <w:rsid w:val="2F787B90"/>
    <w:rsid w:val="2F946CCB"/>
    <w:rsid w:val="2FAC1422"/>
    <w:rsid w:val="2FBA2E44"/>
    <w:rsid w:val="2FBF98D1"/>
    <w:rsid w:val="2FD25781"/>
    <w:rsid w:val="2FDD6036"/>
    <w:rsid w:val="2FEA2B1B"/>
    <w:rsid w:val="2FFD7934"/>
    <w:rsid w:val="30733ACD"/>
    <w:rsid w:val="308C3862"/>
    <w:rsid w:val="309379D8"/>
    <w:rsid w:val="30A270F7"/>
    <w:rsid w:val="30DF1478"/>
    <w:rsid w:val="30EC586F"/>
    <w:rsid w:val="313E5E90"/>
    <w:rsid w:val="313F81C3"/>
    <w:rsid w:val="314A61F9"/>
    <w:rsid w:val="315B638E"/>
    <w:rsid w:val="31635784"/>
    <w:rsid w:val="319C6071"/>
    <w:rsid w:val="31AC537E"/>
    <w:rsid w:val="31AF0712"/>
    <w:rsid w:val="31E3679B"/>
    <w:rsid w:val="31E732FD"/>
    <w:rsid w:val="31E74BA2"/>
    <w:rsid w:val="31F2079F"/>
    <w:rsid w:val="31F92B93"/>
    <w:rsid w:val="32517576"/>
    <w:rsid w:val="3280441C"/>
    <w:rsid w:val="32BE5C2C"/>
    <w:rsid w:val="32E0684A"/>
    <w:rsid w:val="32FB6478"/>
    <w:rsid w:val="33263B3F"/>
    <w:rsid w:val="33364476"/>
    <w:rsid w:val="334E24B3"/>
    <w:rsid w:val="336963EB"/>
    <w:rsid w:val="33816EEB"/>
    <w:rsid w:val="33B43E84"/>
    <w:rsid w:val="33E43380"/>
    <w:rsid w:val="33EB55CD"/>
    <w:rsid w:val="33EC4C02"/>
    <w:rsid w:val="340D2360"/>
    <w:rsid w:val="3410665D"/>
    <w:rsid w:val="34124E23"/>
    <w:rsid w:val="34211214"/>
    <w:rsid w:val="342E63AB"/>
    <w:rsid w:val="34610414"/>
    <w:rsid w:val="34950E68"/>
    <w:rsid w:val="34986E94"/>
    <w:rsid w:val="34AF62C9"/>
    <w:rsid w:val="34CB4388"/>
    <w:rsid w:val="34FA6E12"/>
    <w:rsid w:val="350645C6"/>
    <w:rsid w:val="35324E1E"/>
    <w:rsid w:val="358D5588"/>
    <w:rsid w:val="35B4432A"/>
    <w:rsid w:val="35C59229"/>
    <w:rsid w:val="36291F2F"/>
    <w:rsid w:val="363A3B40"/>
    <w:rsid w:val="365302AE"/>
    <w:rsid w:val="36607A0A"/>
    <w:rsid w:val="366A4187"/>
    <w:rsid w:val="366E227C"/>
    <w:rsid w:val="366F2E0D"/>
    <w:rsid w:val="367B6A5C"/>
    <w:rsid w:val="36A74ADA"/>
    <w:rsid w:val="36AD60D5"/>
    <w:rsid w:val="36B224F9"/>
    <w:rsid w:val="36CD06D8"/>
    <w:rsid w:val="36EC0CC9"/>
    <w:rsid w:val="36FB1948"/>
    <w:rsid w:val="37153EE7"/>
    <w:rsid w:val="371D36CD"/>
    <w:rsid w:val="373F410B"/>
    <w:rsid w:val="37413EFE"/>
    <w:rsid w:val="37494BFA"/>
    <w:rsid w:val="3768578B"/>
    <w:rsid w:val="379E5600"/>
    <w:rsid w:val="37EE7094"/>
    <w:rsid w:val="37F70986"/>
    <w:rsid w:val="38296C89"/>
    <w:rsid w:val="383002EB"/>
    <w:rsid w:val="38586797"/>
    <w:rsid w:val="385B38D6"/>
    <w:rsid w:val="38BC0149"/>
    <w:rsid w:val="38C53688"/>
    <w:rsid w:val="38CB553C"/>
    <w:rsid w:val="38D87D1C"/>
    <w:rsid w:val="38E91A6B"/>
    <w:rsid w:val="39083C99"/>
    <w:rsid w:val="392F2DC1"/>
    <w:rsid w:val="395C1D0A"/>
    <w:rsid w:val="39636459"/>
    <w:rsid w:val="396B7F6C"/>
    <w:rsid w:val="39A70AF9"/>
    <w:rsid w:val="39B417A9"/>
    <w:rsid w:val="39EC77BE"/>
    <w:rsid w:val="39F55C33"/>
    <w:rsid w:val="39F570DC"/>
    <w:rsid w:val="39FC5695"/>
    <w:rsid w:val="39FFACCD"/>
    <w:rsid w:val="3A006D8E"/>
    <w:rsid w:val="3A3651E5"/>
    <w:rsid w:val="3A744481"/>
    <w:rsid w:val="3A8C7BEF"/>
    <w:rsid w:val="3A906246"/>
    <w:rsid w:val="3AC86541"/>
    <w:rsid w:val="3AEE7494"/>
    <w:rsid w:val="3AEFA2CB"/>
    <w:rsid w:val="3B2349B7"/>
    <w:rsid w:val="3B616CFF"/>
    <w:rsid w:val="3B6259F6"/>
    <w:rsid w:val="3B976654"/>
    <w:rsid w:val="3BBE4AC4"/>
    <w:rsid w:val="3BC01EFC"/>
    <w:rsid w:val="3BCA786A"/>
    <w:rsid w:val="3BD31E2F"/>
    <w:rsid w:val="3BD553B9"/>
    <w:rsid w:val="3BE033C2"/>
    <w:rsid w:val="3BF15831"/>
    <w:rsid w:val="3C0150A3"/>
    <w:rsid w:val="3C105946"/>
    <w:rsid w:val="3C471448"/>
    <w:rsid w:val="3C5F759A"/>
    <w:rsid w:val="3C6C525A"/>
    <w:rsid w:val="3CCE23CB"/>
    <w:rsid w:val="3CD17D17"/>
    <w:rsid w:val="3D092ABE"/>
    <w:rsid w:val="3D2C4B65"/>
    <w:rsid w:val="3D3C7F39"/>
    <w:rsid w:val="3D440F09"/>
    <w:rsid w:val="3D4504A0"/>
    <w:rsid w:val="3D5D11C3"/>
    <w:rsid w:val="3D8734BB"/>
    <w:rsid w:val="3D9A11D4"/>
    <w:rsid w:val="3DA16D89"/>
    <w:rsid w:val="3DA364BE"/>
    <w:rsid w:val="3DE041CB"/>
    <w:rsid w:val="3E0D48F6"/>
    <w:rsid w:val="3E1868B4"/>
    <w:rsid w:val="3E221ABD"/>
    <w:rsid w:val="3E285EE1"/>
    <w:rsid w:val="3E377251"/>
    <w:rsid w:val="3E42664B"/>
    <w:rsid w:val="3E5A7334"/>
    <w:rsid w:val="3E7B5D6B"/>
    <w:rsid w:val="3E843E66"/>
    <w:rsid w:val="3E8F51FE"/>
    <w:rsid w:val="3E926F87"/>
    <w:rsid w:val="3E9A59DE"/>
    <w:rsid w:val="3EAF4836"/>
    <w:rsid w:val="3EB516C8"/>
    <w:rsid w:val="3EB5D43D"/>
    <w:rsid w:val="3EC33DFA"/>
    <w:rsid w:val="3EFB7EC0"/>
    <w:rsid w:val="3F060E16"/>
    <w:rsid w:val="3F14158B"/>
    <w:rsid w:val="3F1D1096"/>
    <w:rsid w:val="3F21243C"/>
    <w:rsid w:val="3F2F0234"/>
    <w:rsid w:val="3F6363FE"/>
    <w:rsid w:val="3F756B8F"/>
    <w:rsid w:val="3F95482B"/>
    <w:rsid w:val="3FAF38FB"/>
    <w:rsid w:val="3FFED42C"/>
    <w:rsid w:val="4019356B"/>
    <w:rsid w:val="40592157"/>
    <w:rsid w:val="406E1CAE"/>
    <w:rsid w:val="40A0133A"/>
    <w:rsid w:val="40C31A53"/>
    <w:rsid w:val="40F16AFB"/>
    <w:rsid w:val="40FF545D"/>
    <w:rsid w:val="410067C8"/>
    <w:rsid w:val="4135050E"/>
    <w:rsid w:val="415E4A59"/>
    <w:rsid w:val="418F0D2A"/>
    <w:rsid w:val="419608F0"/>
    <w:rsid w:val="41D01505"/>
    <w:rsid w:val="423E7569"/>
    <w:rsid w:val="42474939"/>
    <w:rsid w:val="424C3C57"/>
    <w:rsid w:val="424E557E"/>
    <w:rsid w:val="42613FF3"/>
    <w:rsid w:val="42660D96"/>
    <w:rsid w:val="428667D2"/>
    <w:rsid w:val="42936A49"/>
    <w:rsid w:val="42C102E6"/>
    <w:rsid w:val="42C83582"/>
    <w:rsid w:val="42CD1CE0"/>
    <w:rsid w:val="42E1381E"/>
    <w:rsid w:val="42ED6459"/>
    <w:rsid w:val="42FE58DD"/>
    <w:rsid w:val="43174B3D"/>
    <w:rsid w:val="434B790E"/>
    <w:rsid w:val="4360274F"/>
    <w:rsid w:val="437A2EFB"/>
    <w:rsid w:val="43977AB6"/>
    <w:rsid w:val="43A3342B"/>
    <w:rsid w:val="43C77C27"/>
    <w:rsid w:val="43DE09EE"/>
    <w:rsid w:val="44002FAD"/>
    <w:rsid w:val="44421C10"/>
    <w:rsid w:val="448477B9"/>
    <w:rsid w:val="449101DD"/>
    <w:rsid w:val="44DE1391"/>
    <w:rsid w:val="451B225C"/>
    <w:rsid w:val="452410C9"/>
    <w:rsid w:val="45317DFB"/>
    <w:rsid w:val="456D3CE4"/>
    <w:rsid w:val="4579042C"/>
    <w:rsid w:val="457F0571"/>
    <w:rsid w:val="458043A8"/>
    <w:rsid w:val="45851176"/>
    <w:rsid w:val="45AE28FA"/>
    <w:rsid w:val="45C63B94"/>
    <w:rsid w:val="45E87A96"/>
    <w:rsid w:val="46004DE1"/>
    <w:rsid w:val="460E7DA5"/>
    <w:rsid w:val="46422483"/>
    <w:rsid w:val="4659254A"/>
    <w:rsid w:val="465B0637"/>
    <w:rsid w:val="465E3F0D"/>
    <w:rsid w:val="466A16E6"/>
    <w:rsid w:val="468046CC"/>
    <w:rsid w:val="468937D3"/>
    <w:rsid w:val="46893F2B"/>
    <w:rsid w:val="46C4686E"/>
    <w:rsid w:val="47785793"/>
    <w:rsid w:val="477B778F"/>
    <w:rsid w:val="478203EC"/>
    <w:rsid w:val="479B0079"/>
    <w:rsid w:val="47A13F1B"/>
    <w:rsid w:val="47B025FA"/>
    <w:rsid w:val="480426CD"/>
    <w:rsid w:val="4809698F"/>
    <w:rsid w:val="480E4937"/>
    <w:rsid w:val="4811697D"/>
    <w:rsid w:val="487A3E25"/>
    <w:rsid w:val="488B5503"/>
    <w:rsid w:val="48937E21"/>
    <w:rsid w:val="48981C49"/>
    <w:rsid w:val="489A0361"/>
    <w:rsid w:val="48B94FF3"/>
    <w:rsid w:val="48E37AAB"/>
    <w:rsid w:val="48E768C7"/>
    <w:rsid w:val="48FD4B4C"/>
    <w:rsid w:val="490A68E0"/>
    <w:rsid w:val="491055FE"/>
    <w:rsid w:val="495F5B3E"/>
    <w:rsid w:val="496F77D7"/>
    <w:rsid w:val="497654FD"/>
    <w:rsid w:val="49B64211"/>
    <w:rsid w:val="49D62A28"/>
    <w:rsid w:val="49D82405"/>
    <w:rsid w:val="49F6167F"/>
    <w:rsid w:val="49F83BD7"/>
    <w:rsid w:val="4A064FA0"/>
    <w:rsid w:val="4A16615C"/>
    <w:rsid w:val="4A1A388C"/>
    <w:rsid w:val="4A3A5853"/>
    <w:rsid w:val="4A4424D7"/>
    <w:rsid w:val="4A454E53"/>
    <w:rsid w:val="4AB82D0F"/>
    <w:rsid w:val="4ACF06B0"/>
    <w:rsid w:val="4AEB7664"/>
    <w:rsid w:val="4AF92999"/>
    <w:rsid w:val="4AFD7C19"/>
    <w:rsid w:val="4B0567D1"/>
    <w:rsid w:val="4B236AAE"/>
    <w:rsid w:val="4B413B26"/>
    <w:rsid w:val="4B707271"/>
    <w:rsid w:val="4B761E62"/>
    <w:rsid w:val="4B8B7843"/>
    <w:rsid w:val="4B9739F7"/>
    <w:rsid w:val="4BEE2503"/>
    <w:rsid w:val="4C245A30"/>
    <w:rsid w:val="4C6F33EC"/>
    <w:rsid w:val="4CAF7C99"/>
    <w:rsid w:val="4CB6685F"/>
    <w:rsid w:val="4CC367FE"/>
    <w:rsid w:val="4CE41D71"/>
    <w:rsid w:val="4CF13E12"/>
    <w:rsid w:val="4D077F3C"/>
    <w:rsid w:val="4D123355"/>
    <w:rsid w:val="4D2A3B31"/>
    <w:rsid w:val="4D312C52"/>
    <w:rsid w:val="4D5A5C7A"/>
    <w:rsid w:val="4D7B268D"/>
    <w:rsid w:val="4D905305"/>
    <w:rsid w:val="4D956AE3"/>
    <w:rsid w:val="4D964A72"/>
    <w:rsid w:val="4D9C1254"/>
    <w:rsid w:val="4DA150FB"/>
    <w:rsid w:val="4DE13A88"/>
    <w:rsid w:val="4E141D71"/>
    <w:rsid w:val="4E323FA5"/>
    <w:rsid w:val="4E793892"/>
    <w:rsid w:val="4E800872"/>
    <w:rsid w:val="4E897B6E"/>
    <w:rsid w:val="4EC512BE"/>
    <w:rsid w:val="4EC569ED"/>
    <w:rsid w:val="4ED50EA1"/>
    <w:rsid w:val="4EEC050C"/>
    <w:rsid w:val="4F104EC3"/>
    <w:rsid w:val="4F3F0645"/>
    <w:rsid w:val="4F47354A"/>
    <w:rsid w:val="4F8E53A2"/>
    <w:rsid w:val="4F911C54"/>
    <w:rsid w:val="4F9F6A34"/>
    <w:rsid w:val="4FDF0786"/>
    <w:rsid w:val="4FE625E0"/>
    <w:rsid w:val="5021480F"/>
    <w:rsid w:val="504E4173"/>
    <w:rsid w:val="50802CBD"/>
    <w:rsid w:val="50937403"/>
    <w:rsid w:val="50962ECB"/>
    <w:rsid w:val="50972573"/>
    <w:rsid w:val="50A42E38"/>
    <w:rsid w:val="50A4577F"/>
    <w:rsid w:val="50AA7998"/>
    <w:rsid w:val="50B65505"/>
    <w:rsid w:val="50B73D1F"/>
    <w:rsid w:val="50BC4CAD"/>
    <w:rsid w:val="50BD5BC9"/>
    <w:rsid w:val="50C11EEE"/>
    <w:rsid w:val="50CA4969"/>
    <w:rsid w:val="50E97CFC"/>
    <w:rsid w:val="50FA4028"/>
    <w:rsid w:val="510D65B7"/>
    <w:rsid w:val="511157AB"/>
    <w:rsid w:val="5142540C"/>
    <w:rsid w:val="51497F84"/>
    <w:rsid w:val="518832C8"/>
    <w:rsid w:val="51A0432A"/>
    <w:rsid w:val="51A86090"/>
    <w:rsid w:val="51B7396D"/>
    <w:rsid w:val="51DC0DF8"/>
    <w:rsid w:val="51E7FC2B"/>
    <w:rsid w:val="52287B99"/>
    <w:rsid w:val="522E4CC3"/>
    <w:rsid w:val="5244713B"/>
    <w:rsid w:val="52615633"/>
    <w:rsid w:val="52977FD4"/>
    <w:rsid w:val="52A25790"/>
    <w:rsid w:val="52A91A30"/>
    <w:rsid w:val="52A96B6F"/>
    <w:rsid w:val="52B45975"/>
    <w:rsid w:val="52BF7E2A"/>
    <w:rsid w:val="52D94AA4"/>
    <w:rsid w:val="52E72CC5"/>
    <w:rsid w:val="52EA3A62"/>
    <w:rsid w:val="52F50BB8"/>
    <w:rsid w:val="53097272"/>
    <w:rsid w:val="53544462"/>
    <w:rsid w:val="536C61AC"/>
    <w:rsid w:val="5397158E"/>
    <w:rsid w:val="54013861"/>
    <w:rsid w:val="540655C5"/>
    <w:rsid w:val="54142D03"/>
    <w:rsid w:val="54487265"/>
    <w:rsid w:val="544D6070"/>
    <w:rsid w:val="54605E1E"/>
    <w:rsid w:val="549C661D"/>
    <w:rsid w:val="54B3506A"/>
    <w:rsid w:val="54B4525E"/>
    <w:rsid w:val="54CA0D16"/>
    <w:rsid w:val="54D67D81"/>
    <w:rsid w:val="54DD4057"/>
    <w:rsid w:val="54E7490F"/>
    <w:rsid w:val="550764A4"/>
    <w:rsid w:val="550B2BF6"/>
    <w:rsid w:val="55214EB5"/>
    <w:rsid w:val="55344AA7"/>
    <w:rsid w:val="55364EFD"/>
    <w:rsid w:val="555D4828"/>
    <w:rsid w:val="557A4C8B"/>
    <w:rsid w:val="557B7DD9"/>
    <w:rsid w:val="558931E1"/>
    <w:rsid w:val="558D0DF6"/>
    <w:rsid w:val="55923347"/>
    <w:rsid w:val="55925180"/>
    <w:rsid w:val="55983B1B"/>
    <w:rsid w:val="55A8376B"/>
    <w:rsid w:val="55B11B72"/>
    <w:rsid w:val="55DC29B6"/>
    <w:rsid w:val="55DD4241"/>
    <w:rsid w:val="55F53E91"/>
    <w:rsid w:val="563A7B9E"/>
    <w:rsid w:val="56455396"/>
    <w:rsid w:val="56627324"/>
    <w:rsid w:val="566B6D1E"/>
    <w:rsid w:val="56C30D46"/>
    <w:rsid w:val="56D52B90"/>
    <w:rsid w:val="57032A2C"/>
    <w:rsid w:val="570F5219"/>
    <w:rsid w:val="573FA769"/>
    <w:rsid w:val="574E33FE"/>
    <w:rsid w:val="575D12B5"/>
    <w:rsid w:val="57610A87"/>
    <w:rsid w:val="577B1140"/>
    <w:rsid w:val="577B7F21"/>
    <w:rsid w:val="577F181B"/>
    <w:rsid w:val="57921984"/>
    <w:rsid w:val="579737F0"/>
    <w:rsid w:val="57AB7B30"/>
    <w:rsid w:val="57AF5251"/>
    <w:rsid w:val="57B26373"/>
    <w:rsid w:val="57B26FDE"/>
    <w:rsid w:val="57B63F04"/>
    <w:rsid w:val="57CD20C2"/>
    <w:rsid w:val="57D675AB"/>
    <w:rsid w:val="57D95FDD"/>
    <w:rsid w:val="57FF51E0"/>
    <w:rsid w:val="580D24C6"/>
    <w:rsid w:val="584A47AD"/>
    <w:rsid w:val="58917D2F"/>
    <w:rsid w:val="5894085C"/>
    <w:rsid w:val="58AE4F0C"/>
    <w:rsid w:val="58B85899"/>
    <w:rsid w:val="58E363A9"/>
    <w:rsid w:val="58EF1411"/>
    <w:rsid w:val="59373F86"/>
    <w:rsid w:val="5943778F"/>
    <w:rsid w:val="595E1678"/>
    <w:rsid w:val="596D5BD4"/>
    <w:rsid w:val="596D7276"/>
    <w:rsid w:val="596F2BE8"/>
    <w:rsid w:val="597E3DD8"/>
    <w:rsid w:val="598FEA70"/>
    <w:rsid w:val="599B50F5"/>
    <w:rsid w:val="59EE6F2C"/>
    <w:rsid w:val="59F80043"/>
    <w:rsid w:val="5A0031AA"/>
    <w:rsid w:val="5A09252F"/>
    <w:rsid w:val="5A0B2778"/>
    <w:rsid w:val="5A2A7C7B"/>
    <w:rsid w:val="5A3E2560"/>
    <w:rsid w:val="5A5D3B6E"/>
    <w:rsid w:val="5A637A76"/>
    <w:rsid w:val="5A646D83"/>
    <w:rsid w:val="5A6D33BA"/>
    <w:rsid w:val="5A792B1F"/>
    <w:rsid w:val="5A874767"/>
    <w:rsid w:val="5AAD6F28"/>
    <w:rsid w:val="5AD6369C"/>
    <w:rsid w:val="5AD63A24"/>
    <w:rsid w:val="5ADE2721"/>
    <w:rsid w:val="5AEC1644"/>
    <w:rsid w:val="5B2E1A1D"/>
    <w:rsid w:val="5B843A1C"/>
    <w:rsid w:val="5B873E3F"/>
    <w:rsid w:val="5BA65021"/>
    <w:rsid w:val="5BAD05AB"/>
    <w:rsid w:val="5C02690E"/>
    <w:rsid w:val="5C196DA7"/>
    <w:rsid w:val="5C2A048C"/>
    <w:rsid w:val="5C373B72"/>
    <w:rsid w:val="5C80234E"/>
    <w:rsid w:val="5C8A680C"/>
    <w:rsid w:val="5C9AE78D"/>
    <w:rsid w:val="5CBE327B"/>
    <w:rsid w:val="5CD6289B"/>
    <w:rsid w:val="5CF561F6"/>
    <w:rsid w:val="5D0C4701"/>
    <w:rsid w:val="5D0F0395"/>
    <w:rsid w:val="5D221076"/>
    <w:rsid w:val="5D3203A7"/>
    <w:rsid w:val="5D397964"/>
    <w:rsid w:val="5D5A391C"/>
    <w:rsid w:val="5D5F10C0"/>
    <w:rsid w:val="5D6D3F41"/>
    <w:rsid w:val="5D891B7B"/>
    <w:rsid w:val="5DAD38EE"/>
    <w:rsid w:val="5DB87CC4"/>
    <w:rsid w:val="5DEFE9D6"/>
    <w:rsid w:val="5DF9688E"/>
    <w:rsid w:val="5E006862"/>
    <w:rsid w:val="5E0207B9"/>
    <w:rsid w:val="5E1834A1"/>
    <w:rsid w:val="5E1E37E3"/>
    <w:rsid w:val="5E261785"/>
    <w:rsid w:val="5E2C5875"/>
    <w:rsid w:val="5E335564"/>
    <w:rsid w:val="5E4A7017"/>
    <w:rsid w:val="5E552BBA"/>
    <w:rsid w:val="5E611C10"/>
    <w:rsid w:val="5EC512D3"/>
    <w:rsid w:val="5ECE74E1"/>
    <w:rsid w:val="5EE42BBD"/>
    <w:rsid w:val="5EEF148A"/>
    <w:rsid w:val="5EFBAC1F"/>
    <w:rsid w:val="5EFC7377"/>
    <w:rsid w:val="5F06174D"/>
    <w:rsid w:val="5F083003"/>
    <w:rsid w:val="5F22424F"/>
    <w:rsid w:val="5F3A3602"/>
    <w:rsid w:val="5F3D4288"/>
    <w:rsid w:val="5F563A4E"/>
    <w:rsid w:val="5F6277C6"/>
    <w:rsid w:val="5F6D0B1D"/>
    <w:rsid w:val="5F7511AD"/>
    <w:rsid w:val="5F7E0ECC"/>
    <w:rsid w:val="5F852DFD"/>
    <w:rsid w:val="5F8B79B9"/>
    <w:rsid w:val="5F8D0B82"/>
    <w:rsid w:val="5F992C52"/>
    <w:rsid w:val="5F9B9803"/>
    <w:rsid w:val="5FBF5D05"/>
    <w:rsid w:val="5FBF72C5"/>
    <w:rsid w:val="5FCC5339"/>
    <w:rsid w:val="5FE34A5B"/>
    <w:rsid w:val="5FF3B866"/>
    <w:rsid w:val="5FF69718"/>
    <w:rsid w:val="5FFE1E36"/>
    <w:rsid w:val="5FFF3B45"/>
    <w:rsid w:val="60232584"/>
    <w:rsid w:val="602F4685"/>
    <w:rsid w:val="6071772D"/>
    <w:rsid w:val="607330CE"/>
    <w:rsid w:val="60825176"/>
    <w:rsid w:val="609F2AC4"/>
    <w:rsid w:val="60FA2EE8"/>
    <w:rsid w:val="61054A27"/>
    <w:rsid w:val="610A52BC"/>
    <w:rsid w:val="610E08A2"/>
    <w:rsid w:val="611D2366"/>
    <w:rsid w:val="61421856"/>
    <w:rsid w:val="615227C4"/>
    <w:rsid w:val="61654E3F"/>
    <w:rsid w:val="61767EFC"/>
    <w:rsid w:val="6182292A"/>
    <w:rsid w:val="619C03A7"/>
    <w:rsid w:val="619F7F92"/>
    <w:rsid w:val="61B973DC"/>
    <w:rsid w:val="61F94C26"/>
    <w:rsid w:val="62000E56"/>
    <w:rsid w:val="622D6B06"/>
    <w:rsid w:val="624F3E49"/>
    <w:rsid w:val="62632286"/>
    <w:rsid w:val="62885958"/>
    <w:rsid w:val="62F40B65"/>
    <w:rsid w:val="62FC2CFE"/>
    <w:rsid w:val="63024505"/>
    <w:rsid w:val="63587ECC"/>
    <w:rsid w:val="635B1DB5"/>
    <w:rsid w:val="63711FED"/>
    <w:rsid w:val="63880DDC"/>
    <w:rsid w:val="638D750D"/>
    <w:rsid w:val="63AC6CC0"/>
    <w:rsid w:val="63CC234F"/>
    <w:rsid w:val="63F303BE"/>
    <w:rsid w:val="64055776"/>
    <w:rsid w:val="64130209"/>
    <w:rsid w:val="64240056"/>
    <w:rsid w:val="643E143A"/>
    <w:rsid w:val="64704C73"/>
    <w:rsid w:val="648B6EEF"/>
    <w:rsid w:val="6494748A"/>
    <w:rsid w:val="64C158BF"/>
    <w:rsid w:val="64C31541"/>
    <w:rsid w:val="64CE2EAA"/>
    <w:rsid w:val="64F25582"/>
    <w:rsid w:val="650054DB"/>
    <w:rsid w:val="653C3090"/>
    <w:rsid w:val="65413751"/>
    <w:rsid w:val="65424593"/>
    <w:rsid w:val="65457BCE"/>
    <w:rsid w:val="656A4F30"/>
    <w:rsid w:val="65807614"/>
    <w:rsid w:val="65854376"/>
    <w:rsid w:val="658767BE"/>
    <w:rsid w:val="65892531"/>
    <w:rsid w:val="65A90B99"/>
    <w:rsid w:val="65DFA4E5"/>
    <w:rsid w:val="65FF9F95"/>
    <w:rsid w:val="66195831"/>
    <w:rsid w:val="662A4220"/>
    <w:rsid w:val="662E75B1"/>
    <w:rsid w:val="66342C2E"/>
    <w:rsid w:val="663E784C"/>
    <w:rsid w:val="668B6A45"/>
    <w:rsid w:val="67083BC9"/>
    <w:rsid w:val="67136C12"/>
    <w:rsid w:val="672F3F24"/>
    <w:rsid w:val="673E055F"/>
    <w:rsid w:val="67551CE3"/>
    <w:rsid w:val="677B7EC4"/>
    <w:rsid w:val="67A22552"/>
    <w:rsid w:val="67B22DCC"/>
    <w:rsid w:val="67BE71AA"/>
    <w:rsid w:val="67D403ED"/>
    <w:rsid w:val="67D90273"/>
    <w:rsid w:val="67DE5875"/>
    <w:rsid w:val="67E55852"/>
    <w:rsid w:val="67EB1AB4"/>
    <w:rsid w:val="67FA1285"/>
    <w:rsid w:val="68040ECB"/>
    <w:rsid w:val="680F2729"/>
    <w:rsid w:val="68551F4F"/>
    <w:rsid w:val="687C10C9"/>
    <w:rsid w:val="68840C16"/>
    <w:rsid w:val="68876EFB"/>
    <w:rsid w:val="68884654"/>
    <w:rsid w:val="68905410"/>
    <w:rsid w:val="689F444F"/>
    <w:rsid w:val="68B96DBB"/>
    <w:rsid w:val="68CA2805"/>
    <w:rsid w:val="68E937A3"/>
    <w:rsid w:val="69256AF4"/>
    <w:rsid w:val="69274C15"/>
    <w:rsid w:val="693E15D3"/>
    <w:rsid w:val="694766FF"/>
    <w:rsid w:val="69627681"/>
    <w:rsid w:val="696C0678"/>
    <w:rsid w:val="6977531D"/>
    <w:rsid w:val="69CC2BFF"/>
    <w:rsid w:val="69FD55B8"/>
    <w:rsid w:val="6A0B1C62"/>
    <w:rsid w:val="6A0F1C96"/>
    <w:rsid w:val="6A2406C8"/>
    <w:rsid w:val="6A432653"/>
    <w:rsid w:val="6A6A3676"/>
    <w:rsid w:val="6AA85FBD"/>
    <w:rsid w:val="6ACFA097"/>
    <w:rsid w:val="6ADE0BD1"/>
    <w:rsid w:val="6AE96859"/>
    <w:rsid w:val="6AFC6C90"/>
    <w:rsid w:val="6AFF5CBC"/>
    <w:rsid w:val="6B0A0C0B"/>
    <w:rsid w:val="6B147746"/>
    <w:rsid w:val="6B24787C"/>
    <w:rsid w:val="6B573233"/>
    <w:rsid w:val="6B5B6274"/>
    <w:rsid w:val="6B935D53"/>
    <w:rsid w:val="6BA75562"/>
    <w:rsid w:val="6BB86BC8"/>
    <w:rsid w:val="6BD3E6B7"/>
    <w:rsid w:val="6BF52E48"/>
    <w:rsid w:val="6C196F71"/>
    <w:rsid w:val="6C226FCB"/>
    <w:rsid w:val="6C31226F"/>
    <w:rsid w:val="6C552F0B"/>
    <w:rsid w:val="6C8C67B7"/>
    <w:rsid w:val="6C9D744C"/>
    <w:rsid w:val="6D167928"/>
    <w:rsid w:val="6D26299B"/>
    <w:rsid w:val="6D437B25"/>
    <w:rsid w:val="6D4772EC"/>
    <w:rsid w:val="6D9078AF"/>
    <w:rsid w:val="6DAA3FEF"/>
    <w:rsid w:val="6DC0172B"/>
    <w:rsid w:val="6DCB690C"/>
    <w:rsid w:val="6DD41A5B"/>
    <w:rsid w:val="6DF43C2E"/>
    <w:rsid w:val="6DF51CA3"/>
    <w:rsid w:val="6E2600AE"/>
    <w:rsid w:val="6E364F94"/>
    <w:rsid w:val="6E3B1170"/>
    <w:rsid w:val="6E8335BD"/>
    <w:rsid w:val="6E8E12EF"/>
    <w:rsid w:val="6E972936"/>
    <w:rsid w:val="6ECE2AFB"/>
    <w:rsid w:val="6ED446C5"/>
    <w:rsid w:val="6EE71F84"/>
    <w:rsid w:val="6EEF6A26"/>
    <w:rsid w:val="6EFF78DB"/>
    <w:rsid w:val="6F272131"/>
    <w:rsid w:val="6F2A7D94"/>
    <w:rsid w:val="6F387FC9"/>
    <w:rsid w:val="6F38E509"/>
    <w:rsid w:val="6F3947D7"/>
    <w:rsid w:val="6F78316E"/>
    <w:rsid w:val="6F7B2B20"/>
    <w:rsid w:val="6F8331F1"/>
    <w:rsid w:val="6F9A118C"/>
    <w:rsid w:val="6FAE1A09"/>
    <w:rsid w:val="6FD75BF8"/>
    <w:rsid w:val="6FDC0ED4"/>
    <w:rsid w:val="6FEF0EBB"/>
    <w:rsid w:val="6FF33BE4"/>
    <w:rsid w:val="6FF429C1"/>
    <w:rsid w:val="70197FB8"/>
    <w:rsid w:val="7064131C"/>
    <w:rsid w:val="707723D0"/>
    <w:rsid w:val="7084648B"/>
    <w:rsid w:val="70B94DAA"/>
    <w:rsid w:val="70D238B5"/>
    <w:rsid w:val="70F5661B"/>
    <w:rsid w:val="71360107"/>
    <w:rsid w:val="713B688E"/>
    <w:rsid w:val="714C487F"/>
    <w:rsid w:val="715C2428"/>
    <w:rsid w:val="71686ACA"/>
    <w:rsid w:val="71864485"/>
    <w:rsid w:val="719721EE"/>
    <w:rsid w:val="71976A74"/>
    <w:rsid w:val="71D43752"/>
    <w:rsid w:val="71F1796A"/>
    <w:rsid w:val="71F35DC4"/>
    <w:rsid w:val="72154626"/>
    <w:rsid w:val="72262B5D"/>
    <w:rsid w:val="72283FF7"/>
    <w:rsid w:val="722E7212"/>
    <w:rsid w:val="723A0474"/>
    <w:rsid w:val="724C67D0"/>
    <w:rsid w:val="725923E4"/>
    <w:rsid w:val="72864BF7"/>
    <w:rsid w:val="729023FC"/>
    <w:rsid w:val="72BA7C58"/>
    <w:rsid w:val="72DF5030"/>
    <w:rsid w:val="73176DC9"/>
    <w:rsid w:val="735AEACA"/>
    <w:rsid w:val="736D2787"/>
    <w:rsid w:val="73911F99"/>
    <w:rsid w:val="73981CBB"/>
    <w:rsid w:val="739A7D73"/>
    <w:rsid w:val="73C0646E"/>
    <w:rsid w:val="73E50FF7"/>
    <w:rsid w:val="73FD4BD1"/>
    <w:rsid w:val="742222F5"/>
    <w:rsid w:val="74476126"/>
    <w:rsid w:val="74511C71"/>
    <w:rsid w:val="74706664"/>
    <w:rsid w:val="747F3682"/>
    <w:rsid w:val="748D684E"/>
    <w:rsid w:val="749C4185"/>
    <w:rsid w:val="74D42214"/>
    <w:rsid w:val="75067759"/>
    <w:rsid w:val="751A79C7"/>
    <w:rsid w:val="75267B11"/>
    <w:rsid w:val="752D2605"/>
    <w:rsid w:val="752E6DCD"/>
    <w:rsid w:val="7551380D"/>
    <w:rsid w:val="75600BE5"/>
    <w:rsid w:val="7564475C"/>
    <w:rsid w:val="7583797F"/>
    <w:rsid w:val="759E1500"/>
    <w:rsid w:val="75D20F1D"/>
    <w:rsid w:val="75DA2C18"/>
    <w:rsid w:val="75F54412"/>
    <w:rsid w:val="75FD32C3"/>
    <w:rsid w:val="760645A2"/>
    <w:rsid w:val="761D08E0"/>
    <w:rsid w:val="765D347C"/>
    <w:rsid w:val="765F2DDD"/>
    <w:rsid w:val="766FB305"/>
    <w:rsid w:val="76826699"/>
    <w:rsid w:val="76B441CE"/>
    <w:rsid w:val="76BA5DFE"/>
    <w:rsid w:val="76C87133"/>
    <w:rsid w:val="76CD08D5"/>
    <w:rsid w:val="76DB4B92"/>
    <w:rsid w:val="76E36CB4"/>
    <w:rsid w:val="76E539FB"/>
    <w:rsid w:val="77052AA4"/>
    <w:rsid w:val="77136511"/>
    <w:rsid w:val="77323074"/>
    <w:rsid w:val="77340A39"/>
    <w:rsid w:val="77351FD0"/>
    <w:rsid w:val="77472422"/>
    <w:rsid w:val="7776ED82"/>
    <w:rsid w:val="777B2332"/>
    <w:rsid w:val="777B3E31"/>
    <w:rsid w:val="777F31F2"/>
    <w:rsid w:val="779FFF1D"/>
    <w:rsid w:val="77A71D08"/>
    <w:rsid w:val="77AB7BDA"/>
    <w:rsid w:val="77AF51A3"/>
    <w:rsid w:val="77BF005A"/>
    <w:rsid w:val="77C70422"/>
    <w:rsid w:val="77D1700D"/>
    <w:rsid w:val="77D714EA"/>
    <w:rsid w:val="77EC04CC"/>
    <w:rsid w:val="77EF8492"/>
    <w:rsid w:val="77FED2E6"/>
    <w:rsid w:val="77FF4981"/>
    <w:rsid w:val="78024D8C"/>
    <w:rsid w:val="7852068B"/>
    <w:rsid w:val="78775729"/>
    <w:rsid w:val="78A42DB0"/>
    <w:rsid w:val="78A656AB"/>
    <w:rsid w:val="78B2245C"/>
    <w:rsid w:val="78D57DF2"/>
    <w:rsid w:val="78E172CC"/>
    <w:rsid w:val="78EA1D1F"/>
    <w:rsid w:val="7904172F"/>
    <w:rsid w:val="790F7E27"/>
    <w:rsid w:val="792312B5"/>
    <w:rsid w:val="792A231A"/>
    <w:rsid w:val="79316829"/>
    <w:rsid w:val="7933D106"/>
    <w:rsid w:val="794E0E9E"/>
    <w:rsid w:val="794E7636"/>
    <w:rsid w:val="7967694A"/>
    <w:rsid w:val="797E66A9"/>
    <w:rsid w:val="798860EE"/>
    <w:rsid w:val="79A97383"/>
    <w:rsid w:val="79E27E8B"/>
    <w:rsid w:val="79F64450"/>
    <w:rsid w:val="79F7269E"/>
    <w:rsid w:val="79F850CE"/>
    <w:rsid w:val="79FD443C"/>
    <w:rsid w:val="7A13608D"/>
    <w:rsid w:val="7A1D1975"/>
    <w:rsid w:val="7A3937AB"/>
    <w:rsid w:val="7A3B3244"/>
    <w:rsid w:val="7A3E5150"/>
    <w:rsid w:val="7A4670D6"/>
    <w:rsid w:val="7A534B63"/>
    <w:rsid w:val="7A615382"/>
    <w:rsid w:val="7A67303B"/>
    <w:rsid w:val="7AAB1D04"/>
    <w:rsid w:val="7ABA4368"/>
    <w:rsid w:val="7ACB026F"/>
    <w:rsid w:val="7AD05746"/>
    <w:rsid w:val="7AD07682"/>
    <w:rsid w:val="7AD1367A"/>
    <w:rsid w:val="7AD22BDC"/>
    <w:rsid w:val="7AFFED3D"/>
    <w:rsid w:val="7B12733B"/>
    <w:rsid w:val="7B257FFD"/>
    <w:rsid w:val="7B343476"/>
    <w:rsid w:val="7B502316"/>
    <w:rsid w:val="7B5A2978"/>
    <w:rsid w:val="7B5A7E4C"/>
    <w:rsid w:val="7B667AF9"/>
    <w:rsid w:val="7B7468F8"/>
    <w:rsid w:val="7B7B66DC"/>
    <w:rsid w:val="7BDF3600"/>
    <w:rsid w:val="7BEE0103"/>
    <w:rsid w:val="7BFBA710"/>
    <w:rsid w:val="7C0A0FE4"/>
    <w:rsid w:val="7C254906"/>
    <w:rsid w:val="7C490589"/>
    <w:rsid w:val="7C590818"/>
    <w:rsid w:val="7C7C10F6"/>
    <w:rsid w:val="7C853BEA"/>
    <w:rsid w:val="7C881368"/>
    <w:rsid w:val="7C917E8B"/>
    <w:rsid w:val="7CA771C1"/>
    <w:rsid w:val="7CD66A6C"/>
    <w:rsid w:val="7CDB19D5"/>
    <w:rsid w:val="7CE27788"/>
    <w:rsid w:val="7CE928BF"/>
    <w:rsid w:val="7CEF1130"/>
    <w:rsid w:val="7D090215"/>
    <w:rsid w:val="7D0C32F1"/>
    <w:rsid w:val="7D0F408D"/>
    <w:rsid w:val="7D341A92"/>
    <w:rsid w:val="7D375631"/>
    <w:rsid w:val="7D3D3E27"/>
    <w:rsid w:val="7D491C6C"/>
    <w:rsid w:val="7D5429C0"/>
    <w:rsid w:val="7D6E6D43"/>
    <w:rsid w:val="7D7652EB"/>
    <w:rsid w:val="7D8F4AEE"/>
    <w:rsid w:val="7DB57A34"/>
    <w:rsid w:val="7DE15754"/>
    <w:rsid w:val="7DE60973"/>
    <w:rsid w:val="7DEF0916"/>
    <w:rsid w:val="7DFB432E"/>
    <w:rsid w:val="7DFF22DC"/>
    <w:rsid w:val="7E1E5218"/>
    <w:rsid w:val="7E33F14C"/>
    <w:rsid w:val="7E7D39B3"/>
    <w:rsid w:val="7E9A4E1F"/>
    <w:rsid w:val="7EA7723A"/>
    <w:rsid w:val="7EB6A736"/>
    <w:rsid w:val="7EF56FBB"/>
    <w:rsid w:val="7F0768EB"/>
    <w:rsid w:val="7F0A3A81"/>
    <w:rsid w:val="7F143BEC"/>
    <w:rsid w:val="7F401C7A"/>
    <w:rsid w:val="7F4852A5"/>
    <w:rsid w:val="7F5B0127"/>
    <w:rsid w:val="7F715AF2"/>
    <w:rsid w:val="7F7A15FD"/>
    <w:rsid w:val="7F7BD085"/>
    <w:rsid w:val="7F7BFEE8"/>
    <w:rsid w:val="7F7E7357"/>
    <w:rsid w:val="7F886E69"/>
    <w:rsid w:val="7F8BD963"/>
    <w:rsid w:val="7FBA2CB8"/>
    <w:rsid w:val="7FBC02CC"/>
    <w:rsid w:val="7FDFC57A"/>
    <w:rsid w:val="7FDFCB7D"/>
    <w:rsid w:val="7FEBD86B"/>
    <w:rsid w:val="7FF9782A"/>
    <w:rsid w:val="7FFB030C"/>
    <w:rsid w:val="7FFB3849"/>
    <w:rsid w:val="7FFFD7C9"/>
    <w:rsid w:val="867B0298"/>
    <w:rsid w:val="887ECF43"/>
    <w:rsid w:val="9BDEDDD4"/>
    <w:rsid w:val="9DFB04E9"/>
    <w:rsid w:val="9E7E371A"/>
    <w:rsid w:val="9FFFB75C"/>
    <w:rsid w:val="A7FF59E2"/>
    <w:rsid w:val="A8EF2903"/>
    <w:rsid w:val="ADDF16DE"/>
    <w:rsid w:val="AEAB1001"/>
    <w:rsid w:val="AF7A0208"/>
    <w:rsid w:val="B3FE62E2"/>
    <w:rsid w:val="B5CFB5E6"/>
    <w:rsid w:val="B7DFEEED"/>
    <w:rsid w:val="B8FE79B0"/>
    <w:rsid w:val="B9FDAA30"/>
    <w:rsid w:val="BA7B23C6"/>
    <w:rsid w:val="BB5EB984"/>
    <w:rsid w:val="BB6DDE3F"/>
    <w:rsid w:val="BB7FA927"/>
    <w:rsid w:val="BBEFC4B1"/>
    <w:rsid w:val="BE265FE7"/>
    <w:rsid w:val="BEE36D67"/>
    <w:rsid w:val="BEFFC298"/>
    <w:rsid w:val="BF5B0BDB"/>
    <w:rsid w:val="BFB66CB9"/>
    <w:rsid w:val="BFBEA269"/>
    <w:rsid w:val="BFEF8731"/>
    <w:rsid w:val="BFFDF825"/>
    <w:rsid w:val="BFFE5014"/>
    <w:rsid w:val="C673C6F5"/>
    <w:rsid w:val="CEBD70AF"/>
    <w:rsid w:val="CF6BB66F"/>
    <w:rsid w:val="CF8E5F88"/>
    <w:rsid w:val="CFF73AB9"/>
    <w:rsid w:val="D0FF07F2"/>
    <w:rsid w:val="D7D62574"/>
    <w:rsid w:val="D7FD2377"/>
    <w:rsid w:val="D7FF923E"/>
    <w:rsid w:val="D937D039"/>
    <w:rsid w:val="DA63B1BB"/>
    <w:rsid w:val="DDF7D0EB"/>
    <w:rsid w:val="DDFB945D"/>
    <w:rsid w:val="DEFB75AC"/>
    <w:rsid w:val="DF5A8B9C"/>
    <w:rsid w:val="DF6EB4DF"/>
    <w:rsid w:val="DFED198E"/>
    <w:rsid w:val="DFFB99A4"/>
    <w:rsid w:val="E5FEB2F8"/>
    <w:rsid w:val="E89B9E68"/>
    <w:rsid w:val="E9DFDBD2"/>
    <w:rsid w:val="EAFD4970"/>
    <w:rsid w:val="ECEB7DC2"/>
    <w:rsid w:val="ED5793B3"/>
    <w:rsid w:val="ED6C5106"/>
    <w:rsid w:val="ED7A0202"/>
    <w:rsid w:val="ED7F3F49"/>
    <w:rsid w:val="EE7782E1"/>
    <w:rsid w:val="EEFFE57D"/>
    <w:rsid w:val="EEFFF359"/>
    <w:rsid w:val="EF44AA8E"/>
    <w:rsid w:val="EFBCDF51"/>
    <w:rsid w:val="F1BA2298"/>
    <w:rsid w:val="F36DEEFB"/>
    <w:rsid w:val="F45BB473"/>
    <w:rsid w:val="F5FFD31F"/>
    <w:rsid w:val="F6BFD523"/>
    <w:rsid w:val="F6F7FAE2"/>
    <w:rsid w:val="F6FFB3DE"/>
    <w:rsid w:val="F79FD3AB"/>
    <w:rsid w:val="F7AEF95B"/>
    <w:rsid w:val="F7FD05D8"/>
    <w:rsid w:val="F8BFD1FC"/>
    <w:rsid w:val="F8F7C015"/>
    <w:rsid w:val="F9BC2A83"/>
    <w:rsid w:val="F9CF1D44"/>
    <w:rsid w:val="FB798C9C"/>
    <w:rsid w:val="FB7BC2BC"/>
    <w:rsid w:val="FBE63981"/>
    <w:rsid w:val="FBFF5DE7"/>
    <w:rsid w:val="FC2F7A56"/>
    <w:rsid w:val="FD72E7F9"/>
    <w:rsid w:val="FD79BA57"/>
    <w:rsid w:val="FDDF1E79"/>
    <w:rsid w:val="FE23631B"/>
    <w:rsid w:val="FE6F1858"/>
    <w:rsid w:val="FE734873"/>
    <w:rsid w:val="FED96D4D"/>
    <w:rsid w:val="FEDF6303"/>
    <w:rsid w:val="FEEE2641"/>
    <w:rsid w:val="FF6B8B72"/>
    <w:rsid w:val="FF772D98"/>
    <w:rsid w:val="FF7A139D"/>
    <w:rsid w:val="FF7B2D82"/>
    <w:rsid w:val="FF9D4539"/>
    <w:rsid w:val="FF9D5788"/>
    <w:rsid w:val="FF9E1D47"/>
    <w:rsid w:val="FFBB0F20"/>
    <w:rsid w:val="FFBF4C05"/>
    <w:rsid w:val="FFC752FF"/>
    <w:rsid w:val="FFDBFC86"/>
    <w:rsid w:val="FFDDF927"/>
    <w:rsid w:val="FFDE54B7"/>
    <w:rsid w:val="FFDEEE6D"/>
    <w:rsid w:val="FFDF9109"/>
    <w:rsid w:val="FFE5F056"/>
    <w:rsid w:val="FFEB40B3"/>
    <w:rsid w:val="FFEFEC73"/>
    <w:rsid w:val="FFF5AA36"/>
    <w:rsid w:val="FFF75AA4"/>
    <w:rsid w:val="FFFE4554"/>
    <w:rsid w:val="FFFEC0CF"/>
    <w:rsid w:val="FFFED8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27"/>
    <w:link w:val="266"/>
    <w:qFormat/>
    <w:uiPriority w:val="0"/>
    <w:pPr>
      <w:spacing w:line="480" w:lineRule="exact"/>
      <w:ind w:firstLine="480" w:firstLineChars="200"/>
    </w:pPr>
    <w:rPr>
      <w:rFonts w:ascii="宋体" w:hAnsi="宋体"/>
      <w:sz w:val="24"/>
    </w:rPr>
  </w:style>
  <w:style w:type="paragraph" w:styleId="27">
    <w:name w:val="Body Text First Indent 2"/>
    <w:basedOn w:val="26"/>
    <w:next w:val="26"/>
    <w:link w:val="122"/>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2"/>
    <w:qFormat/>
    <w:uiPriority w:val="0"/>
    <w:pPr>
      <w:ind w:left="100" w:leftChars="2500"/>
    </w:pPr>
    <w:rPr>
      <w:rFonts w:ascii="宋体"/>
      <w:sz w:val="24"/>
      <w:szCs w:val="21"/>
      <w:lang w:val="zh-CN"/>
    </w:rPr>
  </w:style>
  <w:style w:type="paragraph" w:styleId="39">
    <w:name w:val="Body Text Indent 2"/>
    <w:basedOn w:val="1"/>
    <w:link w:val="309"/>
    <w:qFormat/>
    <w:uiPriority w:val="0"/>
    <w:pPr>
      <w:spacing w:line="360" w:lineRule="auto"/>
      <w:ind w:firstLine="601"/>
      <w:textAlignment w:val="baseline"/>
    </w:pPr>
    <w:rPr>
      <w:rFonts w:ascii="宋体"/>
      <w:kern w:val="0"/>
      <w:sz w:val="28"/>
      <w:szCs w:val="20"/>
    </w:rPr>
  </w:style>
  <w:style w:type="paragraph" w:styleId="40">
    <w:name w:val="endnote text"/>
    <w:basedOn w:val="1"/>
    <w:link w:val="933"/>
    <w:qFormat/>
    <w:uiPriority w:val="0"/>
    <w:rPr>
      <w:lang w:val="zh-CN"/>
    </w:rPr>
  </w:style>
  <w:style w:type="paragraph" w:styleId="41">
    <w:name w:val="Balloon Text"/>
    <w:basedOn w:val="1"/>
    <w:link w:val="189"/>
    <w:qFormat/>
    <w:uiPriority w:val="0"/>
    <w:rPr>
      <w:sz w:val="18"/>
      <w:szCs w:val="18"/>
    </w:rPr>
  </w:style>
  <w:style w:type="paragraph" w:styleId="42">
    <w:name w:val="footer"/>
    <w:basedOn w:val="1"/>
    <w:link w:val="384"/>
    <w:qFormat/>
    <w:uiPriority w:val="99"/>
    <w:pPr>
      <w:tabs>
        <w:tab w:val="center" w:pos="4153"/>
        <w:tab w:val="right" w:pos="8306"/>
      </w:tabs>
      <w:snapToGrid w:val="0"/>
      <w:jc w:val="left"/>
    </w:pPr>
    <w:rPr>
      <w:sz w:val="18"/>
      <w:szCs w:val="18"/>
    </w:rPr>
  </w:style>
  <w:style w:type="paragraph" w:styleId="43">
    <w:name w:val="envelope return"/>
    <w:basedOn w:val="1"/>
    <w:unhideWhenUsed/>
    <w:qFormat/>
    <w:uiPriority w:val="0"/>
    <w:pPr>
      <w:snapToGrid w:val="0"/>
    </w:pPr>
    <w:rPr>
      <w:rFonts w:ascii="Arial" w:hAnsi="Arial"/>
    </w:rPr>
  </w:style>
  <w:style w:type="paragraph" w:styleId="44">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6"/>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3"/>
    <w:qFormat/>
    <w:uiPriority w:val="0"/>
    <w:pPr>
      <w:spacing w:after="120" w:line="480" w:lineRule="auto"/>
    </w:pPr>
  </w:style>
  <w:style w:type="paragraph" w:styleId="59">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19"/>
    <w:next w:val="19"/>
    <w:link w:val="97"/>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TML Definition"/>
    <w:basedOn w:val="70"/>
    <w:qFormat/>
    <w:uiPriority w:val="0"/>
    <w:rPr>
      <w:i/>
      <w:iCs/>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99"/>
    <w:rPr>
      <w:sz w:val="21"/>
      <w:szCs w:val="21"/>
    </w:rPr>
  </w:style>
  <w:style w:type="character" w:styleId="81">
    <w:name w:val="HTML Keyboard"/>
    <w:basedOn w:val="70"/>
    <w:qFormat/>
    <w:uiPriority w:val="0"/>
    <w:rPr>
      <w:rFonts w:ascii="Segoe UI" w:hAnsi="Segoe UI" w:eastAsia="Segoe UI" w:cs="Segoe UI"/>
      <w:sz w:val="21"/>
      <w:szCs w:val="21"/>
    </w:rPr>
  </w:style>
  <w:style w:type="character" w:styleId="82">
    <w:name w:val="HTML Sample"/>
    <w:basedOn w:val="70"/>
    <w:qFormat/>
    <w:uiPriority w:val="0"/>
    <w:rPr>
      <w:rFonts w:hint="default" w:ascii="Segoe UI" w:hAnsi="Segoe UI" w:eastAsia="Segoe UI" w:cs="Segoe UI"/>
      <w:sz w:val="21"/>
      <w:szCs w:val="21"/>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2"/>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字符"/>
    <w:link w:val="27"/>
    <w:qFormat/>
    <w:uiPriority w:val="0"/>
    <w:rPr>
      <w:rFonts w:ascii="宋体" w:hAnsi="宋体"/>
      <w:kern w:val="2"/>
      <w:sz w:val="21"/>
      <w:szCs w:val="24"/>
    </w:rPr>
  </w:style>
  <w:style w:type="character" w:customStyle="1" w:styleId="123">
    <w:name w:val="font11"/>
    <w:basedOn w:val="70"/>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50"/>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字符"/>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8"/>
    <w:qFormat/>
    <w:uiPriority w:val="0"/>
    <w:rPr>
      <w:rFonts w:ascii="宋体"/>
      <w:kern w:val="2"/>
      <w:sz w:val="24"/>
      <w:szCs w:val="21"/>
      <w:lang w:val="zh-CN"/>
    </w:rPr>
  </w:style>
  <w:style w:type="character" w:customStyle="1" w:styleId="183">
    <w:name w:val="标题 9 字符"/>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41"/>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2"/>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列表段落1"/>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6"/>
    <w:qFormat/>
    <w:uiPriority w:val="0"/>
    <w:rPr>
      <w:rFonts w:ascii="宋体" w:hAnsi="宋体"/>
      <w:kern w:val="2"/>
      <w:sz w:val="24"/>
      <w:szCs w:val="24"/>
    </w:rPr>
  </w:style>
  <w:style w:type="character" w:customStyle="1" w:styleId="267">
    <w:name w:val="font01"/>
    <w:basedOn w:val="70"/>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61"/>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9"/>
    <w:qFormat/>
    <w:uiPriority w:val="0"/>
    <w:rPr>
      <w:rFonts w:ascii="黑体" w:hAnsi="Courier New" w:eastAsia="黑体"/>
    </w:rPr>
  </w:style>
  <w:style w:type="character" w:customStyle="1" w:styleId="303">
    <w:name w:val="正文文本 2 字符1"/>
    <w:link w:val="58"/>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8"/>
    <w:qFormat/>
    <w:uiPriority w:val="0"/>
    <w:rPr>
      <w:b/>
      <w:bCs/>
      <w:kern w:val="2"/>
      <w:sz w:val="24"/>
      <w:szCs w:val="24"/>
    </w:rPr>
  </w:style>
  <w:style w:type="character" w:customStyle="1" w:styleId="309">
    <w:name w:val="正文文本缩进 2 字符"/>
    <w:link w:val="39"/>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3"/>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basedOn w:val="70"/>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字符"/>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19"/>
    <w:qFormat/>
    <w:uiPriority w:val="0"/>
    <w:rPr>
      <w:kern w:val="2"/>
      <w:sz w:val="21"/>
      <w:szCs w:val="24"/>
    </w:rPr>
  </w:style>
  <w:style w:type="character" w:customStyle="1" w:styleId="346">
    <w:name w:val="签名 字符"/>
    <w:link w:val="45"/>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5"/>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2"/>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4"/>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无间隔2"/>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9"/>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40"/>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_Style 468"/>
    <w:basedOn w:val="1"/>
    <w:next w:val="259"/>
    <w:qFormat/>
    <w:uiPriority w:val="99"/>
    <w:pPr>
      <w:spacing w:line="360" w:lineRule="auto"/>
      <w:ind w:firstLine="200" w:firstLineChars="200"/>
    </w:pPr>
    <w:rPr>
      <w:rFonts w:ascii="宋体" w:hAnsi="宋体"/>
      <w:kern w:val="0"/>
      <w:sz w:val="20"/>
    </w:rPr>
  </w:style>
  <w:style w:type="character" w:customStyle="1" w:styleId="966">
    <w:name w:val="ca-1"/>
    <w:qFormat/>
    <w:uiPriority w:val="0"/>
  </w:style>
  <w:style w:type="paragraph" w:customStyle="1" w:styleId="967">
    <w:name w:val="[Normal]"/>
    <w:qFormat/>
    <w:uiPriority w:val="0"/>
    <w:rPr>
      <w:rFonts w:ascii="宋体" w:hAnsi="宋体" w:eastAsia="宋体" w:cs="Times New Roman"/>
      <w:sz w:val="24"/>
      <w:szCs w:val="22"/>
      <w:lang w:val="zh-CN" w:eastAsia="zh-CN" w:bidi="ar-SA"/>
    </w:rPr>
  </w:style>
  <w:style w:type="character" w:customStyle="1" w:styleId="968">
    <w:name w:val="10"/>
    <w:basedOn w:val="70"/>
    <w:qFormat/>
    <w:uiPriority w:val="0"/>
    <w:rPr>
      <w:rFonts w:hint="default" w:ascii="Calibri" w:hAnsi="Calibri" w:cs="Calibri"/>
    </w:rPr>
  </w:style>
  <w:style w:type="paragraph" w:styleId="969">
    <w:name w:val="List Paragraph"/>
    <w:basedOn w:val="1"/>
    <w:qFormat/>
    <w:uiPriority w:val="99"/>
    <w:pPr>
      <w:ind w:firstLine="420" w:firstLineChars="200"/>
    </w:pPr>
  </w:style>
  <w:style w:type="paragraph" w:customStyle="1" w:styleId="970">
    <w:name w:val="Heading5"/>
    <w:basedOn w:val="1"/>
    <w:next w:val="1"/>
    <w:qFormat/>
    <w:uiPriority w:val="0"/>
    <w:pPr>
      <w:keepNext/>
      <w:keepLines/>
      <w:spacing w:after="120"/>
      <w:textAlignment w:val="baseline"/>
    </w:pPr>
    <w:rPr>
      <w:rFonts w:eastAsia="微软雅黑"/>
      <w:b/>
      <w:bCs/>
    </w:rPr>
  </w:style>
  <w:style w:type="character" w:customStyle="1" w:styleId="971">
    <w:name w:val="hour_pm"/>
    <w:basedOn w:val="70"/>
    <w:qFormat/>
    <w:uiPriority w:val="0"/>
  </w:style>
  <w:style w:type="character" w:customStyle="1" w:styleId="972">
    <w:name w:val="hover9"/>
    <w:basedOn w:val="70"/>
    <w:qFormat/>
    <w:uiPriority w:val="0"/>
    <w:rPr>
      <w:shd w:val="clear" w:color="auto" w:fill="EEEEEE"/>
    </w:rPr>
  </w:style>
  <w:style w:type="character" w:customStyle="1" w:styleId="973">
    <w:name w:val="old"/>
    <w:basedOn w:val="70"/>
    <w:qFormat/>
    <w:uiPriority w:val="0"/>
    <w:rPr>
      <w:color w:val="999999"/>
    </w:rPr>
  </w:style>
  <w:style w:type="character" w:customStyle="1" w:styleId="974">
    <w:name w:val="hour_am"/>
    <w:basedOn w:val="70"/>
    <w:qFormat/>
    <w:uiPriority w:val="0"/>
  </w:style>
  <w:style w:type="character" w:customStyle="1" w:styleId="975">
    <w:name w:val="hover"/>
    <w:basedOn w:val="70"/>
    <w:qFormat/>
    <w:uiPriority w:val="0"/>
    <w:rPr>
      <w:shd w:val="clear" w:color="auto" w:fill="EEEEEE"/>
    </w:rPr>
  </w:style>
  <w:style w:type="paragraph" w:customStyle="1" w:styleId="976">
    <w:name w:val="Heading #3|1"/>
    <w:basedOn w:val="1"/>
    <w:qFormat/>
    <w:uiPriority w:val="0"/>
    <w:pPr>
      <w:spacing w:after="480" w:line="566" w:lineRule="exact"/>
      <w:ind w:firstLine="280"/>
      <w:jc w:val="left"/>
      <w:outlineLvl w:val="2"/>
    </w:pPr>
    <w:rPr>
      <w:rFonts w:ascii="宋体" w:hAnsi="宋体" w:cs="宋体"/>
      <w:sz w:val="28"/>
      <w:szCs w:val="28"/>
      <w:lang w:val="zh-CN" w:bidi="zh-CN"/>
    </w:rPr>
  </w:style>
  <w:style w:type="character" w:customStyle="1" w:styleId="977">
    <w:name w:val="无"/>
    <w:qFormat/>
    <w:uiPriority w:val="99"/>
  </w:style>
  <w:style w:type="character" w:customStyle="1" w:styleId="978">
    <w:name w:val="Hyperlink.1"/>
    <w:qFormat/>
    <w:uiPriority w:val="99"/>
    <w:rPr>
      <w:lang w:val="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theme" Target="theme/theme1.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8031</Words>
  <Characters>45782</Characters>
  <Lines>381</Lines>
  <Paragraphs>107</Paragraphs>
  <TotalTime>42</TotalTime>
  <ScaleCrop>false</ScaleCrop>
  <LinksUpToDate>false</LinksUpToDate>
  <CharactersWithSpaces>53706</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2022-08-29T15:38:00Z</dcterms:created>
  <dc:creator>玥</dc:creator>
  <cp:lastModifiedBy>Administrator</cp:lastModifiedBy>
  <cp:lastPrinted>2022-01-28T11:06:00Z</cp:lastPrinted>
  <dcterms:modified xsi:type="dcterms:W3CDTF">2023-10-26T10:35:43Z</dcterms:modified>
  <dc:title>杭州市市民卡扩大发卡工程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91DEA5CAB6884F6FB08360B4825299EF</vt:lpwstr>
  </property>
  <property fmtid="{D5CDD505-2E9C-101B-9397-08002B2CF9AE}" pid="5" name="commondata">
    <vt:lpwstr>eyJoZGlkIjoiYjI0NjI4YjUzMWZjY2QzYTEwZTc4ZjdlY2ZlYWFjNWMifQ==</vt:lpwstr>
  </property>
  <property fmtid="{D5CDD505-2E9C-101B-9397-08002B2CF9AE}" pid="6" name="woTemplateTypoMode" linkTarget="0">
    <vt:lpwstr>web</vt:lpwstr>
  </property>
  <property fmtid="{D5CDD505-2E9C-101B-9397-08002B2CF9AE}" pid="7" name="woTemplate" linkTarget="0">
    <vt:i4>1</vt:i4>
  </property>
</Properties>
</file>