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40"/>
          <w:szCs w:val="40"/>
          <w:highlight w:val="none"/>
          <w:lang w:eastAsia="zh-CN"/>
        </w:rPr>
      </w:pPr>
    </w:p>
    <w:p>
      <w:pPr>
        <w:spacing w:line="360" w:lineRule="auto"/>
        <w:jc w:val="center"/>
        <w:rPr>
          <w:rFonts w:ascii="仿宋" w:hAnsi="仿宋" w:eastAsia="仿宋" w:cs="仿宋"/>
          <w:b/>
          <w:color w:val="auto"/>
          <w:sz w:val="48"/>
          <w:szCs w:val="48"/>
          <w:highlight w:val="none"/>
        </w:rPr>
      </w:pPr>
    </w:p>
    <w:p>
      <w:pPr>
        <w:adjustRightInd/>
        <w:spacing w:line="360" w:lineRule="auto"/>
        <w:jc w:val="center"/>
        <w:rPr>
          <w:rFonts w:hint="eastAsia" w:ascii="仿宋_GB2312" w:hAnsi="仿宋_GB2312" w:eastAsia="仿宋_GB2312" w:cs="仿宋_GB2312"/>
          <w:color w:val="auto"/>
          <w:sz w:val="48"/>
          <w:szCs w:val="48"/>
          <w:highlight w:val="none"/>
          <w:lang w:val="en" w:eastAsia="zh-CN"/>
        </w:rPr>
      </w:pPr>
      <w:r>
        <w:rPr>
          <w:rFonts w:hint="eastAsia" w:ascii="仿宋_GB2312" w:hAnsi="仿宋_GB2312" w:eastAsia="仿宋_GB2312" w:cs="仿宋_GB2312"/>
          <w:color w:val="auto"/>
          <w:sz w:val="48"/>
          <w:szCs w:val="48"/>
          <w:highlight w:val="none"/>
          <w:lang w:val="en" w:eastAsia="zh-CN"/>
        </w:rPr>
        <w:t>白杨街道城市基础设施</w:t>
      </w:r>
    </w:p>
    <w:p>
      <w:pPr>
        <w:adjustRightInd/>
        <w:spacing w:line="360" w:lineRule="auto"/>
        <w:jc w:val="center"/>
        <w:rPr>
          <w:rFonts w:hint="eastAsia" w:ascii="仿宋_GB2312" w:hAnsi="仿宋_GB2312" w:eastAsia="仿宋_GB2312" w:cs="仿宋_GB2312"/>
          <w:color w:val="auto"/>
          <w:sz w:val="48"/>
          <w:szCs w:val="48"/>
          <w:highlight w:val="none"/>
          <w:lang w:val="en" w:eastAsia="zh-CN"/>
        </w:rPr>
      </w:pPr>
      <w:r>
        <w:rPr>
          <w:rFonts w:hint="eastAsia" w:ascii="仿宋_GB2312" w:hAnsi="仿宋_GB2312" w:eastAsia="仿宋_GB2312" w:cs="仿宋_GB2312"/>
          <w:color w:val="auto"/>
          <w:sz w:val="48"/>
          <w:szCs w:val="48"/>
          <w:highlight w:val="none"/>
          <w:lang w:val="en" w:eastAsia="zh-CN"/>
        </w:rPr>
        <w:t>一体化（智慧）养护项目</w:t>
      </w:r>
    </w:p>
    <w:p>
      <w:pPr>
        <w:adjustRightInd/>
        <w:spacing w:line="360" w:lineRule="auto"/>
        <w:jc w:val="center"/>
        <w:rPr>
          <w:rFonts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28"/>
          <w:szCs w:val="28"/>
          <w:highlight w:val="none"/>
        </w:rPr>
        <w:t>（电子招投标）</w:t>
      </w:r>
    </w:p>
    <w:p>
      <w:pPr>
        <w:snapToGrid w:val="0"/>
        <w:spacing w:line="360" w:lineRule="auto"/>
        <w:jc w:val="center"/>
        <w:rPr>
          <w:rFonts w:ascii="仿宋" w:hAnsi="仿宋" w:eastAsia="仿宋" w:cs="仿宋"/>
          <w:color w:val="auto"/>
          <w:sz w:val="30"/>
          <w:szCs w:val="30"/>
          <w:highlight w:val="none"/>
        </w:rPr>
      </w:pPr>
    </w:p>
    <w:p>
      <w:pPr>
        <w:pStyle w:val="27"/>
        <w:rPr>
          <w:rFonts w:ascii="仿宋" w:hAnsi="仿宋" w:eastAsia="仿宋" w:cs="仿宋"/>
          <w:color w:val="auto"/>
          <w:highlight w:val="none"/>
        </w:rPr>
      </w:pPr>
    </w:p>
    <w:p>
      <w:pPr>
        <w:snapToGrid w:val="0"/>
        <w:spacing w:line="360" w:lineRule="auto"/>
        <w:jc w:val="center"/>
        <w:rPr>
          <w:rFonts w:hint="eastAsia" w:ascii="仿宋" w:hAnsi="仿宋" w:eastAsia="仿宋_GB2312" w:cs="仿宋"/>
          <w:color w:val="auto"/>
          <w:sz w:val="28"/>
          <w:szCs w:val="20"/>
          <w:highlight w:val="none"/>
          <w:lang w:val="en-US" w:eastAsia="zh-CN"/>
        </w:rPr>
      </w:pPr>
      <w:r>
        <w:rPr>
          <w:rFonts w:hint="eastAsia" w:ascii="仿宋_GB2312" w:hAnsi="仿宋_GB2312" w:eastAsia="仿宋_GB2312" w:cs="仿宋_GB2312"/>
          <w:color w:val="auto"/>
          <w:sz w:val="30"/>
          <w:szCs w:val="30"/>
          <w:highlight w:val="none"/>
        </w:rPr>
        <w:t>编号:</w:t>
      </w:r>
      <w:r>
        <w:rPr>
          <w:rFonts w:hint="eastAsia" w:ascii="仿宋_GB2312" w:hAnsi="仿宋_GB2312" w:eastAsia="仿宋_GB2312" w:cs="仿宋_GB2312"/>
          <w:color w:val="auto"/>
          <w:sz w:val="30"/>
          <w:szCs w:val="30"/>
          <w:highlight w:val="none"/>
          <w:lang w:eastAsia="zh-CN"/>
        </w:rPr>
        <w:t>QTJC-2025-15</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32"/>
          <w:szCs w:val="32"/>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_GB2312" w:hAnsi="仿宋_GB2312" w:eastAsia="仿宋_GB2312" w:cs="仿宋_GB2312"/>
          <w:color w:val="auto"/>
          <w:sz w:val="36"/>
          <w:szCs w:val="36"/>
          <w:highlight w:val="none"/>
          <w:lang w:eastAsia="zh-CN"/>
        </w:rPr>
      </w:pPr>
      <w:r>
        <w:rPr>
          <w:rFonts w:hint="eastAsia" w:ascii="仿宋_GB2312" w:hAnsi="仿宋_GB2312" w:eastAsia="仿宋_GB2312" w:cs="仿宋_GB2312"/>
          <w:color w:val="auto"/>
          <w:sz w:val="36"/>
          <w:szCs w:val="36"/>
          <w:highlight w:val="none"/>
          <w:lang w:eastAsia="zh-CN"/>
        </w:rPr>
        <w:t>杭州市钱塘区人民政府白杨街道办事处</w:t>
      </w:r>
    </w:p>
    <w:p>
      <w:pPr>
        <w:spacing w:line="360" w:lineRule="auto"/>
        <w:jc w:val="center"/>
        <w:rPr>
          <w:rFonts w:ascii="仿宋_GB2312" w:hAnsi="仿宋_GB2312" w:eastAsia="仿宋_GB2312" w:cs="仿宋_GB2312"/>
          <w:color w:val="auto"/>
          <w:sz w:val="36"/>
          <w:szCs w:val="36"/>
          <w:highlight w:val="none"/>
        </w:rPr>
      </w:pPr>
      <w:r>
        <w:rPr>
          <w:rFonts w:hint="eastAsia" w:ascii="仿宋_GB2312" w:hAnsi="仿宋_GB2312" w:eastAsia="仿宋_GB2312" w:cs="仿宋_GB2312"/>
          <w:color w:val="auto"/>
          <w:sz w:val="36"/>
          <w:szCs w:val="36"/>
          <w:highlight w:val="none"/>
        </w:rPr>
        <w:t>杭州市公共资源交易中心钱塘分中心</w:t>
      </w:r>
    </w:p>
    <w:p>
      <w:pPr>
        <w:spacing w:line="360" w:lineRule="auto"/>
        <w:jc w:val="center"/>
        <w:rPr>
          <w:rFonts w:ascii="仿宋" w:hAnsi="仿宋" w:eastAsia="仿宋" w:cs="仿宋"/>
          <w:color w:val="FF0000"/>
          <w:sz w:val="24"/>
          <w:highlight w:val="none"/>
        </w:rPr>
      </w:pPr>
      <w:r>
        <w:rPr>
          <w:rFonts w:hint="eastAsia" w:ascii="仿宋_GB2312" w:hAnsi="仿宋_GB2312" w:eastAsia="仿宋_GB2312" w:cs="仿宋_GB2312"/>
          <w:color w:val="auto"/>
          <w:sz w:val="36"/>
          <w:szCs w:val="36"/>
          <w:highlight w:val="none"/>
        </w:rPr>
        <w:t>二〇二</w:t>
      </w:r>
      <w:r>
        <w:rPr>
          <w:rFonts w:hint="eastAsia" w:ascii="仿宋_GB2312" w:hAnsi="仿宋_GB2312" w:eastAsia="仿宋_GB2312" w:cs="仿宋_GB2312"/>
          <w:color w:val="auto"/>
          <w:sz w:val="36"/>
          <w:szCs w:val="36"/>
          <w:highlight w:val="none"/>
          <w:lang w:eastAsia="zh-CN"/>
        </w:rPr>
        <w:t>五</w:t>
      </w:r>
      <w:r>
        <w:rPr>
          <w:rFonts w:hint="eastAsia" w:ascii="仿宋_GB2312" w:hAnsi="仿宋_GB2312" w:eastAsia="仿宋_GB2312" w:cs="仿宋_GB2312"/>
          <w:color w:val="auto"/>
          <w:sz w:val="36"/>
          <w:szCs w:val="36"/>
          <w:highlight w:val="none"/>
        </w:rPr>
        <w:t>年</w:t>
      </w:r>
      <w:r>
        <w:rPr>
          <w:rFonts w:hint="eastAsia" w:ascii="仿宋_GB2312" w:hAnsi="仿宋_GB2312" w:eastAsia="仿宋_GB2312" w:cs="仿宋_GB2312"/>
          <w:color w:val="auto"/>
          <w:sz w:val="36"/>
          <w:szCs w:val="36"/>
          <w:highlight w:val="none"/>
          <w:lang w:eastAsia="zh-CN"/>
        </w:rPr>
        <w:t>七</w:t>
      </w:r>
      <w:r>
        <w:rPr>
          <w:rFonts w:hint="eastAsia" w:ascii="仿宋_GB2312" w:hAnsi="仿宋_GB2312" w:eastAsia="仿宋_GB2312" w:cs="仿宋_GB2312"/>
          <w:color w:val="auto"/>
          <w:sz w:val="36"/>
          <w:szCs w:val="36"/>
          <w:highlight w:val="none"/>
        </w:rPr>
        <w:t>月</w:t>
      </w:r>
      <w:r>
        <w:rPr>
          <w:rFonts w:hint="eastAsia" w:ascii="仿宋_GB2312" w:hAnsi="仿宋_GB2312" w:eastAsia="仿宋_GB2312" w:cs="仿宋_GB2312"/>
          <w:color w:val="auto"/>
          <w:sz w:val="36"/>
          <w:szCs w:val="36"/>
          <w:highlight w:val="none"/>
          <w:lang w:eastAsia="zh-CN"/>
        </w:rPr>
        <w:t>十一日</w:t>
      </w:r>
      <w:r>
        <w:rPr>
          <w:rFonts w:hint="eastAsia" w:ascii="仿宋" w:hAnsi="仿宋" w:eastAsia="仿宋" w:cs="仿宋"/>
          <w:color w:val="FF0000"/>
          <w:sz w:val="24"/>
          <w:highlight w:val="none"/>
        </w:rPr>
        <w:br w:type="page"/>
      </w:r>
      <w:bookmarkStart w:id="0" w:name="_Hlt67893495"/>
      <w:bookmarkEnd w:id="0"/>
    </w:p>
    <w:p>
      <w:pPr>
        <w:spacing w:line="360" w:lineRule="auto"/>
        <w:jc w:val="center"/>
        <w:rPr>
          <w:rFonts w:ascii="仿宋" w:hAnsi="仿宋" w:eastAsia="仿宋" w:cs="仿宋"/>
          <w:color w:val="auto"/>
          <w:sz w:val="24"/>
          <w:highlight w:val="none"/>
        </w:rPr>
      </w:pPr>
    </w:p>
    <w:p>
      <w:pPr>
        <w:spacing w:line="360" w:lineRule="auto"/>
        <w:jc w:val="center"/>
        <w:rPr>
          <w:rFonts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目  录</w:t>
      </w:r>
    </w:p>
    <w:p>
      <w:pPr>
        <w:spacing w:line="360" w:lineRule="auto"/>
        <w:rPr>
          <w:rFonts w:ascii="仿宋_GB2312" w:hAnsi="仿宋_GB2312" w:eastAsia="仿宋_GB2312" w:cs="仿宋_GB2312"/>
          <w:color w:val="auto"/>
          <w:sz w:val="32"/>
          <w:szCs w:val="32"/>
          <w:highlight w:val="none"/>
        </w:rPr>
      </w:pPr>
    </w:p>
    <w:p>
      <w:pPr>
        <w:spacing w:line="360" w:lineRule="auto"/>
        <w:rPr>
          <w:rFonts w:ascii="仿宋_GB2312" w:hAnsi="仿宋_GB2312" w:eastAsia="仿宋_GB2312" w:cs="仿宋_GB2312"/>
          <w:color w:val="auto"/>
          <w:sz w:val="32"/>
          <w:szCs w:val="32"/>
          <w:highlight w:val="none"/>
        </w:rPr>
      </w:pPr>
    </w:p>
    <w:p>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第一部分      招标公告</w:t>
      </w:r>
    </w:p>
    <w:p>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第二部分      投标人须知</w:t>
      </w:r>
    </w:p>
    <w:p>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第三部分      采购需求</w:t>
      </w:r>
    </w:p>
    <w:p>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第四部分      评标办法</w:t>
      </w:r>
    </w:p>
    <w:p>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第五部分      拟签订的合同文本</w:t>
      </w:r>
    </w:p>
    <w:p>
      <w:pPr>
        <w:spacing w:line="360" w:lineRule="auto"/>
        <w:ind w:firstLine="1280" w:firstLineChars="4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第六部分      应提交的有关格式范例</w:t>
      </w:r>
    </w:p>
    <w:p>
      <w:pPr>
        <w:spacing w:line="360" w:lineRule="auto"/>
        <w:ind w:firstLine="549" w:firstLineChars="229"/>
        <w:rPr>
          <w:rFonts w:ascii="仿宋_GB2312" w:hAnsi="仿宋_GB2312" w:eastAsia="仿宋_GB2312"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pStyle w:val="25"/>
        <w:rPr>
          <w:color w:val="auto"/>
          <w:highlight w:val="none"/>
        </w:rPr>
      </w:pPr>
    </w:p>
    <w:p>
      <w:pPr>
        <w:spacing w:line="360" w:lineRule="auto"/>
        <w:rPr>
          <w:rFonts w:ascii="仿宋" w:hAnsi="仿宋" w:eastAsia="仿宋" w:cs="仿宋"/>
          <w:color w:val="auto"/>
          <w:sz w:val="24"/>
          <w:highlight w:val="none"/>
        </w:rPr>
      </w:pPr>
    </w:p>
    <w:bookmarkEnd w:id="2"/>
    <w:p>
      <w:pPr>
        <w:adjustRightInd/>
        <w:spacing w:line="360" w:lineRule="auto"/>
        <w:jc w:val="center"/>
        <w:outlineLvl w:val="0"/>
        <w:rPr>
          <w:rFonts w:ascii="仿宋" w:hAnsi="仿宋" w:eastAsia="仿宋" w:cs="仿宋"/>
          <w:b/>
          <w:color w:val="auto"/>
          <w:sz w:val="36"/>
          <w:szCs w:val="20"/>
          <w:highlight w:val="none"/>
        </w:rPr>
      </w:pPr>
      <w:bookmarkStart w:id="3" w:name="_Hlt74729822"/>
      <w:bookmarkEnd w:id="3"/>
      <w:bookmarkStart w:id="4" w:name="_Hlt74728647"/>
      <w:bookmarkEnd w:id="4"/>
      <w:bookmarkStart w:id="5" w:name="_Hlt74649545"/>
      <w:bookmarkEnd w:id="5"/>
      <w:bookmarkStart w:id="6" w:name="_Hlt74707423"/>
      <w:bookmarkEnd w:id="6"/>
      <w:bookmarkStart w:id="7" w:name="第二部分"/>
      <w:bookmarkStart w:id="8" w:name="_Toc91899870"/>
      <w:bookmarkStart w:id="9" w:name="_Toc91899871"/>
    </w:p>
    <w:p>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仿宋_GB2312" w:hAnsi="仿宋_GB2312" w:eastAsia="仿宋_GB2312" w:cs="仿宋_GB2312"/>
          <w:snapToGrid/>
          <w:color w:val="auto"/>
          <w:kern w:val="2"/>
          <w:sz w:val="24"/>
          <w:szCs w:val="24"/>
          <w:highlight w:val="none"/>
        </w:rPr>
        <w:t>https://www.zcygov.cn/）获取（下载）招标文件，并于</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8</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00秒</w:t>
      </w:r>
      <w:r>
        <w:rPr>
          <w:rFonts w:hint="eastAsia" w:ascii="仿宋_GB2312" w:hAnsi="仿宋_GB2312" w:eastAsia="仿宋_GB2312" w:cs="仿宋_GB2312"/>
          <w:bCs/>
          <w:color w:val="auto"/>
          <w:sz w:val="24"/>
          <w:highlight w:val="none"/>
          <w:u w:val="single"/>
        </w:rPr>
        <w:fldChar w:fldCharType="end"/>
      </w:r>
      <w:r>
        <w:rPr>
          <w:rFonts w:hint="eastAsia" w:ascii="仿宋_GB2312" w:hAnsi="仿宋_GB2312" w:eastAsia="仿宋_GB2312" w:cs="仿宋_GB2312"/>
          <w:bCs/>
          <w:color w:val="auto"/>
          <w:sz w:val="24"/>
          <w:highlight w:val="none"/>
        </w:rPr>
        <w:t>（北京时间）前</w:t>
      </w:r>
      <w:r>
        <w:rPr>
          <w:rFonts w:hint="eastAsia" w:ascii="仿宋_GB2312" w:hAnsi="仿宋_GB2312" w:eastAsia="仿宋_GB2312" w:cs="仿宋_GB2312"/>
          <w:color w:val="auto"/>
          <w:sz w:val="24"/>
          <w:highlight w:val="none"/>
        </w:rPr>
        <w:t>递交（上传）投标文件。</w:t>
      </w: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一、项目基本情况</w:t>
      </w:r>
    </w:p>
    <w:p>
      <w:pPr>
        <w:spacing w:line="360" w:lineRule="auto"/>
        <w:ind w:firstLine="480" w:firstLineChars="200"/>
        <w:rPr>
          <w:rFonts w:hint="eastAsia" w:ascii="仿宋_GB2312" w:hAnsi="仿宋_GB2312" w:eastAsia="仿宋_GB2312" w:cs="仿宋_GB2312"/>
          <w:snapToGrid w:val="0"/>
          <w:color w:val="auto"/>
          <w:kern w:val="28"/>
          <w:sz w:val="24"/>
          <w:szCs w:val="20"/>
          <w:highlight w:val="none"/>
          <w:lang w:val="en-US" w:eastAsia="zh-CN"/>
        </w:rPr>
      </w:pPr>
      <w:r>
        <w:rPr>
          <w:rFonts w:hint="eastAsia" w:ascii="仿宋_GB2312" w:hAnsi="仿宋_GB2312" w:eastAsia="仿宋_GB2312" w:cs="仿宋_GB2312"/>
          <w:color w:val="auto"/>
          <w:sz w:val="24"/>
          <w:highlight w:val="none"/>
        </w:rPr>
        <w:t>项目编号：</w:t>
      </w:r>
      <w:r>
        <w:rPr>
          <w:rFonts w:hint="eastAsia" w:ascii="仿宋_GB2312" w:hAnsi="仿宋_GB2312" w:eastAsia="仿宋_GB2312" w:cs="仿宋_GB2312"/>
          <w:color w:val="auto"/>
          <w:sz w:val="24"/>
          <w:highlight w:val="none"/>
          <w:lang w:eastAsia="zh-CN"/>
        </w:rPr>
        <w:t>QTJC-2025-15</w:t>
      </w:r>
    </w:p>
    <w:p>
      <w:pPr>
        <w:spacing w:line="360" w:lineRule="auto"/>
        <w:ind w:firstLine="480" w:firstLineChars="200"/>
        <w:rPr>
          <w:rFonts w:hint="eastAsia" w:ascii="仿宋_GB2312" w:hAnsi="仿宋_GB2312" w:eastAsia="仿宋_GB2312" w:cs="仿宋_GB2312"/>
          <w:snapToGrid w:val="0"/>
          <w:color w:val="auto"/>
          <w:kern w:val="28"/>
          <w:sz w:val="24"/>
          <w:szCs w:val="20"/>
          <w:highlight w:val="none"/>
          <w:lang w:eastAsia="zh-CN"/>
        </w:rPr>
      </w:pPr>
      <w:r>
        <w:rPr>
          <w:rFonts w:hint="eastAsia" w:ascii="仿宋_GB2312" w:hAnsi="仿宋_GB2312" w:eastAsia="仿宋_GB2312" w:cs="仿宋_GB2312"/>
          <w:snapToGrid w:val="0"/>
          <w:color w:val="auto"/>
          <w:kern w:val="28"/>
          <w:sz w:val="24"/>
          <w:szCs w:val="20"/>
          <w:highlight w:val="none"/>
        </w:rPr>
        <w:t>项目名称：</w:t>
      </w:r>
      <w:r>
        <w:rPr>
          <w:rFonts w:hint="eastAsia" w:ascii="仿宋_GB2312" w:hAnsi="仿宋_GB2312" w:eastAsia="仿宋_GB2312" w:cs="仿宋_GB2312"/>
          <w:snapToGrid w:val="0"/>
          <w:color w:val="auto"/>
          <w:kern w:val="28"/>
          <w:sz w:val="24"/>
          <w:szCs w:val="20"/>
          <w:highlight w:val="none"/>
          <w:lang w:eastAsia="zh-CN"/>
        </w:rPr>
        <w:t>白杨街道城市基础设施一体化（智慧）养护项目</w:t>
      </w:r>
    </w:p>
    <w:p>
      <w:pPr>
        <w:spacing w:line="360" w:lineRule="auto"/>
        <w:ind w:firstLine="480" w:firstLineChars="200"/>
        <w:rPr>
          <w:rFonts w:hint="default" w:ascii="微软雅黑" w:hAnsi="微软雅黑" w:eastAsia="仿宋_GB2312" w:cs="微软雅黑"/>
          <w:i w:val="0"/>
          <w:iCs w:val="0"/>
          <w:caps w:val="0"/>
          <w:color w:val="171A1D"/>
          <w:spacing w:val="0"/>
          <w:sz w:val="21"/>
          <w:szCs w:val="21"/>
          <w:highlight w:val="none"/>
          <w:shd w:val="clear" w:fill="C9E7FF"/>
          <w:lang w:val="en-US" w:eastAsia="zh-CN"/>
        </w:rPr>
      </w:pPr>
      <w:r>
        <w:rPr>
          <w:rFonts w:hint="eastAsia" w:ascii="仿宋_GB2312" w:hAnsi="仿宋_GB2312" w:eastAsia="仿宋_GB2312" w:cs="仿宋_GB2312"/>
          <w:color w:val="auto"/>
          <w:sz w:val="24"/>
          <w:highlight w:val="none"/>
        </w:rPr>
        <w:t>预算金额（元）：</w:t>
      </w:r>
      <w:r>
        <w:rPr>
          <w:rFonts w:hint="eastAsia" w:ascii="仿宋_GB2312" w:hAnsi="仿宋_GB2312" w:eastAsia="仿宋_GB2312" w:cs="仿宋_GB2312"/>
          <w:color w:val="auto"/>
          <w:sz w:val="24"/>
          <w:highlight w:val="none"/>
          <w:lang w:val="en-US" w:eastAsia="zh-CN"/>
        </w:rPr>
        <w:t>343529142</w:t>
      </w:r>
    </w:p>
    <w:p>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最高限价（元）</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343529142（ 报价时，各指标单价不得超过招标清单中参考的综合单价；汇总后，投标总价不得超过本项目设置的最高限价。）</w:t>
      </w:r>
    </w:p>
    <w:p>
      <w:pPr>
        <w:pStyle w:val="15"/>
        <w:spacing w:line="360" w:lineRule="auto"/>
        <w:ind w:firstLine="48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采购需求：</w:t>
      </w:r>
    </w:p>
    <w:p>
      <w:pPr>
        <w:pStyle w:val="15"/>
        <w:spacing w:line="36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Cs/>
          <w:color w:val="auto"/>
          <w:sz w:val="24"/>
          <w:highlight w:val="none"/>
        </w:rPr>
        <w:t>标项名称：</w:t>
      </w:r>
      <w:r>
        <w:rPr>
          <w:rFonts w:hint="eastAsia" w:ascii="仿宋_GB2312" w:hAnsi="仿宋_GB2312" w:eastAsia="仿宋_GB2312" w:cs="仿宋_GB2312"/>
          <w:color w:val="auto"/>
          <w:sz w:val="24"/>
          <w:highlight w:val="none"/>
          <w:lang w:eastAsia="zh-CN"/>
        </w:rPr>
        <w:t>白杨街道城市基础设施一体化（智慧）养护项目</w:t>
      </w:r>
    </w:p>
    <w:p>
      <w:pPr>
        <w:pStyle w:val="15"/>
        <w:spacing w:line="360" w:lineRule="auto"/>
        <w:ind w:firstLine="480"/>
        <w:rPr>
          <w:rFonts w:hint="eastAsia" w:ascii="仿宋_GB2312" w:hAnsi="仿宋_GB2312" w:eastAsia="仿宋_GB2312" w:cs="仿宋_GB2312"/>
          <w:bCs/>
          <w:snapToGrid/>
          <w:color w:val="auto"/>
          <w:kern w:val="2"/>
          <w:sz w:val="24"/>
          <w:szCs w:val="24"/>
          <w:highlight w:val="none"/>
          <w:lang w:val="en-US" w:eastAsia="zh-CN"/>
        </w:rPr>
      </w:pPr>
      <w:r>
        <w:rPr>
          <w:rFonts w:hint="eastAsia" w:ascii="仿宋_GB2312" w:hAnsi="仿宋_GB2312" w:eastAsia="仿宋_GB2312" w:cs="仿宋_GB2312"/>
          <w:bCs/>
          <w:snapToGrid/>
          <w:color w:val="auto"/>
          <w:kern w:val="2"/>
          <w:sz w:val="24"/>
          <w:szCs w:val="24"/>
          <w:highlight w:val="none"/>
        </w:rPr>
        <w:t>数量:</w:t>
      </w:r>
      <w:r>
        <w:rPr>
          <w:rFonts w:hint="eastAsia" w:ascii="仿宋_GB2312" w:hAnsi="仿宋_GB2312" w:eastAsia="仿宋_GB2312" w:cs="仿宋_GB2312"/>
          <w:bCs/>
          <w:snapToGrid/>
          <w:color w:val="auto"/>
          <w:kern w:val="2"/>
          <w:sz w:val="24"/>
          <w:szCs w:val="24"/>
          <w:highlight w:val="none"/>
          <w:lang w:val="en-US" w:eastAsia="zh-CN"/>
        </w:rPr>
        <w:t>不限</w:t>
      </w:r>
    </w:p>
    <w:p>
      <w:pPr>
        <w:spacing w:line="360" w:lineRule="auto"/>
        <w:ind w:firstLine="480" w:firstLineChars="200"/>
        <w:rPr>
          <w:rFonts w:hint="default" w:ascii="微软雅黑" w:hAnsi="微软雅黑" w:eastAsia="仿宋_GB2312" w:cs="微软雅黑"/>
          <w:i w:val="0"/>
          <w:iCs w:val="0"/>
          <w:caps w:val="0"/>
          <w:color w:val="171A1D"/>
          <w:spacing w:val="0"/>
          <w:sz w:val="21"/>
          <w:szCs w:val="21"/>
          <w:highlight w:val="none"/>
          <w:shd w:val="clear" w:fill="C9E7FF"/>
          <w:lang w:val="en-US" w:eastAsia="zh-CN"/>
        </w:rPr>
      </w:pPr>
      <w:r>
        <w:rPr>
          <w:rFonts w:hint="eastAsia" w:ascii="仿宋_GB2312" w:hAnsi="仿宋_GB2312" w:eastAsia="仿宋_GB2312" w:cs="仿宋_GB2312"/>
          <w:bCs/>
          <w:color w:val="auto"/>
          <w:sz w:val="24"/>
          <w:highlight w:val="none"/>
        </w:rPr>
        <w:t>预算金额（元）</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343529142</w:t>
      </w:r>
    </w:p>
    <w:p>
      <w:pPr>
        <w:spacing w:line="460" w:lineRule="exact"/>
        <w:ind w:firstLine="480" w:firstLineChars="200"/>
        <w:outlineLvl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简要规格描述或项目基本概况介绍、用途：</w:t>
      </w:r>
      <w:r>
        <w:rPr>
          <w:rFonts w:hint="eastAsia" w:ascii="仿宋_GB2312" w:hAnsi="仿宋_GB2312" w:eastAsia="仿宋_GB2312" w:cs="仿宋_GB2312"/>
          <w:color w:val="auto"/>
          <w:sz w:val="24"/>
          <w:highlight w:val="none"/>
          <w:lang w:eastAsia="zh-CN"/>
        </w:rPr>
        <w:t>在白杨街道区域内相关城市基础设施的智慧养护服务，主要包括智慧环卫建设、环卫保洁、河道养护、绿化养护、市政设施养护、应急事件处置以及其他工作。</w:t>
      </w:r>
      <w:r>
        <w:rPr>
          <w:rFonts w:hint="eastAsia" w:ascii="仿宋_GB2312" w:hAnsi="仿宋_GB2312" w:eastAsia="仿宋_GB2312" w:cs="仿宋_GB2312"/>
          <w:color w:val="auto"/>
          <w:sz w:val="24"/>
          <w:highlight w:val="none"/>
        </w:rPr>
        <w:t>详见招标文件第三部分采购需求，供应商可点击本公告下方“浏览采购文件”查看采购需求。</w:t>
      </w:r>
    </w:p>
    <w:p>
      <w:pPr>
        <w:pStyle w:val="15"/>
        <w:spacing w:line="360" w:lineRule="auto"/>
        <w:ind w:firstLine="480"/>
        <w:rPr>
          <w:rFonts w:ascii="仿宋_GB2312" w:hAnsi="仿宋_GB2312" w:eastAsia="仿宋_GB2312" w:cs="仿宋_GB2312"/>
          <w:bCs/>
          <w:snapToGrid/>
          <w:color w:val="auto"/>
          <w:kern w:val="2"/>
          <w:sz w:val="24"/>
          <w:szCs w:val="24"/>
          <w:highlight w:val="none"/>
        </w:rPr>
      </w:pPr>
      <w:r>
        <w:rPr>
          <w:rFonts w:hint="eastAsia" w:ascii="仿宋_GB2312" w:hAnsi="仿宋_GB2312" w:eastAsia="仿宋_GB2312" w:cs="仿宋_GB2312"/>
          <w:bCs/>
          <w:snapToGrid/>
          <w:color w:val="auto"/>
          <w:kern w:val="2"/>
          <w:sz w:val="24"/>
          <w:szCs w:val="24"/>
          <w:highlight w:val="none"/>
        </w:rPr>
        <w:t>备注：无</w:t>
      </w:r>
    </w:p>
    <w:p>
      <w:pPr>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合同履约期限</w:t>
      </w:r>
      <w:r>
        <w:rPr>
          <w:rFonts w:hint="eastAsia" w:ascii="仿宋_GB2312" w:hAnsi="仿宋_GB2312" w:eastAsia="仿宋_GB2312" w:cs="仿宋_GB2312"/>
          <w:snapToGrid w:val="0"/>
          <w:color w:val="auto"/>
          <w:kern w:val="28"/>
          <w:sz w:val="24"/>
          <w:szCs w:val="20"/>
          <w:highlight w:val="none"/>
        </w:rPr>
        <w:t>：</w:t>
      </w:r>
      <w:r>
        <w:rPr>
          <w:rFonts w:hint="eastAsia" w:ascii="仿宋_GB2312" w:hAnsi="仿宋_GB2312" w:eastAsia="仿宋_GB2312" w:cs="仿宋_GB2312"/>
          <w:color w:val="auto"/>
          <w:sz w:val="24"/>
          <w:szCs w:val="24"/>
          <w:highlight w:val="none"/>
          <w:lang w:eastAsia="zh-CN"/>
        </w:rPr>
        <w:t>三</w:t>
      </w:r>
      <w:r>
        <w:rPr>
          <w:rFonts w:hint="eastAsia" w:ascii="仿宋_GB2312" w:hAnsi="仿宋_GB2312" w:eastAsia="仿宋_GB2312" w:cs="仿宋_GB2312"/>
          <w:color w:val="auto"/>
          <w:sz w:val="24"/>
          <w:szCs w:val="24"/>
          <w:highlight w:val="none"/>
        </w:rPr>
        <w:t>年。</w:t>
      </w:r>
    </w:p>
    <w:p>
      <w:pPr>
        <w:pStyle w:val="60"/>
        <w:autoSpaceDE w:val="0"/>
        <w:snapToGrid w:val="0"/>
        <w:spacing w:before="0" w:beforeAutospacing="0" w:after="0" w:afterAutospacing="0" w:line="360" w:lineRule="auto"/>
        <w:ind w:firstLine="480" w:firstLineChars="200"/>
        <w:jc w:val="both"/>
        <w:rPr>
          <w:rFonts w:hint="eastAsia" w:ascii="仿宋" w:hAnsi="仿宋" w:eastAsia="仿宋_GB2312" w:cs="仿宋"/>
          <w:b/>
          <w:color w:val="auto"/>
          <w:highlight w:val="none"/>
          <w:lang w:eastAsia="zh-CN"/>
        </w:rPr>
      </w:pPr>
      <w:r>
        <w:rPr>
          <w:rFonts w:hint="eastAsia" w:ascii="仿宋_GB2312" w:hAnsi="仿宋_GB2312" w:eastAsia="仿宋_GB2312" w:cs="仿宋_GB2312"/>
          <w:color w:val="auto"/>
          <w:highlight w:val="none"/>
        </w:rPr>
        <w:t>本项目接受联合体投标：</w:t>
      </w:r>
      <w:sdt>
        <w:sdtPr>
          <w:rPr>
            <w:rFonts w:hint="eastAsia" w:ascii="仿宋_GB2312" w:hAnsi="仿宋_GB2312" w:eastAsia="仿宋_GB2312" w:cs="仿宋_GB2312"/>
            <w:color w:val="auto"/>
            <w:highlight w:val="none"/>
          </w:rPr>
          <w:id w:val="2035453831"/>
          <w14:checkbox>
            <w14:checked w14:val="1"/>
            <w14:checkedState w14:val="00FE" w14:font="Wingdings"/>
            <w14:uncheckedState w14:val="2610" w14:font="MS Gothic"/>
          </w14:checkbox>
        </w:sdtPr>
        <w:sdtEndPr>
          <w:rPr>
            <w:rFonts w:hint="eastAsia" w:ascii="仿宋_GB2312" w:hAnsi="仿宋_GB2312" w:eastAsia="仿宋_GB2312" w:cs="仿宋_GB2312"/>
            <w:color w:val="auto"/>
            <w:highlight w:val="none"/>
          </w:rPr>
        </w:sdtEndPr>
        <w:sdtContent>
          <w:r>
            <w:rPr>
              <w:rFonts w:ascii="Wingdings" w:hAnsi="Wingdings" w:eastAsia="仿宋" w:cs="仿宋"/>
              <w:snapToGrid w:val="0"/>
              <w:color w:val="auto"/>
              <w:highlight w:val="none"/>
            </w:rPr>
            <w:t></w:t>
          </w:r>
        </w:sdtContent>
      </w:sdt>
      <w:r>
        <w:rPr>
          <w:rFonts w:hint="eastAsia" w:ascii="仿宋_GB2312" w:hAnsi="仿宋_GB2312" w:eastAsia="仿宋_GB2312" w:cs="仿宋_GB2312"/>
          <w:color w:val="auto"/>
          <w:highlight w:val="none"/>
        </w:rPr>
        <w:t>是</w:t>
      </w:r>
      <w:r>
        <w:rPr>
          <w:rFonts w:hint="eastAsia" w:ascii="仿宋_GB2312" w:hAnsi="仿宋_GB2312" w:eastAsia="仿宋_GB2312" w:cs="仿宋_GB2312"/>
          <w:color w:val="auto"/>
          <w:highlight w:val="none"/>
          <w:lang w:eastAsia="zh-CN"/>
        </w:rPr>
        <w:t>（联合体成员不得超过两家）</w:t>
      </w:r>
      <w:r>
        <w:rPr>
          <w:rFonts w:hint="eastAsia" w:ascii="仿宋_GB2312" w:hAnsi="仿宋_GB2312" w:eastAsia="仿宋_GB2312" w:cs="仿宋_GB2312"/>
          <w:color w:val="auto"/>
          <w:highlight w:val="none"/>
        </w:rPr>
        <w:t>，</w:t>
      </w:r>
      <w:sdt>
        <w:sdtPr>
          <w:rPr>
            <w:rFonts w:hint="eastAsia" w:ascii="仿宋" w:hAnsi="仿宋" w:eastAsia="仿宋" w:cs="仿宋"/>
            <w:color w:val="auto"/>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highlight w:val="none"/>
          </w:rPr>
        </w:sdtEndPr>
        <w:sdtContent>
          <w:r>
            <w:rPr>
              <w:rFonts w:hint="eastAsia" w:ascii="MS Gothic" w:hAnsi="MS Gothic" w:eastAsia="仿宋" w:cs="仿宋"/>
              <w:snapToGrid w:val="0"/>
              <w:color w:val="auto"/>
              <w:highlight w:val="none"/>
            </w:rPr>
            <w:t>☐</w:t>
          </w:r>
        </w:sdtContent>
      </w:sdt>
      <w:r>
        <w:rPr>
          <w:rFonts w:hint="eastAsia" w:ascii="仿宋_GB2312" w:hAnsi="仿宋_GB2312" w:eastAsia="仿宋_GB2312" w:cs="仿宋_GB2312"/>
          <w:color w:val="auto"/>
          <w:highlight w:val="none"/>
        </w:rPr>
        <w:t>否。</w:t>
      </w:r>
    </w:p>
    <w:p>
      <w:pPr>
        <w:spacing w:line="360" w:lineRule="auto"/>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b/>
          <w:color w:val="auto"/>
          <w:sz w:val="24"/>
          <w:highlight w:val="none"/>
        </w:rPr>
        <w:t>二、申请人的资格要求：</w:t>
      </w:r>
    </w:p>
    <w:p>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_GB2312" w:hAnsi="仿宋_GB2312" w:eastAsia="仿宋_GB2312" w:cs="仿宋_GB2312"/>
          <w:snapToGrid w:val="0"/>
          <w:color w:val="auto"/>
          <w:kern w:val="28"/>
          <w:sz w:val="24"/>
          <w:szCs w:val="20"/>
          <w:highlight w:val="none"/>
        </w:rPr>
      </w:pPr>
      <w:r>
        <w:rPr>
          <w:rFonts w:hint="eastAsia" w:ascii="仿宋_GB2312" w:hAnsi="仿宋_GB2312" w:eastAsia="仿宋_GB2312" w:cs="仿宋_GB2312"/>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snapToGrid w:val="0"/>
          <w:color w:val="auto"/>
          <w:kern w:val="28"/>
          <w:sz w:val="24"/>
          <w:szCs w:val="20"/>
          <w:highlight w:val="none"/>
        </w:rPr>
        <w:t>3.落实政府采购政策需满足的资格要求：</w:t>
      </w:r>
    </w:p>
    <w:p>
      <w:pPr>
        <w:spacing w:line="360" w:lineRule="auto"/>
        <w:ind w:firstLine="480"/>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szCs w:val="24"/>
              <w:highlight w:val="none"/>
              <w:lang w:val="en-US" w:eastAsia="zh-CN" w:bidi="ar-SA"/>
            </w:rPr>
            <w:t>þ</w:t>
          </w:r>
        </w:sdtContent>
      </w:sdt>
      <w:r>
        <w:rPr>
          <w:rFonts w:hint="eastAsia" w:ascii="仿宋_GB2312" w:hAnsi="仿宋_GB2312" w:eastAsia="仿宋_GB2312" w:cs="仿宋_GB2312"/>
          <w:color w:val="auto"/>
          <w:sz w:val="24"/>
          <w:highlight w:val="none"/>
        </w:rPr>
        <w:t>无（注：不得限制大中型企业与小微企业组成联合体参与投标）；</w:t>
      </w:r>
    </w:p>
    <w:p>
      <w:pPr>
        <w:spacing w:line="360" w:lineRule="auto"/>
        <w:ind w:firstLine="480" w:firstLineChars="200"/>
        <w:rPr>
          <w:rFonts w:hint="eastAsia" w:ascii="仿宋" w:hAnsi="仿宋" w:eastAsia="仿宋_GB2312" w:cs="仿宋"/>
          <w:color w:val="auto"/>
          <w:sz w:val="24"/>
          <w:highlight w:val="none"/>
          <w:lang w:eastAsia="zh-CN"/>
        </w:rPr>
      </w:pPr>
      <w:sdt>
        <w:sdtPr>
          <w:rPr>
            <w:rFonts w:hint="eastAsia" w:ascii="仿宋" w:hAnsi="仿宋" w:eastAsia="仿宋" w:cs="仿宋"/>
            <w:color w:val="auto"/>
            <w:kern w:val="0"/>
            <w:sz w:val="24"/>
            <w:highlight w:val="none"/>
          </w:rPr>
          <w:id w:val="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szCs w:val="24"/>
              <w:highlight w:val="none"/>
              <w:lang w:val="en-US" w:eastAsia="zh-CN" w:bidi="ar-SA"/>
            </w:rPr>
            <w:t>☐</w:t>
          </w:r>
        </w:sdtContent>
      </w:sdt>
      <w:r>
        <w:rPr>
          <w:rFonts w:hint="eastAsia" w:ascii="仿宋_GB2312" w:hAnsi="仿宋_GB2312" w:eastAsia="仿宋_GB2312" w:cs="仿宋_GB2312"/>
          <w:color w:val="auto"/>
          <w:kern w:val="0"/>
          <w:sz w:val="24"/>
          <w:highlight w:val="none"/>
        </w:rPr>
        <w:t>专</w:t>
      </w:r>
      <w:r>
        <w:rPr>
          <w:rFonts w:hint="eastAsia" w:ascii="仿宋_GB2312" w:hAnsi="仿宋_GB2312" w:eastAsia="仿宋_GB2312" w:cs="仿宋_GB2312"/>
          <w:color w:val="auto"/>
          <w:sz w:val="24"/>
          <w:highlight w:val="none"/>
        </w:rPr>
        <w:t>门面向中小企业</w:t>
      </w:r>
      <w:r>
        <w:rPr>
          <w:rFonts w:hint="eastAsia" w:ascii="仿宋_GB2312" w:hAnsi="仿宋_GB2312" w:eastAsia="仿宋_GB2312" w:cs="仿宋_GB2312"/>
          <w:color w:val="auto"/>
          <w:sz w:val="24"/>
          <w:highlight w:val="none"/>
          <w:lang w:eastAsia="zh-CN"/>
        </w:rPr>
        <w:t>：</w:t>
      </w:r>
    </w:p>
    <w:p>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szCs w:val="24"/>
              <w:highlight w:val="none"/>
              <w:lang w:val="en-US" w:eastAsia="zh-CN" w:bidi="ar-SA"/>
            </w:rPr>
            <w:t>☐</w:t>
          </w:r>
        </w:sdtContent>
      </w:sdt>
      <w:r>
        <w:rPr>
          <w:rFonts w:hint="eastAsia" w:ascii="仿宋_GB2312" w:hAnsi="仿宋_GB2312" w:eastAsia="仿宋_GB2312" w:cs="仿宋_GB2312"/>
          <w:color w:val="auto"/>
          <w:kern w:val="0"/>
          <w:sz w:val="24"/>
          <w:highlight w:val="none"/>
        </w:rPr>
        <w:t>服务</w:t>
      </w:r>
      <w:r>
        <w:rPr>
          <w:rFonts w:hint="eastAsia" w:ascii="仿宋_GB2312" w:hAnsi="仿宋_GB2312" w:eastAsia="仿宋_GB2312" w:cs="仿宋_GB2312"/>
          <w:snapToGrid w:val="0"/>
          <w:color w:val="auto"/>
          <w:kern w:val="28"/>
          <w:sz w:val="24"/>
          <w:highlight w:val="none"/>
        </w:rPr>
        <w:t>全部由符合政策要求的中小企业承接，提供中小企业声明函；</w:t>
      </w:r>
    </w:p>
    <w:p>
      <w:pPr>
        <w:spacing w:line="360" w:lineRule="auto"/>
        <w:ind w:firstLine="897" w:firstLineChars="374"/>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_GB2312" w:hAnsi="仿宋_GB2312" w:eastAsia="仿宋_GB2312" w:cs="仿宋_GB2312"/>
          <w:snapToGrid w:val="0"/>
          <w:color w:val="auto"/>
          <w:kern w:val="28"/>
          <w:sz w:val="24"/>
          <w:highlight w:val="none"/>
        </w:rPr>
        <w:t>服务全部由符合政策要求的小微企业承接，提供中小企业声明函；</w:t>
      </w:r>
    </w:p>
    <w:p>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9"/>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要求以联合体形式参加，提供联合协议和中小企业声明函，联合协议中中小企业合同金额应当达到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_GB2312" w:hAnsi="仿宋_GB2312" w:eastAsia="仿宋_GB2312" w:cs="仿宋_GB2312"/>
          <w:color w:val="auto"/>
          <w:sz w:val="24"/>
          <w:highlight w:val="none"/>
        </w:rPr>
        <w:t>；</w:t>
      </w:r>
    </w:p>
    <w:p>
      <w:pPr>
        <w:spacing w:line="360" w:lineRule="auto"/>
        <w:ind w:firstLine="480" w:firstLineChars="200"/>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要求合同分包，提供分包意向协议和中小企业声明函，分包意向协议中中小企业合同金额应当达到达到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，其中小微企业合同金额应当达到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w:t>
      </w:r>
      <w:r>
        <w:rPr>
          <w:rFonts w:hint="eastAsia" w:ascii="仿宋_GB2312" w:hAnsi="仿宋_GB2312" w:eastAsia="仿宋_GB2312" w:cs="仿宋_GB2312"/>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_GB2312" w:hAnsi="仿宋_GB2312" w:eastAsia="仿宋_GB2312" w:cs="仿宋_GB2312"/>
          <w:color w:val="auto"/>
          <w:sz w:val="24"/>
          <w:highlight w:val="none"/>
        </w:rPr>
        <w:t>；</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w:t>
      </w:r>
    </w:p>
    <w:p>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223499757"/>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无</w:t>
      </w:r>
    </w:p>
    <w:p>
      <w:pPr>
        <w:spacing w:line="360" w:lineRule="auto"/>
        <w:ind w:firstLine="480" w:firstLineChars="200"/>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0"/>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有特定资格要求：</w:t>
      </w:r>
      <w:r>
        <w:rPr>
          <w:rFonts w:hint="eastAsia" w:ascii="仿宋_GB2312" w:hAnsi="仿宋_GB2312" w:eastAsia="仿宋_GB2312" w:cs="仿宋_GB2312"/>
          <w:b/>
          <w:bCs/>
          <w:color w:val="auto"/>
          <w:sz w:val="24"/>
          <w:highlight w:val="none"/>
          <w:u w:val="single"/>
        </w:rPr>
        <w:t xml:space="preserve">           </w:t>
      </w:r>
      <w:r>
        <w:rPr>
          <w:rFonts w:hint="eastAsia" w:ascii="仿宋_GB2312" w:hAnsi="仿宋_GB2312" w:eastAsia="仿宋_GB2312" w:cs="仿宋_GB2312"/>
          <w:color w:val="auto"/>
          <w:sz w:val="24"/>
          <w:highlight w:val="none"/>
        </w:rPr>
        <w:t>，该特定条件的法律法规依据：</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三、获取招标文件 </w:t>
      </w:r>
    </w:p>
    <w:p>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时间：</w:t>
      </w:r>
      <w:r>
        <w:rPr>
          <w:rFonts w:hint="eastAsia" w:ascii="仿宋_GB2312" w:hAnsi="仿宋_GB2312" w:eastAsia="仿宋_GB2312" w:cs="仿宋_GB2312"/>
          <w:color w:val="auto"/>
          <w:sz w:val="24"/>
          <w:highlight w:val="none"/>
          <w:u w:val="single"/>
        </w:rPr>
        <w:t>/至202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8</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日</w:t>
      </w:r>
      <w:r>
        <w:rPr>
          <w:rFonts w:hint="eastAsia" w:ascii="仿宋_GB2312" w:hAnsi="仿宋_GB2312" w:eastAsia="仿宋_GB2312" w:cs="仿宋_GB2312"/>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地点（网址）：</w:t>
      </w:r>
      <w:r>
        <w:rPr>
          <w:rFonts w:hint="eastAsia" w:ascii="仿宋_GB2312" w:hAnsi="仿宋_GB2312" w:eastAsia="仿宋_GB2312" w:cs="仿宋_GB2312"/>
          <w:color w:val="auto"/>
          <w:sz w:val="24"/>
          <w:highlight w:val="none"/>
        </w:rPr>
        <w:t xml:space="preserve">政采云平台线上获取（https://www.zcygov.cn/） </w:t>
      </w:r>
    </w:p>
    <w:p>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方式：</w:t>
      </w:r>
      <w:r>
        <w:rPr>
          <w:rFonts w:hint="eastAsia" w:ascii="仿宋_GB2312" w:hAnsi="仿宋_GB2312" w:eastAsia="仿宋_GB2312" w:cs="仿宋_GB2312"/>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售价（元）：</w:t>
      </w:r>
      <w:r>
        <w:rPr>
          <w:rFonts w:hint="eastAsia" w:ascii="仿宋_GB2312" w:hAnsi="仿宋_GB2312" w:eastAsia="仿宋_GB2312" w:cs="仿宋_GB2312"/>
          <w:color w:val="auto"/>
          <w:sz w:val="24"/>
          <w:highlight w:val="none"/>
        </w:rPr>
        <w:t xml:space="preserve">0 </w:t>
      </w:r>
      <w:r>
        <w:rPr>
          <w:rFonts w:hint="eastAsia" w:ascii="仿宋_GB2312" w:hAnsi="仿宋_GB2312" w:eastAsia="仿宋_GB2312" w:cs="仿宋_GB2312"/>
          <w:color w:val="auto"/>
          <w:sz w:val="24"/>
          <w:highlight w:val="none"/>
        </w:rPr>
        <w:tab/>
      </w: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四、提交投标文件截止时间、开标时间和地点</w:t>
      </w:r>
    </w:p>
    <w:p>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提交投标文件截止时间：</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8</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color w:val="auto"/>
          <w:sz w:val="24"/>
          <w:highlight w:val="none"/>
        </w:rPr>
        <w:t>（北京时间）</w:t>
      </w:r>
    </w:p>
    <w:p>
      <w:pPr>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投标地点（网址）：</w:t>
      </w:r>
      <w:r>
        <w:rPr>
          <w:rFonts w:hint="eastAsia" w:ascii="仿宋_GB2312" w:hAnsi="仿宋_GB2312" w:eastAsia="仿宋_GB2312" w:cs="仿宋_GB2312"/>
          <w:color w:val="auto"/>
          <w:sz w:val="24"/>
          <w:highlight w:val="none"/>
        </w:rPr>
        <w:t xml:space="preserve"> 请登录政采云投标客户端投标</w:t>
      </w:r>
    </w:p>
    <w:p>
      <w:pPr>
        <w:spacing w:line="360" w:lineRule="auto"/>
        <w:ind w:firstLine="482" w:firstLineChars="200"/>
        <w:rPr>
          <w:rFonts w:ascii="仿宋_GB2312" w:hAnsi="仿宋_GB2312" w:eastAsia="仿宋_GB2312" w:cs="仿宋_GB2312"/>
          <w:bCs/>
          <w:color w:val="auto"/>
          <w:sz w:val="24"/>
          <w:highlight w:val="none"/>
          <w:u w:val="single"/>
        </w:rPr>
      </w:pPr>
      <w:r>
        <w:rPr>
          <w:rFonts w:hint="eastAsia" w:ascii="仿宋_GB2312" w:hAnsi="仿宋_GB2312" w:eastAsia="仿宋_GB2312" w:cs="仿宋_GB2312"/>
          <w:b/>
          <w:color w:val="auto"/>
          <w:sz w:val="24"/>
          <w:highlight w:val="none"/>
        </w:rPr>
        <w:t>开标时间：</w:t>
      </w:r>
      <w:r>
        <w:rPr>
          <w:rFonts w:hint="eastAsia" w:ascii="仿宋_GB2312" w:hAnsi="仿宋_GB2312" w:eastAsia="仿宋_GB2312" w:cs="仿宋_GB2312"/>
          <w:color w:val="auto"/>
          <w:sz w:val="24"/>
          <w:highlight w:val="none"/>
          <w:u w:val="single"/>
        </w:rPr>
        <w:t>202</w:t>
      </w:r>
      <w:r>
        <w:rPr>
          <w:rFonts w:hint="eastAsia" w:ascii="仿宋_GB2312" w:hAnsi="仿宋_GB2312" w:eastAsia="仿宋_GB2312" w:cs="仿宋_GB2312"/>
          <w:color w:val="auto"/>
          <w:sz w:val="24"/>
          <w:highlight w:val="none"/>
          <w:u w:val="single"/>
          <w:lang w:val="en-US" w:eastAsia="zh-CN"/>
        </w:rPr>
        <w:t>5</w:t>
      </w:r>
      <w:r>
        <w:rPr>
          <w:rFonts w:hint="eastAsia" w:ascii="仿宋_GB2312" w:hAnsi="仿宋_GB2312" w:eastAsia="仿宋_GB2312" w:cs="仿宋_GB2312"/>
          <w:color w:val="auto"/>
          <w:sz w:val="24"/>
          <w:highlight w:val="none"/>
          <w:u w:val="single"/>
        </w:rPr>
        <w:t>年</w:t>
      </w:r>
      <w:r>
        <w:rPr>
          <w:rFonts w:hint="eastAsia" w:ascii="仿宋_GB2312" w:hAnsi="仿宋_GB2312" w:eastAsia="仿宋_GB2312" w:cs="仿宋_GB2312"/>
          <w:color w:val="auto"/>
          <w:sz w:val="24"/>
          <w:highlight w:val="none"/>
          <w:u w:val="single"/>
          <w:lang w:val="en-US" w:eastAsia="zh-CN"/>
        </w:rPr>
        <w:t>8</w:t>
      </w:r>
      <w:r>
        <w:rPr>
          <w:rFonts w:hint="eastAsia" w:ascii="仿宋_GB2312" w:hAnsi="仿宋_GB2312" w:eastAsia="仿宋_GB2312" w:cs="仿宋_GB2312"/>
          <w:color w:val="auto"/>
          <w:sz w:val="24"/>
          <w:highlight w:val="none"/>
          <w:u w:val="single"/>
        </w:rPr>
        <w:t>月</w:t>
      </w:r>
      <w:r>
        <w:rPr>
          <w:rFonts w:hint="eastAsia" w:ascii="仿宋_GB2312" w:hAnsi="仿宋_GB2312" w:eastAsia="仿宋_GB2312" w:cs="仿宋_GB2312"/>
          <w:color w:val="auto"/>
          <w:sz w:val="24"/>
          <w:highlight w:val="none"/>
          <w:u w:val="single"/>
          <w:lang w:val="en-US" w:eastAsia="zh-CN"/>
        </w:rPr>
        <w:t>1</w:t>
      </w:r>
      <w:r>
        <w:rPr>
          <w:rFonts w:hint="eastAsia" w:ascii="仿宋_GB2312" w:hAnsi="仿宋_GB2312" w:eastAsia="仿宋_GB2312" w:cs="仿宋_GB2312"/>
          <w:color w:val="auto"/>
          <w:sz w:val="24"/>
          <w:highlight w:val="none"/>
          <w:u w:val="single"/>
        </w:rPr>
        <w:t>日9点30分</w:t>
      </w:r>
      <w:r>
        <w:rPr>
          <w:rFonts w:hint="eastAsia" w:ascii="仿宋_GB2312" w:hAnsi="仿宋_GB2312" w:eastAsia="仿宋_GB2312" w:cs="仿宋_GB2312"/>
          <w:bCs/>
          <w:color w:val="auto"/>
          <w:sz w:val="24"/>
          <w:highlight w:val="none"/>
          <w:u w:val="single"/>
        </w:rPr>
        <w:t xml:space="preserve"> </w:t>
      </w:r>
    </w:p>
    <w:p>
      <w:pPr>
        <w:spacing w:line="360" w:lineRule="auto"/>
        <w:ind w:firstLine="482"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开标地点（网址）：</w:t>
      </w:r>
      <w:r>
        <w:rPr>
          <w:rFonts w:hint="eastAsia" w:ascii="仿宋_GB2312" w:hAnsi="仿宋_GB2312" w:eastAsia="仿宋_GB2312" w:cs="仿宋_GB2312"/>
          <w:bCs/>
          <w:color w:val="auto"/>
          <w:sz w:val="24"/>
          <w:highlight w:val="none"/>
        </w:rPr>
        <w:t>浙江省杭州市钱塘区下沙街道金沙大道600号东楼6楼</w:t>
      </w:r>
      <w:r>
        <w:rPr>
          <w:rFonts w:hint="eastAsia" w:ascii="仿宋_GB2312" w:hAnsi="仿宋_GB2312" w:eastAsia="仿宋_GB2312" w:cs="仿宋_GB2312"/>
          <w:bCs/>
          <w:color w:val="auto"/>
          <w:sz w:val="24"/>
          <w:highlight w:val="none"/>
          <w:lang w:val="en-US" w:eastAsia="zh-CN"/>
        </w:rPr>
        <w:t>3</w:t>
      </w:r>
      <w:r>
        <w:rPr>
          <w:rFonts w:hint="eastAsia" w:ascii="仿宋_GB2312" w:hAnsi="仿宋_GB2312" w:eastAsia="仿宋_GB2312" w:cs="仿宋_GB2312"/>
          <w:bCs/>
          <w:color w:val="auto"/>
          <w:sz w:val="24"/>
          <w:highlight w:val="none"/>
        </w:rPr>
        <w:t>号</w:t>
      </w:r>
      <w:r>
        <w:rPr>
          <w:rFonts w:hint="eastAsia" w:ascii="仿宋_GB2312" w:hAnsi="仿宋_GB2312" w:eastAsia="仿宋_GB2312" w:cs="仿宋_GB2312"/>
          <w:bCs/>
          <w:color w:val="auto"/>
          <w:sz w:val="24"/>
          <w:highlight w:val="none"/>
        </w:rPr>
        <w:t>开标室。</w:t>
      </w:r>
      <w:r>
        <w:rPr>
          <w:rFonts w:hint="eastAsia" w:ascii="仿宋_GB2312" w:hAnsi="仿宋_GB2312" w:eastAsia="仿宋_GB2312" w:cs="仿宋_GB2312"/>
          <w:color w:val="auto"/>
          <w:sz w:val="24"/>
          <w:highlight w:val="none"/>
        </w:rPr>
        <w:t>政采云平台（https://www.zcygov.cn/）。</w:t>
      </w:r>
    </w:p>
    <w:p>
      <w:pPr>
        <w:numPr>
          <w:ilvl w:val="0"/>
          <w:numId w:val="1"/>
        </w:numPr>
        <w:snapToGrid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采购意向公开链接</w:t>
      </w:r>
    </w:p>
    <w:p>
      <w:pPr>
        <w:spacing w:line="360" w:lineRule="auto"/>
        <w:ind w:firstLine="480" w:firstLineChars="200"/>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rPr>
        <w:t>https://zfcg.czt.zj.gov.cn/site/detail?parentId=600007&amp;articleId=epUVFMMu18CinV2zK%2B9YVw%3D%3D</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 xml:space="preserve">六、公告期限 </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自本公告发布之日起5个工作日。</w:t>
      </w: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七、其他补充事宜</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八、对本次采购提出询问、质疑、投诉，请按以下方式联系</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1.采购人信息</w:t>
      </w:r>
    </w:p>
    <w:p>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名    称：</w:t>
      </w:r>
      <w:r>
        <w:rPr>
          <w:rFonts w:hint="eastAsia" w:ascii="仿宋_GB2312" w:hAnsi="仿宋_GB2312" w:eastAsia="仿宋_GB2312" w:cs="仿宋_GB2312"/>
          <w:color w:val="auto"/>
          <w:sz w:val="24"/>
          <w:highlight w:val="none"/>
          <w:lang w:eastAsia="zh-CN"/>
        </w:rPr>
        <w:t>杭州市钱塘区人民政府白杨街道办事处</w:t>
      </w:r>
    </w:p>
    <w:p>
      <w:pPr>
        <w:spacing w:line="360" w:lineRule="auto"/>
        <w:ind w:firstLine="48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lang w:eastAsia="zh-CN"/>
        </w:rPr>
        <w:t>杭州市钱塘区</w:t>
      </w:r>
      <w:r>
        <w:rPr>
          <w:rFonts w:hint="eastAsia" w:ascii="仿宋_GB2312" w:hAnsi="仿宋_GB2312" w:eastAsia="仿宋_GB2312" w:cs="仿宋_GB2312"/>
          <w:color w:val="auto"/>
          <w:sz w:val="24"/>
          <w:highlight w:val="none"/>
          <w:lang w:val="en-US" w:eastAsia="zh-CN"/>
        </w:rPr>
        <w:t>4号大街386号</w:t>
      </w:r>
    </w:p>
    <w:p>
      <w:pPr>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项目联系人（询问）：蒋</w:t>
      </w:r>
      <w:r>
        <w:rPr>
          <w:rFonts w:hint="eastAsia" w:ascii="仿宋_GB2312" w:hAnsi="仿宋_GB2312" w:eastAsia="仿宋_GB2312" w:cs="仿宋_GB2312"/>
          <w:sz w:val="24"/>
          <w:lang w:eastAsia="zh-CN"/>
        </w:rPr>
        <w:t>先生</w:t>
      </w:r>
      <w:r>
        <w:rPr>
          <w:rFonts w:hint="eastAsia" w:ascii="仿宋_GB2312" w:hAnsi="仿宋_GB2312" w:eastAsia="仿宋_GB2312" w:cs="仿宋_GB2312"/>
          <w:sz w:val="24"/>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项目联系方式（询问）：0571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88313657</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质疑联系人：朱</w:t>
      </w:r>
      <w:r>
        <w:rPr>
          <w:rFonts w:hint="eastAsia" w:ascii="仿宋_GB2312" w:hAnsi="仿宋_GB2312" w:eastAsia="仿宋_GB2312" w:cs="仿宋_GB2312"/>
          <w:sz w:val="24"/>
          <w:lang w:eastAsia="zh-CN"/>
        </w:rPr>
        <w:t>先生</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质疑联系方式：0571</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88313657</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2.采购代理机构信息</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    称：杭州市公共资源交易中心钱塘分中心</w:t>
      </w:r>
    </w:p>
    <w:p>
      <w:pPr>
        <w:spacing w:line="360" w:lineRule="auto"/>
        <w:ind w:firstLine="48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址：杭州市钱塘区下沙街道金沙大道600号东楼</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项目联系人（询问）：</w:t>
      </w:r>
      <w:r>
        <w:rPr>
          <w:rFonts w:hint="eastAsia" w:ascii="仿宋_GB2312" w:hAnsi="仿宋_GB2312" w:eastAsia="仿宋_GB2312" w:cs="仿宋_GB2312"/>
          <w:color w:val="auto"/>
          <w:sz w:val="24"/>
          <w:highlight w:val="none"/>
          <w:lang w:eastAsia="zh-CN"/>
        </w:rPr>
        <w:t>赵工</w:t>
      </w:r>
    </w:p>
    <w:p>
      <w:pPr>
        <w:spacing w:line="360" w:lineRule="auto"/>
        <w:ind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项目联系方式（询问）：0571-82987995</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质疑联系人：熊工</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质疑联系方式：0571-82987976</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3.同级政府采购监督管理部门</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名 称：杭州市钱塘区财政局、浙江省政府采购行政裁决服务中心（杭州）</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址：杭州市上城区清泰街549号城建综合大楼11楼（快递仅限ems或顺丰）</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lang w:eastAsia="zh-CN"/>
        </w:rPr>
        <w:t>匡老师</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监督投诉电话：0571-87227986</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政策咨询电话：0571-89535530（任女士）</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若对项目采购电子交易系统操作有疑问，可登录政采云（https://www.zcygov.cn/），点击右侧咨询小采，获取采小蜜智能服务管家帮助，或拨打政采云服务热线</w:t>
      </w:r>
      <w:r>
        <w:rPr>
          <w:rFonts w:hint="eastAsia" w:ascii="仿宋_GB2312" w:hAnsi="仿宋_GB2312" w:eastAsia="仿宋_GB2312" w:cs="仿宋_GB2312"/>
          <w:color w:val="auto"/>
          <w:sz w:val="24"/>
          <w:highlight w:val="none"/>
          <w:lang w:val="en-US" w:eastAsia="zh-CN"/>
        </w:rPr>
        <w:t>95763</w:t>
      </w:r>
      <w:r>
        <w:rPr>
          <w:rFonts w:hint="eastAsia" w:ascii="仿宋_GB2312" w:hAnsi="仿宋_GB2312" w:eastAsia="仿宋_GB2312" w:cs="仿宋_GB2312"/>
          <w:color w:val="auto"/>
          <w:sz w:val="24"/>
          <w:highlight w:val="none"/>
        </w:rPr>
        <w:t>获取热线服务帮助。</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CA问题联系电话（人工）：汇信CA 400-888-4636；天谷CA 400-087-8198。</w:t>
      </w:r>
    </w:p>
    <w:p>
      <w:pPr>
        <w:pStyle w:val="35"/>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ascii="仿宋_GB2312" w:hAnsi="仿宋_GB2312" w:eastAsia="仿宋_GB2312" w:cs="仿宋_GB2312"/>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_GB2312" w:hAnsi="仿宋_GB2312" w:eastAsia="仿宋_GB2312" w:cs="仿宋_GB2312"/>
          <w:b/>
          <w:color w:val="auto"/>
          <w:sz w:val="36"/>
          <w:szCs w:val="20"/>
          <w:highlight w:val="none"/>
        </w:rPr>
        <w:t>第二部分</w:t>
      </w:r>
      <w:bookmarkEnd w:id="7"/>
      <w:r>
        <w:rPr>
          <w:rFonts w:hint="eastAsia" w:ascii="仿宋_GB2312" w:hAnsi="仿宋_GB2312" w:eastAsia="仿宋_GB2312" w:cs="仿宋_GB2312"/>
          <w:b/>
          <w:color w:val="auto"/>
          <w:sz w:val="36"/>
          <w:szCs w:val="20"/>
          <w:highlight w:val="none"/>
        </w:rPr>
        <w:t xml:space="preserve"> 投标人须知</w:t>
      </w:r>
      <w:bookmarkEnd w:id="8"/>
    </w:p>
    <w:p>
      <w:pPr>
        <w:snapToGrid w:val="0"/>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sz w:val="32"/>
          <w:szCs w:val="20"/>
          <w:highlight w:val="none"/>
        </w:rPr>
        <w:t>前附表</w:t>
      </w:r>
    </w:p>
    <w:tbl>
      <w:tblPr>
        <w:tblStyle w:val="64"/>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kern w:val="0"/>
                <w:sz w:val="24"/>
                <w:highlight w:val="none"/>
              </w:rPr>
              <w:t xml:space="preserve">服务类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（1）标的：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u w:val="single"/>
                <w:lang w:eastAsia="zh-CN"/>
              </w:rPr>
              <w:t>一体化养护</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，属于</w:t>
            </w:r>
            <w:r>
              <w:rPr>
                <w:rFonts w:hint="eastAsia" w:ascii="仿宋_GB2312" w:hAnsi="仿宋_GB2312" w:eastAsia="仿宋_GB2312" w:cs="仿宋_GB2312"/>
                <w:color w:val="auto"/>
                <w:kern w:val="0"/>
                <w:sz w:val="24"/>
                <w:highlight w:val="none"/>
                <w:u w:val="single"/>
              </w:rPr>
              <w:t>其他未列明行业</w:t>
            </w:r>
            <w:r>
              <w:rPr>
                <w:rFonts w:hint="eastAsia" w:ascii="仿宋_GB2312" w:hAnsi="仿宋_GB2312" w:eastAsia="仿宋_GB2312" w:cs="仿宋_GB2312"/>
                <w:color w:val="auto"/>
                <w:kern w:val="0"/>
                <w:sz w:val="24"/>
                <w:highlight w:val="none"/>
                <w:u w:val="single" w:color="FFFFFF" w:themeColor="background1"/>
              </w:rPr>
              <w:t xml:space="preserve"> </w:t>
            </w:r>
            <w:r>
              <w:rPr>
                <w:rFonts w:hint="eastAsia" w:ascii="仿宋_GB2312" w:hAnsi="仿宋_GB2312" w:eastAsia="仿宋_GB2312" w:cs="仿宋_GB2312"/>
                <w:color w:val="auto"/>
                <w:kern w:val="0"/>
                <w:sz w:val="24"/>
                <w:highlight w:val="none"/>
              </w:rPr>
              <w:t>。</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备注：《关于印发中小企业划型标准规定的通知》（工信部联企业〔2011〕300号）中关于其他未列明行业划型标准如下：</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本项目不允许采购进口产品。</w:t>
            </w:r>
          </w:p>
          <w:p>
            <w:pPr>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可以就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_GB2312" w:hAnsi="仿宋_GB2312" w:eastAsia="仿宋_GB2312" w:cs="仿宋_GB2312"/>
                <w:color w:val="auto"/>
                <w:kern w:val="0"/>
                <w:sz w:val="24"/>
                <w:highlight w:val="none"/>
              </w:rPr>
              <w:t>同意将非主体、非关键性的工作</w:t>
            </w:r>
            <w:r>
              <w:rPr>
                <w:rFonts w:hint="eastAsia" w:ascii="仿宋_GB2312" w:hAnsi="仿宋_GB2312" w:eastAsia="仿宋_GB2312" w:cs="仿宋_GB2312"/>
                <w:color w:val="auto"/>
                <w:sz w:val="24"/>
                <w:highlight w:val="none"/>
              </w:rPr>
              <w:t>向小微企业合理</w:t>
            </w:r>
            <w:r>
              <w:rPr>
                <w:rFonts w:hint="eastAsia" w:ascii="仿宋_GB2312" w:hAnsi="仿宋_GB2312" w:eastAsia="仿宋_GB2312" w:cs="仿宋_GB2312"/>
                <w:color w:val="auto"/>
                <w:kern w:val="0"/>
                <w:sz w:val="24"/>
                <w:highlight w:val="none"/>
              </w:rPr>
              <w:t>分包。</w:t>
            </w:r>
          </w:p>
          <w:p>
            <w:pPr>
              <w:spacing w:line="360" w:lineRule="auto"/>
              <w:rPr>
                <w:rFonts w:hint="eastAsia" w:ascii="仿宋_GB2312" w:hAnsi="仿宋_GB2312" w:eastAsia="仿宋_GB2312" w:cs="仿宋_GB2312"/>
                <w:color w:val="auto"/>
                <w:sz w:val="24"/>
                <w:highlight w:val="none"/>
              </w:rPr>
            </w:pPr>
            <w:sdt>
              <w:sdtPr>
                <w:rPr>
                  <w:rFonts w:hint="eastAsia" w:ascii="仿宋_GB2312" w:hAnsi="仿宋" w:eastAsia="仿宋_GB2312" w:cs="Arial"/>
                  <w:color w:val="auto"/>
                  <w:kern w:val="0"/>
                  <w:sz w:val="24"/>
                  <w:highlight w:val="yellow"/>
                </w:rPr>
                <w:id w:val="316235797"/>
              </w:sdtPr>
              <w:sdtEndPr>
                <w:rPr>
                  <w:rFonts w:hint="eastAsia" w:ascii="仿宋_GB2312" w:hAnsi="仿宋_GB2312" w:eastAsia="仿宋_GB2312" w:cs="仿宋_GB2312"/>
                  <w:color w:val="auto"/>
                  <w:kern w:val="0"/>
                  <w:sz w:val="24"/>
                  <w:highlight w:val="none"/>
                </w:rPr>
              </w:sdtEndPr>
              <w:sdtContent>
                <w:sdt>
                  <w:sdtPr>
                    <w:rPr>
                      <w:rFonts w:hint="eastAsia" w:ascii="仿宋" w:hAnsi="仿宋" w:eastAsia="仿宋" w:cs="仿宋"/>
                      <w:color w:val="auto"/>
                      <w:kern w:val="0"/>
                      <w:sz w:val="24"/>
                      <w:highlight w:val="yellow"/>
                    </w:rPr>
                    <w:id w:val="113067398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w:t>
                </w:r>
              </w:sdtContent>
            </w:sdt>
            <w:r>
              <w:rPr>
                <w:rFonts w:hint="eastAsia" w:ascii="仿宋_GB2312" w:hAnsi="仿宋_GB2312" w:eastAsia="仿宋_GB2312" w:cs="仿宋_GB2312"/>
                <w:color w:val="auto"/>
                <w:kern w:val="0"/>
                <w:sz w:val="24"/>
                <w:highlight w:val="none"/>
              </w:rPr>
              <w:t>B</w:t>
            </w:r>
            <w:r>
              <w:rPr>
                <w:rFonts w:hint="eastAsia" w:ascii="仿宋_GB2312" w:hAnsi="仿宋_GB2312" w:eastAsia="仿宋_GB2312" w:cs="仿宋_GB2312"/>
                <w:color w:val="auto"/>
                <w:sz w:val="24"/>
                <w:highlight w:val="none"/>
              </w:rPr>
              <w:t>不同意分包。</w:t>
            </w:r>
          </w:p>
          <w:p>
            <w:pPr>
              <w:spacing w:line="360" w:lineRule="auto"/>
              <w:rPr>
                <w:rFonts w:ascii="仿宋" w:hAnsi="仿宋" w:eastAsia="仿宋" w:cs="仿宋"/>
                <w:color w:val="auto"/>
                <w:sz w:val="24"/>
                <w:highlight w:val="none"/>
              </w:rPr>
            </w:pPr>
            <w:r>
              <w:rPr>
                <w:rFonts w:hint="eastAsia" w:ascii="仿宋_GB2312" w:hAnsi="仿宋_GB2312" w:eastAsia="仿宋_GB2312" w:cs="仿宋_GB2312"/>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pPr>
              <w:spacing w:line="360" w:lineRule="auto"/>
              <w:rPr>
                <w:rFonts w:hint="eastAsia" w:ascii="仿宋_GB2312" w:hAnsi="仿宋_GB2312" w:eastAsia="仿宋_GB2312" w:cs="仿宋_GB2312"/>
                <w:color w:val="auto"/>
                <w:sz w:val="24"/>
                <w:szCs w:val="20"/>
                <w:highlight w:val="none"/>
              </w:rPr>
            </w:pPr>
            <w:sdt>
              <w:sdtPr>
                <w:rPr>
                  <w:rFonts w:hint="eastAsia" w:ascii="仿宋" w:hAnsi="仿宋" w:eastAsia="仿宋" w:cs="仿宋"/>
                  <w:color w:val="auto"/>
                  <w:kern w:val="0"/>
                  <w:sz w:val="24"/>
                  <w:highlight w:val="none"/>
                </w:rPr>
                <w:id w:val="1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r>
              <w:rPr>
                <w:rFonts w:hint="eastAsia" w:ascii="仿宋_GB2312" w:hAnsi="仿宋_GB2312" w:eastAsia="仿宋_GB2312" w:cs="仿宋_GB2312"/>
                <w:color w:val="auto"/>
                <w:sz w:val="24"/>
                <w:highlight w:val="none"/>
              </w:rPr>
              <w:t>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，联系方式：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szCs w:val="20"/>
                <w:highlight w:val="none"/>
              </w:rPr>
              <w:t>。</w:t>
            </w:r>
          </w:p>
          <w:p>
            <w:pPr>
              <w:spacing w:line="360" w:lineRule="auto"/>
              <w:rPr>
                <w:rFonts w:ascii="仿宋" w:hAnsi="仿宋" w:eastAsia="仿宋" w:cs="仿宋"/>
                <w:color w:val="auto"/>
                <w:sz w:val="24"/>
                <w:szCs w:val="20"/>
                <w:highlight w:val="none"/>
              </w:rPr>
            </w:pPr>
            <w:r>
              <w:rPr>
                <w:rFonts w:hint="eastAsia" w:ascii="Times New Roman" w:hAnsi="Times New Roman" w:eastAsia="宋体" w:cs="Times New Roman"/>
                <w:color w:val="auto"/>
                <w:kern w:val="2"/>
                <w:sz w:val="24"/>
                <w:szCs w:val="32"/>
                <w:highlight w:val="none"/>
                <w:lang w:val="en-US" w:eastAsia="zh-CN" w:bidi="ar-SA"/>
              </w:rPr>
              <w:t>☐</w:t>
            </w:r>
            <w:r>
              <w:rPr>
                <w:rFonts w:hint="eastAsia" w:ascii="仿宋_GB2312" w:hAnsi="仿宋_GB2312" w:eastAsia="仿宋_GB2312" w:cs="仿宋_GB2312"/>
                <w:color w:val="auto"/>
                <w:kern w:val="2"/>
                <w:sz w:val="24"/>
                <w:szCs w:val="32"/>
                <w:highlight w:val="none"/>
                <w:lang w:val="en-US" w:eastAsia="zh-CN" w:bidi="ar-SA"/>
              </w:rPr>
              <w:t>C不统一组织，供应商在获取采购文件后，自行至项目现场考察。地点：</w:t>
            </w:r>
            <w:r>
              <w:rPr>
                <w:rFonts w:hint="eastAsia" w:ascii="仿宋_GB2312" w:hAnsi="仿宋_GB2312" w:eastAsia="仿宋_GB2312" w:cs="仿宋_GB2312"/>
                <w:color w:val="auto"/>
                <w:kern w:val="2"/>
                <w:sz w:val="24"/>
                <w:szCs w:val="32"/>
                <w:highlight w:val="none"/>
                <w:u w:val="single"/>
                <w:lang w:val="en-US" w:eastAsia="zh-CN" w:bidi="ar-SA"/>
              </w:rPr>
              <w:t xml:space="preserve">    </w:t>
            </w:r>
            <w:r>
              <w:rPr>
                <w:rFonts w:hint="eastAsia" w:ascii="仿宋_GB2312" w:hAnsi="仿宋_GB2312" w:eastAsia="仿宋_GB2312" w:cs="仿宋_GB2312"/>
                <w:color w:val="auto"/>
                <w:kern w:val="2"/>
                <w:sz w:val="24"/>
                <w:szCs w:val="32"/>
                <w:highlight w:val="none"/>
                <w:lang w:val="en-US" w:eastAsia="zh-CN" w:bidi="ar-SA"/>
              </w:rPr>
              <w:t>，联系人：</w:t>
            </w:r>
            <w:r>
              <w:rPr>
                <w:rFonts w:hint="eastAsia" w:ascii="仿宋_GB2312" w:hAnsi="仿宋_GB2312" w:eastAsia="仿宋_GB2312" w:cs="仿宋_GB2312"/>
                <w:color w:val="auto"/>
                <w:kern w:val="2"/>
                <w:sz w:val="24"/>
                <w:szCs w:val="32"/>
                <w:highlight w:val="none"/>
                <w:u w:val="single"/>
                <w:lang w:val="en-US" w:eastAsia="zh-CN" w:bidi="ar-SA"/>
              </w:rPr>
              <w:t xml:space="preserve">    </w:t>
            </w:r>
            <w:r>
              <w:rPr>
                <w:rFonts w:hint="eastAsia" w:ascii="仿宋_GB2312" w:hAnsi="仿宋_GB2312" w:eastAsia="仿宋_GB2312" w:cs="仿宋_GB2312"/>
                <w:color w:val="auto"/>
                <w:kern w:val="2"/>
                <w:sz w:val="24"/>
                <w:szCs w:val="32"/>
                <w:highlight w:val="none"/>
                <w:lang w:val="en-US" w:eastAsia="zh-CN" w:bidi="ar-SA"/>
              </w:rPr>
              <w:t>，联系方式：</w:t>
            </w:r>
            <w:r>
              <w:rPr>
                <w:rFonts w:hint="eastAsia" w:ascii="仿宋_GB2312" w:hAnsi="仿宋_GB2312" w:eastAsia="仿宋_GB2312" w:cs="仿宋_GB2312"/>
                <w:color w:val="auto"/>
                <w:kern w:val="2"/>
                <w:sz w:val="24"/>
                <w:szCs w:val="32"/>
                <w:highlight w:val="none"/>
                <w:u w:val="single"/>
                <w:lang w:val="en-US" w:eastAsia="zh-CN" w:bidi="ar-SA"/>
              </w:rPr>
              <w:t xml:space="preserve">    </w:t>
            </w:r>
            <w:r>
              <w:rPr>
                <w:rFonts w:hint="eastAsia" w:ascii="仿宋_GB2312" w:hAnsi="仿宋_GB2312" w:eastAsia="仿宋_GB2312" w:cs="仿宋_GB2312"/>
                <w:color w:val="auto"/>
                <w:kern w:val="2"/>
                <w:sz w:val="24"/>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sz w:val="24"/>
                <w:highlight w:val="none"/>
              </w:rPr>
            </w:pPr>
            <w:sdt>
              <w:sdtPr>
                <w:rPr>
                  <w:rFonts w:hint="eastAsia" w:ascii="仿宋" w:hAnsi="仿宋" w:eastAsia="仿宋" w:cs="仿宋"/>
                  <w:color w:val="auto"/>
                  <w:kern w:val="0"/>
                  <w:sz w:val="24"/>
                  <w:highlight w:val="none"/>
                </w:rPr>
                <w:id w:val="19"/>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不要求提供。</w:t>
            </w:r>
          </w:p>
          <w:p>
            <w:pPr>
              <w:spacing w:line="360" w:lineRule="auto"/>
              <w:rPr>
                <w:rFonts w:ascii="仿宋_GB2312" w:hAnsi="仿宋_GB2312" w:eastAsia="仿宋_GB2312" w:cs="仿宋_GB2312"/>
                <w:color w:val="auto"/>
                <w:sz w:val="24"/>
                <w:highlight w:val="none"/>
                <w:u w:val="singl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B要求提供（未提供样品或提供样品不满足采购需求实质性条件的供应商，投标无效）。</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（1）样品：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widowControl/>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snapToGrid w:val="0"/>
                <w:color w:val="auto"/>
                <w:kern w:val="28"/>
                <w:sz w:val="24"/>
                <w:highlight w:val="none"/>
              </w:rPr>
              <w:t>样品制作的标准和要求：</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（3）样品的评审方法以及评审标准：</w:t>
            </w:r>
          </w:p>
          <w:p>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1076013905"/>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样品分未超过价格分的50%；</w:t>
            </w:r>
          </w:p>
          <w:p>
            <w:pPr>
              <w:spacing w:line="360" w:lineRule="auto"/>
              <w:ind w:firstLine="240" w:firstLineChars="100"/>
              <w:rPr>
                <w:rFonts w:ascii="仿宋_GB2312" w:hAnsi="仿宋_GB2312" w:eastAsia="仿宋_GB2312" w:cs="仿宋_GB2312"/>
                <w:color w:val="auto"/>
                <w:sz w:val="24"/>
                <w:highlight w:val="none"/>
              </w:rPr>
            </w:pPr>
            <w:sdt>
              <w:sdtPr>
                <w:rPr>
                  <w:rFonts w:hint="eastAsia" w:ascii="仿宋" w:hAnsi="仿宋" w:eastAsia="仿宋" w:cs="仿宋"/>
                  <w:color w:val="auto"/>
                  <w:sz w:val="24"/>
                  <w:highlight w:val="none"/>
                </w:rPr>
                <w:id w:val="670453184"/>
                <w14:checkbox>
                  <w14:checked w14:val="0"/>
                  <w14:checkedState w14:val="00FE" w14:font="Wingdings"/>
                  <w14:uncheckedState w14:val="2610" w14:font="MS Gothic"/>
                </w14:checkbox>
              </w:sdtPr>
              <w:sdtEndPr>
                <w:rPr>
                  <w:rFonts w:hint="eastAsia" w:ascii="仿宋_GB2312" w:hAnsi="仿宋_GB2312" w:eastAsia="仿宋_GB2312" w:cs="仿宋_GB2312"/>
                  <w:color w:val="auto"/>
                  <w:sz w:val="24"/>
                  <w:highlight w:val="none"/>
                </w:rPr>
              </w:sdtEndPr>
              <w:sdtContent>
                <w:r>
                  <w:rPr>
                    <w:rFonts w:hint="eastAsia" w:ascii="MS Gothic" w:hAnsi="MS Gothic" w:eastAsia="仿宋" w:cs="仿宋"/>
                    <w:color w:val="auto"/>
                    <w:sz w:val="24"/>
                    <w:highlight w:val="none"/>
                  </w:rPr>
                  <w:t>☐</w:t>
                </w:r>
              </w:sdtContent>
            </w:sdt>
            <w:r>
              <w:rPr>
                <w:rFonts w:hint="eastAsia" w:ascii="仿宋_GB2312" w:hAnsi="仿宋_GB2312" w:eastAsia="仿宋_GB2312" w:cs="仿宋_GB2312"/>
                <w:color w:val="auto"/>
                <w:sz w:val="24"/>
                <w:highlight w:val="none"/>
              </w:rPr>
              <w:t>样品分超过价格分的50%，理由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360" w:lineRule="auto"/>
              <w:ind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详见招标文件第四部分评标办分法。 </w:t>
            </w:r>
          </w:p>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是，检测机构的要求</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；检测内容</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无  </w:t>
            </w:r>
            <w:r>
              <w:rPr>
                <w:rFonts w:hint="eastAsia" w:ascii="仿宋_GB2312" w:hAnsi="仿宋_GB2312" w:eastAsia="仿宋_GB2312" w:cs="仿宋_GB2312"/>
                <w:color w:val="auto"/>
                <w:kern w:val="0"/>
                <w:sz w:val="24"/>
                <w:highlight w:val="none"/>
              </w:rPr>
              <w:t>。</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（5）提供样品的时间：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；地点：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；联系人</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28"/>
                <w:sz w:val="24"/>
                <w:highlight w:val="none"/>
              </w:rPr>
              <w:t>联系电话：</w:t>
            </w:r>
            <w:r>
              <w:rPr>
                <w:rFonts w:hint="eastAsia" w:ascii="仿宋_GB2312" w:hAnsi="仿宋_GB2312" w:eastAsia="仿宋_GB2312" w:cs="仿宋_GB2312"/>
                <w:color w:val="auto"/>
                <w:kern w:val="28"/>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color w:val="auto"/>
                <w:sz w:val="24"/>
                <w:highlight w:val="none"/>
              </w:rPr>
            </w:pPr>
            <w:r>
              <w:rPr>
                <w:rFonts w:hint="eastAsia" w:ascii="仿宋_GB2312" w:hAnsi="仿宋_GB2312" w:eastAsia="仿宋_GB2312" w:cs="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
                <w:color w:val="auto"/>
                <w:sz w:val="24"/>
                <w:highlight w:val="none"/>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A</w:t>
            </w:r>
            <w:r>
              <w:rPr>
                <w:rFonts w:hint="eastAsia" w:ascii="仿宋_GB2312" w:hAnsi="仿宋_GB2312" w:eastAsia="仿宋_GB2312" w:cs="仿宋_GB2312"/>
                <w:color w:val="auto"/>
                <w:sz w:val="24"/>
                <w:highlight w:val="none"/>
              </w:rPr>
              <w:t>不组织。</w:t>
            </w:r>
          </w:p>
          <w:p>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B组织。</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（1）在评标时安排每个投标人进行方案讲解演示。每个投标人时间不超过30分钟，讲解次序以投标文件解密时间先后次序为准，讲解演示人员不超过3人。讲解演示结束后按要求解答评标委员会提问。</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（2）方案讲解演示：</w:t>
            </w:r>
          </w:p>
          <w:p>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54942156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_GB2312" w:eastAsia="仿宋_GB2312" w:cs="仿宋_GB2312"/>
                <w:color w:val="auto"/>
                <w:kern w:val="0"/>
                <w:sz w:val="24"/>
                <w:highlight w:val="none"/>
              </w:rPr>
            </w:pPr>
            <w:sdt>
              <w:sdtPr>
                <w:rPr>
                  <w:rFonts w:hint="eastAsia" w:ascii="仿宋" w:hAnsi="仿宋" w:eastAsia="仿宋" w:cs="仿宋"/>
                  <w:color w:val="auto"/>
                  <w:kern w:val="0"/>
                  <w:sz w:val="24"/>
                  <w:highlight w:val="none"/>
                </w:rPr>
                <w:id w:val="492224104"/>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MS Gothic" w:hAnsi="MS Gothic" w:eastAsia="仿宋" w:cs="仿宋"/>
                    <w:color w:val="auto"/>
                    <w:kern w:val="0"/>
                    <w:sz w:val="24"/>
                    <w:highlight w:val="none"/>
                  </w:rPr>
                  <w:t>☐</w:t>
                </w:r>
              </w:sdtContent>
            </w:sdt>
            <w:r>
              <w:rPr>
                <w:rFonts w:hint="eastAsia" w:ascii="仿宋_GB2312" w:hAnsi="仿宋_GB2312" w:eastAsia="仿宋_GB2312" w:cs="仿宋_GB2312"/>
                <w:color w:val="auto"/>
                <w:kern w:val="0"/>
                <w:sz w:val="24"/>
                <w:highlight w:val="none"/>
              </w:rPr>
              <w:t>方式二：交易中心现场讲解演示。现场讲解地点为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rPr>
              <w:t>，讲解演示所用电脑等设备由投标人自备。现场讲解演示人员进场时须提供在投标单位（或其分公司）参加社保的凭证、讲解人员名单（加盖公章或授权代表签名）及身份证明，否则不得讲解演示。</w:t>
            </w:r>
          </w:p>
          <w:p>
            <w:pPr>
              <w:snapToGrid w:val="0"/>
              <w:spacing w:line="360" w:lineRule="auto"/>
              <w:rPr>
                <w:rFonts w:ascii="仿宋" w:hAnsi="仿宋" w:eastAsia="仿宋" w:cs="仿宋"/>
                <w:b/>
                <w:color w:val="auto"/>
                <w:kern w:val="0"/>
                <w:sz w:val="24"/>
                <w:highlight w:val="none"/>
                <w:lang w:val="zh-CN"/>
              </w:rPr>
            </w:pPr>
            <w:r>
              <w:rPr>
                <w:rFonts w:hint="eastAsia" w:ascii="仿宋_GB2312" w:hAnsi="仿宋_GB2312" w:eastAsia="仿宋_GB2312" w:cs="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（1）资格证明文件：见招标文件第二部分11.1。</w:t>
            </w:r>
          </w:p>
          <w:p>
            <w:pPr>
              <w:spacing w:line="360" w:lineRule="auto"/>
              <w:rPr>
                <w:rFonts w:ascii="仿宋_GB2312" w:hAnsi="仿宋_GB2312" w:eastAsia="仿宋_GB2312" w:cs="仿宋_GB2312"/>
                <w:snapToGrid w:val="0"/>
                <w:color w:val="auto"/>
                <w:kern w:val="0"/>
                <w:szCs w:val="21"/>
                <w:highlight w:val="none"/>
              </w:rPr>
            </w:pPr>
            <w:r>
              <w:rPr>
                <w:rFonts w:hint="eastAsia" w:ascii="仿宋_GB2312" w:hAnsi="仿宋_GB2312" w:eastAsia="仿宋_GB2312" w:cs="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节能产品、环境标志产品政府优先采购或强制采购</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spacing w:line="360" w:lineRule="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pPr>
              <w:pStyle w:val="84"/>
              <w:pageBreakBefore w:val="0"/>
              <w:kinsoku/>
              <w:wordWrap/>
              <w:overflowPunct/>
              <w:topLinePunct w:val="0"/>
              <w:bidi w:val="0"/>
              <w:snapToGrid/>
              <w:spacing w:line="360" w:lineRule="auto"/>
              <w:jc w:val="both"/>
              <w:textAlignment w:val="auto"/>
              <w:rPr>
                <w:rFonts w:hint="eastAsia" w:ascii="仿宋_GB2312" w:hAnsi="仿宋_GB2312" w:eastAsia="仿宋_GB2312" w:cs="仿宋_GB2312"/>
                <w:color w:val="auto"/>
                <w:kern w:val="0"/>
                <w:sz w:val="24"/>
                <w:highlight w:val="none"/>
                <w:lang w:val="zh-CN"/>
              </w:rPr>
            </w:pPr>
            <w:sdt>
              <w:sdtPr>
                <w:rPr>
                  <w:rFonts w:hint="eastAsia" w:ascii="仿宋_GB2312" w:hAnsi="仿宋_GB2312" w:eastAsia="仿宋_GB2312" w:cs="仿宋_GB2312"/>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kern w:val="2"/>
                    <w:sz w:val="24"/>
                    <w:szCs w:val="24"/>
                    <w:highlight w:val="none"/>
                    <w:lang w:val="en-US" w:eastAsia="zh-CN" w:bidi="ar-SA"/>
                  </w:rPr>
                  <w:t>☐</w:t>
                </w:r>
              </w:sdtContent>
            </w:sdt>
            <w:r>
              <w:rPr>
                <w:rFonts w:hint="eastAsia" w:ascii="仿宋_GB2312" w:hAnsi="仿宋_GB2312" w:eastAsia="仿宋_GB2312" w:cs="仿宋_GB2312"/>
                <w:color w:val="auto"/>
                <w:kern w:val="2"/>
                <w:sz w:val="24"/>
                <w:szCs w:val="24"/>
                <w:highlight w:val="none"/>
                <w:lang w:val="en-US" w:eastAsia="zh-CN" w:bidi="ar-SA"/>
              </w:rPr>
              <w:t>强制采购。产品：</w:t>
            </w:r>
            <w:r>
              <w:rPr>
                <w:rFonts w:hint="eastAsia" w:ascii="仿宋_GB2312" w:hAnsi="仿宋_GB2312" w:eastAsia="仿宋_GB2312" w:cs="仿宋_GB2312"/>
                <w:color w:val="auto"/>
                <w:kern w:val="2"/>
                <w:sz w:val="24"/>
                <w:szCs w:val="24"/>
                <w:highlight w:val="none"/>
                <w:u w:val="single"/>
                <w:shd w:val="clear" w:color="FFFFFF"/>
                <w:lang w:val="en-US" w:eastAsia="zh-CN" w:bidi="ar-SA"/>
              </w:rPr>
              <w:t xml:space="preserve">        </w:t>
            </w:r>
            <w:r>
              <w:rPr>
                <w:rFonts w:hint="eastAsia" w:ascii="仿宋_GB2312" w:hAnsi="仿宋_GB2312" w:eastAsia="仿宋_GB2312" w:cs="仿宋_GB2312"/>
                <w:color w:val="auto"/>
                <w:kern w:val="2"/>
                <w:sz w:val="24"/>
                <w:szCs w:val="24"/>
                <w:highlight w:val="none"/>
                <w:u w:val="none"/>
                <w:shd w:val="clear" w:color="FFFFFF"/>
                <w:lang w:val="en-US" w:eastAsia="zh-CN" w:bidi="ar-SA"/>
              </w:rPr>
              <w:t>。</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对实施政府强制采购，</w:t>
            </w:r>
            <w:r>
              <w:rPr>
                <w:rFonts w:hint="eastAsia" w:ascii="仿宋_GB2312" w:hAnsi="仿宋_GB2312" w:eastAsia="仿宋_GB2312" w:cs="仿宋_GB2312"/>
                <w:b/>
                <w:bCs/>
                <w:color w:val="auto"/>
                <w:kern w:val="0"/>
                <w:sz w:val="24"/>
                <w:highlight w:val="none"/>
                <w:lang w:val="zh-CN"/>
              </w:rPr>
              <w:t>投标人</w:t>
            </w:r>
            <w:r>
              <w:rPr>
                <w:rFonts w:hint="eastAsia" w:ascii="仿宋_GB2312" w:hAnsi="仿宋_GB2312" w:eastAsia="仿宋_GB2312" w:cs="仿宋_GB2312"/>
                <w:b/>
                <w:bCs/>
                <w:color w:val="auto"/>
                <w:kern w:val="0"/>
                <w:sz w:val="24"/>
                <w:highlight w:val="none"/>
              </w:rPr>
              <w:t>就</w:t>
            </w:r>
            <w:r>
              <w:rPr>
                <w:rFonts w:hint="eastAsia" w:ascii="仿宋_GB2312" w:hAnsi="仿宋_GB2312" w:eastAsia="仿宋_GB2312" w:cs="仿宋_GB2312"/>
                <w:b/>
                <w:bCs/>
                <w:color w:val="auto"/>
                <w:kern w:val="0"/>
                <w:sz w:val="24"/>
                <w:highlight w:val="none"/>
                <w:lang w:val="zh-CN"/>
              </w:rPr>
              <w:t>相应的投标产品未</w:t>
            </w:r>
            <w:r>
              <w:rPr>
                <w:rFonts w:hint="eastAsia" w:ascii="仿宋_GB2312" w:hAnsi="仿宋_GB2312" w:eastAsia="仿宋_GB2312" w:cs="仿宋_GB2312"/>
                <w:b/>
                <w:bCs/>
                <w:color w:val="auto"/>
                <w:kern w:val="0"/>
                <w:sz w:val="24"/>
                <w:highlight w:val="none"/>
              </w:rPr>
              <w:t>提供</w:t>
            </w:r>
            <w:r>
              <w:rPr>
                <w:rFonts w:hint="eastAsia" w:ascii="仿宋_GB2312" w:hAnsi="仿宋_GB2312" w:eastAsia="仿宋_GB2312" w:cs="仿宋_GB2312"/>
                <w:b/>
                <w:bCs/>
                <w:color w:val="auto"/>
                <w:kern w:val="0"/>
                <w:sz w:val="24"/>
                <w:highlight w:val="none"/>
                <w:lang w:val="zh-CN"/>
              </w:rPr>
              <w:t>国家确定的认证机构出具的、处于有效期之内的节能产品认证证书的，投标无效</w:t>
            </w:r>
            <w:r>
              <w:rPr>
                <w:rFonts w:hint="eastAsia" w:ascii="仿宋_GB2312" w:hAnsi="仿宋_GB2312" w:eastAsia="仿宋_GB2312" w:cs="仿宋_GB2312"/>
                <w:color w:val="auto"/>
                <w:kern w:val="0"/>
                <w:sz w:val="24"/>
                <w:highlight w:val="none"/>
                <w:lang w:val="zh-CN"/>
              </w:rPr>
              <w:t>。</w:t>
            </w:r>
          </w:p>
          <w:p>
            <w:pPr>
              <w:pStyle w:val="84"/>
              <w:pageBreakBefore w:val="0"/>
              <w:kinsoku/>
              <w:wordWrap/>
              <w:overflowPunct/>
              <w:topLinePunct w:val="0"/>
              <w:bidi w:val="0"/>
              <w:snapToGrid/>
              <w:spacing w:line="360" w:lineRule="auto"/>
              <w:jc w:val="both"/>
              <w:textAlignment w:val="auto"/>
              <w:rPr>
                <w:rFonts w:hint="eastAsia" w:ascii="仿宋_GB2312" w:hAnsi="仿宋_GB2312" w:eastAsia="仿宋_GB2312" w:cs="仿宋_GB2312"/>
                <w:color w:val="auto"/>
                <w:kern w:val="2"/>
                <w:sz w:val="24"/>
                <w:szCs w:val="24"/>
                <w:highlight w:val="none"/>
                <w:u w:val="single"/>
                <w:shd w:val="clear" w:color="FFFFFF"/>
                <w:lang w:val="en-US" w:eastAsia="zh-CN" w:bidi="ar-SA"/>
              </w:rPr>
            </w:pPr>
            <w:r>
              <w:rPr>
                <w:rFonts w:hint="eastAsia" w:ascii="仿宋_GB2312" w:hAnsi="仿宋_GB2312" w:eastAsia="仿宋_GB2312" w:cs="仿宋_GB2312"/>
                <w:color w:val="auto"/>
                <w:kern w:val="2"/>
                <w:sz w:val="24"/>
                <w:szCs w:val="24"/>
                <w:highlight w:val="none"/>
                <w:lang w:val="en-US" w:eastAsia="zh-CN" w:bidi="ar-SA"/>
              </w:rPr>
              <w:t>□优先采购节能产品。产品：</w:t>
            </w:r>
            <w:r>
              <w:rPr>
                <w:rFonts w:hint="eastAsia" w:ascii="仿宋_GB2312" w:hAnsi="仿宋_GB2312" w:eastAsia="仿宋_GB2312" w:cs="仿宋_GB2312"/>
                <w:color w:val="auto"/>
                <w:kern w:val="2"/>
                <w:sz w:val="24"/>
                <w:szCs w:val="24"/>
                <w:highlight w:val="none"/>
                <w:u w:val="single"/>
                <w:shd w:val="clear" w:color="FFFFFF"/>
                <w:lang w:val="en-US" w:eastAsia="zh-CN" w:bidi="ar-SA"/>
              </w:rPr>
              <w:t xml:space="preserve">        </w:t>
            </w:r>
          </w:p>
          <w:p>
            <w:pPr>
              <w:pStyle w:val="84"/>
              <w:pageBreakBefore w:val="0"/>
              <w:kinsoku/>
              <w:wordWrap/>
              <w:overflowPunct/>
              <w:topLinePunct w:val="0"/>
              <w:bidi w:val="0"/>
              <w:snapToGrid/>
              <w:spacing w:line="360" w:lineRule="auto"/>
              <w:jc w:val="both"/>
              <w:textAlignment w:val="auto"/>
              <w:rPr>
                <w:rFonts w:hint="default" w:ascii="仿宋_GB2312" w:hAnsi="仿宋_GB2312" w:eastAsia="仿宋_GB2312" w:cs="仿宋_GB2312"/>
                <w:color w:val="auto"/>
                <w:kern w:val="2"/>
                <w:sz w:val="24"/>
                <w:szCs w:val="24"/>
                <w:highlight w:val="none"/>
                <w:u w:val="single"/>
                <w:shd w:val="clear" w:color="FFFFFF" w:fill="D9D9D9"/>
                <w:lang w:val="en-US" w:eastAsia="zh-CN" w:bidi="ar-SA"/>
              </w:rPr>
            </w:pPr>
            <w:r>
              <w:rPr>
                <w:rFonts w:hint="eastAsia" w:ascii="仿宋_GB2312" w:hAnsi="仿宋_GB2312" w:eastAsia="仿宋_GB2312" w:cs="仿宋_GB2312"/>
                <w:color w:val="auto"/>
                <w:kern w:val="2"/>
                <w:sz w:val="24"/>
                <w:szCs w:val="24"/>
                <w:highlight w:val="none"/>
                <w:lang w:val="en-US" w:eastAsia="zh-CN" w:bidi="ar-SA"/>
              </w:rPr>
              <w:t>□优先采购环保产品。产品：</w:t>
            </w:r>
            <w:r>
              <w:rPr>
                <w:rFonts w:hint="eastAsia" w:ascii="仿宋_GB2312" w:hAnsi="仿宋_GB2312" w:eastAsia="仿宋_GB2312" w:cs="仿宋_GB2312"/>
                <w:color w:val="auto"/>
                <w:kern w:val="2"/>
                <w:sz w:val="24"/>
                <w:szCs w:val="24"/>
                <w:highlight w:val="none"/>
                <w:u w:val="single"/>
                <w:shd w:val="clear" w:color="FFFFFF"/>
                <w:lang w:val="en-US" w:eastAsia="zh-CN" w:bidi="ar-SA"/>
              </w:rPr>
              <w:t xml:space="preserve">        </w:t>
            </w:r>
          </w:p>
          <w:p>
            <w:pPr>
              <w:snapToGrid w:val="0"/>
              <w:spacing w:line="360" w:lineRule="auto"/>
              <w:ind w:firstLine="480" w:firstLineChars="200"/>
              <w:rPr>
                <w:rFonts w:ascii="仿宋" w:hAnsi="仿宋" w:eastAsia="仿宋" w:cs="仿宋"/>
                <w:color w:val="auto"/>
                <w:sz w:val="24"/>
                <w:highlight w:val="none"/>
              </w:rPr>
            </w:pPr>
            <w:r>
              <w:rPr>
                <w:rFonts w:hint="eastAsia" w:ascii="仿宋_GB2312" w:hAnsi="仿宋_GB2312" w:eastAsia="仿宋_GB2312" w:cs="仿宋_GB2312"/>
                <w:color w:val="auto"/>
                <w:kern w:val="2"/>
                <w:sz w:val="24"/>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有关本项目实施所需的所有费用（含税费）均计入报价。投标文件开标一览表（报价表）</w:t>
            </w:r>
            <w:r>
              <w:rPr>
                <w:rFonts w:hint="eastAsia" w:ascii="仿宋_GB2312" w:hAnsi="仿宋_GB2312" w:eastAsia="仿宋_GB2312" w:cs="仿宋_GB2312"/>
                <w:color w:val="auto"/>
                <w:sz w:val="24"/>
                <w:highlight w:val="none"/>
              </w:rPr>
              <w:t>是报价的唯一载体，如投标人在政府采购云平台填写的投标报价与投标文件报价文件中开标一览表（报价表）不一致的，以报价文件中开标一览表（报价表）为准。</w:t>
            </w:r>
            <w:r>
              <w:rPr>
                <w:rFonts w:hint="eastAsia" w:ascii="仿宋_GB2312" w:hAnsi="仿宋_GB2312"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_GB2312" w:eastAsia="仿宋_GB2312" w:cs="仿宋_GB2312"/>
                <w:b/>
                <w:color w:val="auto"/>
                <w:kern w:val="0"/>
                <w:sz w:val="24"/>
                <w:highlight w:val="none"/>
                <w:lang w:val="zh-CN"/>
              </w:rPr>
              <w:t>提醒：验收时检测费用由</w:t>
            </w:r>
            <w:r>
              <w:rPr>
                <w:rFonts w:hint="eastAsia" w:ascii="仿宋_GB2312" w:hAnsi="仿宋_GB2312" w:eastAsia="仿宋_GB2312" w:cs="仿宋_GB2312"/>
                <w:b/>
                <w:color w:val="auto"/>
                <w:kern w:val="0"/>
                <w:sz w:val="24"/>
                <w:highlight w:val="none"/>
              </w:rPr>
              <w:t>采购人</w:t>
            </w:r>
            <w:r>
              <w:rPr>
                <w:rFonts w:hint="eastAsia" w:ascii="仿宋_GB2312" w:hAnsi="仿宋_GB2312" w:eastAsia="仿宋_GB2312" w:cs="仿宋_GB2312"/>
                <w:b/>
                <w:color w:val="auto"/>
                <w:kern w:val="0"/>
                <w:sz w:val="24"/>
                <w:highlight w:val="none"/>
                <w:lang w:val="zh-CN"/>
              </w:rPr>
              <w:t>承担，不包含在投标总价中。</w:t>
            </w:r>
          </w:p>
          <w:p>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投标报价超过招标文件中规定的预算金额或者最高限价的;</w:t>
            </w:r>
          </w:p>
          <w:p>
            <w:pPr>
              <w:spacing w:line="360" w:lineRule="auto"/>
              <w:ind w:firstLine="241" w:firstLineChars="1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_GB2312" w:hAnsi="仿宋_GB2312" w:eastAsia="仿宋_GB2312" w:cs="仿宋_GB2312"/>
                <w:b/>
                <w:color w:val="auto"/>
                <w:sz w:val="24"/>
                <w:szCs w:val="21"/>
                <w:highlight w:val="none"/>
              </w:rPr>
              <w:t>;</w:t>
            </w:r>
          </w:p>
          <w:p>
            <w:pPr>
              <w:spacing w:line="360" w:lineRule="auto"/>
              <w:ind w:firstLine="241"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rPr>
              <w:t>投标人对根据修正原则修正后的报价不确认的</w:t>
            </w:r>
            <w:r>
              <w:rPr>
                <w:rFonts w:hint="eastAsia" w:ascii="仿宋_GB2312" w:hAnsi="仿宋_GB2312" w:eastAsia="仿宋_GB2312" w:cs="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2"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仿宋_GB2312" w:hAnsi="仿宋_GB2312" w:eastAsia="仿宋_GB2312" w:cs="仿宋_GB2312"/>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pPr>
              <w:spacing w:line="360" w:lineRule="auto"/>
              <w:ind w:firstLine="420" w:firstLineChars="200"/>
              <w:rPr>
                <w:rFonts w:ascii="仿宋_GB2312" w:hAnsi="仿宋_GB2312" w:eastAsia="仿宋_GB2312" w:cs="仿宋_GB2312"/>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1777" w:type="dxa"/>
            <w:vMerge w:val="restart"/>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联合体投标的，联合体各方分别提供与联合体协议中规定的分工内容相应的业绩证明材料，业绩数量以提供材料较少的一方为准</w:t>
            </w:r>
            <w:r>
              <w:rPr>
                <w:rFonts w:hint="eastAsia" w:ascii="仿宋_GB2312" w:hAnsi="仿宋_GB2312" w:eastAsia="仿宋_GB2312" w:cs="仿宋_GB2312"/>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187950727"/>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_GB2312" w:hAnsi="仿宋_GB2312" w:eastAsia="仿宋_GB2312" w:cs="仿宋_GB2312"/>
                <w:snapToGrid w:val="0"/>
                <w:color w:val="auto"/>
                <w:kern w:val="28"/>
                <w:sz w:val="24"/>
                <w:highlight w:val="none"/>
              </w:rPr>
              <w:t>联合体投标的，联合体各方均需按招标文件第四部分评标标准要求提供资信证明文件，否则视为不符合相关要求</w:t>
            </w:r>
            <w:r>
              <w:rPr>
                <w:rFonts w:hint="eastAsia" w:ascii="仿宋" w:hAnsi="仿宋" w:eastAsia="仿宋" w:cs="仿宋"/>
                <w:snapToGrid w:val="0"/>
                <w:color w:val="auto"/>
                <w:kern w:val="28"/>
                <w:sz w:val="24"/>
                <w:highlight w:val="none"/>
              </w:rPr>
              <w:t>。</w:t>
            </w:r>
          </w:p>
          <w:p>
            <w:pPr>
              <w:spacing w:line="360" w:lineRule="auto"/>
              <w:rPr>
                <w:rFonts w:ascii="仿宋" w:hAnsi="仿宋" w:eastAsia="仿宋" w:cs="仿宋"/>
                <w:snapToGrid w:val="0"/>
                <w:color w:val="auto"/>
                <w:kern w:val="28"/>
                <w:sz w:val="24"/>
                <w:highlight w:val="none"/>
              </w:rPr>
            </w:pPr>
            <w:sdt>
              <w:sdtPr>
                <w:rPr>
                  <w:rFonts w:hint="eastAsia" w:ascii="仿宋" w:hAnsi="仿宋" w:eastAsia="仿宋" w:cs="仿宋"/>
                  <w:color w:val="auto"/>
                  <w:kern w:val="0"/>
                  <w:sz w:val="24"/>
                  <w:highlight w:val="none"/>
                </w:rPr>
                <w:id w:val="1504401428"/>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_GB2312" w:hAnsi="仿宋_GB2312" w:eastAsia="仿宋_GB2312" w:cs="仿宋_GB2312"/>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如联合体参与政府采购活动的，除联合体协议书外，由联合体牵头单位在投标文件中加盖相应章、签字即可；如联合体协议书另行约定的，按照联合体协议约定的执行。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2" w:hRule="atLeast"/>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p>
        </w:tc>
        <w:tc>
          <w:tcPr>
            <w:tcW w:w="1777" w:type="dxa"/>
            <w:vMerge w:val="continue"/>
            <w:tcBorders>
              <w:top w:val="single" w:color="000000" w:sz="8" w:space="0"/>
              <w:left w:val="single" w:color="auto" w:sz="4" w:space="0"/>
              <w:bottom w:val="single" w:color="000000" w:sz="8" w:space="0"/>
              <w:right w:val="single" w:color="000000" w:sz="8" w:space="0"/>
            </w:tcBorders>
            <w:vAlign w:val="center"/>
          </w:tcPr>
          <w:p>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 w:hRule="atLeast"/>
          <w:jc w:val="center"/>
        </w:trPr>
        <w:tc>
          <w:tcPr>
            <w:tcW w:w="629" w:type="dxa"/>
            <w:vMerge w:val="continue"/>
            <w:tcBorders>
              <w:left w:val="single" w:color="auto" w:sz="4" w:space="0"/>
              <w:bottom w:val="single" w:color="auto" w:sz="4" w:space="0"/>
              <w:right w:val="single" w:color="auto" w:sz="4" w:space="0"/>
            </w:tcBorders>
            <w:vAlign w:val="center"/>
          </w:tcPr>
          <w:p>
            <w:pPr>
              <w:spacing w:line="360" w:lineRule="auto"/>
              <w:rPr>
                <w:color w:val="auto"/>
                <w:highlight w:val="none"/>
              </w:rPr>
            </w:pPr>
          </w:p>
        </w:tc>
        <w:tc>
          <w:tcPr>
            <w:tcW w:w="1777" w:type="dxa"/>
            <w:vMerge w:val="continue"/>
            <w:tcBorders>
              <w:left w:val="single" w:color="auto" w:sz="4" w:space="0"/>
              <w:bottom w:val="single" w:color="000000" w:sz="8" w:space="0"/>
              <w:right w:val="single" w:color="000000" w:sz="8" w:space="0"/>
            </w:tcBorders>
            <w:vAlign w:val="center"/>
          </w:tcPr>
          <w:p>
            <w:pPr>
              <w:spacing w:line="360" w:lineRule="auto"/>
              <w:rPr>
                <w:color w:val="auto"/>
                <w:highlight w:val="none"/>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
              </w:rPr>
              <w:t>本项目评审报告推荐的中标候选人数量：</w:t>
            </w:r>
            <w:r>
              <w:rPr>
                <w:rFonts w:hint="eastAsia" w:ascii="仿宋_GB2312" w:hAnsi="仿宋_GB2312" w:eastAsia="仿宋_GB2312" w:cs="仿宋_GB2312"/>
                <w:color w:val="auto"/>
                <w:kern w:val="0"/>
                <w:sz w:val="24"/>
                <w:highlight w:val="none"/>
                <w:u w:val="single"/>
              </w:rPr>
              <w:t xml:space="preserve">   1名   </w:t>
            </w:r>
            <w:r>
              <w:rPr>
                <w:rFonts w:hint="eastAsia" w:ascii="仿宋_GB2312" w:hAnsi="仿宋_GB2312" w:eastAsia="仿宋_GB2312" w:cs="仿宋_GB2312"/>
                <w:color w:val="auto"/>
                <w:kern w:val="0"/>
                <w:sz w:val="24"/>
                <w:highlight w:val="none"/>
                <w:lang w:val="e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rPr>
              <w:t>代理费用收取方式及标准</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本项目不收取代理费。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钱塘区公共资源交易领域突出问题专项整治线索征集公告</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为维护公平竞争的市场环境，现开设公共资源交易领域违法线索征集渠道，线索反馈联系方式如下：</w:t>
            </w:r>
          </w:p>
          <w:p>
            <w:pPr>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钱塘区财政局：               ryp2001@</w:t>
            </w:r>
            <w:r>
              <w:rPr>
                <w:color w:val="auto"/>
                <w:highlight w:val="none"/>
              </w:rPr>
              <w:fldChar w:fldCharType="begin"/>
            </w:r>
            <w:r>
              <w:rPr>
                <w:color w:val="auto"/>
                <w:highlight w:val="none"/>
              </w:rPr>
              <w:instrText xml:space="preserve"> HYPERLINK "http://163.com/" \t "/tmp/22591/wps-root/x/_blank" </w:instrText>
            </w:r>
            <w:r>
              <w:rPr>
                <w:color w:val="auto"/>
                <w:highlight w:val="none"/>
              </w:rPr>
              <w:fldChar w:fldCharType="separate"/>
            </w:r>
            <w:r>
              <w:rPr>
                <w:rFonts w:hint="eastAsia" w:ascii="仿宋_GB2312" w:hAnsi="仿宋_GB2312" w:eastAsia="仿宋_GB2312" w:cs="仿宋_GB2312"/>
                <w:color w:val="auto"/>
                <w:kern w:val="0"/>
                <w:sz w:val="24"/>
                <w:highlight w:val="none"/>
              </w:rPr>
              <w:t>163.com</w:t>
            </w:r>
            <w:r>
              <w:rPr>
                <w:rFonts w:hint="eastAsia" w:ascii="仿宋_GB2312" w:hAnsi="仿宋_GB2312" w:eastAsia="仿宋_GB2312" w:cs="仿宋_GB2312"/>
                <w:color w:val="auto"/>
                <w:kern w:val="0"/>
                <w:sz w:val="24"/>
                <w:highlight w:val="none"/>
              </w:rPr>
              <w:fldChar w:fldCharType="end"/>
            </w:r>
            <w:r>
              <w:rPr>
                <w:rFonts w:hint="eastAsia" w:ascii="仿宋_GB2312" w:hAnsi="仿宋_GB2312" w:eastAsia="仿宋_GB2312" w:cs="仿宋_GB2312"/>
                <w:color w:val="auto"/>
                <w:kern w:val="0"/>
                <w:sz w:val="24"/>
                <w:highlight w:val="none"/>
              </w:rPr>
              <w:t xml:space="preserve"> </w:t>
            </w:r>
          </w:p>
        </w:tc>
      </w:tr>
      <w:bookmarkEnd w:id="9"/>
    </w:tbl>
    <w:p>
      <w:pPr>
        <w:snapToGrid w:val="0"/>
        <w:spacing w:line="360" w:lineRule="auto"/>
        <w:jc w:val="center"/>
        <w:rPr>
          <w:rFonts w:ascii="仿宋" w:hAnsi="仿宋" w:eastAsia="仿宋" w:cs="仿宋"/>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adjustRightInd/>
        <w:spacing w:line="360" w:lineRule="auto"/>
        <w:ind w:firstLine="3845" w:firstLineChars="1197"/>
        <w:outlineLvl w:val="0"/>
        <w:rPr>
          <w:rFonts w:ascii="仿宋_GB2312" w:hAnsi="仿宋_GB2312" w:eastAsia="仿宋_GB2312" w:cs="仿宋_GB2312"/>
          <w:b/>
          <w:color w:val="auto"/>
          <w:sz w:val="32"/>
          <w:szCs w:val="20"/>
          <w:highlight w:val="none"/>
        </w:rPr>
      </w:pPr>
      <w:bookmarkStart w:id="10" w:name="_Toc164416483"/>
      <w:bookmarkStart w:id="11" w:name="第三部分"/>
      <w:bookmarkStart w:id="12" w:name="第四部分"/>
      <w:r>
        <w:rPr>
          <w:rFonts w:hint="eastAsia" w:ascii="仿宋_GB2312" w:hAnsi="仿宋_GB2312" w:eastAsia="仿宋_GB2312" w:cs="仿宋_GB2312"/>
          <w:b/>
          <w:color w:val="auto"/>
          <w:sz w:val="32"/>
          <w:szCs w:val="20"/>
          <w:highlight w:val="none"/>
        </w:rPr>
        <w:t>一、总则</w:t>
      </w:r>
    </w:p>
    <w:p>
      <w:pPr>
        <w:snapToGrid w:val="0"/>
        <w:spacing w:line="360" w:lineRule="auto"/>
        <w:jc w:val="left"/>
        <w:outlineLvl w:val="1"/>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 适用范围</w:t>
      </w:r>
    </w:p>
    <w:p>
      <w:pPr>
        <w:snapToGrid w:val="0"/>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2.定义</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“采购人”系指招标公告中载明的本项目的采购人。</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“采购代理机构”系指招标公告中载明的本项目的采购代理机构。</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“投标人”系指是指响应招标、参加投标竞争的法人、其他组织或者自然人。</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 “▲” 系指实质性要求条款，“★”系产品采购项目中单一产品或核心产品，“</w:t>
      </w:r>
      <w:sdt>
        <w:sdtPr>
          <w:rPr>
            <w:rFonts w:hint="eastAsia" w:ascii="仿宋_GB2312" w:hAnsi="仿宋_GB2312" w:eastAsia="仿宋_GB2312" w:cs="仿宋_GB2312"/>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ascii="Wingdings" w:hAnsi="Wingdings"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系指适用本项目的要求，“</w:t>
      </w:r>
      <w:sdt>
        <w:sdtPr>
          <w:rPr>
            <w:rFonts w:hint="eastAsia" w:ascii="仿宋_GB2312" w:hAnsi="仿宋_GB2312" w:eastAsia="仿宋_GB2312" w:cs="仿宋_GB2312"/>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_GB2312" w:hAnsi="仿宋_GB2312" w:eastAsia="仿宋_GB2312" w:cs="仿宋_GB2312"/>
          <w:color w:val="auto"/>
          <w:sz w:val="24"/>
          <w:highlight w:val="none"/>
        </w:rPr>
        <w:t>” 系指不适用本项目的要求。</w:t>
      </w: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b/>
          <w:color w:val="auto"/>
          <w:sz w:val="24"/>
          <w:highlight w:val="none"/>
        </w:rPr>
        <w:t>采购项目需要落实的政府采购政策</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支持绿色发展</w:t>
      </w:r>
    </w:p>
    <w:p>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_GB2312" w:eastAsia="仿宋_GB2312" w:cs="仿宋_GB2312"/>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3.2.2修缮、装修类项目采购建材的，采购人应将绿色建筑和绿色建材性能、指标等作为实质性条件纳入招标文件和合同，具体性能指标要求参考相关绿色建材政府采购需求标准。</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3.3支持中小企业发展</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3.3.2</w:t>
      </w:r>
      <w:r>
        <w:rPr>
          <w:rFonts w:hint="eastAsia" w:ascii="仿宋_GB2312" w:hAnsi="仿宋_GB2312" w:eastAsia="仿宋_GB2312" w:cs="仿宋_GB2312"/>
          <w:color w:val="auto"/>
          <w:kern w:val="0"/>
          <w:sz w:val="24"/>
          <w:highlight w:val="none"/>
        </w:rPr>
        <w:t>在政府采购活动中，投标人提供的货物、工程或者服务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_GB2312" w:hAnsi="仿宋_GB2312" w:eastAsia="仿宋_GB2312" w:cs="仿宋_GB2312"/>
          <w:snapToGrid w:val="0"/>
          <w:color w:val="auto"/>
          <w:kern w:val="28"/>
          <w:sz w:val="24"/>
          <w:highlight w:val="none"/>
        </w:rPr>
        <w:t>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_GB2312" w:hAnsi="仿宋_GB2312" w:eastAsia="仿宋_GB2312" w:cs="仿宋_GB2312"/>
          <w:snapToGrid w:val="0"/>
          <w:color w:val="auto"/>
          <w:kern w:val="28"/>
          <w:sz w:val="24"/>
          <w:highlight w:val="none"/>
        </w:rPr>
        <w:t>招标文件第四部分</w:t>
      </w:r>
      <w:r>
        <w:rPr>
          <w:rFonts w:hint="eastAsia" w:ascii="仿宋_GB2312" w:hAnsi="仿宋_GB2312" w:eastAsia="仿宋_GB2312" w:cs="仿宋_GB2312"/>
          <w:color w:val="auto"/>
          <w:sz w:val="24"/>
          <w:highlight w:val="none"/>
          <w:u w:val="single"/>
        </w:rPr>
        <w:t>评标办分法明确具体的扣除比例，未明确的，</w:t>
      </w:r>
      <w:r>
        <w:rPr>
          <w:rFonts w:hint="eastAsia" w:ascii="仿宋_GB2312" w:hAnsi="仿宋_GB2312" w:eastAsia="仿宋_GB2312" w:cs="仿宋_GB2312"/>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w:t>
      </w:r>
      <w:r>
        <w:rPr>
          <w:rFonts w:hint="eastAsia" w:ascii="仿宋_GB2312" w:hAnsi="仿宋_GB2312" w:eastAsia="仿宋_GB2312" w:cs="仿宋_GB2312"/>
          <w:bCs/>
          <w:color w:val="auto"/>
          <w:sz w:val="24"/>
          <w:highlight w:val="none"/>
        </w:rPr>
        <w:t>支持创新发展</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3.4.1 首台套、“制造精品”、“专精特新”等创新产品按规定享受政府采购支持政策。</w:t>
      </w:r>
    </w:p>
    <w:p>
      <w:pPr>
        <w:pStyle w:val="3"/>
        <w:ind w:left="434" w:leftChars="202" w:hanging="10" w:hangingChars="4"/>
        <w:rPr>
          <w:rFonts w:hAnsi="仿宋_GB2312" w:cs="仿宋_GB2312"/>
          <w:b w:val="0"/>
          <w:bCs w:val="0"/>
          <w:color w:val="auto"/>
          <w:sz w:val="24"/>
          <w:szCs w:val="24"/>
          <w:highlight w:val="none"/>
          <w:lang w:val="en-US"/>
        </w:rPr>
      </w:pPr>
      <w:r>
        <w:rPr>
          <w:rFonts w:hint="eastAsia" w:ascii="仿宋_GB2312" w:hAnsi="仿宋_GB2312" w:eastAsia="仿宋_GB2312" w:cs="仿宋_GB2312"/>
          <w:color w:val="auto"/>
          <w:sz w:val="24"/>
          <w:highlight w:val="none"/>
        </w:rPr>
        <w:t>3.4.2</w:t>
      </w:r>
      <w:r>
        <w:rPr>
          <w:rFonts w:hint="eastAsia" w:hAnsi="仿宋_GB2312" w:cs="仿宋_GB2312"/>
          <w:b w:val="0"/>
          <w:bCs w:val="0"/>
          <w:color w:val="auto"/>
          <w:sz w:val="24"/>
          <w:szCs w:val="24"/>
          <w:highlight w:val="none"/>
          <w:lang w:val="en-US"/>
        </w:rPr>
        <w:t>采购人应当贯彻落实知识产权保护相关法律法规，应当采购使用正版软件。</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s://www.qiantang.gov.cn）“重要公告”-“政府采购专栏”，查看信用融资政策文件及各相关银行服务方案。</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3.6平等对待内外资企业和符合条件的破产重整企业</w:t>
      </w:r>
    </w:p>
    <w:p>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平等对待内外资企业和符合条件的破产重整企业，切实保障企业公平竞争，平等维护企业的合法利益。</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4. 询问、质疑、投诉、补偿救济</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4.1在线询问、质疑、投诉</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4.2供应商询问</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供应商质疑</w:t>
      </w:r>
    </w:p>
    <w:p>
      <w:pPr>
        <w:pStyle w:val="35"/>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_GB2312" w:hAnsi="仿宋_GB2312" w:eastAsia="仿宋_GB2312" w:cs="仿宋_GB2312"/>
          <w:snapToGrid/>
          <w:color w:val="auto"/>
          <w:kern w:val="2"/>
          <w:sz w:val="24"/>
          <w:highlight w:val="none"/>
        </w:rPr>
      </w:pPr>
      <w:r>
        <w:rPr>
          <w:rFonts w:hint="eastAsia" w:ascii="仿宋_GB2312" w:hAnsi="仿宋_GB2312" w:eastAsia="仿宋_GB2312" w:cs="仿宋_GB2312"/>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4.3.2.2对采购过程提出质疑的，质疑期限为各采购程序环节结束之日起计算。</w:t>
      </w:r>
    </w:p>
    <w:p>
      <w:pPr>
        <w:pStyle w:val="35"/>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4.3.2.3对采购结果提出质疑的，质疑期限自采购结果公告期限届满之日起计算。</w:t>
      </w:r>
    </w:p>
    <w:p>
      <w:pPr>
        <w:pStyle w:val="35"/>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w:t>
      </w:r>
      <w:r>
        <w:rPr>
          <w:rFonts w:hint="eastAsia" w:ascii="仿宋_GB2312" w:hAnsi="仿宋_GB2312" w:eastAsia="仿宋_GB2312" w:cs="仿宋_GB2312"/>
          <w:color w:val="auto"/>
          <w:sz w:val="24"/>
          <w:highlight w:val="none"/>
        </w:rPr>
        <w:t>供应商提出质疑应当提交质疑函和必要的证明材料。质疑函应当包括下列内容：</w:t>
      </w:r>
    </w:p>
    <w:p>
      <w:pPr>
        <w:pStyle w:val="35"/>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.3.1供应商的姓名或者名称、地址、邮编、联系人及联系电话；</w:t>
      </w:r>
    </w:p>
    <w:p>
      <w:pPr>
        <w:pStyle w:val="35"/>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.3.2质疑项目的名称、编号；</w:t>
      </w:r>
    </w:p>
    <w:p>
      <w:pPr>
        <w:pStyle w:val="35"/>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.3.3具体、明确的质疑事项和与质疑事项相关的请求；</w:t>
      </w:r>
    </w:p>
    <w:p>
      <w:pPr>
        <w:pStyle w:val="35"/>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.3.4事实依据；</w:t>
      </w:r>
    </w:p>
    <w:p>
      <w:pPr>
        <w:pStyle w:val="35"/>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.3.5必要的法律依据；</w:t>
      </w:r>
    </w:p>
    <w:p>
      <w:pPr>
        <w:pStyle w:val="35"/>
        <w:spacing w:line="360" w:lineRule="auto"/>
        <w:ind w:firstLine="960" w:firstLineChars="4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4.</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color w:val="auto"/>
          <w:kern w:val="0"/>
          <w:sz w:val="24"/>
          <w:highlight w:val="none"/>
          <w:lang w:val="zh-CN"/>
        </w:rPr>
        <w:t>.3.6提出质疑的日期。</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质疑函范本及制作说明详见附件2。</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4.3.4对同一采购程序环节的质疑，供应商须在法定质疑期内一次性提出。</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4.3.6询问或者质疑事项可能影响采购结果的，采购人应当暂停签订合同，已经签订合同的，应当中止履行合同。</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4.4供应商投诉</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4.4.2供应商投诉的事项不得超出已质疑事项的范围，基于质疑答复内容提出的投诉事项除外。</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4.4.3供应商投诉应当有明确的请求和必要的证明材料。</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4.4.4以联合体形式参加政府采购活动的，其投诉应当由组成联合体的所有供应商共同提出。</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4.4.5项目投诉材料可寄送浙江省政府采购行政裁决服务中心（杭州），地址：杭州市上城区清泰街549号城建综合大楼11楼，收件人：匡老师，电话：0571-87227986。</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4.5 补偿救济</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采购人因政策变化、规划调整而不履行政府采购合同的，供应商可依据《杭州市涉企补偿救济实施办法（试行）》向采购人提起补偿申请。</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投诉书范本及制作说明详见附件3。</w:t>
      </w:r>
    </w:p>
    <w:p>
      <w:pPr>
        <w:pStyle w:val="155"/>
        <w:snapToGrid w:val="0"/>
        <w:spacing w:before="0"/>
        <w:ind w:firstLine="480"/>
        <w:rPr>
          <w:rFonts w:ascii="仿宋_GB2312" w:hAnsi="仿宋_GB2312" w:eastAsia="仿宋_GB2312" w:cs="仿宋_GB2312"/>
          <w:color w:val="auto"/>
          <w:szCs w:val="24"/>
          <w:highlight w:val="none"/>
        </w:rPr>
      </w:pPr>
    </w:p>
    <w:p>
      <w:pPr>
        <w:adjustRightInd/>
        <w:spacing w:line="360" w:lineRule="auto"/>
        <w:jc w:val="center"/>
        <w:outlineLvl w:val="0"/>
        <w:rPr>
          <w:rFonts w:ascii="仿宋_GB2312" w:hAnsi="仿宋_GB2312" w:eastAsia="仿宋_GB2312" w:cs="仿宋_GB2312"/>
          <w:b/>
          <w:color w:val="auto"/>
          <w:sz w:val="32"/>
          <w:szCs w:val="20"/>
          <w:highlight w:val="none"/>
        </w:rPr>
      </w:pPr>
      <w:r>
        <w:rPr>
          <w:rFonts w:hint="eastAsia" w:ascii="仿宋_GB2312" w:hAnsi="仿宋_GB2312" w:eastAsia="仿宋_GB2312" w:cs="仿宋_GB2312"/>
          <w:b/>
          <w:color w:val="auto"/>
          <w:sz w:val="32"/>
          <w:szCs w:val="20"/>
          <w:highlight w:val="none"/>
        </w:rPr>
        <w:t xml:space="preserve">      二、招标文件的构成、澄清、修改</w:t>
      </w:r>
    </w:p>
    <w:p>
      <w:pPr>
        <w:pStyle w:val="35"/>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5．招标文件的构成</w:t>
      </w:r>
    </w:p>
    <w:p>
      <w:pPr>
        <w:pStyle w:val="35"/>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招标文件包括下列文件及附件：</w:t>
      </w:r>
    </w:p>
    <w:p>
      <w:pPr>
        <w:pStyle w:val="35"/>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5.1.1招标公告；</w:t>
      </w:r>
    </w:p>
    <w:p>
      <w:pPr>
        <w:pStyle w:val="35"/>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5.1.2投标人须知；</w:t>
      </w:r>
    </w:p>
    <w:p>
      <w:pPr>
        <w:pStyle w:val="35"/>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5.1.3采购需求；</w:t>
      </w:r>
    </w:p>
    <w:p>
      <w:pPr>
        <w:pStyle w:val="35"/>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5.1.4评标办法；</w:t>
      </w:r>
    </w:p>
    <w:p>
      <w:pPr>
        <w:pStyle w:val="35"/>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5.1.5拟签订的合同文本；</w:t>
      </w:r>
    </w:p>
    <w:p>
      <w:pPr>
        <w:pStyle w:val="35"/>
        <w:tabs>
          <w:tab w:val="left" w:pos="840"/>
        </w:tabs>
        <w:spacing w:line="360" w:lineRule="auto"/>
        <w:ind w:firstLine="960" w:firstLineChars="4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5.1.6</w:t>
      </w:r>
      <w:r>
        <w:rPr>
          <w:rFonts w:hint="eastAsia" w:ascii="仿宋_GB2312" w:hAnsi="仿宋_GB2312" w:eastAsia="仿宋_GB2312" w:cs="仿宋_GB2312"/>
          <w:color w:val="auto"/>
          <w:sz w:val="24"/>
          <w:szCs w:val="24"/>
          <w:highlight w:val="none"/>
        </w:rPr>
        <w:t>应提交的有关格式范例。</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5.2与本项目有关的</w:t>
      </w:r>
      <w:r>
        <w:rPr>
          <w:rFonts w:hint="eastAsia" w:ascii="仿宋_GB2312" w:hAnsi="仿宋_GB2312" w:eastAsia="仿宋_GB2312" w:cs="仿宋_GB2312"/>
          <w:bCs/>
          <w:color w:val="auto"/>
          <w:sz w:val="24"/>
          <w:highlight w:val="none"/>
        </w:rPr>
        <w:t>澄清或者修改的内容为招标文件的组成部分</w:t>
      </w:r>
      <w:r>
        <w:rPr>
          <w:rFonts w:hint="eastAsia" w:ascii="仿宋_GB2312" w:hAnsi="仿宋_GB2312" w:eastAsia="仿宋_GB2312" w:cs="仿宋_GB2312"/>
          <w:color w:val="auto"/>
          <w:sz w:val="24"/>
          <w:highlight w:val="none"/>
        </w:rPr>
        <w:t>。</w:t>
      </w:r>
    </w:p>
    <w:p>
      <w:pPr>
        <w:pStyle w:val="35"/>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 招标文件的澄清、修改</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6.1已获取招标文件的潜在投标人，若有问题需要澄清，应于投标截止时间前，以书面形式向采购代理机构提出。</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_GB2312" w:hAnsi="仿宋_GB2312" w:eastAsia="仿宋_GB2312" w:cs="仿宋_GB2312"/>
          <w:color w:val="auto"/>
          <w:sz w:val="18"/>
          <w:szCs w:val="18"/>
          <w:highlight w:val="none"/>
          <w:lang w:val="en-US"/>
        </w:rPr>
      </w:pPr>
      <w:r>
        <w:rPr>
          <w:rFonts w:hint="eastAsia" w:ascii="仿宋_GB2312" w:hAnsi="仿宋_GB2312" w:eastAsia="仿宋_GB2312" w:cs="仿宋_GB2312"/>
          <w:color w:val="auto"/>
          <w:szCs w:val="24"/>
          <w:highlight w:val="none"/>
          <w:lang w:val="en-US"/>
        </w:rPr>
        <w:t xml:space="preserve">    </w:t>
      </w:r>
    </w:p>
    <w:p>
      <w:pPr>
        <w:adjustRightInd/>
        <w:spacing w:line="360" w:lineRule="auto"/>
        <w:jc w:val="center"/>
        <w:outlineLvl w:val="0"/>
        <w:rPr>
          <w:rFonts w:ascii="仿宋_GB2312" w:hAnsi="仿宋_GB2312" w:eastAsia="仿宋_GB2312" w:cs="仿宋_GB2312"/>
          <w:b/>
          <w:color w:val="auto"/>
          <w:sz w:val="30"/>
          <w:szCs w:val="20"/>
          <w:highlight w:val="none"/>
        </w:rPr>
      </w:pPr>
      <w:r>
        <w:rPr>
          <w:rFonts w:hint="eastAsia" w:ascii="仿宋_GB2312" w:hAnsi="仿宋_GB2312" w:eastAsia="仿宋_GB2312" w:cs="仿宋_GB2312"/>
          <w:b/>
          <w:color w:val="auto"/>
          <w:sz w:val="30"/>
          <w:szCs w:val="20"/>
          <w:highlight w:val="none"/>
        </w:rPr>
        <w:t>三、投标</w:t>
      </w:r>
    </w:p>
    <w:p>
      <w:pPr>
        <w:pStyle w:val="35"/>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 招标文件的获取</w:t>
      </w:r>
    </w:p>
    <w:p>
      <w:pPr>
        <w:spacing w:line="360" w:lineRule="auto"/>
        <w:ind w:firstLine="480" w:firstLineChars="200"/>
        <w:rPr>
          <w:rFonts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详见招标公告中获取招标文件的时间期限、地点、方式及招标文件售价。</w:t>
      </w:r>
    </w:p>
    <w:p>
      <w:pPr>
        <w:pStyle w:val="35"/>
        <w:numPr>
          <w:ilvl w:val="0"/>
          <w:numId w:val="2"/>
        </w:numPr>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开标前答疑会或现场考察</w:t>
      </w:r>
    </w:p>
    <w:p>
      <w:pPr>
        <w:pStyle w:val="35"/>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kern w:val="28"/>
          <w:sz w:val="24"/>
          <w:szCs w:val="24"/>
          <w:highlight w:val="none"/>
        </w:rPr>
        <w:t>9.投标保证金</w:t>
      </w:r>
    </w:p>
    <w:p>
      <w:pPr>
        <w:pStyle w:val="15"/>
        <w:spacing w:line="360" w:lineRule="auto"/>
        <w:ind w:firstLine="470" w:firstLineChars="196"/>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本项目不需缴纳投标保证金。</w:t>
      </w:r>
    </w:p>
    <w:p>
      <w:pPr>
        <w:pStyle w:val="35"/>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 投标文件的语言</w:t>
      </w:r>
    </w:p>
    <w:p>
      <w:pPr>
        <w:autoSpaceDE w:val="0"/>
        <w:autoSpaceDN w:val="0"/>
        <w:spacing w:line="360" w:lineRule="auto"/>
        <w:ind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投标文件及投标人与采购有关的来往通知、函件和文件均应使用中文。</w:t>
      </w:r>
    </w:p>
    <w:p>
      <w:pPr>
        <w:pStyle w:val="35"/>
        <w:spacing w:line="360" w:lineRule="auto"/>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 投标文件的组成</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w:t>
      </w:r>
      <w:r>
        <w:rPr>
          <w:rFonts w:hint="eastAsia" w:ascii="仿宋_GB2312" w:hAnsi="仿宋_GB2312" w:eastAsia="仿宋_GB2312" w:cs="仿宋_GB2312"/>
          <w:b/>
          <w:color w:val="auto"/>
          <w:sz w:val="24"/>
          <w:highlight w:val="none"/>
        </w:rPr>
        <w:t>资格文件</w:t>
      </w:r>
      <w:r>
        <w:rPr>
          <w:rFonts w:hint="eastAsia" w:ascii="仿宋_GB2312" w:hAnsi="仿宋_GB2312" w:eastAsia="仿宋_GB2312" w:cs="仿宋_GB2312"/>
          <w:color w:val="auto"/>
          <w:sz w:val="24"/>
          <w:highlight w:val="none"/>
        </w:rPr>
        <w:t>：</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11.1.2联合协议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11.1.3落实政府采购政策需满足的资格要求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11.1.4本项目的特定资格要求</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b/>
          <w:bCs/>
          <w:color w:val="auto"/>
          <w:sz w:val="24"/>
          <w:highlight w:val="none"/>
        </w:rPr>
        <w:t>商务技术</w:t>
      </w:r>
      <w:r>
        <w:rPr>
          <w:rFonts w:hint="eastAsia" w:ascii="仿宋_GB2312" w:hAnsi="仿宋_GB2312" w:eastAsia="仿宋_GB2312" w:cs="仿宋_GB2312"/>
          <w:b/>
          <w:bCs/>
          <w:color w:val="auto"/>
          <w:sz w:val="24"/>
          <w:highlight w:val="none"/>
          <w:lang w:val="zh-CN"/>
        </w:rPr>
        <w:t>文件：</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11.2.1投标函；</w:t>
      </w:r>
      <w:r>
        <w:rPr>
          <w:rFonts w:hint="eastAsia" w:ascii="仿宋_GB2312" w:hAnsi="仿宋_GB2312" w:eastAsia="仿宋_GB2312" w:cs="仿宋_GB2312"/>
          <w:color w:val="auto"/>
          <w:sz w:val="24"/>
          <w:highlight w:val="none"/>
          <w:lang w:val="zh-CN"/>
        </w:rPr>
        <w:t xml:space="preserve"> </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11.2.3分包意向协议</w:t>
      </w:r>
      <w:r>
        <w:rPr>
          <w:rFonts w:hint="eastAsia" w:ascii="仿宋_GB2312" w:hAnsi="仿宋_GB2312" w:eastAsia="仿宋_GB2312" w:cs="仿宋_GB2312"/>
          <w:bCs/>
          <w:color w:val="auto"/>
          <w:sz w:val="24"/>
          <w:highlight w:val="none"/>
        </w:rPr>
        <w:t>（如果有）</w:t>
      </w:r>
      <w:r>
        <w:rPr>
          <w:rFonts w:hint="eastAsia" w:ascii="仿宋_GB2312" w:hAnsi="仿宋_GB2312" w:eastAsia="仿宋_GB2312" w:cs="仿宋_GB2312"/>
          <w:color w:val="auto"/>
          <w:sz w:val="24"/>
          <w:highlight w:val="none"/>
        </w:rPr>
        <w:t>；</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11.2.4符合性审查资料；</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11.2.5评标标准相应的商务技术资料；</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11.2.6投标标的清单；</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11.2.7商务技术偏离表；</w:t>
      </w:r>
    </w:p>
    <w:p>
      <w:pPr>
        <w:snapToGrid w:val="0"/>
        <w:spacing w:line="360" w:lineRule="auto"/>
        <w:ind w:firstLine="960" w:firstLineChars="4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11.</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_GB2312" w:eastAsia="仿宋_GB2312" w:cs="仿宋_GB2312"/>
          <w:color w:val="auto"/>
          <w:sz w:val="24"/>
          <w:highlight w:val="none"/>
          <w:u w:val="single"/>
          <w:lang w:val="zh-CN"/>
        </w:rPr>
      </w:pPr>
      <w:r>
        <w:rPr>
          <w:rFonts w:hint="eastAsia" w:ascii="仿宋_GB2312" w:hAnsi="仿宋_GB2312" w:eastAsia="仿宋_GB2312" w:cs="仿宋_GB2312"/>
          <w:color w:val="auto"/>
          <w:kern w:val="0"/>
          <w:sz w:val="24"/>
          <w:highlight w:val="none"/>
          <w:lang w:val="zh-CN"/>
        </w:rPr>
        <w:t>11.</w:t>
      </w: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
          <w:color w:val="auto"/>
          <w:sz w:val="24"/>
          <w:highlight w:val="none"/>
        </w:rPr>
        <w:t>报价文件：</w:t>
      </w:r>
      <w:r>
        <w:rPr>
          <w:rFonts w:hint="eastAsia" w:ascii="仿宋_GB2312" w:hAnsi="仿宋_GB2312" w:eastAsia="仿宋_GB2312" w:cs="仿宋_GB2312"/>
          <w:color w:val="auto"/>
          <w:sz w:val="24"/>
          <w:highlight w:val="none"/>
        </w:rPr>
        <w:t xml:space="preserve"> </w:t>
      </w:r>
    </w:p>
    <w:p>
      <w:pPr>
        <w:snapToGrid w:val="0"/>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11.3.1开标一览表（报价表）；</w:t>
      </w:r>
    </w:p>
    <w:p>
      <w:pPr>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11.3.2 报价情况说明（如供应商报价低于项目预算50%的，应当提交本文档，详细阐述不影响产品质量或者诚信履约的具体原因）；</w:t>
      </w:r>
    </w:p>
    <w:p>
      <w:pPr>
        <w:spacing w:line="360" w:lineRule="auto"/>
        <w:ind w:firstLine="960" w:firstLineChars="4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11.3.3中小企业声明函。</w:t>
      </w:r>
    </w:p>
    <w:p>
      <w:pPr>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投标文件含有采购人不能接受的附加条件的，投标无效；</w:t>
      </w:r>
    </w:p>
    <w:p>
      <w:pPr>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投标人提供虚假材料投标的，投标无效。</w:t>
      </w:r>
    </w:p>
    <w:p>
      <w:pPr>
        <w:spacing w:line="360" w:lineRule="auto"/>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投标人应对投标文件中材料的真实性、合法性负责。投标人可事先在公开官网查询、核对相关证书和报告内容，确保投标（响应）文件资料准确无误。</w:t>
      </w:r>
    </w:p>
    <w:p>
      <w:pPr>
        <w:pStyle w:val="155"/>
        <w:snapToGrid w:val="0"/>
        <w:spacing w:before="0"/>
        <w:ind w:firstLine="0" w:firstLineChars="0"/>
        <w:outlineLvl w:val="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12</w:t>
      </w:r>
      <w:r>
        <w:rPr>
          <w:rFonts w:hint="eastAsia" w:ascii="仿宋_GB2312" w:hAnsi="仿宋_GB2312" w:eastAsia="仿宋_GB2312" w:cs="仿宋_GB2312"/>
          <w:b/>
          <w:color w:val="auto"/>
          <w:kern w:val="0"/>
          <w:szCs w:val="24"/>
          <w:highlight w:val="none"/>
          <w:lang w:val="zh-CN"/>
        </w:rPr>
        <w:t xml:space="preserve">. </w:t>
      </w:r>
      <w:r>
        <w:rPr>
          <w:rFonts w:hint="eastAsia" w:ascii="仿宋_GB2312" w:hAnsi="仿宋_GB2312" w:eastAsia="仿宋_GB2312" w:cs="仿宋_GB2312"/>
          <w:b/>
          <w:color w:val="auto"/>
          <w:szCs w:val="24"/>
          <w:highlight w:val="none"/>
        </w:rPr>
        <w:t>投标文件的编制</w:t>
      </w:r>
    </w:p>
    <w:p>
      <w:pPr>
        <w:spacing w:line="360" w:lineRule="auto"/>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rPr>
        <w:t xml:space="preserve">13. </w:t>
      </w:r>
      <w:r>
        <w:rPr>
          <w:rFonts w:hint="eastAsia" w:ascii="仿宋_GB2312" w:hAnsi="仿宋_GB2312" w:eastAsia="仿宋_GB2312" w:cs="仿宋_GB2312"/>
          <w:b/>
          <w:bCs/>
          <w:color w:val="auto"/>
          <w:sz w:val="24"/>
          <w:highlight w:val="none"/>
        </w:rPr>
        <w:t>投标文件的签署、盖章</w:t>
      </w:r>
    </w:p>
    <w:p>
      <w:pPr>
        <w:pStyle w:val="155"/>
        <w:snapToGrid w:val="0"/>
        <w:spacing w:before="0"/>
        <w:ind w:firstLine="480"/>
        <w:rPr>
          <w:rFonts w:ascii="仿宋_GB2312" w:hAnsi="仿宋_GB2312" w:eastAsia="仿宋_GB2312" w:cs="仿宋_GB2312"/>
          <w:b/>
          <w:color w:val="auto"/>
          <w:highlight w:val="none"/>
        </w:rPr>
      </w:pPr>
      <w:r>
        <w:rPr>
          <w:rFonts w:hint="eastAsia" w:ascii="仿宋_GB2312" w:hAnsi="仿宋_GB2312" w:eastAsia="仿宋_GB2312" w:cs="仿宋_GB2312"/>
          <w:color w:val="auto"/>
          <w:szCs w:val="24"/>
          <w:highlight w:val="none"/>
        </w:rPr>
        <w:t>13.1投标文件按照招标文件第六部分格式要</w:t>
      </w:r>
      <w:r>
        <w:rPr>
          <w:rFonts w:hint="eastAsia" w:ascii="仿宋_GB2312" w:hAnsi="仿宋_GB2312" w:eastAsia="仿宋_GB2312" w:cs="仿宋_GB2312"/>
          <w:color w:val="auto"/>
          <w:highlight w:val="none"/>
        </w:rPr>
        <w:t>求进行签署、盖章。</w:t>
      </w:r>
      <w:r>
        <w:rPr>
          <w:rFonts w:hint="eastAsia" w:ascii="仿宋_GB2312" w:hAnsi="仿宋_GB2312" w:eastAsia="仿宋_GB2312" w:cs="仿宋_GB2312"/>
          <w:b/>
          <w:color w:val="auto"/>
          <w:highlight w:val="none"/>
        </w:rPr>
        <w:t>▲投标人的投标文件未按照招标文件要求签署、盖章的，其投标无效</w:t>
      </w:r>
      <w:r>
        <w:rPr>
          <w:rFonts w:hint="eastAsia" w:ascii="仿宋_GB2312" w:hAnsi="仿宋_GB2312" w:eastAsia="仿宋_GB2312" w:cs="仿宋_GB2312"/>
          <w:color w:val="auto"/>
          <w:szCs w:val="24"/>
          <w:highlight w:val="none"/>
        </w:rPr>
        <w:t>。</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55"/>
        <w:snapToGrid w:val="0"/>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highlight w:val="none"/>
        </w:rPr>
        <w:t>13.3招标文件对投标文件签署、盖章的要求适用于电子签名。</w:t>
      </w:r>
    </w:p>
    <w:p>
      <w:pPr>
        <w:pStyle w:val="155"/>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14. 投标文件的提交、补充、修改、撤回</w:t>
      </w:r>
    </w:p>
    <w:p>
      <w:pPr>
        <w:pStyle w:val="155"/>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55"/>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55"/>
        <w:spacing w:before="0"/>
        <w:ind w:firstLine="480"/>
        <w:rPr>
          <w:rFonts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155"/>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15. 投标文件的无效处理</w:t>
      </w:r>
    </w:p>
    <w:p>
      <w:pPr>
        <w:pStyle w:val="27"/>
        <w:spacing w:line="360" w:lineRule="auto"/>
        <w:ind w:firstLine="360" w:firstLineChars="150"/>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有招标文件第四部分</w:t>
      </w:r>
      <w:r>
        <w:rPr>
          <w:rFonts w:hint="eastAsia" w:ascii="仿宋_GB2312" w:hAnsi="仿宋_GB2312" w:eastAsia="仿宋_GB2312" w:cs="仿宋_GB2312"/>
          <w:color w:val="auto"/>
          <w:highlight w:val="none"/>
        </w:rPr>
        <w:t>第4.2条规定</w:t>
      </w:r>
      <w:r>
        <w:rPr>
          <w:rFonts w:hint="eastAsia" w:ascii="仿宋_GB2312" w:hAnsi="仿宋_GB2312" w:eastAsia="仿宋_GB2312" w:cs="仿宋_GB2312"/>
          <w:color w:val="auto"/>
          <w:szCs w:val="21"/>
          <w:highlight w:val="none"/>
        </w:rPr>
        <w:t>的情形之一的，投标无效：</w:t>
      </w:r>
    </w:p>
    <w:p>
      <w:pPr>
        <w:pStyle w:val="155"/>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16. 投标有效期</w:t>
      </w:r>
    </w:p>
    <w:p>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color w:val="auto"/>
          <w:sz w:val="24"/>
          <w:szCs w:val="20"/>
          <w:highlight w:val="none"/>
        </w:rPr>
        <w:t>16.1投标有效期为从提交投标文件的截止之日起90天。▲</w:t>
      </w:r>
      <w:r>
        <w:rPr>
          <w:rFonts w:hint="eastAsia" w:ascii="仿宋_GB2312" w:hAnsi="仿宋_GB2312" w:eastAsia="仿宋_GB2312" w:cs="仿宋_GB2312"/>
          <w:b/>
          <w:color w:val="auto"/>
          <w:sz w:val="24"/>
          <w:szCs w:val="20"/>
          <w:highlight w:val="none"/>
        </w:rPr>
        <w:t>投标人的投标文件中承</w:t>
      </w:r>
      <w:r>
        <w:rPr>
          <w:rFonts w:hint="eastAsia" w:ascii="仿宋_GB2312" w:hAnsi="仿宋_GB2312" w:eastAsia="仿宋_GB2312" w:cs="仿宋_GB2312"/>
          <w:b/>
          <w:color w:val="auto"/>
          <w:sz w:val="24"/>
          <w:szCs w:val="21"/>
          <w:highlight w:val="none"/>
        </w:rPr>
        <w:t>诺的投标有效期少于招标文件中载明的投标有效期的，投标无效。</w:t>
      </w:r>
    </w:p>
    <w:p>
      <w:pPr>
        <w:spacing w:line="360" w:lineRule="auto"/>
        <w:ind w:firstLine="480" w:firstLineChars="200"/>
        <w:rPr>
          <w:rFonts w:ascii="仿宋_GB2312" w:hAnsi="仿宋_GB2312" w:eastAsia="仿宋_GB2312" w:cs="仿宋_GB2312"/>
          <w:bCs/>
          <w:color w:val="auto"/>
          <w:sz w:val="24"/>
          <w:szCs w:val="21"/>
          <w:highlight w:val="none"/>
        </w:rPr>
      </w:pPr>
      <w:r>
        <w:rPr>
          <w:rFonts w:hint="eastAsia" w:ascii="仿宋_GB2312" w:hAnsi="仿宋_GB2312" w:eastAsia="仿宋_GB2312" w:cs="仿宋_GB2312"/>
          <w:bCs/>
          <w:color w:val="auto"/>
          <w:sz w:val="24"/>
          <w:szCs w:val="21"/>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ascii="仿宋_GB2312" w:hAnsi="仿宋_GB2312" w:eastAsia="仿宋_GB2312" w:cs="仿宋_GB2312"/>
          <w:b/>
          <w:color w:val="auto"/>
          <w:sz w:val="24"/>
          <w:szCs w:val="21"/>
          <w:highlight w:val="none"/>
        </w:rPr>
      </w:pPr>
      <w:r>
        <w:rPr>
          <w:rFonts w:hint="eastAsia" w:ascii="仿宋_GB2312" w:hAnsi="仿宋_GB2312" w:eastAsia="仿宋_GB2312" w:cs="仿宋_GB2312"/>
          <w:bCs/>
          <w:color w:val="auto"/>
          <w:sz w:val="24"/>
          <w:szCs w:val="21"/>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55"/>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16.2投标文件合格投递后，自投标截止日期起，在投标有效期内有效。</w:t>
      </w:r>
    </w:p>
    <w:p>
      <w:pPr>
        <w:pStyle w:val="155"/>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155"/>
        <w:spacing w:before="0"/>
        <w:ind w:firstLine="480"/>
        <w:rPr>
          <w:rFonts w:ascii="仿宋_GB2312" w:hAnsi="仿宋_GB2312" w:eastAsia="仿宋_GB2312" w:cs="仿宋_GB2312"/>
          <w:bCs/>
          <w:color w:val="auto"/>
          <w:szCs w:val="16"/>
          <w:highlight w:val="none"/>
        </w:rPr>
      </w:pPr>
      <w:r>
        <w:rPr>
          <w:rFonts w:hint="eastAsia" w:ascii="仿宋_GB2312" w:hAnsi="仿宋_GB2312" w:eastAsia="仿宋_GB2312" w:cs="仿宋_GB2312"/>
          <w:bCs/>
          <w:color w:val="auto"/>
          <w:szCs w:val="16"/>
          <w:highlight w:val="none"/>
        </w:rPr>
        <w:t>16.4在投标截止时间起至投标有效期届满，供应商投标文件不可撤销。</w:t>
      </w:r>
    </w:p>
    <w:p>
      <w:pPr>
        <w:pStyle w:val="155"/>
        <w:spacing w:before="0"/>
        <w:ind w:firstLine="0" w:firstLineChars="0"/>
        <w:jc w:val="center"/>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四、开标</w:t>
      </w:r>
    </w:p>
    <w:p>
      <w:pPr>
        <w:pStyle w:val="155"/>
        <w:spacing w:before="0"/>
        <w:ind w:firstLine="0" w:firstLineChars="0"/>
        <w:rPr>
          <w:rFonts w:ascii="仿宋_GB2312" w:hAnsi="仿宋_GB2312" w:eastAsia="仿宋_GB2312" w:cs="仿宋_GB2312"/>
          <w:b/>
          <w:bCs/>
          <w:color w:val="auto"/>
          <w:kern w:val="0"/>
          <w:szCs w:val="24"/>
          <w:highlight w:val="none"/>
        </w:rPr>
      </w:pPr>
      <w:r>
        <w:rPr>
          <w:rFonts w:hint="eastAsia" w:ascii="仿宋_GB2312" w:hAnsi="仿宋_GB2312" w:eastAsia="仿宋_GB2312" w:cs="仿宋_GB2312"/>
          <w:b/>
          <w:bCs/>
          <w:color w:val="auto"/>
          <w:kern w:val="0"/>
          <w:szCs w:val="24"/>
          <w:highlight w:val="none"/>
        </w:rPr>
        <w:t xml:space="preserve">17. 开标 </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17.1采购代理机构按照招标文件规定的时间通过电子交易平台组织开标，所有投标人均应当准时在线参加，无关人员不得进入开标现场。投标人如未准时在线参加的，事后不得对采购相关人员、开标过程和开标结果提出异议。投标人不足3家的，不得开标。</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17.2落实工作场地、设施，检查录音录像采集设备运行情况，验证电子交易平台是否能正常登录。</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17.3开标由采购代理机构主持，主持人介绍开标现场的人员情况，宣读递交投标文件的投标人名单、开标纪律、应当回避的情形等注意事项。</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17.4开标时，电子交易平台按开标时间自动提取所有投标文件。采购代理机构依托电子交易平台发起【开始解密】指令后，投标人按照平台提示和招标文件的规定在半小时内完成在线解密。</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17.5投标人应当在解密时限内完成解密，如所有投标人的电子投标文件都已经解密完成的，则电子交易平台自动结束解密。如有任一投标人未解密，电子交易平台会在解密时限截止时自动结束解密。</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17.6评标委员会在商务和技术评审结束后，主持人通过电子交易平台宣告商务和技术评审无效投标人名称及理由，有效投标人的商务和技术得分情况。</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17.7采购代理机构在电子交易平台开启投标人的报价文件信息，投标人对报价信息进行确认。投标人对报价信息不予确认的不影响后续评标过程。</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17.8评标委员会经商议认为需要投标人作出必要澄清或说明的，应当通过电子交易平台交换数据电文。评标委员会给予投标人提交澄清或说明的时间为半小时，投标人已经明确表示澄清或说明完毕的除外。</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17.9在电子交易平台上公布评审结果。</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特别说明：政采云公司如对电子化开标及评审程序有调整的，按调整后的程序操作。</w:t>
      </w:r>
    </w:p>
    <w:p>
      <w:pPr>
        <w:pStyle w:val="155"/>
        <w:spacing w:before="0"/>
        <w:ind w:firstLine="0" w:firstLineChars="0"/>
        <w:rPr>
          <w:rFonts w:ascii="仿宋_GB2312" w:hAnsi="仿宋_GB2312" w:eastAsia="仿宋_GB2312" w:cs="仿宋_GB2312"/>
          <w:color w:val="auto"/>
          <w:kern w:val="0"/>
          <w:szCs w:val="24"/>
          <w:highlight w:val="none"/>
        </w:rPr>
      </w:pPr>
    </w:p>
    <w:p>
      <w:pPr>
        <w:snapToGrid w:val="0"/>
        <w:spacing w:line="360" w:lineRule="auto"/>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五、评标</w:t>
      </w:r>
    </w:p>
    <w:p>
      <w:pPr>
        <w:spacing w:line="360" w:lineRule="auto"/>
        <w:rPr>
          <w:rFonts w:ascii="仿宋_GB2312" w:hAnsi="仿宋_GB2312" w:eastAsia="仿宋_GB2312" w:cs="仿宋_GB2312"/>
          <w:b/>
          <w:color w:val="auto"/>
          <w:sz w:val="24"/>
          <w:highlight w:val="none"/>
        </w:rPr>
      </w:pPr>
      <w:bookmarkStart w:id="13" w:name="_Toc91899903"/>
      <w:r>
        <w:rPr>
          <w:rFonts w:hint="eastAsia" w:ascii="仿宋_GB2312" w:hAnsi="仿宋_GB2312" w:eastAsia="仿宋_GB2312" w:cs="仿宋_GB2312"/>
          <w:b/>
          <w:color w:val="auto"/>
          <w:sz w:val="24"/>
          <w:highlight w:val="none"/>
        </w:rPr>
        <w:t>18.</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highlight w:val="none"/>
        </w:rPr>
        <w:t>详见招标文件第四部分评标办法。</w:t>
      </w:r>
    </w:p>
    <w:p>
      <w:pPr>
        <w:spacing w:line="360" w:lineRule="auto"/>
        <w:rPr>
          <w:rFonts w:ascii="仿宋_GB2312" w:hAnsi="仿宋_GB2312" w:eastAsia="仿宋_GB2312" w:cs="仿宋_GB2312"/>
          <w:b/>
          <w:color w:val="auto"/>
          <w:sz w:val="24"/>
          <w:highlight w:val="none"/>
        </w:rPr>
      </w:pPr>
    </w:p>
    <w:p>
      <w:pPr>
        <w:snapToGrid w:val="0"/>
        <w:spacing w:line="360" w:lineRule="auto"/>
        <w:jc w:val="center"/>
        <w:outlineLvl w:val="0"/>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六、定 标</w:t>
      </w:r>
    </w:p>
    <w:p>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19. 确定中标供应商</w:t>
      </w:r>
    </w:p>
    <w:p>
      <w:pPr>
        <w:pStyle w:val="155"/>
        <w:snapToGrid w:val="0"/>
        <w:spacing w:before="0"/>
        <w:ind w:firstLine="480"/>
        <w:rPr>
          <w:rFonts w:ascii="仿宋_GB2312" w:hAnsi="仿宋_GB2312" w:eastAsia="仿宋_GB2312" w:cs="仿宋_GB2312"/>
          <w:b/>
          <w:color w:val="auto"/>
          <w:szCs w:val="24"/>
          <w:highlight w:val="none"/>
        </w:rPr>
      </w:pPr>
      <w:r>
        <w:rPr>
          <w:rFonts w:hint="eastAsia" w:ascii="仿宋_GB2312" w:hAnsi="仿宋_GB2312" w:eastAsia="仿宋_GB2312" w:cs="仿宋_GB2312"/>
          <w:bCs/>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为提高政府采购效率，鼓励在收到评审报告当天在线确定中标或者成交供应商。中标、成交通知书和中标、成交结果公告应当在规定时间内同时发出。</w:t>
      </w:r>
    </w:p>
    <w:p>
      <w:pPr>
        <w:pStyle w:val="155"/>
        <w:snapToGrid w:val="0"/>
        <w:spacing w:before="0"/>
        <w:ind w:firstLine="0" w:firstLineChars="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20. 中标通知与中标结果公告</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20.1自中标人确定之日起2个工作日内，采购代理机构通过电子交易平台向中标人发出中标通知书，同时编制发布采购结果公告。采购代理机构也可以以纸质形式进行中标通知。</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20.3公告期限为1个工作日。</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_GB2312" w:hAnsi="仿宋_GB2312"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七、合同授予</w:t>
      </w:r>
    </w:p>
    <w:p>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22. </w:t>
      </w:r>
      <w:r>
        <w:rPr>
          <w:rFonts w:hint="eastAsia" w:ascii="仿宋_GB2312" w:hAnsi="仿宋_GB2312" w:eastAsia="仿宋_GB2312" w:cs="仿宋_GB2312"/>
          <w:color w:val="auto"/>
          <w:highlight w:val="none"/>
        </w:rPr>
        <w:t>合同主要条款详见第五部分拟签订的合同文本。</w:t>
      </w:r>
    </w:p>
    <w:p>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23. 合同的签订</w:t>
      </w:r>
    </w:p>
    <w:p>
      <w:pPr>
        <w:pStyle w:val="155"/>
        <w:snapToGrid w:val="0"/>
        <w:spacing w:before="0"/>
        <w:ind w:firstLine="480"/>
        <w:rPr>
          <w:rFonts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3</w:t>
      </w:r>
      <w:r>
        <w:rPr>
          <w:rFonts w:hint="eastAsia" w:ascii="仿宋_GB2312" w:hAnsi="仿宋_GB2312" w:eastAsia="仿宋_GB2312" w:cs="仿宋_GB2312"/>
          <w:color w:val="auto"/>
          <w:kern w:val="0"/>
          <w:highlight w:val="none"/>
          <w:lang w:val="zh-CN"/>
        </w:rPr>
        <w:t>.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5"/>
        <w:snapToGrid w:val="0"/>
        <w:spacing w:before="0"/>
        <w:ind w:firstLine="480"/>
        <w:rPr>
          <w:rFonts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w:t>
      </w:r>
      <w:r>
        <w:rPr>
          <w:rFonts w:hint="eastAsia" w:ascii="仿宋_GB2312" w:hAnsi="仿宋_GB2312" w:eastAsia="仿宋_GB2312" w:cs="仿宋_GB2312"/>
          <w:color w:val="auto"/>
          <w:kern w:val="0"/>
          <w:highlight w:val="none"/>
        </w:rPr>
        <w:t>3</w:t>
      </w:r>
      <w:r>
        <w:rPr>
          <w:rFonts w:hint="eastAsia" w:ascii="仿宋_GB2312" w:hAnsi="仿宋_GB2312" w:eastAsia="仿宋_GB2312" w:cs="仿宋_GB2312"/>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23.3如签订合同并生效后，供应商无故拒绝或延期，除按照合同条款处理外，列入不良行为记录一次，并给予通报。</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23.4中标供应商拒绝与采购人签订合同的，采购人可以按照评审报告推荐的中标或者成交候选人名单排序，确定下一候选人为中标供应商，也可以重新开展政府采购活动。</w:t>
      </w:r>
    </w:p>
    <w:p>
      <w:pPr>
        <w:pStyle w:val="155"/>
        <w:snapToGrid w:val="0"/>
        <w:spacing w:before="0" w:after="12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23.5采购合同由采购人与中标供应商根据招标文件、投标文件等内容通过政府采购电子交易平台在线签订，自动备案。</w:t>
      </w:r>
    </w:p>
    <w:p>
      <w:pPr>
        <w:pStyle w:val="27"/>
        <w:spacing w:line="360" w:lineRule="auto"/>
        <w:ind w:left="479" w:hanging="479" w:hangingChars="199"/>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24. 履约保证金</w:t>
      </w:r>
    </w:p>
    <w:p>
      <w:pPr>
        <w:tabs>
          <w:tab w:val="left" w:pos="0"/>
        </w:tabs>
        <w:spacing w:line="360" w:lineRule="auto"/>
        <w:ind w:firstLine="482"/>
        <w:rPr>
          <w:rFonts w:ascii="仿宋_GB2312" w:hAnsi="仿宋_GB2312" w:eastAsia="仿宋_GB2312" w:cs="仿宋_GB2312"/>
          <w:color w:val="auto"/>
          <w:sz w:val="24"/>
          <w:szCs w:val="20"/>
          <w:highlight w:val="none"/>
        </w:rPr>
      </w:pPr>
      <w:r>
        <w:rPr>
          <w:rFonts w:hint="eastAsia" w:ascii="仿宋_GB2312" w:hAnsi="仿宋_GB2312" w:eastAsia="仿宋_GB2312" w:cs="仿宋_GB2312"/>
          <w:color w:val="auto"/>
          <w:sz w:val="24"/>
          <w:szCs w:val="20"/>
          <w:highlight w:val="none"/>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hAnsi="仿宋_GB2312" w:cs="仿宋_GB2312"/>
          <w:color w:val="auto"/>
          <w:highlight w:val="none"/>
          <w:lang w:val="en-US"/>
        </w:rPr>
      </w:pPr>
      <w:r>
        <w:rPr>
          <w:rFonts w:hint="eastAsia" w:hAnsi="仿宋_GB2312" w:cs="仿宋_GB2312"/>
          <w:b w:val="0"/>
          <w:bCs w:val="0"/>
          <w:snapToGrid w:val="0"/>
          <w:color w:val="auto"/>
          <w:kern w:val="28"/>
          <w:sz w:val="24"/>
          <w:highlight w:val="none"/>
        </w:rPr>
        <w:t>供应商</w:t>
      </w:r>
      <w:r>
        <w:rPr>
          <w:rFonts w:hint="eastAsia" w:hAnsi="仿宋_GB2312" w:cs="仿宋_GB2312"/>
          <w:b w:val="0"/>
          <w:bCs w:val="0"/>
          <w:snapToGrid w:val="0"/>
          <w:color w:val="auto"/>
          <w:kern w:val="28"/>
          <w:sz w:val="24"/>
          <w:highlight w:val="none"/>
          <w:lang w:val="en-US"/>
        </w:rPr>
        <w:t>可</w:t>
      </w:r>
      <w:r>
        <w:rPr>
          <w:rFonts w:hint="eastAsia" w:hAnsi="仿宋_GB2312" w:cs="仿宋_GB2312"/>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hAnsi="仿宋_GB2312" w:cs="仿宋_GB2312"/>
          <w:color w:val="auto"/>
          <w:highlight w:val="none"/>
        </w:rPr>
      </w:pPr>
      <w:r>
        <w:rPr>
          <w:rFonts w:hint="eastAsia" w:hAnsi="仿宋_GB2312" w:cs="仿宋_GB2312"/>
          <w:color w:val="auto"/>
          <w:sz w:val="24"/>
          <w:highlight w:val="none"/>
          <w:lang w:val="en-US"/>
        </w:rPr>
        <w:t>25. 预付款</w:t>
      </w:r>
    </w:p>
    <w:p>
      <w:pPr>
        <w:snapToGrid w:val="0"/>
        <w:spacing w:line="360" w:lineRule="auto"/>
        <w:ind w:firstLine="480" w:firstLineChars="200"/>
        <w:rPr>
          <w:rFonts w:ascii="仿宋_GB2312" w:hAnsi="仿宋_GB2312" w:eastAsia="仿宋_GB2312" w:cs="仿宋_GB2312"/>
          <w:b/>
          <w:color w:val="auto"/>
          <w:sz w:val="32"/>
          <w:highlight w:val="none"/>
        </w:rPr>
      </w:pPr>
      <w:r>
        <w:rPr>
          <w:rFonts w:hint="eastAsia" w:ascii="仿宋_GB2312" w:hAnsi="仿宋_GB2312" w:eastAsia="仿宋_GB2312" w:cs="仿宋_GB2312"/>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_GB2312" w:eastAsia="仿宋_GB2312" w:cs="仿宋_GB2312"/>
          <w:b/>
          <w:color w:val="auto"/>
          <w:sz w:val="32"/>
          <w:highlight w:val="none"/>
        </w:rPr>
      </w:pPr>
    </w:p>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2"/>
          <w:highlight w:val="none"/>
        </w:rPr>
        <w:t>八、电子交易活动的中止</w:t>
      </w:r>
    </w:p>
    <w:p>
      <w:pPr>
        <w:pStyle w:val="155"/>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26</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color w:val="auto"/>
          <w:szCs w:val="24"/>
          <w:highlight w:val="none"/>
        </w:rPr>
        <w:t xml:space="preserve"> 电子交易活动的中止。</w:t>
      </w:r>
      <w:r>
        <w:rPr>
          <w:rFonts w:hint="eastAsia" w:ascii="仿宋_GB2312" w:hAnsi="仿宋_GB2312" w:eastAsia="仿宋_GB2312" w:cs="仿宋_GB2312"/>
          <w:color w:val="auto"/>
          <w:highlight w:val="none"/>
        </w:rPr>
        <w:t>采购过程中出现以下情形，导致电子交易平台无法正常运行，或者无法保证电子交易的公平、公正和安全时，采购代理机构可中止电子交易活动：</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26.1电子交易平台发生故障而无法登录访问的； </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26.2电子交易平台应用或数据库出现错误，不能进行正常操作的；</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26.3电子交易平台发现严重安全漏洞，有潜在泄密危险的；</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26.4病毒发作导致不能进行正常操作的； </w:t>
      </w:r>
    </w:p>
    <w:p>
      <w:pPr>
        <w:pStyle w:val="155"/>
        <w:snapToGrid w:val="0"/>
        <w:spacing w:before="0"/>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26.5其他无法保证电子交易的公平、公正和安全的情况。</w:t>
      </w:r>
    </w:p>
    <w:p>
      <w:pPr>
        <w:pStyle w:val="155"/>
        <w:snapToGrid w:val="0"/>
        <w:spacing w:before="0"/>
        <w:ind w:firstLine="0" w:firstLineChars="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26.</w:t>
      </w:r>
      <w:r>
        <w:rPr>
          <w:rFonts w:hint="eastAsia" w:ascii="仿宋_GB2312" w:hAnsi="仿宋_GB2312"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_GB2312" w:eastAsia="仿宋_GB2312" w:cs="仿宋_GB2312"/>
          <w:color w:val="auto"/>
          <w:sz w:val="24"/>
          <w:highlight w:val="none"/>
        </w:rPr>
      </w:pPr>
    </w:p>
    <w:p>
      <w:pPr>
        <w:snapToGrid w:val="0"/>
        <w:spacing w:line="360" w:lineRule="auto"/>
        <w:jc w:val="center"/>
        <w:rPr>
          <w:rFonts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九、验收</w:t>
      </w:r>
    </w:p>
    <w:p>
      <w:pPr>
        <w:pStyle w:val="27"/>
        <w:spacing w:line="360" w:lineRule="auto"/>
        <w:ind w:firstLine="0" w:firstLineChars="0"/>
        <w:rPr>
          <w:rFonts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27. 验收</w:t>
      </w:r>
    </w:p>
    <w:p>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24"/>
          <w:highlight w:val="none"/>
        </w:rPr>
        <w:t>27.4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0"/>
      <w:bookmarkEnd w:id="11"/>
      <w:bookmarkEnd w:id="13"/>
    </w:p>
    <w:p>
      <w:pPr>
        <w:tabs>
          <w:tab w:val="left" w:pos="0"/>
        </w:tabs>
        <w:spacing w:line="360" w:lineRule="auto"/>
        <w:ind w:firstLine="480"/>
        <w:rPr>
          <w:rFonts w:ascii="仿宋_GB2312" w:hAnsi="仿宋_GB2312" w:eastAsia="仿宋_GB2312" w:cs="仿宋_GB2312"/>
          <w:color w:val="auto"/>
          <w:kern w:val="0"/>
          <w:sz w:val="24"/>
          <w:highlight w:val="none"/>
        </w:rPr>
      </w:pPr>
      <w:bookmarkStart w:id="14" w:name="_Hlt68057669"/>
      <w:bookmarkEnd w:id="14"/>
      <w:bookmarkStart w:id="15" w:name="_Hlt68072998"/>
      <w:bookmarkEnd w:id="15"/>
      <w:bookmarkStart w:id="16" w:name="_Hlt74729768"/>
      <w:bookmarkEnd w:id="16"/>
      <w:bookmarkStart w:id="17" w:name="_Hlt68403820"/>
      <w:bookmarkEnd w:id="17"/>
      <w:bookmarkStart w:id="18" w:name="_Hlt75236290"/>
      <w:bookmarkEnd w:id="18"/>
      <w:bookmarkStart w:id="19" w:name="_Hlt68073093"/>
      <w:bookmarkEnd w:id="19"/>
      <w:bookmarkStart w:id="20" w:name="_Hlt74730295"/>
      <w:bookmarkEnd w:id="20"/>
      <w:bookmarkStart w:id="21" w:name="_Hlt75236011"/>
      <w:bookmarkEnd w:id="21"/>
      <w:bookmarkStart w:id="22" w:name="_Hlt74707468"/>
      <w:bookmarkEnd w:id="22"/>
      <w:bookmarkStart w:id="23" w:name="_Hlt74714665"/>
      <w:bookmarkEnd w:id="23"/>
      <w:bookmarkStart w:id="24" w:name="_Hlt75236101"/>
      <w:bookmarkEnd w:id="24"/>
      <w:bookmarkStart w:id="25" w:name="_Hlt68072990"/>
      <w:bookmarkEnd w:id="25"/>
      <w:r>
        <w:rPr>
          <w:rFonts w:hint="eastAsia" w:ascii="仿宋_GB2312" w:hAnsi="仿宋_GB2312" w:eastAsia="仿宋_GB2312" w:cs="仿宋_GB2312"/>
          <w:color w:val="auto"/>
          <w:kern w:val="0"/>
          <w:sz w:val="24"/>
          <w:highlight w:val="none"/>
        </w:rPr>
        <w:t>27.5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7"/>
        <w:rPr>
          <w:color w:val="auto"/>
          <w:highlight w:val="none"/>
        </w:rPr>
      </w:pPr>
    </w:p>
    <w:p>
      <w:pPr>
        <w:tabs>
          <w:tab w:val="left" w:pos="0"/>
        </w:tabs>
        <w:spacing w:line="360" w:lineRule="auto"/>
        <w:ind w:firstLine="480"/>
        <w:rPr>
          <w:rFonts w:ascii="仿宋" w:hAnsi="仿宋" w:eastAsia="仿宋" w:cs="仿宋"/>
          <w:color w:val="auto"/>
          <w:kern w:val="0"/>
          <w:sz w:val="24"/>
          <w:highlight w:val="none"/>
        </w:rPr>
        <w:sectPr>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p>
    <w:p>
      <w:pPr>
        <w:numPr>
          <w:ilvl w:val="0"/>
          <w:numId w:val="3"/>
        </w:numPr>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 xml:space="preserve">  采购需求</w:t>
      </w:r>
    </w:p>
    <w:p>
      <w:pPr>
        <w:keepNext/>
        <w:keepLines/>
        <w:widowControl w:val="0"/>
        <w:tabs>
          <w:tab w:val="left" w:pos="432"/>
        </w:tabs>
        <w:adjustRightInd/>
        <w:snapToGrid w:val="0"/>
        <w:spacing w:before="0" w:after="0" w:line="360" w:lineRule="auto"/>
        <w:ind w:left="432" w:hanging="432"/>
        <w:jc w:val="left"/>
        <w:outlineLvl w:val="1"/>
        <w:rPr>
          <w:rFonts w:hint="eastAsia" w:ascii="仿宋_GB2312" w:hAnsi="仿宋_GB2312" w:eastAsia="仿宋_GB2312" w:cs="仿宋_GB2312"/>
          <w:b/>
          <w:bCs/>
          <w:snapToGrid w:val="0"/>
          <w:color w:val="auto"/>
          <w:kern w:val="0"/>
          <w:sz w:val="24"/>
          <w:szCs w:val="24"/>
          <w:highlight w:val="none"/>
          <w:lang w:val="zh-CN" w:eastAsia="zh-CN" w:bidi="ar-SA"/>
        </w:rPr>
      </w:pPr>
      <w:bookmarkStart w:id="26" w:name="_Toc139881225"/>
      <w:bookmarkStart w:id="27" w:name="_Toc495389905"/>
      <w:bookmarkStart w:id="28" w:name="_Toc410993145"/>
      <w:bookmarkStart w:id="29" w:name="_Toc183786424"/>
      <w:bookmarkStart w:id="30" w:name="_Toc22899928"/>
      <w:r>
        <w:rPr>
          <w:rFonts w:hint="eastAsia" w:ascii="仿宋_GB2312" w:hAnsi="仿宋_GB2312" w:eastAsia="仿宋_GB2312" w:cs="仿宋_GB2312"/>
          <w:b/>
          <w:bCs/>
          <w:snapToGrid w:val="0"/>
          <w:color w:val="auto"/>
          <w:kern w:val="0"/>
          <w:sz w:val="24"/>
          <w:szCs w:val="24"/>
          <w:highlight w:val="none"/>
          <w:lang w:val="en-US" w:eastAsia="zh-CN" w:bidi="ar-SA"/>
        </w:rPr>
        <w:t>一</w:t>
      </w:r>
      <w:r>
        <w:rPr>
          <w:rFonts w:hint="eastAsia" w:ascii="仿宋_GB2312" w:hAnsi="仿宋_GB2312" w:eastAsia="仿宋_GB2312" w:cs="仿宋_GB2312"/>
          <w:b/>
          <w:bCs/>
          <w:snapToGrid w:val="0"/>
          <w:color w:val="auto"/>
          <w:kern w:val="0"/>
          <w:sz w:val="24"/>
          <w:szCs w:val="24"/>
          <w:highlight w:val="none"/>
          <w:lang w:val="zh-CN" w:eastAsia="zh-CN" w:bidi="ar-SA"/>
        </w:rPr>
        <w:t>、项目概况</w:t>
      </w:r>
      <w:bookmarkEnd w:id="26"/>
      <w:bookmarkEnd w:id="27"/>
      <w:bookmarkEnd w:id="28"/>
      <w:bookmarkEnd w:id="29"/>
      <w:bookmarkEnd w:id="30"/>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w:t>
      </w: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项目名称：</w:t>
      </w:r>
      <w:r>
        <w:rPr>
          <w:rFonts w:hint="eastAsia" w:ascii="仿宋_GB2312" w:hAnsi="仿宋_GB2312" w:eastAsia="仿宋_GB2312" w:cs="仿宋_GB2312"/>
          <w:color w:val="auto"/>
          <w:sz w:val="24"/>
          <w:szCs w:val="24"/>
          <w:highlight w:val="none"/>
        </w:rPr>
        <w:t>白杨街道城市基础设施一体化（智慧）养护项目</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1.2</w:t>
      </w:r>
      <w:r>
        <w:rPr>
          <w:rFonts w:hint="eastAsia" w:ascii="仿宋_GB2312" w:hAnsi="仿宋_GB2312" w:eastAsia="仿宋_GB2312" w:cs="仿宋_GB2312"/>
          <w:snapToGrid w:val="0"/>
          <w:color w:val="auto"/>
          <w:kern w:val="0"/>
          <w:sz w:val="24"/>
          <w:szCs w:val="24"/>
          <w:highlight w:val="none"/>
        </w:rPr>
        <w:t>项目范围：白杨街道隶属于浙江省杭州市钱塘区，地处钱塘区东部偏南，东、南临钱塘江与萧山区红山农场、钱江农场隔江相望，西、北与下沙街道毗邻。</w:t>
      </w:r>
    </w:p>
    <w:p>
      <w:pPr>
        <w:widowControl w:val="0"/>
        <w:autoSpaceDE w:val="0"/>
        <w:autoSpaceDN w:val="0"/>
        <w:adjustRightInd w:val="0"/>
        <w:spacing w:line="360" w:lineRule="auto"/>
        <w:jc w:val="center"/>
        <w:rPr>
          <w:rFonts w:hint="eastAsia" w:ascii="宋体" w:hAnsi="Arial" w:eastAsia="宋体" w:cs="Arial"/>
          <w:snapToGrid w:val="0"/>
          <w:color w:val="auto"/>
          <w:kern w:val="2"/>
          <w:sz w:val="24"/>
          <w:szCs w:val="21"/>
          <w:highlight w:val="none"/>
          <w:lang w:val="zh-CN" w:eastAsia="zh-CN" w:bidi="ar-SA"/>
        </w:rPr>
      </w:pPr>
      <w:r>
        <w:rPr>
          <w:rFonts w:hint="eastAsia" w:ascii="宋体" w:hAnsi="Arial" w:eastAsia="宋体" w:cs="Arial"/>
          <w:snapToGrid w:val="0"/>
          <w:color w:val="auto"/>
          <w:kern w:val="2"/>
          <w:sz w:val="24"/>
          <w:szCs w:val="21"/>
          <w:highlight w:val="none"/>
          <w:lang w:val="zh-CN" w:eastAsia="zh-CN" w:bidi="ar-SA"/>
        </w:rPr>
        <w:drawing>
          <wp:inline distT="0" distB="0" distL="114300" distR="114300">
            <wp:extent cx="5123180" cy="6831965"/>
            <wp:effectExtent l="0" t="0" r="1270" b="6985"/>
            <wp:docPr id="13" name="图片 13" descr="白杨街道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白杨街道地图"/>
                    <pic:cNvPicPr>
                      <a:picLocks noChangeAspect="1"/>
                    </pic:cNvPicPr>
                  </pic:nvPicPr>
                  <pic:blipFill>
                    <a:blip r:embed="rId37"/>
                    <a:stretch>
                      <a:fillRect/>
                    </a:stretch>
                  </pic:blipFill>
                  <pic:spPr>
                    <a:xfrm>
                      <a:off x="0" y="0"/>
                      <a:ext cx="5123180" cy="6831965"/>
                    </a:xfrm>
                    <a:prstGeom prst="rect">
                      <a:avLst/>
                    </a:prstGeom>
                  </pic:spPr>
                </pic:pic>
              </a:graphicData>
            </a:graphic>
          </wp:inline>
        </w:drawing>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上述区域中，德胜东路</w:t>
      </w:r>
      <w:r>
        <w:rPr>
          <w:rFonts w:hint="eastAsia" w:ascii="仿宋_GB2312" w:hAnsi="仿宋_GB2312" w:eastAsia="仿宋_GB2312" w:cs="仿宋_GB2312"/>
          <w:color w:val="auto"/>
          <w:sz w:val="24"/>
          <w:szCs w:val="24"/>
          <w:highlight w:val="none"/>
          <w:lang w:eastAsia="zh-CN"/>
        </w:rPr>
        <w:t>（文渊路</w:t>
      </w:r>
      <w:r>
        <w:rPr>
          <w:rFonts w:hint="eastAsia" w:ascii="仿宋_GB2312" w:hAnsi="仿宋_GB2312" w:eastAsia="仿宋_GB2312" w:cs="仿宋_GB2312"/>
          <w:color w:val="auto"/>
          <w:sz w:val="24"/>
          <w:szCs w:val="24"/>
          <w:highlight w:val="none"/>
          <w:lang w:val="en-US" w:eastAsia="zh-CN"/>
        </w:rPr>
        <w:t>-之江东路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、2号大街（1号路-之江东路）、6号大街（1号路-之江东路）、之江东路（1号路-银海街，含之江东路辅路、围垦广场及公园、沿江东公园）、文渊路及1号大街</w:t>
      </w:r>
      <w:r>
        <w:rPr>
          <w:rFonts w:hint="eastAsia" w:ascii="仿宋_GB2312" w:hAnsi="仿宋_GB2312" w:eastAsia="仿宋_GB2312" w:cs="仿宋_GB2312"/>
          <w:color w:val="auto"/>
          <w:sz w:val="24"/>
          <w:szCs w:val="24"/>
          <w:highlight w:val="none"/>
          <w:lang w:eastAsia="zh-CN"/>
        </w:rPr>
        <w:t>（德胜东路</w:t>
      </w:r>
      <w:r>
        <w:rPr>
          <w:rFonts w:hint="eastAsia" w:ascii="仿宋_GB2312" w:hAnsi="仿宋_GB2312" w:eastAsia="仿宋_GB2312" w:cs="仿宋_GB2312"/>
          <w:color w:val="auto"/>
          <w:sz w:val="24"/>
          <w:szCs w:val="24"/>
          <w:highlight w:val="none"/>
          <w:lang w:val="en-US" w:eastAsia="zh-CN"/>
        </w:rPr>
        <w:t>-之江东路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、文津路及11号大街</w:t>
      </w:r>
      <w:r>
        <w:rPr>
          <w:rFonts w:hint="eastAsia" w:ascii="仿宋_GB2312" w:hAnsi="仿宋_GB2312" w:eastAsia="仿宋_GB2312" w:cs="仿宋_GB2312"/>
          <w:color w:val="auto"/>
          <w:sz w:val="24"/>
          <w:szCs w:val="24"/>
          <w:highlight w:val="none"/>
          <w:lang w:eastAsia="zh-CN"/>
        </w:rPr>
        <w:t>（德胜东路</w:t>
      </w:r>
      <w:r>
        <w:rPr>
          <w:rFonts w:hint="eastAsia" w:ascii="仿宋_GB2312" w:hAnsi="仿宋_GB2312" w:eastAsia="仿宋_GB2312" w:cs="仿宋_GB2312"/>
          <w:color w:val="auto"/>
          <w:sz w:val="24"/>
          <w:szCs w:val="24"/>
          <w:highlight w:val="none"/>
          <w:lang w:val="en-US" w:eastAsia="zh-CN"/>
        </w:rPr>
        <w:t>-之江东路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、文海南路及23号大街</w:t>
      </w:r>
      <w:r>
        <w:rPr>
          <w:rFonts w:hint="eastAsia" w:ascii="仿宋_GB2312" w:hAnsi="仿宋_GB2312" w:eastAsia="仿宋_GB2312" w:cs="仿宋_GB2312"/>
          <w:color w:val="auto"/>
          <w:sz w:val="24"/>
          <w:szCs w:val="24"/>
          <w:highlight w:val="none"/>
          <w:lang w:eastAsia="zh-CN"/>
        </w:rPr>
        <w:t>（德胜东路</w:t>
      </w:r>
      <w:r>
        <w:rPr>
          <w:rFonts w:hint="eastAsia" w:ascii="仿宋_GB2312" w:hAnsi="仿宋_GB2312" w:eastAsia="仿宋_GB2312" w:cs="仿宋_GB2312"/>
          <w:color w:val="auto"/>
          <w:sz w:val="24"/>
          <w:szCs w:val="24"/>
          <w:highlight w:val="none"/>
          <w:lang w:val="en-US" w:eastAsia="zh-CN"/>
        </w:rPr>
        <w:t>-20号路</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、12号大街（PPP项目）</w:t>
      </w:r>
      <w:r>
        <w:rPr>
          <w:rFonts w:hint="eastAsia" w:ascii="仿宋_GB2312" w:hAnsi="仿宋_GB2312" w:eastAsia="仿宋_GB2312" w:cs="仿宋_GB2312"/>
          <w:color w:val="auto"/>
          <w:sz w:val="24"/>
          <w:szCs w:val="24"/>
          <w:highlight w:val="none"/>
          <w:lang w:eastAsia="zh-CN"/>
        </w:rPr>
        <w:t>、高教西公园、高教东公园</w:t>
      </w:r>
      <w:r>
        <w:rPr>
          <w:rFonts w:hint="eastAsia" w:ascii="仿宋_GB2312" w:hAnsi="仿宋_GB2312" w:eastAsia="仿宋_GB2312" w:cs="仿宋_GB2312"/>
          <w:color w:val="auto"/>
          <w:sz w:val="24"/>
          <w:szCs w:val="24"/>
          <w:highlight w:val="none"/>
        </w:rPr>
        <w:t>等主要道路（公园）由区级养护，不属于本项目养护范围。其他区域</w:t>
      </w:r>
      <w:r>
        <w:rPr>
          <w:rFonts w:hint="eastAsia" w:ascii="仿宋_GB2312" w:hAnsi="仿宋_GB2312" w:eastAsia="仿宋_GB2312" w:cs="仿宋_GB2312"/>
          <w:color w:val="auto"/>
          <w:sz w:val="24"/>
          <w:szCs w:val="24"/>
          <w:highlight w:val="none"/>
          <w:lang w:eastAsia="zh-CN"/>
        </w:rPr>
        <w:t>均</w:t>
      </w:r>
      <w:r>
        <w:rPr>
          <w:rFonts w:hint="eastAsia" w:ascii="仿宋_GB2312" w:hAnsi="仿宋_GB2312" w:eastAsia="仿宋_GB2312" w:cs="仿宋_GB2312"/>
          <w:color w:val="auto"/>
          <w:sz w:val="24"/>
          <w:szCs w:val="24"/>
          <w:highlight w:val="none"/>
        </w:rPr>
        <w:t>由街道负责养护</w:t>
      </w:r>
      <w:r>
        <w:rPr>
          <w:rFonts w:hint="eastAsia" w:ascii="仿宋_GB2312" w:hAnsi="仿宋_GB2312" w:eastAsia="仿宋_GB2312" w:cs="仿宋_GB2312"/>
          <w:color w:val="auto"/>
          <w:sz w:val="24"/>
          <w:szCs w:val="24"/>
          <w:highlight w:val="none"/>
          <w:lang w:eastAsia="zh-CN"/>
        </w:rPr>
        <w:t>，纳入此次标的养护范围</w:t>
      </w:r>
      <w:r>
        <w:rPr>
          <w:rFonts w:hint="eastAsia" w:ascii="仿宋_GB2312" w:hAnsi="仿宋_GB2312" w:eastAsia="仿宋_GB2312" w:cs="仿宋_GB2312"/>
          <w:color w:val="auto"/>
          <w:sz w:val="24"/>
          <w:szCs w:val="24"/>
          <w:highlight w:val="none"/>
        </w:rPr>
        <w:t>。</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u w:val="none"/>
          <w:lang w:val="en-US" w:eastAsia="zh-CN"/>
        </w:rPr>
        <w:t>.3</w:t>
      </w:r>
      <w:r>
        <w:rPr>
          <w:rFonts w:hint="eastAsia" w:ascii="仿宋_GB2312" w:hAnsi="仿宋_GB2312" w:eastAsia="仿宋_GB2312" w:cs="仿宋_GB2312"/>
          <w:snapToGrid w:val="0"/>
          <w:color w:val="auto"/>
          <w:kern w:val="0"/>
          <w:sz w:val="24"/>
          <w:szCs w:val="24"/>
          <w:highlight w:val="none"/>
          <w:u w:val="none"/>
          <w:lang w:eastAsia="zh-CN"/>
        </w:rPr>
        <w:t>项目背景</w:t>
      </w:r>
    </w:p>
    <w:p>
      <w:pPr>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lang w:val="en-US" w:eastAsia="zh-CN"/>
        </w:rPr>
        <w:t>1</w:t>
      </w:r>
      <w:r>
        <w:rPr>
          <w:rFonts w:hint="eastAsia" w:ascii="仿宋_GB2312" w:hAnsi="仿宋_GB2312" w:eastAsia="仿宋_GB2312" w:cs="仿宋_GB2312"/>
          <w:sz w:val="24"/>
          <w:szCs w:val="24"/>
          <w:highlight w:val="none"/>
          <w:u w:val="none"/>
          <w:lang w:eastAsia="zh-CN"/>
        </w:rPr>
        <w:t>）本采购文件参照</w:t>
      </w:r>
      <w:r>
        <w:rPr>
          <w:rFonts w:hint="eastAsia" w:ascii="仿宋_GB2312" w:hAnsi="仿宋_GB2312" w:eastAsia="仿宋_GB2312" w:cs="仿宋_GB2312"/>
          <w:sz w:val="24"/>
          <w:szCs w:val="24"/>
          <w:highlight w:val="none"/>
          <w:u w:val="none"/>
        </w:rPr>
        <w:t>住房和城乡建设部国家发展改革委《关于印发“十四五”全国城市基础设施建设规划的通知》</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rPr>
        <w:t>住房城乡建设部办公厅关于行业标准《智慧环卫系统建设标准（征求意见稿）》</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rPr>
        <w:t>《浙江省智能网联汽车产业发展行动方案（2025—2027年）》</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rPr>
        <w:t>《杭州市人工智能产业发展“十四五”规划》</w:t>
      </w:r>
      <w:r>
        <w:rPr>
          <w:rFonts w:hint="eastAsia" w:ascii="仿宋_GB2312" w:hAnsi="仿宋_GB2312" w:eastAsia="仿宋_GB2312" w:cs="仿宋_GB2312"/>
          <w:sz w:val="24"/>
          <w:szCs w:val="24"/>
          <w:highlight w:val="none"/>
          <w:u w:val="none"/>
          <w:lang w:eastAsia="zh-CN"/>
        </w:rPr>
        <w:t>、</w:t>
      </w:r>
      <w:r>
        <w:rPr>
          <w:rFonts w:hint="eastAsia" w:ascii="仿宋_GB2312" w:hAnsi="仿宋_GB2312" w:eastAsia="仿宋_GB2312" w:cs="仿宋_GB2312"/>
          <w:sz w:val="24"/>
          <w:szCs w:val="24"/>
          <w:highlight w:val="none"/>
          <w:u w:val="none"/>
        </w:rPr>
        <w:t>《杭州市功能型无人车运行管理指引（1.0版）》</w:t>
      </w:r>
      <w:r>
        <w:rPr>
          <w:rFonts w:hint="eastAsia" w:ascii="仿宋_GB2312" w:hAnsi="仿宋_GB2312" w:eastAsia="仿宋_GB2312" w:cs="仿宋_GB2312"/>
          <w:sz w:val="24"/>
          <w:szCs w:val="24"/>
          <w:highlight w:val="none"/>
          <w:u w:val="none"/>
          <w:lang w:eastAsia="zh-CN"/>
        </w:rPr>
        <w:t>等国家、省、市对智慧管养的政策及规范要求进行编制。</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eastAsia="zh-CN"/>
        </w:rPr>
      </w:pPr>
      <w:r>
        <w:rPr>
          <w:rFonts w:hint="eastAsia" w:ascii="仿宋_GB2312" w:hAnsi="仿宋_GB2312" w:eastAsia="仿宋_GB2312" w:cs="仿宋_GB2312"/>
          <w:snapToGrid w:val="0"/>
          <w:color w:val="auto"/>
          <w:kern w:val="0"/>
          <w:sz w:val="24"/>
          <w:szCs w:val="24"/>
          <w:highlight w:val="none"/>
          <w:u w:val="none"/>
          <w:lang w:eastAsia="zh-CN"/>
        </w:rPr>
        <w:t>（</w:t>
      </w:r>
      <w:r>
        <w:rPr>
          <w:rFonts w:hint="eastAsia" w:ascii="仿宋_GB2312" w:hAnsi="仿宋_GB2312" w:eastAsia="仿宋_GB2312" w:cs="仿宋_GB2312"/>
          <w:snapToGrid w:val="0"/>
          <w:color w:val="auto"/>
          <w:kern w:val="0"/>
          <w:sz w:val="24"/>
          <w:szCs w:val="24"/>
          <w:highlight w:val="none"/>
          <w:u w:val="none"/>
          <w:lang w:val="en-US" w:eastAsia="zh-CN"/>
        </w:rPr>
        <w:t>2</w:t>
      </w:r>
      <w:r>
        <w:rPr>
          <w:rFonts w:hint="eastAsia" w:ascii="仿宋_GB2312" w:hAnsi="仿宋_GB2312" w:eastAsia="仿宋_GB2312" w:cs="仿宋_GB2312"/>
          <w:snapToGrid w:val="0"/>
          <w:color w:val="auto"/>
          <w:kern w:val="0"/>
          <w:sz w:val="24"/>
          <w:szCs w:val="24"/>
          <w:highlight w:val="none"/>
          <w:u w:val="none"/>
          <w:lang w:eastAsia="zh-CN"/>
        </w:rPr>
        <w:t>）习近平总书记在浙江考察时强调：“运用大数据、云计算、区块链、人工智能等前沿技术推动城市管理手段、管理模式、管理理念创新，从数字化到智能化再到智慧化，让城市更聪明一些、更智慧一些，是推动城市治理体系和治理能力现代化的必由之路，前景广阔。”“智慧城市”是城市治理的核心方向，其中“智慧环卫”是城市精细化治理的趋势，通过人工智能等先进技术，推动环卫保洁作业从传统“粗放式”向“精准化、智能化”转变，从而促进城市的可持续发展，智慧环卫已经成为行业发展的新趋势；</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eastAsia="zh-CN"/>
        </w:rPr>
      </w:pPr>
      <w:r>
        <w:rPr>
          <w:rFonts w:hint="eastAsia" w:ascii="仿宋_GB2312" w:hAnsi="仿宋_GB2312" w:eastAsia="仿宋_GB2312" w:cs="仿宋_GB2312"/>
          <w:snapToGrid w:val="0"/>
          <w:color w:val="auto"/>
          <w:kern w:val="0"/>
          <w:sz w:val="24"/>
          <w:szCs w:val="24"/>
          <w:highlight w:val="none"/>
          <w:u w:val="none"/>
        </w:rPr>
        <w:t>本项目立足杭州市钱塘区核心区位</w:t>
      </w:r>
      <w:r>
        <w:rPr>
          <w:rFonts w:hint="eastAsia" w:ascii="仿宋_GB2312" w:hAnsi="仿宋_GB2312" w:eastAsia="仿宋_GB2312" w:cs="仿宋_GB2312"/>
          <w:snapToGrid w:val="0"/>
          <w:color w:val="auto"/>
          <w:kern w:val="0"/>
          <w:sz w:val="24"/>
          <w:szCs w:val="24"/>
          <w:highlight w:val="none"/>
          <w:u w:val="none"/>
          <w:lang w:val="en-US" w:eastAsia="zh-CN"/>
        </w:rPr>
        <w:t>和完善的基础设施</w:t>
      </w:r>
      <w:r>
        <w:rPr>
          <w:rFonts w:hint="eastAsia" w:ascii="仿宋_GB2312" w:hAnsi="仿宋_GB2312" w:eastAsia="仿宋_GB2312" w:cs="仿宋_GB2312"/>
          <w:snapToGrid w:val="0"/>
          <w:color w:val="auto"/>
          <w:kern w:val="0"/>
          <w:sz w:val="24"/>
          <w:szCs w:val="24"/>
          <w:highlight w:val="none"/>
          <w:u w:val="none"/>
        </w:rPr>
        <w:t>优势，以打造“杭州市</w:t>
      </w:r>
      <w:r>
        <w:rPr>
          <w:rFonts w:hint="eastAsia" w:ascii="仿宋_GB2312" w:hAnsi="仿宋_GB2312" w:eastAsia="仿宋_GB2312" w:cs="仿宋_GB2312"/>
          <w:snapToGrid w:val="0"/>
          <w:color w:val="auto"/>
          <w:kern w:val="0"/>
          <w:sz w:val="24"/>
          <w:szCs w:val="24"/>
          <w:highlight w:val="none"/>
          <w:u w:val="none"/>
          <w:lang w:val="en-US" w:eastAsia="zh-CN"/>
        </w:rPr>
        <w:t>AI+</w:t>
      </w:r>
      <w:r>
        <w:rPr>
          <w:rFonts w:hint="eastAsia" w:ascii="仿宋_GB2312" w:hAnsi="仿宋_GB2312" w:eastAsia="仿宋_GB2312" w:cs="仿宋_GB2312"/>
          <w:snapToGrid w:val="0"/>
          <w:color w:val="auto"/>
          <w:kern w:val="0"/>
          <w:sz w:val="24"/>
          <w:szCs w:val="24"/>
          <w:highlight w:val="none"/>
          <w:u w:val="none"/>
        </w:rPr>
        <w:t>智慧环卫先行示范区”为目标</w:t>
      </w:r>
      <w:r>
        <w:rPr>
          <w:rFonts w:hint="eastAsia" w:ascii="仿宋_GB2312" w:hAnsi="仿宋_GB2312" w:eastAsia="仿宋_GB2312" w:cs="仿宋_GB2312"/>
          <w:snapToGrid w:val="0"/>
          <w:color w:val="auto"/>
          <w:kern w:val="0"/>
          <w:sz w:val="24"/>
          <w:szCs w:val="24"/>
          <w:highlight w:val="none"/>
          <w:u w:val="none"/>
          <w:lang w:eastAsia="zh-CN"/>
        </w:rPr>
        <w:t>，</w:t>
      </w:r>
      <w:r>
        <w:rPr>
          <w:rFonts w:hint="eastAsia" w:ascii="仿宋_GB2312" w:hAnsi="仿宋_GB2312" w:eastAsia="仿宋_GB2312" w:cs="仿宋_GB2312"/>
          <w:snapToGrid w:val="0"/>
          <w:color w:val="auto"/>
          <w:kern w:val="0"/>
          <w:sz w:val="24"/>
          <w:szCs w:val="24"/>
          <w:highlight w:val="none"/>
          <w:u w:val="none"/>
        </w:rPr>
        <w:t>全域开放场景应用部署，重点推进自动驾驶环卫装备集群、智慧环卫云端系统及新型数字化基础设施建设，构建覆盖白杨街道全域全场景的自动化智慧环卫作业体系</w:t>
      </w:r>
      <w:r>
        <w:rPr>
          <w:rFonts w:hint="eastAsia" w:ascii="仿宋_GB2312" w:hAnsi="仿宋_GB2312" w:eastAsia="仿宋_GB2312" w:cs="仿宋_GB2312"/>
          <w:snapToGrid w:val="0"/>
          <w:color w:val="auto"/>
          <w:kern w:val="0"/>
          <w:sz w:val="24"/>
          <w:szCs w:val="24"/>
          <w:highlight w:val="none"/>
          <w:u w:val="none"/>
          <w:lang w:eastAsia="zh-CN"/>
        </w:rPr>
        <w:t>；</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（3）同时，本项目</w:t>
      </w:r>
      <w:r>
        <w:rPr>
          <w:rFonts w:hint="eastAsia" w:ascii="仿宋_GB2312" w:hAnsi="仿宋_GB2312" w:eastAsia="仿宋_GB2312" w:cs="仿宋_GB2312"/>
          <w:snapToGrid w:val="0"/>
          <w:color w:val="auto"/>
          <w:kern w:val="0"/>
          <w:sz w:val="24"/>
          <w:szCs w:val="24"/>
          <w:highlight w:val="none"/>
          <w:u w:val="none"/>
        </w:rPr>
        <w:t>以智慧环卫为基底，紧扣城市治理数字化转型需求，以《杭州市人工智能产业发展“十四五”规划》市政设施智能化升级要求与《钱塘区智能网联汽车先行示范区建设方案》</w:t>
      </w:r>
      <w:r>
        <w:rPr>
          <w:rFonts w:hint="eastAsia" w:ascii="仿宋_GB2312" w:hAnsi="仿宋_GB2312" w:eastAsia="仿宋_GB2312" w:cs="仿宋_GB2312"/>
          <w:snapToGrid w:val="0"/>
          <w:color w:val="auto"/>
          <w:kern w:val="0"/>
          <w:sz w:val="24"/>
          <w:szCs w:val="24"/>
          <w:highlight w:val="none"/>
          <w:u w:val="none"/>
          <w:lang w:eastAsia="zh-CN"/>
        </w:rPr>
        <w:t>为牵引，</w:t>
      </w:r>
      <w:r>
        <w:rPr>
          <w:rFonts w:hint="eastAsia" w:ascii="仿宋_GB2312" w:hAnsi="仿宋_GB2312" w:eastAsia="仿宋_GB2312" w:cs="仿宋_GB2312"/>
          <w:snapToGrid w:val="0"/>
          <w:color w:val="auto"/>
          <w:kern w:val="0"/>
          <w:sz w:val="24"/>
          <w:szCs w:val="24"/>
          <w:highlight w:val="none"/>
          <w:u w:val="none"/>
        </w:rPr>
        <w:t>，以“智能装备革新、数字平台赋能、新型基建筑基”为实施路径，通过融合物联网感知层、AI决策中枢与智能装备执行端，系统性构建“全域感知-智能分析-精准处置-动态评估”的新型城市智慧管养模式，为城市管理现代化转型提供可复制的白杨范式</w:t>
      </w:r>
      <w:r>
        <w:rPr>
          <w:rFonts w:hint="eastAsia" w:ascii="仿宋_GB2312" w:hAnsi="仿宋_GB2312" w:eastAsia="仿宋_GB2312" w:cs="仿宋_GB2312"/>
          <w:snapToGrid w:val="0"/>
          <w:color w:val="auto"/>
          <w:kern w:val="0"/>
          <w:sz w:val="24"/>
          <w:szCs w:val="24"/>
          <w:highlight w:val="none"/>
          <w:u w:val="none"/>
          <w:lang w:eastAsia="zh-CN"/>
        </w:rPr>
        <w:t>，</w:t>
      </w:r>
      <w:r>
        <w:rPr>
          <w:rFonts w:hint="eastAsia" w:ascii="仿宋_GB2312" w:hAnsi="仿宋_GB2312" w:eastAsia="仿宋_GB2312" w:cs="仿宋_GB2312"/>
          <w:snapToGrid w:val="0"/>
          <w:color w:val="auto"/>
          <w:kern w:val="0"/>
          <w:sz w:val="24"/>
          <w:szCs w:val="24"/>
          <w:highlight w:val="none"/>
          <w:u w:val="none"/>
        </w:rPr>
        <w:t>是国内首批探索全域覆盖、全要素融合的街道级智慧管养标杆项目。</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1.4</w:t>
      </w:r>
      <w:r>
        <w:rPr>
          <w:rFonts w:hint="eastAsia" w:ascii="仿宋_GB2312" w:hAnsi="仿宋_GB2312" w:eastAsia="仿宋_GB2312" w:cs="仿宋_GB2312"/>
          <w:snapToGrid w:val="0"/>
          <w:color w:val="auto"/>
          <w:kern w:val="0"/>
          <w:sz w:val="24"/>
          <w:szCs w:val="24"/>
          <w:highlight w:val="none"/>
          <w:u w:val="none"/>
        </w:rPr>
        <w:t>服务内容</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eastAsia="zh-CN"/>
        </w:rPr>
      </w:pPr>
      <w:r>
        <w:rPr>
          <w:rFonts w:hint="eastAsia" w:ascii="仿宋_GB2312" w:hAnsi="仿宋_GB2312" w:eastAsia="仿宋_GB2312" w:cs="仿宋_GB2312"/>
          <w:snapToGrid w:val="0"/>
          <w:color w:val="auto"/>
          <w:kern w:val="0"/>
          <w:sz w:val="24"/>
          <w:szCs w:val="24"/>
          <w:highlight w:val="none"/>
          <w:u w:val="none"/>
        </w:rPr>
        <w:t>主要对白杨街道全域实施全要素一体化智慧管养，包括</w:t>
      </w:r>
      <w:r>
        <w:rPr>
          <w:rFonts w:hint="eastAsia" w:ascii="仿宋_GB2312" w:hAnsi="仿宋_GB2312" w:eastAsia="仿宋_GB2312" w:cs="仿宋_GB2312"/>
          <w:snapToGrid w:val="0"/>
          <w:color w:val="auto"/>
          <w:kern w:val="0"/>
          <w:sz w:val="24"/>
          <w:szCs w:val="24"/>
          <w:highlight w:val="none"/>
          <w:u w:val="none"/>
          <w:lang w:eastAsia="zh-CN"/>
        </w:rPr>
        <w:t>：</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（1）基础运维：市政养护（含雨水管）、绿化养护保洁（含行道树、时花、</w:t>
      </w:r>
      <w:r>
        <w:rPr>
          <w:rFonts w:hint="eastAsia" w:ascii="仿宋_GB2312" w:hAnsi="仿宋_GB2312" w:eastAsia="仿宋_GB2312" w:cs="仿宋_GB2312"/>
          <w:snapToGrid w:val="0"/>
          <w:color w:val="auto"/>
          <w:kern w:val="0"/>
          <w:sz w:val="24"/>
          <w:szCs w:val="24"/>
          <w:highlight w:val="none"/>
          <w:u w:val="none"/>
          <w:lang w:eastAsia="zh-CN"/>
        </w:rPr>
        <w:t>花境</w:t>
      </w:r>
      <w:r>
        <w:rPr>
          <w:rFonts w:hint="eastAsia" w:ascii="仿宋_GB2312" w:hAnsi="仿宋_GB2312" w:eastAsia="仿宋_GB2312" w:cs="仿宋_GB2312"/>
          <w:snapToGrid w:val="0"/>
          <w:color w:val="auto"/>
          <w:kern w:val="0"/>
          <w:sz w:val="24"/>
          <w:szCs w:val="24"/>
          <w:highlight w:val="none"/>
          <w:u w:val="none"/>
        </w:rPr>
        <w:t>、大树、绿地设施）、环卫保洁、公厕养护保洁、城管驿站运维、河道养护（含河道沿线驳坎、护桩等设施、河道绿化、保洁）等以及范围内城市基础设施相关应急处置工作；</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2）智慧环卫：构建覆盖白杨街道全域全场景的高度自动化、智能化的智慧环卫作业体系。通过应用智能感知技术、配置智能化作业装备，结合数字化管理平台建设，构建覆盖全域的环卫作业与管理体系，重点推动环卫作业装备的自动化升级与数据互联，实现作业资源的动态调配、状态监测及质量评估，形成高效协同的数字化、网联化智慧环卫模式，为城市基础设施管养提供技术支撑；</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eastAsia="zh-CN"/>
        </w:rPr>
      </w:pPr>
      <w:r>
        <w:rPr>
          <w:rFonts w:hint="eastAsia" w:ascii="仿宋_GB2312" w:hAnsi="仿宋_GB2312" w:eastAsia="仿宋_GB2312" w:cs="仿宋_GB2312"/>
          <w:snapToGrid w:val="0"/>
          <w:color w:val="auto"/>
          <w:kern w:val="0"/>
          <w:sz w:val="24"/>
          <w:szCs w:val="24"/>
          <w:highlight w:val="none"/>
          <w:u w:val="none"/>
        </w:rPr>
        <w:t>（3）智慧管养：基于智慧环卫系统，通过各类环卫装备的常态化数据收集、人工智能算法识别以及智慧云平台联动完成基础设施管养事件处理，形成“感知-处置-评估”闭环，推动城市基础设施维护向预防性、集约化转型，进一步提升城市管理水平</w:t>
      </w:r>
      <w:r>
        <w:rPr>
          <w:rFonts w:hint="eastAsia" w:ascii="仿宋_GB2312" w:hAnsi="仿宋_GB2312" w:eastAsia="仿宋_GB2312" w:cs="仿宋_GB2312"/>
          <w:snapToGrid w:val="0"/>
          <w:color w:val="auto"/>
          <w:kern w:val="0"/>
          <w:sz w:val="24"/>
          <w:szCs w:val="24"/>
          <w:highlight w:val="none"/>
          <w:u w:val="none"/>
          <w:lang w:eastAsia="zh-CN"/>
        </w:rPr>
        <w:t>，系统性构建‘全域感知-智能分析-精准处置-动态评估’的创新型城市智慧管养模式，具备前瞻性技术应用和复杂系统集成能力，为城市管理现代化转型提供可复制、可推广的“白杨范式”。</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1.5</w:t>
      </w:r>
      <w:r>
        <w:rPr>
          <w:rFonts w:hint="eastAsia" w:ascii="仿宋_GB2312" w:hAnsi="仿宋_GB2312" w:eastAsia="仿宋_GB2312" w:cs="仿宋_GB2312"/>
          <w:snapToGrid w:val="0"/>
          <w:color w:val="auto"/>
          <w:kern w:val="0"/>
          <w:sz w:val="24"/>
          <w:szCs w:val="24"/>
          <w:highlight w:val="none"/>
          <w:u w:val="none"/>
        </w:rPr>
        <w:t>服务期：项目服务期为3年。</w:t>
      </w:r>
    </w:p>
    <w:p>
      <w:pPr>
        <w:keepNext/>
        <w:keepLines/>
        <w:pageBreakBefore w:val="0"/>
        <w:widowControl w:val="0"/>
        <w:tabs>
          <w:tab w:val="left" w:pos="432"/>
        </w:tabs>
        <w:kinsoku/>
        <w:wordWrap/>
        <w:overflowPunct/>
        <w:topLinePunct w:val="0"/>
        <w:autoSpaceDE/>
        <w:autoSpaceDN/>
        <w:bidi w:val="0"/>
        <w:adjustRightInd/>
        <w:snapToGrid w:val="0"/>
        <w:spacing w:before="0" w:after="0" w:line="360" w:lineRule="auto"/>
        <w:ind w:left="0" w:firstLine="482" w:firstLineChars="200"/>
        <w:jc w:val="left"/>
        <w:textAlignment w:val="auto"/>
        <w:outlineLvl w:val="1"/>
        <w:rPr>
          <w:rFonts w:hint="eastAsia" w:ascii="仿宋_GB2312" w:hAnsi="仿宋_GB2312" w:eastAsia="仿宋_GB2312" w:cs="仿宋_GB2312"/>
          <w:b/>
          <w:bCs/>
          <w:snapToGrid w:val="0"/>
          <w:color w:val="auto"/>
          <w:kern w:val="0"/>
          <w:sz w:val="24"/>
          <w:szCs w:val="24"/>
          <w:highlight w:val="none"/>
          <w:u w:val="none"/>
          <w:lang w:val="zh-CN" w:eastAsia="zh-CN" w:bidi="ar-SA"/>
        </w:rPr>
      </w:pPr>
      <w:bookmarkStart w:id="31" w:name="_Toc261948688"/>
      <w:bookmarkStart w:id="32" w:name="_Toc325717639"/>
      <w:bookmarkStart w:id="33" w:name="_Toc495389906"/>
      <w:bookmarkStart w:id="34" w:name="_Toc410993146"/>
      <w:bookmarkStart w:id="35" w:name="_Toc22899929"/>
      <w:r>
        <w:rPr>
          <w:rFonts w:hint="eastAsia" w:ascii="仿宋_GB2312" w:hAnsi="仿宋_GB2312" w:eastAsia="仿宋_GB2312" w:cs="仿宋_GB2312"/>
          <w:b/>
          <w:bCs/>
          <w:snapToGrid w:val="0"/>
          <w:color w:val="auto"/>
          <w:kern w:val="0"/>
          <w:sz w:val="24"/>
          <w:szCs w:val="24"/>
          <w:highlight w:val="none"/>
          <w:u w:val="none"/>
          <w:lang w:val="en-US" w:eastAsia="zh-CN" w:bidi="ar-SA"/>
        </w:rPr>
        <w:t>二</w:t>
      </w:r>
      <w:r>
        <w:rPr>
          <w:rFonts w:hint="eastAsia" w:ascii="仿宋_GB2312" w:hAnsi="仿宋_GB2312" w:eastAsia="仿宋_GB2312" w:cs="仿宋_GB2312"/>
          <w:b/>
          <w:bCs/>
          <w:snapToGrid w:val="0"/>
          <w:color w:val="auto"/>
          <w:kern w:val="0"/>
          <w:sz w:val="24"/>
          <w:szCs w:val="24"/>
          <w:highlight w:val="none"/>
          <w:u w:val="none"/>
          <w:lang w:val="zh-CN" w:eastAsia="zh-CN" w:bidi="ar-SA"/>
        </w:rPr>
        <w:t>、</w:t>
      </w:r>
      <w:bookmarkEnd w:id="31"/>
      <w:bookmarkEnd w:id="32"/>
      <w:bookmarkEnd w:id="33"/>
      <w:bookmarkEnd w:id="34"/>
      <w:bookmarkEnd w:id="35"/>
      <w:r>
        <w:rPr>
          <w:rFonts w:hint="eastAsia" w:ascii="仿宋_GB2312" w:hAnsi="仿宋_GB2312" w:eastAsia="仿宋_GB2312" w:cs="仿宋_GB2312"/>
          <w:b/>
          <w:bCs/>
          <w:snapToGrid w:val="0"/>
          <w:color w:val="auto"/>
          <w:kern w:val="0"/>
          <w:sz w:val="24"/>
          <w:szCs w:val="24"/>
          <w:highlight w:val="none"/>
          <w:u w:val="none"/>
          <w:lang w:val="en-US" w:eastAsia="zh-CN" w:bidi="ar-SA"/>
        </w:rPr>
        <w:t>整体要求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bookmarkStart w:id="36" w:name="_Toc261948689"/>
      <w:r>
        <w:rPr>
          <w:rFonts w:hint="eastAsia" w:ascii="仿宋_GB2312" w:hAnsi="仿宋_GB2312" w:eastAsia="仿宋_GB2312" w:cs="仿宋_GB2312"/>
          <w:snapToGrid w:val="0"/>
          <w:color w:val="auto"/>
          <w:kern w:val="0"/>
          <w:sz w:val="24"/>
          <w:szCs w:val="24"/>
          <w:highlight w:val="none"/>
          <w:u w:val="none"/>
          <w:lang w:val="en-US" w:eastAsia="zh-CN"/>
        </w:rPr>
        <w:t>1.1</w:t>
      </w:r>
      <w:r>
        <w:rPr>
          <w:rFonts w:hint="eastAsia" w:ascii="仿宋_GB2312" w:hAnsi="仿宋_GB2312" w:eastAsia="仿宋_GB2312" w:cs="仿宋_GB2312"/>
          <w:snapToGrid w:val="0"/>
          <w:color w:val="auto"/>
          <w:kern w:val="0"/>
          <w:sz w:val="24"/>
          <w:szCs w:val="24"/>
          <w:highlight w:val="none"/>
          <w:u w:val="none"/>
        </w:rPr>
        <w:t>中标人全面负责养护区域内相关城市基础设施的智慧养护服务。本项目为“交钥匙”项目，主要包括智慧环卫建设、环卫保洁、河道养护、绿化养护、市政设施养护、应急事件处置以及其他工作。</w:t>
      </w:r>
      <w:r>
        <w:rPr>
          <w:rFonts w:hint="eastAsia" w:ascii="仿宋_GB2312" w:hAnsi="仿宋_GB2312" w:eastAsia="仿宋_GB2312" w:cs="仿宋_GB2312"/>
          <w:snapToGrid w:val="0"/>
          <w:color w:val="auto"/>
          <w:kern w:val="0"/>
          <w:sz w:val="24"/>
          <w:szCs w:val="24"/>
          <w:highlight w:val="none"/>
          <w:u w:val="none"/>
          <w:lang w:eastAsia="zh-CN"/>
        </w:rPr>
        <w:t>具体</w:t>
      </w:r>
      <w:r>
        <w:rPr>
          <w:rFonts w:hint="eastAsia" w:ascii="仿宋_GB2312" w:hAnsi="仿宋_GB2312" w:eastAsia="仿宋_GB2312" w:cs="仿宋_GB2312"/>
          <w:snapToGrid w:val="0"/>
          <w:color w:val="auto"/>
          <w:kern w:val="0"/>
          <w:sz w:val="24"/>
          <w:szCs w:val="24"/>
          <w:highlight w:val="none"/>
          <w:u w:val="none"/>
        </w:rPr>
        <w:t>如下：</w:t>
      </w:r>
    </w:p>
    <w:p>
      <w:pPr>
        <w:pageBreakBefore w:val="0"/>
        <w:numPr>
          <w:ilvl w:val="0"/>
          <w:numId w:val="4"/>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single"/>
        </w:rPr>
      </w:pPr>
      <w:r>
        <w:rPr>
          <w:rFonts w:hint="eastAsia" w:ascii="仿宋_GB2312" w:hAnsi="仿宋_GB2312" w:eastAsia="仿宋_GB2312" w:cs="仿宋_GB2312"/>
          <w:snapToGrid w:val="0"/>
          <w:color w:val="auto"/>
          <w:kern w:val="0"/>
          <w:sz w:val="24"/>
          <w:szCs w:val="24"/>
          <w:highlight w:val="none"/>
          <w:u w:val="none"/>
        </w:rPr>
        <w:t>智慧环卫建设。包括智能化设备规模化配置，在基础的服务内容上配置各类智能清扫设备，规模化投放智能环卫车辆或</w:t>
      </w:r>
      <w:r>
        <w:rPr>
          <w:rFonts w:hint="eastAsia" w:ascii="仿宋_GB2312" w:hAnsi="仿宋_GB2312" w:eastAsia="仿宋_GB2312" w:cs="仿宋_GB2312"/>
          <w:snapToGrid w:val="0"/>
          <w:color w:val="auto"/>
          <w:kern w:val="0"/>
          <w:sz w:val="24"/>
          <w:szCs w:val="24"/>
          <w:highlight w:val="none"/>
          <w:u w:val="none"/>
          <w:lang w:eastAsia="zh-CN"/>
        </w:rPr>
        <w:t>机具</w:t>
      </w:r>
      <w:r>
        <w:rPr>
          <w:rFonts w:hint="eastAsia" w:ascii="仿宋_GB2312" w:hAnsi="仿宋_GB2312" w:eastAsia="仿宋_GB2312" w:cs="仿宋_GB2312"/>
          <w:snapToGrid w:val="0"/>
          <w:color w:val="auto"/>
          <w:kern w:val="0"/>
          <w:sz w:val="24"/>
          <w:szCs w:val="24"/>
          <w:highlight w:val="none"/>
          <w:u w:val="none"/>
        </w:rPr>
        <w:t>（具备L4级别自动驾驶或智能驾驶功能），实现环卫清扫和清洗作业机械化、智能化升级</w:t>
      </w:r>
      <w:r>
        <w:rPr>
          <w:rFonts w:hint="eastAsia" w:ascii="仿宋_GB2312" w:hAnsi="仿宋_GB2312" w:eastAsia="仿宋_GB2312" w:cs="仿宋_GB2312"/>
          <w:snapToGrid w:val="0"/>
          <w:color w:val="auto"/>
          <w:kern w:val="0"/>
          <w:sz w:val="24"/>
          <w:szCs w:val="24"/>
          <w:highlight w:val="none"/>
          <w:u w:val="none"/>
          <w:lang w:eastAsia="zh-CN"/>
        </w:rPr>
        <w:t>，</w:t>
      </w:r>
      <w:r>
        <w:rPr>
          <w:rFonts w:hint="eastAsia" w:ascii="仿宋_GB2312" w:hAnsi="仿宋_GB2312" w:eastAsia="仿宋_GB2312" w:cs="仿宋_GB2312"/>
          <w:snapToGrid w:val="0"/>
          <w:color w:val="auto"/>
          <w:kern w:val="0"/>
          <w:sz w:val="24"/>
          <w:szCs w:val="24"/>
          <w:highlight w:val="none"/>
          <w:u w:val="none"/>
          <w:lang w:val="en-US" w:eastAsia="zh-CN"/>
        </w:rPr>
        <w:t>智能化设备统一接入区综合行政执法局物联感知平台</w:t>
      </w:r>
      <w:r>
        <w:rPr>
          <w:rFonts w:hint="eastAsia" w:ascii="仿宋_GB2312" w:hAnsi="仿宋_GB2312" w:eastAsia="仿宋_GB2312" w:cs="仿宋_GB2312"/>
          <w:snapToGrid w:val="0"/>
          <w:color w:val="auto"/>
          <w:kern w:val="0"/>
          <w:sz w:val="24"/>
          <w:szCs w:val="24"/>
          <w:highlight w:val="none"/>
          <w:u w:val="none"/>
        </w:rPr>
        <w:t>；智慧环卫管理系统建设，</w:t>
      </w:r>
      <w:r>
        <w:rPr>
          <w:rFonts w:hint="eastAsia" w:ascii="仿宋_GB2312" w:hAnsi="仿宋_GB2312" w:eastAsia="仿宋_GB2312" w:cs="仿宋_GB2312"/>
          <w:snapToGrid w:val="0"/>
          <w:color w:val="auto"/>
          <w:kern w:val="0"/>
          <w:sz w:val="24"/>
          <w:szCs w:val="24"/>
          <w:highlight w:val="none"/>
          <w:u w:val="none"/>
          <w:lang w:eastAsia="zh-CN"/>
        </w:rPr>
        <w:t>在满足政务数据安全监管要求和标准的前提下，</w:t>
      </w:r>
      <w:r>
        <w:rPr>
          <w:rFonts w:hint="eastAsia" w:ascii="仿宋_GB2312" w:hAnsi="仿宋_GB2312" w:eastAsia="仿宋_GB2312" w:cs="仿宋_GB2312"/>
          <w:snapToGrid w:val="0"/>
          <w:color w:val="auto"/>
          <w:kern w:val="0"/>
          <w:sz w:val="24"/>
          <w:szCs w:val="24"/>
          <w:highlight w:val="none"/>
          <w:u w:val="none"/>
        </w:rPr>
        <w:t>搭建智慧环卫管理云平台，通过智慧环卫管理系统控制，建立全程数字化监控平台，综合运用物联网、数据库、5G通信、专业模型和3S等一系列新技术，集成所有环卫要素信息，建设实时视频监控、车辆状态监测、人员精准定位及作业质量AI评估等功能，实现实时采集、传输、存储和管理信息，提高环卫指挥工作的正确性、实时性和有效性，</w:t>
      </w:r>
      <w:r>
        <w:rPr>
          <w:rFonts w:hint="eastAsia" w:ascii="仿宋_GB2312" w:hAnsi="仿宋_GB2312" w:eastAsia="仿宋_GB2312" w:cs="仿宋_GB2312"/>
          <w:snapToGrid w:val="0"/>
          <w:color w:val="auto"/>
          <w:kern w:val="0"/>
          <w:sz w:val="24"/>
          <w:szCs w:val="24"/>
          <w:highlight w:val="none"/>
          <w:u w:val="none"/>
          <w:lang w:val="en-US" w:eastAsia="zh-CN"/>
        </w:rPr>
        <w:t>该系统需在服务期内免费为采购开设账户并开放管理权限，便于采购方实现全部功能的使用</w:t>
      </w:r>
      <w:r>
        <w:rPr>
          <w:rFonts w:hint="eastAsia" w:ascii="仿宋_GB2312" w:hAnsi="仿宋_GB2312" w:eastAsia="仿宋_GB2312" w:cs="仿宋_GB2312"/>
          <w:snapToGrid w:val="0"/>
          <w:color w:val="auto"/>
          <w:kern w:val="0"/>
          <w:sz w:val="24"/>
          <w:szCs w:val="24"/>
          <w:highlight w:val="none"/>
          <w:u w:val="none"/>
        </w:rPr>
        <w:t>；智慧环卫配套设施建设，打造全流程自动化运维体系，完善智慧环卫配套设施建设，包括绘制高精度作业地图，建设智能加水站、自动充电加水设施等。</w:t>
      </w:r>
    </w:p>
    <w:p>
      <w:pPr>
        <w:pageBreakBefore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2</w:t>
      </w:r>
      <w:r>
        <w:rPr>
          <w:rFonts w:hint="eastAsia" w:ascii="仿宋_GB2312" w:hAnsi="仿宋_GB2312" w:eastAsia="仿宋_GB2312" w:cs="仿宋_GB2312"/>
          <w:snapToGrid w:val="0"/>
          <w:color w:val="auto"/>
          <w:kern w:val="0"/>
          <w:sz w:val="24"/>
          <w:szCs w:val="24"/>
          <w:highlight w:val="none"/>
        </w:rPr>
        <w:t>）环卫保洁。包括道路路面、绿化带、城市家具、公交岗亭、交通护栏的保洁、清洗及垃圾处置；公厕养护保洁；城管驿站运维；其他保洁等，其中包括环卫工人购买意外保险（保险金额不低于60万元/人）。路面添置更新果壳箱（参数由采购人确定）等内容。其中公厕养护总金额的15%作为专项养护费用，由养护单位实施，内容包括但不限于公厕提升改造、单个公厕金额5000元以上的零星维修等。投标明细中公厕（明细详见《2025白杨街道城市基础设施养护量及招标限价汇总表》）以及后续移交公厕，可能存在无法连接排污管网的情况，吸粪频率较高，请在投标报价中考虑实际成本，不额外增加吸粪、疏通费用。每座公厕需设置、更换、更新纱窗、捕蝇笼、灭蝇灯、无障碍扶手等设施以及相关行业部门提出需要在公厕内新增的其他设施设备，请在投标报价中考虑实际成本。每座驿站（含公厕附属式驿站）内需配置一名专职驿站管理员，驿站内零星维修（屋面补漏、墙体脱落等各类设施设备维修）、水电、网络等日常维护成本，每月每座驿站需开展关心关爱环卫工人的公益活动（每月不少于2次），请在投标报价中考虑实际成本。环卫总价包含各类特别保障工作，包括但不限于根据大气办要求对指定道路洒水（雾炮）频次保持日均10遍（特殊天气除外），请在投标报价中考虑实际成本。</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lang w:eastAsia="zh-CN"/>
        </w:rPr>
        <w:t>）河道养护。包括但不限于：河道保洁，河道巡查，净水设施养护，河道驳坎等其他设施维修养护（包括河道两侧排口标识标牌、警示牌、河道公告牌、救生圈、救生杆等与河道有关的设施维护管理更新更换），河道除四害，河道淤积监测等相关工作，维护城市大脑智慧河道平台，日常养护、巡查等有关信息录入等。每年安排河道养护费用（最终以实际养护金额为准）的15%为“专项养护”，专项养护内容由采购人明确，包括但不限于以下内容：单处破损长度大于5m的河道驳坎、克顶、二级平台修复；河道局部阻水点清疏；以及涉及重大保障、设施安全、舆情以及考核创建等紧急任务。</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4</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绿化养护。包括公共绿地、绿化带、</w:t>
      </w:r>
      <w:r>
        <w:rPr>
          <w:rFonts w:hint="eastAsia" w:ascii="仿宋_GB2312" w:hAnsi="仿宋_GB2312" w:eastAsia="仿宋_GB2312" w:cs="仿宋_GB2312"/>
          <w:snapToGrid w:val="0"/>
          <w:color w:val="auto"/>
          <w:kern w:val="0"/>
          <w:sz w:val="24"/>
          <w:szCs w:val="24"/>
          <w:highlight w:val="none"/>
        </w:rPr>
        <w:t>道路范围内的绿化</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公园绿化</w:t>
      </w:r>
      <w:r>
        <w:rPr>
          <w:rFonts w:hint="eastAsia" w:ascii="仿宋_GB2312" w:hAnsi="仿宋_GB2312" w:eastAsia="仿宋_GB2312" w:cs="仿宋_GB2312"/>
          <w:snapToGrid w:val="0"/>
          <w:color w:val="auto"/>
          <w:kern w:val="0"/>
          <w:sz w:val="24"/>
          <w:szCs w:val="24"/>
          <w:highlight w:val="none"/>
          <w:lang w:val="en-US" w:eastAsia="zh-CN"/>
        </w:rPr>
        <w:t>等，含红线内围墙外区域</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lang w:val="en-US" w:eastAsia="zh-CN"/>
        </w:rPr>
        <w:t>基本内容包括</w:t>
      </w:r>
      <w:r>
        <w:rPr>
          <w:rFonts w:hint="eastAsia" w:ascii="仿宋_GB2312" w:hAnsi="仿宋_GB2312" w:eastAsia="仿宋_GB2312" w:cs="仿宋_GB2312"/>
          <w:snapToGrid w:val="0"/>
          <w:color w:val="auto"/>
          <w:kern w:val="0"/>
          <w:sz w:val="24"/>
          <w:szCs w:val="24"/>
          <w:highlight w:val="none"/>
        </w:rPr>
        <w:t>浇水、施肥、除草、修剪、补种、病虫害</w:t>
      </w:r>
      <w:r>
        <w:rPr>
          <w:rFonts w:hint="eastAsia" w:ascii="仿宋_GB2312" w:hAnsi="仿宋_GB2312" w:eastAsia="仿宋_GB2312" w:cs="仿宋_GB2312"/>
          <w:snapToGrid w:val="0"/>
          <w:color w:val="auto"/>
          <w:kern w:val="0"/>
          <w:sz w:val="24"/>
          <w:szCs w:val="24"/>
          <w:highlight w:val="none"/>
          <w:lang w:eastAsia="zh-CN"/>
        </w:rPr>
        <w:t>防治、柳絮抑制等生物防治、行道树支撑、</w:t>
      </w:r>
      <w:r>
        <w:rPr>
          <w:rFonts w:hint="eastAsia" w:ascii="仿宋_GB2312" w:hAnsi="仿宋_GB2312" w:eastAsia="仿宋_GB2312" w:cs="仿宋_GB2312"/>
          <w:snapToGrid w:val="0"/>
          <w:color w:val="auto"/>
          <w:kern w:val="0"/>
          <w:sz w:val="24"/>
          <w:szCs w:val="24"/>
          <w:highlight w:val="none"/>
        </w:rPr>
        <w:t>时花的更换及养护</w:t>
      </w:r>
      <w:r>
        <w:rPr>
          <w:rFonts w:hint="eastAsia" w:ascii="仿宋_GB2312" w:hAnsi="仿宋_GB2312" w:eastAsia="仿宋_GB2312" w:cs="仿宋_GB2312"/>
          <w:snapToGrid w:val="0"/>
          <w:color w:val="auto"/>
          <w:kern w:val="0"/>
          <w:sz w:val="24"/>
          <w:szCs w:val="24"/>
          <w:highlight w:val="none"/>
          <w:lang w:eastAsia="zh-CN"/>
        </w:rPr>
        <w:t>及抗旱保绿、抗雪防冻等四防工作，</w:t>
      </w:r>
      <w:r>
        <w:rPr>
          <w:rFonts w:hint="eastAsia" w:ascii="仿宋_GB2312" w:hAnsi="仿宋_GB2312" w:eastAsia="仿宋_GB2312" w:cs="仿宋_GB2312"/>
          <w:snapToGrid w:val="0"/>
          <w:color w:val="auto"/>
          <w:kern w:val="0"/>
          <w:sz w:val="24"/>
          <w:szCs w:val="24"/>
          <w:highlight w:val="none"/>
          <w:lang w:val="en-US" w:eastAsia="zh-CN"/>
        </w:rPr>
        <w:t>以及绿地内未明确养护主体的其他各类设施的日常养护等。将绿化养护费的15%作为实施更新提升的专项养护经费，用于包括但不仅限于老化苗木更新、绿地整治、活动保障提升等。</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5）市政设施养护。包括市政道路、桥梁（含连廊及桥下空间）的巡查、养护；道路路面、人行道、排水、桥梁等各项设施的检查、养护、维修；道路、桥梁常规检测、管道CCTV检测、道路空洞检测等。每年安排市政养护费用（最终以实际养护金额为准）的15%为“专项养护”，专项养护内容由采购人明确，包含但不仅限于市政设施病害整治和桥梁称重系统等无养护预算保障项目以及涉及重大保障、设施安全、舆情、考核等重要任务。</w:t>
      </w:r>
    </w:p>
    <w:p>
      <w:pPr>
        <w:widowControl w:val="0"/>
        <w:adjustRightInd/>
        <w:spacing w:line="360" w:lineRule="auto"/>
        <w:ind w:firstLine="480" w:firstLineChars="200"/>
        <w:jc w:val="both"/>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snapToGrid w:val="0"/>
          <w:color w:val="auto"/>
          <w:spacing w:val="0"/>
          <w:kern w:val="0"/>
          <w:sz w:val="24"/>
          <w:szCs w:val="24"/>
          <w:highlight w:val="none"/>
          <w:lang w:val="en-US" w:eastAsia="zh-CN" w:bidi="ar-SA"/>
        </w:rPr>
        <w:t>（6）应急事件处置。中标人须全面负责养护区域内城市基础设施的应急事件处置工作，白杨街道地处钱塘江沿岸，易受台风、暴雨、洪涝等极端天气影响，防汛抗台、道路抢险、河道应急任务繁重，要求构建专业化、快速响应的应急保障体系，确保城市安全运行和市民生命财产安全，包括①具备专业化应急保障队伍，配备防汛排涝、设施抢修等基础设备，队伍主要人员需具备成功处置重大突发事件（如台风抢险、河道决堤）的实战经验，以及应急指挥、团队协作、高危环境作业的核心能力；②建立常态化巡查机制，及时发现并处置道路塌陷、管道堵塞、绿化倒伏等突发问题；③处置范围全面覆盖市政设施故障、河道险情、极端天气灾害（如台风、暴雨）等应急场景；④建立智慧化处理机制，通过智慧环卫平台联动视频监控及物联感知设备，实现事件预警、工单派发、处置跟踪全流程数字化管理。</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000000"/>
          <w:kern w:val="0"/>
          <w:sz w:val="24"/>
          <w:szCs w:val="24"/>
          <w:highlight w:val="none"/>
          <w:lang w:val="en-US" w:eastAsia="zh-CN"/>
        </w:rPr>
      </w:pPr>
      <w:r>
        <w:rPr>
          <w:rFonts w:hint="eastAsia" w:ascii="仿宋_GB2312" w:hAnsi="仿宋_GB2312" w:eastAsia="仿宋_GB2312" w:cs="仿宋_GB2312"/>
          <w:snapToGrid w:val="0"/>
          <w:color w:val="000000"/>
          <w:kern w:val="0"/>
          <w:sz w:val="24"/>
          <w:szCs w:val="24"/>
          <w:highlight w:val="none"/>
          <w:lang w:val="en-US" w:eastAsia="zh-CN"/>
        </w:rPr>
        <w:t>（7）专项养护费用。各类专项养护费用的使用以采购人下发任务单为实施依据，由中标人提供第三方审计报告，经采购人复审后以复审金额作为结算依据，在年度尾款拨付时统一结算。如审计金额不足实际养护金额15%的，则不足部分可由采购人进行统筹使用，统筹后仍有结余的，结余部分在尾款结算时进行扣除。统筹后超过实际养护金额15%的，超出部分视作优惠不予结算。</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1.2</w:t>
      </w:r>
      <w:r>
        <w:rPr>
          <w:rFonts w:hint="eastAsia" w:ascii="仿宋_GB2312" w:hAnsi="仿宋_GB2312" w:eastAsia="仿宋_GB2312" w:cs="仿宋_GB2312"/>
          <w:snapToGrid w:val="0"/>
          <w:color w:val="auto"/>
          <w:kern w:val="0"/>
          <w:sz w:val="24"/>
          <w:szCs w:val="24"/>
          <w:highlight w:val="none"/>
        </w:rPr>
        <w:t>本项目服务内容较多，相关服务均应</w:t>
      </w:r>
      <w:r>
        <w:rPr>
          <w:rFonts w:hint="eastAsia" w:ascii="仿宋_GB2312" w:hAnsi="仿宋_GB2312" w:eastAsia="仿宋_GB2312" w:cs="仿宋_GB2312"/>
          <w:color w:val="auto"/>
          <w:sz w:val="24"/>
          <w:szCs w:val="24"/>
          <w:highlight w:val="none"/>
          <w:shd w:val="clear" w:color="auto" w:fill="FFFFFF"/>
        </w:rPr>
        <w:t>执行国家相关标准、行业标准、地方标准或者其他标准、规范。</w:t>
      </w:r>
      <w:r>
        <w:rPr>
          <w:rFonts w:hint="eastAsia" w:ascii="仿宋_GB2312" w:hAnsi="仿宋_GB2312" w:eastAsia="仿宋_GB2312" w:cs="仿宋_GB2312"/>
          <w:snapToGrid w:val="0"/>
          <w:color w:val="auto"/>
          <w:kern w:val="0"/>
          <w:sz w:val="24"/>
          <w:szCs w:val="24"/>
          <w:highlight w:val="none"/>
        </w:rPr>
        <w:t>如果国家或有关部门颁布了新的技术标准或规范，则应采用新的标准或规范进行作业。</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1.3</w:t>
      </w:r>
      <w:r>
        <w:rPr>
          <w:rFonts w:hint="eastAsia" w:ascii="仿宋_GB2312" w:hAnsi="仿宋_GB2312" w:eastAsia="仿宋_GB2312" w:cs="仿宋_GB2312"/>
          <w:color w:val="auto"/>
          <w:sz w:val="24"/>
          <w:szCs w:val="24"/>
          <w:highlight w:val="none"/>
        </w:rPr>
        <w:t>中标人必须做好与招标人、监督部门，或者其他（如有）建设单位、改造单位、监理单位等的配合、协调工作。如有涉及配合费用的，请自行考虑含入报价。</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1.4</w:t>
      </w:r>
      <w:r>
        <w:rPr>
          <w:rFonts w:hint="eastAsia" w:ascii="仿宋_GB2312" w:hAnsi="仿宋_GB2312" w:eastAsia="仿宋_GB2312" w:cs="仿宋_GB2312"/>
          <w:snapToGrid w:val="0"/>
          <w:color w:val="auto"/>
          <w:kern w:val="0"/>
          <w:sz w:val="24"/>
          <w:szCs w:val="24"/>
          <w:highlight w:val="none"/>
        </w:rPr>
        <w:t>一旦中标，投标文件中的方案、承诺视为合同的一部分；投标投入的人员、场地、机械/设备/器材等，均考察到岗/到位率，不得挪做他用；否则视为违约。</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1.5</w:t>
      </w:r>
      <w:r>
        <w:rPr>
          <w:rFonts w:hint="eastAsia" w:ascii="仿宋_GB2312" w:hAnsi="仿宋_GB2312" w:eastAsia="仿宋_GB2312" w:cs="仿宋_GB2312"/>
          <w:snapToGrid w:val="0"/>
          <w:color w:val="auto"/>
          <w:kern w:val="0"/>
          <w:sz w:val="24"/>
          <w:szCs w:val="24"/>
          <w:highlight w:val="none"/>
        </w:rPr>
        <w:t>要求提高相关证明材料的，证明材料应是原件的复印件或扫描件，清晰可辨。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1.6</w:t>
      </w:r>
      <w:r>
        <w:rPr>
          <w:rFonts w:hint="eastAsia" w:ascii="仿宋_GB2312" w:hAnsi="仿宋_GB2312" w:eastAsia="仿宋_GB2312" w:cs="仿宋_GB2312"/>
          <w:snapToGrid w:val="0"/>
          <w:color w:val="auto"/>
          <w:kern w:val="0"/>
          <w:sz w:val="24"/>
          <w:szCs w:val="24"/>
          <w:highlight w:val="none"/>
        </w:rPr>
        <w:t>当行政部门有要求的备案手续时，中标人应自行在合同签署前完成。</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1.7投保人应注意：</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lang w:val="en-US" w:eastAsia="zh-CN"/>
        </w:rPr>
        <w:t>1</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rPr>
        <w:t>招标文件提出的仅为</w:t>
      </w:r>
      <w:r>
        <w:rPr>
          <w:rFonts w:hint="eastAsia" w:ascii="仿宋_GB2312" w:hAnsi="仿宋_GB2312" w:eastAsia="仿宋_GB2312" w:cs="仿宋_GB2312"/>
          <w:b/>
          <w:bCs/>
          <w:snapToGrid w:val="0"/>
          <w:color w:val="auto"/>
          <w:kern w:val="0"/>
          <w:sz w:val="24"/>
          <w:szCs w:val="24"/>
          <w:highlight w:val="none"/>
          <w:lang w:val="en-US" w:eastAsia="zh-CN"/>
        </w:rPr>
        <w:t>基本</w:t>
      </w:r>
      <w:r>
        <w:rPr>
          <w:rFonts w:hint="eastAsia" w:ascii="仿宋_GB2312" w:hAnsi="仿宋_GB2312" w:eastAsia="仿宋_GB2312" w:cs="仿宋_GB2312"/>
          <w:b/>
          <w:bCs/>
          <w:snapToGrid w:val="0"/>
          <w:color w:val="auto"/>
          <w:kern w:val="0"/>
          <w:sz w:val="24"/>
          <w:szCs w:val="24"/>
          <w:highlight w:val="none"/>
        </w:rPr>
        <w:t>要求</w:t>
      </w:r>
      <w:r>
        <w:rPr>
          <w:rFonts w:hint="eastAsia" w:ascii="仿宋_GB2312" w:hAnsi="仿宋_GB2312" w:eastAsia="仿宋_GB2312" w:cs="仿宋_GB2312"/>
          <w:b/>
          <w:bCs/>
          <w:snapToGrid w:val="0"/>
          <w:color w:val="auto"/>
          <w:kern w:val="0"/>
          <w:sz w:val="24"/>
          <w:szCs w:val="24"/>
          <w:highlight w:val="none"/>
          <w:lang w:eastAsia="zh-CN"/>
        </w:rPr>
        <w:t>。由于城市建设、规划调整等原因，现状可能存在一定变动，故</w:t>
      </w:r>
      <w:r>
        <w:rPr>
          <w:rFonts w:hint="eastAsia" w:ascii="仿宋_GB2312" w:hAnsi="仿宋_GB2312" w:eastAsia="仿宋_GB2312" w:cs="仿宋_GB2312"/>
          <w:b/>
          <w:bCs/>
          <w:snapToGrid w:val="0"/>
          <w:color w:val="auto"/>
          <w:kern w:val="0"/>
          <w:sz w:val="24"/>
          <w:szCs w:val="24"/>
          <w:highlight w:val="none"/>
          <w:lang w:val="en-US" w:eastAsia="zh-CN"/>
        </w:rPr>
        <w:t>本项目提供的清单中路段、</w:t>
      </w:r>
      <w:r>
        <w:rPr>
          <w:rFonts w:hint="eastAsia" w:ascii="仿宋_GB2312" w:hAnsi="仿宋_GB2312" w:eastAsia="仿宋_GB2312" w:cs="仿宋_GB2312"/>
          <w:b/>
          <w:bCs/>
          <w:snapToGrid w:val="0"/>
          <w:color w:val="auto"/>
          <w:kern w:val="0"/>
          <w:sz w:val="24"/>
          <w:szCs w:val="24"/>
          <w:highlight w:val="none"/>
        </w:rPr>
        <w:t>数量为暂定数量</w:t>
      </w:r>
      <w:r>
        <w:rPr>
          <w:rFonts w:hint="eastAsia" w:ascii="仿宋_GB2312" w:hAnsi="仿宋_GB2312" w:eastAsia="仿宋_GB2312" w:cs="仿宋_GB2312"/>
          <w:b/>
          <w:bCs/>
          <w:snapToGrid w:val="0"/>
          <w:color w:val="auto"/>
          <w:kern w:val="0"/>
          <w:sz w:val="24"/>
          <w:szCs w:val="24"/>
          <w:highlight w:val="none"/>
          <w:lang w:eastAsia="zh-CN"/>
        </w:rPr>
        <w:t>，以实际现状为准</w:t>
      </w:r>
      <w:r>
        <w:rPr>
          <w:rFonts w:hint="eastAsia" w:ascii="仿宋_GB2312" w:hAnsi="仿宋_GB2312" w:eastAsia="仿宋_GB2312" w:cs="仿宋_GB2312"/>
          <w:b/>
          <w:bCs/>
          <w:snapToGrid w:val="0"/>
          <w:color w:val="auto"/>
          <w:kern w:val="0"/>
          <w:sz w:val="24"/>
          <w:szCs w:val="24"/>
          <w:highlight w:val="none"/>
        </w:rPr>
        <w:t>。投标人应踏勘现场，收集</w:t>
      </w:r>
      <w:r>
        <w:rPr>
          <w:rFonts w:hint="eastAsia" w:ascii="仿宋_GB2312" w:hAnsi="仿宋_GB2312" w:eastAsia="仿宋_GB2312" w:cs="仿宋_GB2312"/>
          <w:b/>
          <w:bCs/>
          <w:snapToGrid w:val="0"/>
          <w:color w:val="auto"/>
          <w:kern w:val="0"/>
          <w:sz w:val="24"/>
          <w:szCs w:val="24"/>
          <w:highlight w:val="none"/>
          <w:lang w:val="en-US" w:eastAsia="zh-CN"/>
        </w:rPr>
        <w:t>关于</w:t>
      </w:r>
      <w:r>
        <w:rPr>
          <w:rFonts w:hint="eastAsia" w:ascii="仿宋_GB2312" w:hAnsi="仿宋_GB2312" w:eastAsia="仿宋_GB2312" w:cs="仿宋_GB2312"/>
          <w:b/>
          <w:bCs/>
          <w:snapToGrid w:val="0"/>
          <w:color w:val="auto"/>
          <w:kern w:val="0"/>
          <w:sz w:val="24"/>
          <w:szCs w:val="24"/>
          <w:highlight w:val="none"/>
        </w:rPr>
        <w:t>本次投标的相关养护场地信息。如中标，招标人不接受中标人情况不明、风险考虑不足、</w:t>
      </w:r>
      <w:r>
        <w:rPr>
          <w:rFonts w:hint="eastAsia" w:ascii="仿宋_GB2312" w:hAnsi="仿宋_GB2312" w:eastAsia="仿宋_GB2312" w:cs="仿宋_GB2312"/>
          <w:b/>
          <w:bCs/>
          <w:snapToGrid w:val="0"/>
          <w:color w:val="auto"/>
          <w:kern w:val="0"/>
          <w:sz w:val="24"/>
          <w:szCs w:val="24"/>
          <w:highlight w:val="none"/>
          <w:lang w:val="en-US" w:eastAsia="zh-CN"/>
        </w:rPr>
        <w:t>清单误差、</w:t>
      </w:r>
      <w:r>
        <w:rPr>
          <w:rFonts w:hint="eastAsia" w:ascii="仿宋_GB2312" w:hAnsi="仿宋_GB2312" w:eastAsia="仿宋_GB2312" w:cs="仿宋_GB2312"/>
          <w:b/>
          <w:bCs/>
          <w:snapToGrid w:val="0"/>
          <w:color w:val="auto"/>
          <w:kern w:val="0"/>
          <w:sz w:val="24"/>
          <w:szCs w:val="24"/>
          <w:highlight w:val="none"/>
        </w:rPr>
        <w:t>要求变更等一切价格调整的理由。</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lang w:val="en-US" w:eastAsia="zh-CN"/>
        </w:rPr>
        <w:t>2</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rPr>
        <w:t>招标人或其指定机构对中标人的服务质量进行考核；服务质量不合格的，招标人有权拒收服务成果，提前终止合同并追究中标人违约责任，后续合同不再执行。同时，招标人将中标人列入服务供应商黑名单。</w:t>
      </w:r>
    </w:p>
    <w:p>
      <w:pPr>
        <w:keepNext/>
        <w:keepLines/>
        <w:pageBreakBefore w:val="0"/>
        <w:widowControl w:val="0"/>
        <w:tabs>
          <w:tab w:val="left" w:pos="432"/>
        </w:tabs>
        <w:kinsoku/>
        <w:wordWrap/>
        <w:overflowPunct/>
        <w:topLinePunct w:val="0"/>
        <w:autoSpaceDE/>
        <w:autoSpaceDN/>
        <w:bidi w:val="0"/>
        <w:adjustRightInd/>
        <w:snapToGrid w:val="0"/>
        <w:spacing w:before="0" w:after="0" w:line="360" w:lineRule="auto"/>
        <w:ind w:left="0" w:firstLine="482" w:firstLineChars="200"/>
        <w:jc w:val="left"/>
        <w:textAlignment w:val="auto"/>
        <w:outlineLvl w:val="1"/>
        <w:rPr>
          <w:rFonts w:hint="eastAsia" w:ascii="仿宋_GB2312" w:hAnsi="仿宋_GB2312" w:eastAsia="仿宋_GB2312" w:cs="仿宋_GB2312"/>
          <w:b/>
          <w:bCs/>
          <w:snapToGrid w:val="0"/>
          <w:color w:val="auto"/>
          <w:kern w:val="0"/>
          <w:sz w:val="24"/>
          <w:szCs w:val="24"/>
          <w:highlight w:val="none"/>
          <w:lang w:val="en-US" w:eastAsia="zh-CN" w:bidi="ar-SA"/>
        </w:rPr>
      </w:pPr>
      <w:r>
        <w:rPr>
          <w:rFonts w:hint="eastAsia" w:ascii="仿宋_GB2312" w:hAnsi="仿宋_GB2312" w:eastAsia="仿宋_GB2312" w:cs="仿宋_GB2312"/>
          <w:b/>
          <w:bCs/>
          <w:snapToGrid w:val="0"/>
          <w:color w:val="auto"/>
          <w:kern w:val="0"/>
          <w:sz w:val="24"/>
          <w:szCs w:val="24"/>
          <w:highlight w:val="none"/>
          <w:lang w:val="en-US" w:eastAsia="zh-CN" w:bidi="ar-SA"/>
        </w:rPr>
        <w:t>三、相关服务要求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bookmarkStart w:id="37" w:name="_Toc22899930"/>
      <w:r>
        <w:rPr>
          <w:rFonts w:hint="eastAsia" w:ascii="仿宋_GB2312" w:hAnsi="仿宋_GB2312" w:eastAsia="仿宋_GB2312" w:cs="仿宋_GB2312"/>
          <w:snapToGrid w:val="0"/>
          <w:color w:val="auto"/>
          <w:kern w:val="0"/>
          <w:sz w:val="24"/>
          <w:szCs w:val="24"/>
          <w:highlight w:val="none"/>
          <w:lang w:val="en-US" w:eastAsia="zh-CN"/>
        </w:rPr>
        <w:t>1.1</w:t>
      </w:r>
      <w:bookmarkEnd w:id="37"/>
      <w:r>
        <w:rPr>
          <w:rFonts w:hint="eastAsia" w:ascii="仿宋_GB2312" w:hAnsi="仿宋_GB2312" w:eastAsia="仿宋_GB2312" w:cs="仿宋_GB2312"/>
          <w:snapToGrid w:val="0"/>
          <w:color w:val="auto"/>
          <w:kern w:val="0"/>
          <w:sz w:val="24"/>
          <w:szCs w:val="24"/>
          <w:highlight w:val="none"/>
          <w:lang w:val="en-US" w:eastAsia="zh-CN"/>
        </w:rPr>
        <w:t>场所设置</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投标时（或者承诺中标后）以自行设立</w:t>
      </w:r>
      <w:r>
        <w:rPr>
          <w:rFonts w:hint="eastAsia" w:ascii="仿宋_GB2312" w:hAnsi="仿宋_GB2312" w:eastAsia="仿宋_GB2312" w:cs="仿宋_GB2312"/>
          <w:snapToGrid w:val="0"/>
          <w:color w:val="auto"/>
          <w:kern w:val="0"/>
          <w:sz w:val="24"/>
          <w:szCs w:val="24"/>
          <w:highlight w:val="none"/>
          <w:lang w:val="en-US" w:eastAsia="zh-CN"/>
        </w:rPr>
        <w:t>或</w:t>
      </w:r>
      <w:r>
        <w:rPr>
          <w:rFonts w:hint="eastAsia" w:ascii="仿宋_GB2312" w:hAnsi="仿宋_GB2312" w:eastAsia="仿宋_GB2312" w:cs="仿宋_GB2312"/>
          <w:snapToGrid w:val="0"/>
          <w:color w:val="auto"/>
          <w:kern w:val="0"/>
          <w:sz w:val="24"/>
          <w:szCs w:val="24"/>
          <w:highlight w:val="none"/>
        </w:rPr>
        <w:t>租用等方式，在养护区域附近设置项目综合管理部的办公室，作为办公及应急处置一线指挥部。需配备相应的办公设备、网络设备。费用自理。</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lang w:val="en-US" w:eastAsia="zh-CN"/>
        </w:rPr>
        <w:t>（2）</w:t>
      </w:r>
      <w:r>
        <w:rPr>
          <w:rFonts w:hint="eastAsia" w:ascii="仿宋_GB2312" w:hAnsi="仿宋_GB2312" w:eastAsia="仿宋_GB2312" w:cs="仿宋_GB2312"/>
          <w:snapToGrid w:val="0"/>
          <w:color w:val="auto"/>
          <w:kern w:val="0"/>
          <w:sz w:val="24"/>
          <w:szCs w:val="24"/>
          <w:highlight w:val="none"/>
          <w:u w:val="none"/>
        </w:rPr>
        <w:t>为确保养护</w:t>
      </w:r>
      <w:r>
        <w:rPr>
          <w:rFonts w:hint="eastAsia" w:ascii="仿宋_GB2312" w:hAnsi="仿宋_GB2312" w:eastAsia="仿宋_GB2312" w:cs="仿宋_GB2312"/>
          <w:snapToGrid w:val="0"/>
          <w:color w:val="auto"/>
          <w:kern w:val="0"/>
          <w:sz w:val="24"/>
          <w:szCs w:val="24"/>
          <w:highlight w:val="none"/>
          <w:u w:val="none"/>
          <w:lang w:val="en-US" w:eastAsia="zh-CN"/>
        </w:rPr>
        <w:t>及服务</w:t>
      </w:r>
      <w:r>
        <w:rPr>
          <w:rFonts w:hint="eastAsia" w:ascii="仿宋_GB2312" w:hAnsi="仿宋_GB2312" w:eastAsia="仿宋_GB2312" w:cs="仿宋_GB2312"/>
          <w:snapToGrid w:val="0"/>
          <w:color w:val="auto"/>
          <w:kern w:val="0"/>
          <w:sz w:val="24"/>
          <w:szCs w:val="24"/>
          <w:highlight w:val="none"/>
          <w:u w:val="none"/>
        </w:rPr>
        <w:t>质量，应设置或租用</w:t>
      </w:r>
      <w:r>
        <w:rPr>
          <w:rFonts w:hint="eastAsia" w:ascii="仿宋_GB2312" w:hAnsi="仿宋_GB2312" w:eastAsia="仿宋_GB2312" w:cs="仿宋_GB2312"/>
          <w:snapToGrid w:val="0"/>
          <w:color w:val="auto"/>
          <w:kern w:val="0"/>
          <w:sz w:val="24"/>
          <w:szCs w:val="24"/>
          <w:highlight w:val="none"/>
          <w:u w:val="none"/>
          <w:lang w:val="en-US" w:eastAsia="zh-CN"/>
        </w:rPr>
        <w:t>停保</w:t>
      </w:r>
      <w:r>
        <w:rPr>
          <w:rFonts w:hint="eastAsia" w:ascii="仿宋_GB2312" w:hAnsi="仿宋_GB2312" w:eastAsia="仿宋_GB2312" w:cs="仿宋_GB2312"/>
          <w:snapToGrid w:val="0"/>
          <w:color w:val="auto"/>
          <w:kern w:val="0"/>
          <w:sz w:val="24"/>
          <w:szCs w:val="24"/>
          <w:highlight w:val="none"/>
          <w:u w:val="none"/>
        </w:rPr>
        <w:t>基地。</w:t>
      </w:r>
      <w:r>
        <w:rPr>
          <w:rFonts w:hint="eastAsia" w:ascii="仿宋_GB2312" w:hAnsi="仿宋_GB2312" w:eastAsia="仿宋_GB2312" w:cs="仿宋_GB2312"/>
          <w:snapToGrid w:val="0"/>
          <w:color w:val="auto"/>
          <w:kern w:val="0"/>
          <w:sz w:val="24"/>
          <w:szCs w:val="24"/>
          <w:highlight w:val="none"/>
          <w:u w:val="none"/>
          <w:lang w:val="en-US" w:eastAsia="zh-CN"/>
        </w:rPr>
        <w:t>停保基地应尽量便利并均衡分布，满足一般情况下20分钟可内可及时提供服务响应的要求。其中总基地面积不少于3000方，分基地面积不小于1500方，分基地数量不少于3个。所有作业车辆、设备均规定停放在专业场地，如由于投标单位作业车辆不按规定停放，由此造成的安全事故一律由中标单位负责，招标人不承担任何责任。停保</w:t>
      </w:r>
      <w:r>
        <w:rPr>
          <w:rFonts w:hint="eastAsia" w:ascii="仿宋_GB2312" w:hAnsi="仿宋_GB2312" w:eastAsia="仿宋_GB2312" w:cs="仿宋_GB2312"/>
          <w:snapToGrid w:val="0"/>
          <w:color w:val="auto"/>
          <w:kern w:val="0"/>
          <w:sz w:val="24"/>
          <w:szCs w:val="24"/>
          <w:highlight w:val="none"/>
          <w:u w:val="none"/>
        </w:rPr>
        <w:t>基地</w:t>
      </w:r>
      <w:r>
        <w:rPr>
          <w:rFonts w:hint="eastAsia" w:ascii="仿宋_GB2312" w:hAnsi="仿宋_GB2312" w:eastAsia="仿宋_GB2312" w:cs="仿宋_GB2312"/>
          <w:snapToGrid w:val="0"/>
          <w:color w:val="auto"/>
          <w:kern w:val="0"/>
          <w:sz w:val="24"/>
          <w:szCs w:val="24"/>
          <w:highlight w:val="none"/>
          <w:u w:val="none"/>
          <w:lang w:eastAsia="zh-CN"/>
        </w:rPr>
        <w:t>与办公室在满足功能要求的前提下可以位于同一地址。</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（3）因绿化养护涉及内容较多，应具备苗木基地，尽量便利，满足一般情况下1小时可内可及时提供服务响应的要求。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.2服务期内，中标单位作业人员配置必须满足实行16小时以上时间保洁制，作业时必须统一穿着反光条安全黄背心。</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3服务期内，必须投入相应的养护人员（必须配备管理人员、道路保洁人员、市政养护人员、垃圾清运人员、绿化修剪人员、绿化养护人员、其他辅助人员等）和机械等设备。</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.4服务期内，在迎检和各类创建活动中，中标单位应无条件服从招标人的安排，圆满完成各项任务，由于中标单位的原因失分或造成不良影响的，招标人有权进行处罚和清退中标单位</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在迎检过程中，由于中标单位组织不力，由招标人组织人力、物力进行整治所涉及的费用，由中标单位双倍偿还招标人，招标人有权直接在服务费中扣除。</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.5服务期内所发生的任何安全事故一律由中标单位负责，招标人不承担任何责任。中标单位应在合同执行期间购买工程一切险，以保障在</w:t>
      </w:r>
      <w:r>
        <w:rPr>
          <w:rFonts w:hint="eastAsia" w:ascii="仿宋_GB2312" w:hAnsi="仿宋_GB2312" w:eastAsia="仿宋_GB2312" w:cs="仿宋_GB2312"/>
          <w:snapToGrid w:val="0"/>
          <w:color w:val="auto"/>
          <w:kern w:val="0"/>
          <w:sz w:val="24"/>
          <w:szCs w:val="24"/>
          <w:highlight w:val="none"/>
          <w:lang w:eastAsia="zh-CN"/>
        </w:rPr>
        <w:t>项目</w:t>
      </w:r>
      <w:r>
        <w:rPr>
          <w:rFonts w:hint="eastAsia" w:ascii="仿宋_GB2312" w:hAnsi="仿宋_GB2312" w:eastAsia="仿宋_GB2312" w:cs="仿宋_GB2312"/>
          <w:snapToGrid w:val="0"/>
          <w:color w:val="auto"/>
          <w:kern w:val="0"/>
          <w:sz w:val="24"/>
          <w:szCs w:val="24"/>
          <w:highlight w:val="none"/>
        </w:rPr>
        <w:t>实施过程中因自然灾害、意外事故等造成的工程本身、施工设备和材料等的损失</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保险范围应包括但不限于</w:t>
      </w:r>
      <w:r>
        <w:rPr>
          <w:rFonts w:hint="eastAsia" w:ascii="仿宋_GB2312" w:hAnsi="仿宋_GB2312" w:eastAsia="仿宋_GB2312" w:cs="仿宋_GB2312"/>
          <w:snapToGrid w:val="0"/>
          <w:color w:val="auto"/>
          <w:kern w:val="0"/>
          <w:sz w:val="24"/>
          <w:szCs w:val="24"/>
          <w:highlight w:val="none"/>
          <w:lang w:eastAsia="zh-CN"/>
        </w:rPr>
        <w:t>绿化、环卫保洁、</w:t>
      </w:r>
      <w:r>
        <w:rPr>
          <w:rFonts w:hint="eastAsia" w:ascii="仿宋_GB2312" w:hAnsi="仿宋_GB2312" w:eastAsia="仿宋_GB2312" w:cs="仿宋_GB2312"/>
          <w:snapToGrid w:val="0"/>
          <w:color w:val="auto"/>
          <w:kern w:val="0"/>
          <w:sz w:val="24"/>
          <w:szCs w:val="24"/>
          <w:highlight w:val="none"/>
        </w:rPr>
        <w:t>市政设施</w:t>
      </w:r>
      <w:r>
        <w:rPr>
          <w:rFonts w:hint="eastAsia" w:ascii="仿宋_GB2312" w:hAnsi="仿宋_GB2312" w:eastAsia="仿宋_GB2312" w:cs="仿宋_GB2312"/>
          <w:snapToGrid w:val="0"/>
          <w:color w:val="auto"/>
          <w:kern w:val="0"/>
          <w:sz w:val="24"/>
          <w:szCs w:val="24"/>
          <w:highlight w:val="none"/>
          <w:lang w:eastAsia="zh-CN"/>
        </w:rPr>
        <w:t>、河道等</w:t>
      </w:r>
      <w:r>
        <w:rPr>
          <w:rFonts w:hint="eastAsia" w:ascii="仿宋_GB2312" w:hAnsi="仿宋_GB2312" w:eastAsia="仿宋_GB2312" w:cs="仿宋_GB2312"/>
          <w:snapToGrid w:val="0"/>
          <w:color w:val="auto"/>
          <w:kern w:val="0"/>
          <w:sz w:val="24"/>
          <w:szCs w:val="24"/>
          <w:highlight w:val="none"/>
        </w:rPr>
        <w:t>的养护维修。同时必须购买足够额度的第三者责任险，以保障在养护作业过程中因意外事故对第三方造成的人身伤害和财产损失。保险额度应根据工程规模和可能面临的风险合理确定，确保能够充分赔偿可能发生的</w:t>
      </w:r>
      <w:r>
        <w:rPr>
          <w:rFonts w:hint="eastAsia" w:ascii="仿宋_GB2312" w:hAnsi="仿宋_GB2312" w:eastAsia="仿宋_GB2312" w:cs="仿宋_GB2312"/>
          <w:snapToGrid w:val="0"/>
          <w:color w:val="auto"/>
          <w:kern w:val="0"/>
          <w:sz w:val="24"/>
          <w:szCs w:val="24"/>
          <w:highlight w:val="none"/>
          <w:lang w:eastAsia="zh-CN"/>
        </w:rPr>
        <w:t>损失，</w:t>
      </w:r>
      <w:r>
        <w:rPr>
          <w:rFonts w:hint="eastAsia" w:ascii="仿宋_GB2312" w:hAnsi="仿宋_GB2312" w:eastAsia="仿宋_GB2312" w:cs="仿宋_GB2312"/>
          <w:snapToGrid w:val="0"/>
          <w:color w:val="auto"/>
          <w:kern w:val="0"/>
          <w:sz w:val="24"/>
          <w:szCs w:val="24"/>
          <w:highlight w:val="none"/>
        </w:rPr>
        <w:t>保险期限应与养护合同期限一致，确保在整个养护期间都有有效的保险保障。</w:t>
      </w:r>
      <w:r>
        <w:rPr>
          <w:rFonts w:hint="eastAsia" w:ascii="仿宋_GB2312" w:hAnsi="仿宋_GB2312" w:eastAsia="仿宋_GB2312" w:cs="仿宋_GB2312"/>
          <w:snapToGrid w:val="0"/>
          <w:color w:val="auto"/>
          <w:kern w:val="0"/>
          <w:sz w:val="24"/>
          <w:szCs w:val="24"/>
          <w:highlight w:val="none"/>
          <w:lang w:eastAsia="zh-CN"/>
        </w:rPr>
        <w:t>对于项目养护人员应根据不同的工种和可能面临的风险购买相应额度的人身安全保险和意外保险，</w:t>
      </w:r>
      <w:r>
        <w:rPr>
          <w:rFonts w:hint="eastAsia" w:ascii="仿宋_GB2312" w:hAnsi="仿宋_GB2312" w:eastAsia="仿宋_GB2312" w:cs="仿宋_GB2312"/>
          <w:snapToGrid w:val="0"/>
          <w:color w:val="auto"/>
          <w:kern w:val="0"/>
          <w:sz w:val="24"/>
          <w:szCs w:val="24"/>
          <w:highlight w:val="none"/>
        </w:rPr>
        <w:t>保险期限应与</w:t>
      </w:r>
      <w:r>
        <w:rPr>
          <w:rFonts w:hint="eastAsia" w:ascii="仿宋_GB2312" w:hAnsi="仿宋_GB2312" w:eastAsia="仿宋_GB2312" w:cs="仿宋_GB2312"/>
          <w:snapToGrid w:val="0"/>
          <w:color w:val="auto"/>
          <w:kern w:val="0"/>
          <w:sz w:val="24"/>
          <w:szCs w:val="24"/>
          <w:highlight w:val="none"/>
          <w:lang w:eastAsia="zh-CN"/>
        </w:rPr>
        <w:t>养护人员劳动</w:t>
      </w:r>
      <w:r>
        <w:rPr>
          <w:rFonts w:hint="eastAsia" w:ascii="仿宋_GB2312" w:hAnsi="仿宋_GB2312" w:eastAsia="仿宋_GB2312" w:cs="仿宋_GB2312"/>
          <w:snapToGrid w:val="0"/>
          <w:color w:val="auto"/>
          <w:kern w:val="0"/>
          <w:sz w:val="24"/>
          <w:szCs w:val="24"/>
          <w:highlight w:val="none"/>
        </w:rPr>
        <w:t>合同期限一致</w:t>
      </w:r>
      <w:r>
        <w:rPr>
          <w:rFonts w:hint="eastAsia" w:ascii="仿宋_GB2312" w:hAnsi="仿宋_GB2312" w:eastAsia="仿宋_GB2312" w:cs="仿宋_GB2312"/>
          <w:snapToGrid w:val="0"/>
          <w:color w:val="auto"/>
          <w:kern w:val="0"/>
          <w:sz w:val="24"/>
          <w:szCs w:val="24"/>
          <w:highlight w:val="none"/>
          <w:lang w:eastAsia="zh-CN"/>
        </w:rPr>
        <w:t>。投标人在投标时需提供在养护期购买相关保险的承诺。</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.6服务期内，中标单位所产生的各项费用（垃圾桶清洗费、垃圾运输费、突击整治费、垃圾清运车费、水费等），由中标单位自行考虑一并计入</w:t>
      </w:r>
      <w:r>
        <w:rPr>
          <w:rFonts w:hint="eastAsia" w:ascii="仿宋_GB2312" w:hAnsi="仿宋_GB2312" w:eastAsia="仿宋_GB2312" w:cs="仿宋_GB2312"/>
          <w:snapToGrid w:val="0"/>
          <w:color w:val="auto"/>
          <w:kern w:val="0"/>
          <w:sz w:val="24"/>
          <w:szCs w:val="24"/>
          <w:highlight w:val="none"/>
          <w:lang w:val="en-US" w:eastAsia="zh-CN"/>
        </w:rPr>
        <w:t>投标报价</w:t>
      </w:r>
      <w:r>
        <w:rPr>
          <w:rFonts w:hint="eastAsia" w:ascii="仿宋_GB2312" w:hAnsi="仿宋_GB2312" w:eastAsia="仿宋_GB2312" w:cs="仿宋_GB2312"/>
          <w:snapToGrid w:val="0"/>
          <w:color w:val="auto"/>
          <w:kern w:val="0"/>
          <w:sz w:val="24"/>
          <w:szCs w:val="24"/>
          <w:highlight w:val="none"/>
        </w:rPr>
        <w:t>中，所有面积请在招标前确认，招标后招标人不再追加任何费用。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.7中标单位不得向沿街单位和个人收取任何费用。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.8中标单位不得将本项目转包，否则招标人有权责令其停止作业并中止承包合同，所造成的损失由中标单位负责。</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9</w:t>
      </w:r>
      <w:r>
        <w:rPr>
          <w:rFonts w:hint="eastAsia" w:ascii="仿宋_GB2312" w:hAnsi="仿宋_GB2312" w:eastAsia="仿宋_GB2312" w:cs="仿宋_GB2312"/>
          <w:snapToGrid w:val="0"/>
          <w:color w:val="auto"/>
          <w:kern w:val="0"/>
          <w:sz w:val="24"/>
          <w:szCs w:val="24"/>
          <w:highlight w:val="none"/>
        </w:rPr>
        <w:t>中标单位在签订本项目服务合同前必须具备符合投标文件中承诺的投入本项目所需作业人员、配备的设备数量条件，中标单位若不能满足此条件的招标方有权更换中标单位，所造成的损失由中标单位自负。</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val="en-US" w:eastAsia="zh-CN"/>
        </w:rPr>
        <w:t>10</w:t>
      </w:r>
      <w:r>
        <w:rPr>
          <w:rFonts w:hint="eastAsia" w:ascii="仿宋_GB2312" w:hAnsi="仿宋_GB2312" w:eastAsia="仿宋_GB2312" w:cs="仿宋_GB2312"/>
          <w:snapToGrid w:val="0"/>
          <w:color w:val="auto"/>
          <w:kern w:val="0"/>
          <w:sz w:val="24"/>
          <w:szCs w:val="24"/>
          <w:highlight w:val="none"/>
        </w:rPr>
        <w:t>道路垃圾桶清洗按每天不少于五分之一的量进行清洗；清洗点需接入污水管网，点位由保洁单位自行解决，并经街道同意，避免在清洗过程中二次污染，由中标单位自行考虑一并计入综合单价中，招标后招标人不再追加任何费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.1</w:t>
      </w: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所有招标范围内实行垃圾分类收集、分类清运、沿街商铺垃圾分类指导，相应的费用由中标单位自行考虑一并计入综合单价中，招标后招标人不再追加任何费用。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.1</w:t>
      </w:r>
      <w:r>
        <w:rPr>
          <w:rFonts w:hint="eastAsia" w:ascii="仿宋_GB2312" w:hAnsi="仿宋_GB2312" w:eastAsia="仿宋_GB2312" w:cs="仿宋_GB2312"/>
          <w:snapToGrid w:val="0"/>
          <w:color w:val="auto"/>
          <w:kern w:val="0"/>
          <w:sz w:val="24"/>
          <w:szCs w:val="24"/>
          <w:highlight w:val="none"/>
          <w:lang w:val="en-US" w:eastAsia="zh-CN"/>
        </w:rPr>
        <w:t>2</w:t>
      </w:r>
      <w:r>
        <w:rPr>
          <w:rFonts w:hint="eastAsia" w:ascii="仿宋_GB2312" w:hAnsi="仿宋_GB2312" w:eastAsia="仿宋_GB2312" w:cs="仿宋_GB2312"/>
          <w:snapToGrid w:val="0"/>
          <w:color w:val="auto"/>
          <w:kern w:val="0"/>
          <w:sz w:val="24"/>
          <w:szCs w:val="24"/>
          <w:highlight w:val="none"/>
        </w:rPr>
        <w:t>本绿化养护包含时花更换、</w:t>
      </w:r>
      <w:r>
        <w:rPr>
          <w:rFonts w:hint="eastAsia" w:ascii="仿宋_GB2312" w:hAnsi="仿宋_GB2312" w:eastAsia="仿宋_GB2312" w:cs="仿宋_GB2312"/>
          <w:snapToGrid w:val="0"/>
          <w:color w:val="auto"/>
          <w:kern w:val="0"/>
          <w:sz w:val="24"/>
          <w:szCs w:val="24"/>
          <w:highlight w:val="none"/>
          <w:lang w:val="en-US" w:eastAsia="zh-CN"/>
        </w:rPr>
        <w:t>花境更新、</w:t>
      </w:r>
      <w:r>
        <w:rPr>
          <w:rFonts w:hint="eastAsia" w:ascii="仿宋_GB2312" w:hAnsi="仿宋_GB2312" w:eastAsia="仿宋_GB2312" w:cs="仿宋_GB2312"/>
          <w:snapToGrid w:val="0"/>
          <w:color w:val="auto"/>
          <w:kern w:val="0"/>
          <w:sz w:val="24"/>
          <w:szCs w:val="24"/>
          <w:highlight w:val="none"/>
        </w:rPr>
        <w:t>苗木更新</w:t>
      </w:r>
      <w:r>
        <w:rPr>
          <w:rFonts w:hint="eastAsia" w:ascii="仿宋_GB2312" w:hAnsi="仿宋_GB2312" w:eastAsia="仿宋_GB2312" w:cs="仿宋_GB2312"/>
          <w:snapToGrid w:val="0"/>
          <w:color w:val="auto"/>
          <w:kern w:val="0"/>
          <w:sz w:val="24"/>
          <w:szCs w:val="24"/>
          <w:highlight w:val="none"/>
          <w:lang w:eastAsia="zh-CN"/>
        </w:rPr>
        <w:t>调整</w:t>
      </w:r>
      <w:r>
        <w:rPr>
          <w:rFonts w:hint="eastAsia" w:ascii="仿宋_GB2312" w:hAnsi="仿宋_GB2312" w:eastAsia="仿宋_GB2312" w:cs="仿宋_GB2312"/>
          <w:snapToGrid w:val="0"/>
          <w:color w:val="auto"/>
          <w:kern w:val="0"/>
          <w:sz w:val="24"/>
          <w:szCs w:val="24"/>
          <w:highlight w:val="none"/>
        </w:rPr>
        <w:t>及道路上所有行道树，时花更换每年不少于5次，时花调换制定全年计划，调换前必须要将时花品种、数量方案事先上报招标人，由招标人确定后方能种植，否则将作无更换时花处理，种后由</w:t>
      </w:r>
      <w:r>
        <w:rPr>
          <w:rFonts w:hint="eastAsia" w:ascii="仿宋_GB2312" w:hAnsi="仿宋_GB2312" w:eastAsia="仿宋_GB2312" w:cs="仿宋_GB2312"/>
          <w:snapToGrid w:val="0"/>
          <w:color w:val="auto"/>
          <w:kern w:val="0"/>
          <w:sz w:val="24"/>
          <w:szCs w:val="24"/>
          <w:highlight w:val="none"/>
          <w:lang w:eastAsia="zh-CN"/>
        </w:rPr>
        <w:t>采购人</w:t>
      </w:r>
      <w:r>
        <w:rPr>
          <w:rFonts w:hint="eastAsia" w:ascii="仿宋_GB2312" w:hAnsi="仿宋_GB2312" w:eastAsia="仿宋_GB2312" w:cs="仿宋_GB2312"/>
          <w:snapToGrid w:val="0"/>
          <w:color w:val="auto"/>
          <w:kern w:val="0"/>
          <w:sz w:val="24"/>
          <w:szCs w:val="24"/>
          <w:highlight w:val="none"/>
        </w:rPr>
        <w:t>现场验收签字确定</w:t>
      </w:r>
      <w:r>
        <w:rPr>
          <w:rFonts w:hint="eastAsia" w:ascii="仿宋_GB2312" w:hAnsi="仿宋_GB2312" w:eastAsia="仿宋_GB2312" w:cs="仿宋_GB2312"/>
          <w:snapToGrid w:val="0"/>
          <w:color w:val="auto"/>
          <w:kern w:val="0"/>
          <w:sz w:val="24"/>
          <w:szCs w:val="24"/>
          <w:highlight w:val="none"/>
          <w:lang w:eastAsia="zh-CN"/>
        </w:rPr>
        <w:t>；苗木更新调整即对绿地内苗木过密、苗木严重老化的情况进行疏苗、更换</w:t>
      </w:r>
      <w:r>
        <w:rPr>
          <w:rFonts w:hint="eastAsia" w:ascii="仿宋_GB2312" w:hAnsi="仿宋_GB2312" w:eastAsia="仿宋_GB2312" w:cs="仿宋_GB2312"/>
          <w:snapToGrid w:val="0"/>
          <w:color w:val="auto"/>
          <w:kern w:val="0"/>
          <w:sz w:val="24"/>
          <w:szCs w:val="24"/>
          <w:highlight w:val="none"/>
        </w:rPr>
        <w:t>。所有费用</w:t>
      </w:r>
      <w:r>
        <w:rPr>
          <w:rFonts w:hint="eastAsia" w:ascii="仿宋_GB2312" w:hAnsi="仿宋_GB2312" w:eastAsia="仿宋_GB2312" w:cs="仿宋_GB2312"/>
          <w:snapToGrid w:val="0"/>
          <w:color w:val="auto"/>
          <w:kern w:val="0"/>
          <w:sz w:val="24"/>
          <w:szCs w:val="24"/>
          <w:highlight w:val="none"/>
          <w:lang w:eastAsia="zh-CN"/>
        </w:rPr>
        <w:t>（包括专项养护费用）</w:t>
      </w:r>
      <w:r>
        <w:rPr>
          <w:rFonts w:hint="eastAsia" w:ascii="仿宋_GB2312" w:hAnsi="仿宋_GB2312" w:eastAsia="仿宋_GB2312" w:cs="仿宋_GB2312"/>
          <w:snapToGrid w:val="0"/>
          <w:color w:val="auto"/>
          <w:kern w:val="0"/>
          <w:sz w:val="24"/>
          <w:szCs w:val="24"/>
          <w:highlight w:val="none"/>
        </w:rPr>
        <w:t>包含在投标报价内，不</w:t>
      </w:r>
      <w:r>
        <w:rPr>
          <w:rFonts w:hint="eastAsia" w:ascii="仿宋_GB2312" w:hAnsi="仿宋_GB2312" w:eastAsia="仿宋_GB2312" w:cs="仿宋_GB2312"/>
          <w:snapToGrid w:val="0"/>
          <w:color w:val="auto"/>
          <w:kern w:val="0"/>
          <w:sz w:val="24"/>
          <w:szCs w:val="24"/>
          <w:highlight w:val="none"/>
          <w:lang w:eastAsia="zh-CN"/>
        </w:rPr>
        <w:t>再</w:t>
      </w:r>
      <w:r>
        <w:rPr>
          <w:rFonts w:hint="eastAsia" w:ascii="仿宋_GB2312" w:hAnsi="仿宋_GB2312" w:eastAsia="仿宋_GB2312" w:cs="仿宋_GB2312"/>
          <w:snapToGrid w:val="0"/>
          <w:color w:val="auto"/>
          <w:kern w:val="0"/>
          <w:sz w:val="24"/>
          <w:szCs w:val="24"/>
          <w:highlight w:val="none"/>
        </w:rPr>
        <w:t>单独计取。</w:t>
      </w:r>
    </w:p>
    <w:p>
      <w:pPr>
        <w:pageBreakBefore w:val="0"/>
        <w:kinsoku/>
        <w:wordWrap/>
        <w:overflowPunct/>
        <w:topLinePunct w:val="0"/>
        <w:autoSpaceDE/>
        <w:autoSpaceDN/>
        <w:bidi w:val="0"/>
        <w:adjustRightInd w:val="0"/>
        <w:snapToGrid w:val="0"/>
        <w:spacing w:line="360" w:lineRule="auto"/>
        <w:ind w:left="0" w:firstLine="482" w:firstLineChars="200"/>
        <w:textAlignment w:val="auto"/>
        <w:outlineLvl w:val="1"/>
        <w:rPr>
          <w:rFonts w:hint="eastAsia" w:ascii="仿宋_GB2312" w:hAnsi="仿宋_GB2312" w:eastAsia="仿宋_GB2312" w:cs="仿宋_GB2312"/>
          <w:b/>
          <w:bCs/>
          <w:snapToGrid w:val="0"/>
          <w:color w:val="auto"/>
          <w:kern w:val="0"/>
          <w:sz w:val="24"/>
          <w:szCs w:val="24"/>
          <w:highlight w:val="none"/>
          <w:u w:val="single"/>
          <w:lang w:eastAsia="zh-CN"/>
        </w:rPr>
      </w:pPr>
      <w:r>
        <w:rPr>
          <w:rFonts w:hint="eastAsia" w:ascii="仿宋_GB2312" w:hAnsi="仿宋_GB2312" w:eastAsia="仿宋_GB2312" w:cs="仿宋_GB2312"/>
          <w:b/>
          <w:bCs/>
          <w:snapToGrid w:val="0"/>
          <w:color w:val="auto"/>
          <w:kern w:val="0"/>
          <w:sz w:val="24"/>
          <w:szCs w:val="24"/>
          <w:highlight w:val="none"/>
          <w:u w:val="single"/>
          <w:lang w:eastAsia="zh-CN"/>
        </w:rPr>
        <w:t>四</w:t>
      </w:r>
      <w:r>
        <w:rPr>
          <w:rFonts w:hint="eastAsia" w:ascii="仿宋_GB2312" w:hAnsi="仿宋_GB2312" w:eastAsia="仿宋_GB2312" w:cs="仿宋_GB2312"/>
          <w:b/>
          <w:bCs/>
          <w:snapToGrid w:val="0"/>
          <w:color w:val="auto"/>
          <w:kern w:val="0"/>
          <w:sz w:val="24"/>
          <w:szCs w:val="24"/>
          <w:highlight w:val="none"/>
          <w:u w:val="single"/>
        </w:rPr>
        <w:t>、智慧环卫建设</w:t>
      </w:r>
      <w:r>
        <w:rPr>
          <w:rFonts w:hint="eastAsia" w:ascii="仿宋_GB2312" w:hAnsi="仿宋_GB2312" w:eastAsia="仿宋_GB2312" w:cs="仿宋_GB2312"/>
          <w:b/>
          <w:bCs/>
          <w:snapToGrid w:val="0"/>
          <w:color w:val="auto"/>
          <w:kern w:val="0"/>
          <w:sz w:val="24"/>
          <w:szCs w:val="24"/>
          <w:highlight w:val="none"/>
          <w:u w:val="single"/>
          <w:lang w:eastAsia="zh-CN"/>
        </w:rPr>
        <w:t>需求</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b/>
          <w:bCs/>
          <w:snapToGrid w:val="0"/>
          <w:color w:val="auto"/>
          <w:kern w:val="0"/>
          <w:sz w:val="24"/>
          <w:szCs w:val="24"/>
          <w:highlight w:val="none"/>
          <w:u w:val="single"/>
        </w:rPr>
      </w:pPr>
      <w:r>
        <w:rPr>
          <w:rFonts w:hint="eastAsia" w:ascii="仿宋_GB2312" w:hAnsi="仿宋_GB2312" w:eastAsia="仿宋_GB2312" w:cs="仿宋_GB2312"/>
          <w:b/>
          <w:bCs/>
          <w:snapToGrid w:val="0"/>
          <w:color w:val="auto"/>
          <w:kern w:val="0"/>
          <w:sz w:val="24"/>
          <w:szCs w:val="24"/>
          <w:highlight w:val="none"/>
          <w:u w:val="single"/>
        </w:rPr>
        <w:t>（一）须遵循的规范性文件</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single"/>
        </w:rPr>
      </w:pPr>
      <w:r>
        <w:rPr>
          <w:rFonts w:hint="eastAsia" w:ascii="仿宋_GB2312" w:hAnsi="仿宋_GB2312" w:eastAsia="仿宋_GB2312" w:cs="仿宋_GB2312"/>
          <w:snapToGrid w:val="0"/>
          <w:color w:val="auto"/>
          <w:kern w:val="0"/>
          <w:sz w:val="24"/>
          <w:szCs w:val="24"/>
          <w:highlight w:val="none"/>
          <w:u w:val="single"/>
        </w:rPr>
        <w:t>1.《杭州市城区清洁度检查考核实施细则》</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single"/>
        </w:rPr>
      </w:pPr>
      <w:r>
        <w:rPr>
          <w:rFonts w:hint="eastAsia" w:ascii="仿宋_GB2312" w:hAnsi="仿宋_GB2312" w:eastAsia="仿宋_GB2312" w:cs="仿宋_GB2312"/>
          <w:snapToGrid w:val="0"/>
          <w:color w:val="auto"/>
          <w:kern w:val="0"/>
          <w:sz w:val="24"/>
          <w:szCs w:val="24"/>
          <w:highlight w:val="none"/>
          <w:u w:val="single"/>
        </w:rPr>
        <w:t>2.《杭州市城市市容和环境卫生管理条例》</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single"/>
        </w:rPr>
      </w:pPr>
      <w:r>
        <w:rPr>
          <w:rFonts w:hint="eastAsia" w:ascii="仿宋_GB2312" w:hAnsi="仿宋_GB2312" w:eastAsia="仿宋_GB2312" w:cs="仿宋_GB2312"/>
          <w:snapToGrid w:val="0"/>
          <w:color w:val="auto"/>
          <w:kern w:val="0"/>
          <w:sz w:val="24"/>
          <w:szCs w:val="24"/>
          <w:highlight w:val="none"/>
          <w:u w:val="single"/>
        </w:rPr>
        <w:t>3.《城市环境卫生作业规范》（DB3301/T0006-2013）</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single"/>
        </w:rPr>
      </w:pPr>
      <w:r>
        <w:rPr>
          <w:rFonts w:hint="eastAsia" w:ascii="仿宋_GB2312" w:hAnsi="仿宋_GB2312" w:eastAsia="仿宋_GB2312" w:cs="仿宋_GB2312"/>
          <w:snapToGrid w:val="0"/>
          <w:color w:val="auto"/>
          <w:kern w:val="0"/>
          <w:sz w:val="24"/>
          <w:szCs w:val="24"/>
          <w:highlight w:val="none"/>
          <w:u w:val="single"/>
        </w:rPr>
        <w:t>4.《杭州市功能型无人车运行管理指引（1.0）版》</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single"/>
        </w:rPr>
      </w:pPr>
      <w:r>
        <w:rPr>
          <w:rFonts w:hint="eastAsia" w:ascii="仿宋_GB2312" w:hAnsi="仿宋_GB2312" w:eastAsia="仿宋_GB2312" w:cs="仿宋_GB2312"/>
          <w:snapToGrid w:val="0"/>
          <w:color w:val="auto"/>
          <w:kern w:val="0"/>
          <w:sz w:val="24"/>
          <w:szCs w:val="24"/>
          <w:highlight w:val="none"/>
          <w:u w:val="single"/>
        </w:rPr>
        <w:t>5.《杭州市智能网联车辆道路测试与示范应用管理办法》</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yellow"/>
          <w:u w:val="single"/>
        </w:rPr>
      </w:pPr>
      <w:r>
        <w:rPr>
          <w:rFonts w:hint="eastAsia" w:ascii="仿宋_GB2312" w:hAnsi="仿宋_GB2312" w:eastAsia="仿宋_GB2312" w:cs="仿宋_GB2312"/>
          <w:snapToGrid w:val="0"/>
          <w:color w:val="auto"/>
          <w:kern w:val="0"/>
          <w:sz w:val="24"/>
          <w:szCs w:val="24"/>
          <w:highlight w:val="yellow"/>
          <w:u w:val="single"/>
        </w:rPr>
        <w:t>6.《公共安全视频监控联网系信息传输、交换、控制技术要求》</w:t>
      </w:r>
      <w:r>
        <w:rPr>
          <w:rFonts w:hint="eastAsia" w:ascii="仿宋_GB2312" w:hAnsi="仿宋_GB2312" w:eastAsia="仿宋_GB2312" w:cs="仿宋_GB2312"/>
          <w:snapToGrid w:val="0"/>
          <w:color w:val="auto"/>
          <w:kern w:val="0"/>
          <w:sz w:val="24"/>
          <w:szCs w:val="24"/>
          <w:highlight w:val="yellow"/>
          <w:u w:val="single"/>
          <w:lang w:eastAsia="zh-CN"/>
        </w:rPr>
        <w:t>（</w:t>
      </w:r>
      <w:r>
        <w:rPr>
          <w:rFonts w:hint="eastAsia" w:ascii="仿宋_GB2312" w:hAnsi="仿宋_GB2312" w:eastAsia="仿宋_GB2312" w:cs="仿宋_GB2312"/>
          <w:snapToGrid w:val="0"/>
          <w:color w:val="auto"/>
          <w:kern w:val="0"/>
          <w:sz w:val="24"/>
          <w:szCs w:val="24"/>
          <w:highlight w:val="yellow"/>
          <w:u w:val="single"/>
        </w:rPr>
        <w:t>GB/T 28181-2016</w:t>
      </w:r>
      <w:r>
        <w:rPr>
          <w:rFonts w:hint="eastAsia" w:ascii="仿宋_GB2312" w:hAnsi="仿宋_GB2312" w:eastAsia="仿宋_GB2312" w:cs="仿宋_GB2312"/>
          <w:snapToGrid w:val="0"/>
          <w:color w:val="auto"/>
          <w:kern w:val="0"/>
          <w:sz w:val="24"/>
          <w:szCs w:val="24"/>
          <w:highlight w:val="yellow"/>
          <w:u w:val="single"/>
          <w:lang w:eastAsia="zh-CN"/>
        </w:rPr>
        <w:t>）</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yellow"/>
          <w:u w:val="single"/>
        </w:rPr>
      </w:pPr>
      <w:r>
        <w:rPr>
          <w:rFonts w:hint="eastAsia" w:ascii="仿宋_GB2312" w:hAnsi="仿宋_GB2312" w:eastAsia="仿宋_GB2312" w:cs="仿宋_GB2312"/>
          <w:snapToGrid w:val="0"/>
          <w:color w:val="auto"/>
          <w:kern w:val="0"/>
          <w:sz w:val="24"/>
          <w:szCs w:val="24"/>
          <w:highlight w:val="yellow"/>
          <w:u w:val="single"/>
          <w:lang w:val="en-US" w:eastAsia="zh-CN"/>
        </w:rPr>
        <w:t>7.</w:t>
      </w:r>
      <w:r>
        <w:rPr>
          <w:rFonts w:hint="eastAsia" w:ascii="仿宋_GB2312" w:hAnsi="仿宋_GB2312" w:eastAsia="仿宋_GB2312" w:cs="仿宋_GB2312"/>
          <w:snapToGrid w:val="0"/>
          <w:color w:val="auto"/>
          <w:kern w:val="0"/>
          <w:sz w:val="24"/>
          <w:szCs w:val="24"/>
          <w:highlight w:val="yellow"/>
          <w:u w:val="single"/>
        </w:rPr>
        <w:t>《城镇环境卫生设施属性数采集表及数据库结构》(CJ/T 171)</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yellow"/>
          <w:u w:val="single"/>
        </w:rPr>
      </w:pPr>
      <w:r>
        <w:rPr>
          <w:rFonts w:hint="eastAsia" w:ascii="仿宋_GB2312" w:hAnsi="仿宋_GB2312" w:eastAsia="仿宋_GB2312" w:cs="仿宋_GB2312"/>
          <w:snapToGrid w:val="0"/>
          <w:color w:val="auto"/>
          <w:kern w:val="0"/>
          <w:sz w:val="24"/>
          <w:szCs w:val="24"/>
          <w:highlight w:val="yellow"/>
          <w:u w:val="single"/>
          <w:lang w:val="en-US" w:eastAsia="zh-CN"/>
        </w:rPr>
        <w:t>8.</w:t>
      </w:r>
      <w:r>
        <w:rPr>
          <w:rFonts w:hint="eastAsia" w:ascii="仿宋_GB2312" w:hAnsi="仿宋_GB2312" w:eastAsia="仿宋_GB2312" w:cs="仿宋_GB2312"/>
          <w:snapToGrid w:val="0"/>
          <w:color w:val="auto"/>
          <w:kern w:val="0"/>
          <w:sz w:val="24"/>
          <w:szCs w:val="24"/>
          <w:highlight w:val="yellow"/>
          <w:u w:val="single"/>
        </w:rPr>
        <w:t>《城市运行管理服务平台数标准》(CJ/T 545)</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yellow"/>
          <w:u w:val="single"/>
        </w:rPr>
      </w:pPr>
      <w:r>
        <w:rPr>
          <w:rFonts w:hint="eastAsia" w:ascii="仿宋_GB2312" w:hAnsi="仿宋_GB2312" w:eastAsia="仿宋_GB2312" w:cs="仿宋_GB2312"/>
          <w:snapToGrid w:val="0"/>
          <w:color w:val="auto"/>
          <w:kern w:val="0"/>
          <w:sz w:val="24"/>
          <w:szCs w:val="24"/>
          <w:highlight w:val="yellow"/>
          <w:u w:val="single"/>
          <w:lang w:val="en-US" w:eastAsia="zh-CN"/>
        </w:rPr>
        <w:t>9.</w:t>
      </w:r>
      <w:r>
        <w:rPr>
          <w:rFonts w:hint="eastAsia" w:ascii="仿宋_GB2312" w:hAnsi="仿宋_GB2312" w:eastAsia="仿宋_GB2312" w:cs="仿宋_GB2312"/>
          <w:snapToGrid w:val="0"/>
          <w:color w:val="auto"/>
          <w:kern w:val="0"/>
          <w:sz w:val="24"/>
          <w:szCs w:val="24"/>
          <w:highlight w:val="yellow"/>
          <w:u w:val="single"/>
        </w:rPr>
        <w:t>其他相关规范及标准</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b/>
          <w:bCs/>
          <w:snapToGrid w:val="0"/>
          <w:color w:val="auto"/>
          <w:kern w:val="0"/>
          <w:sz w:val="24"/>
          <w:szCs w:val="24"/>
          <w:highlight w:val="none"/>
          <w:u w:val="none"/>
        </w:rPr>
      </w:pPr>
      <w:r>
        <w:rPr>
          <w:rFonts w:hint="eastAsia" w:ascii="仿宋_GB2312" w:hAnsi="仿宋_GB2312" w:eastAsia="仿宋_GB2312" w:cs="仿宋_GB2312"/>
          <w:b/>
          <w:bCs/>
          <w:snapToGrid w:val="0"/>
          <w:color w:val="auto"/>
          <w:kern w:val="0"/>
          <w:sz w:val="24"/>
          <w:szCs w:val="24"/>
          <w:highlight w:val="none"/>
          <w:u w:val="none"/>
        </w:rPr>
        <w:t>（二）智慧环卫建设基术要求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val="en-US"/>
        </w:rPr>
      </w:pPr>
      <w:r>
        <w:rPr>
          <w:rFonts w:hint="eastAsia" w:ascii="仿宋_GB2312" w:hAnsi="仿宋_GB2312" w:eastAsia="仿宋_GB2312" w:cs="仿宋_GB2312"/>
          <w:snapToGrid w:val="0"/>
          <w:color w:val="auto"/>
          <w:kern w:val="0"/>
          <w:sz w:val="24"/>
          <w:szCs w:val="24"/>
          <w:highlight w:val="none"/>
          <w:u w:val="none"/>
          <w:lang w:val="en-US" w:eastAsia="zh-CN"/>
        </w:rPr>
        <w:t>根据《杭州市进一步推进政务应用系统整合工作方案》（杭信发【2024】2号）要求，按照统一门户集成、统一用户管理、统一授权管理、统一接入管理、统一安全防护、统一资源管理的标准，在区综合行政执法局业务总平台上进行开发建设，涉及的服务器和安全设备须符合国家信创标准和区综合行政执法局网络架构实际情况，由中标单位提供，部署在政务网侧IDC机房内。系统须具有信息安全等级保护二级证书、系统密码安全测试评估报告、系统信创测评过报告、软件功能项测试评估报告。中标单位须聘请有资质的网络安全公司每月对系统进行一次全方位漏洞扫描，每半年对系统进行一次全方位渗透测试，及时修复漏洞，并提供书面报告。</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1.智慧环卫建设其本内容</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1.1作业车辆及设备智能化</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rPr>
        <w:t>利用5G、大数据、人工智能等技术、将参与作业的车辆及设备进行智能化升级，点部署自动驾驶环卫作业车、无人驾驶扫路机、无人驾驶清扫机等装备。车辆及设备应具备环境感知、路径规划、自主避障等AI功能、配置传感器、物联网终端及远程控制系统，实现作业状态实时监测、故障预警与远程诊断，同步配备智能加水和充电装置、确保车辆及设备的连续作业能力。</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1.2环卫管理数字化</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rPr>
        <w:t>通过投放的各类智能网联作业设备、结合智慧环卫管理云平台，将参与作业的单元体，包括车辆、设备人员等全部集成在智慧环卫云平台上，并且通过环卫云平台可以实时分配资源、调度环卫作业资源，从而实现环卫管理的全流程网联化、数字化。</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1.3全流程自动化</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通过建设智慧环卫数字基建，包括高精度地图绘制、智能加水站、自动充电设施等，通过智能化设施与协同管理机制的深度融合建设“感知-分析-执行-反馈”的闭环运维体系，从而实现环卫作业的全流程自动化运维。</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2.智能化设备配置要求</w:t>
      </w:r>
    </w:p>
    <w:p>
      <w:pPr>
        <w:pageBreakBefore w:val="0"/>
        <w:widowControl w:val="0"/>
        <w:kinsoku/>
        <w:wordWrap/>
        <w:overflowPunct/>
        <w:topLinePunct w:val="0"/>
        <w:autoSpaceDE/>
        <w:autoSpaceDN/>
        <w:bidi w:val="0"/>
        <w:adjustRightInd/>
        <w:spacing w:line="360" w:lineRule="auto"/>
        <w:ind w:left="0" w:firstLine="460" w:firstLineChars="200"/>
        <w:jc w:val="both"/>
        <w:textAlignment w:val="auto"/>
        <w:rPr>
          <w:rFonts w:hint="eastAsia" w:ascii="仿宋_GB2312" w:hAnsi="仿宋_GB2312" w:eastAsia="仿宋_GB2312" w:cs="仿宋_GB2312"/>
          <w:color w:val="auto"/>
          <w:spacing w:val="-5"/>
          <w:kern w:val="0"/>
          <w:sz w:val="24"/>
          <w:szCs w:val="24"/>
          <w:highlight w:val="none"/>
          <w:u w:val="none"/>
          <w:lang w:val="en-US" w:eastAsia="zh-CN" w:bidi="ar-SA"/>
        </w:rPr>
      </w:pPr>
      <w:r>
        <w:rPr>
          <w:rFonts w:hint="eastAsia" w:ascii="仿宋_GB2312" w:hAnsi="仿宋_GB2312" w:eastAsia="仿宋_GB2312" w:cs="仿宋_GB2312"/>
          <w:snapToGrid w:val="0"/>
          <w:color w:val="auto"/>
          <w:spacing w:val="-5"/>
          <w:kern w:val="0"/>
          <w:sz w:val="24"/>
          <w:szCs w:val="24"/>
          <w:highlight w:val="none"/>
          <w:u w:val="none"/>
          <w:lang w:val="en-US" w:eastAsia="zh-CN" w:bidi="ar-SA"/>
        </w:rPr>
        <w:t>智能化设备须按照区综合行政执法局《物联设备接入命名规范》和《物联设备接入标准字段》接入物联感知平台。</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2.1智能作业:设备需在复杂路况下自动完成清扫、洒水等作业，遇到行人或障碍物能及时避让，适应雨天、夜晚等环境。</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2.2实时联网管理:所有设备需接人统一管理平台、能远程查看位置、工作状态，自动优化作业路线和任务分配。</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2.3安全可靠:通过国家认可的第三方安全测试认证，确保长期稳定运行，数据存储和传输符合信息安全要求。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3.智慧环卫管理平台要求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3.1实时监管</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通过云平台可以实时查看车辆、设备及人员的作业信息，包括GPS位置、作业模式、作业速度、作业轨迹、实时视频、车辆及设备状态等，实行统一监管。</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3.2质量监督</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利用人工智能算法，智能识别车辆及设备作业过程中发现的道路、绿化带等区域的质量问题、并通过平台调度及时解决。</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rPr>
        <w:t>3.3数据</w:t>
      </w:r>
      <w:r>
        <w:rPr>
          <w:rFonts w:hint="eastAsia" w:ascii="仿宋_GB2312" w:hAnsi="仿宋_GB2312" w:eastAsia="仿宋_GB2312" w:cs="仿宋_GB2312"/>
          <w:snapToGrid w:val="0"/>
          <w:color w:val="auto"/>
          <w:kern w:val="0"/>
          <w:sz w:val="24"/>
          <w:szCs w:val="24"/>
          <w:highlight w:val="none"/>
          <w:u w:val="none"/>
          <w:lang w:val="en-US" w:eastAsia="zh-CN"/>
        </w:rPr>
        <w:t>安全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default"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lang w:val="en-US" w:eastAsia="zh-CN"/>
        </w:rPr>
        <w:t>为确保公共数据、政务数据安全及系统稳定运行，智慧环卫管理平台需遵循相关规范文件，全面保障信息系统的安全性。</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3.4数据</w:t>
      </w:r>
      <w:r>
        <w:rPr>
          <w:rFonts w:hint="eastAsia" w:ascii="仿宋_GB2312" w:hAnsi="仿宋_GB2312" w:eastAsia="仿宋_GB2312" w:cs="仿宋_GB2312"/>
          <w:snapToGrid w:val="0"/>
          <w:color w:val="auto"/>
          <w:kern w:val="0"/>
          <w:sz w:val="24"/>
          <w:szCs w:val="24"/>
          <w:highlight w:val="none"/>
          <w:u w:val="none"/>
        </w:rPr>
        <w:t>增值</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构建环卫数据分析平台，整合设备运行数据、作业检测数据、环境感知数据等多元信息，赋能城市治理，实现环卫资源配置动态优化与长效管理机制建设。</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lang w:val="en-US" w:eastAsia="zh-CN"/>
        </w:rPr>
        <w:t>4.智慧环卫技术要求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lang w:val="en-US" w:eastAsia="zh-CN"/>
        </w:rPr>
        <w:t>4.1要求主导L4级自动驾驶环卫装备选型、核心算法优化及复杂系统集成；推进无人设备在非标准、动态变化的复杂城市场景（如老旧街区窄巷）的安全可靠应用；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default" w:ascii="仿宋_GB2312" w:hAnsi="仿宋_GB2312" w:eastAsia="仿宋_GB2312" w:cs="仿宋_GB2312"/>
          <w:snapToGrid w:val="0"/>
          <w:color w:val="auto"/>
          <w:kern w:val="0"/>
          <w:sz w:val="24"/>
          <w:szCs w:val="24"/>
          <w:highlight w:val="none"/>
          <w:u w:val="none"/>
          <w:lang w:val="en-US" w:eastAsia="zh-CN"/>
        </w:rPr>
      </w:pPr>
      <w:r>
        <w:rPr>
          <w:rFonts w:hint="eastAsia" w:ascii="仿宋_GB2312" w:hAnsi="仿宋_GB2312" w:eastAsia="仿宋_GB2312" w:cs="仿宋_GB2312"/>
          <w:snapToGrid w:val="0"/>
          <w:color w:val="auto"/>
          <w:kern w:val="0"/>
          <w:sz w:val="24"/>
          <w:szCs w:val="24"/>
          <w:highlight w:val="none"/>
          <w:u w:val="none"/>
          <w:lang w:val="en-US" w:eastAsia="zh-CN"/>
        </w:rPr>
        <w:t>4.2要求具备解决自动驾驶设备在市政环卫场景中特有的感知、决策、控制等关键技术难题的能力。</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5.</w:t>
      </w:r>
      <w:r>
        <w:rPr>
          <w:rFonts w:hint="eastAsia" w:ascii="仿宋_GB2312" w:hAnsi="仿宋_GB2312" w:eastAsia="仿宋_GB2312" w:cs="仿宋_GB2312"/>
          <w:snapToGrid w:val="0"/>
          <w:color w:val="auto"/>
          <w:kern w:val="0"/>
          <w:sz w:val="24"/>
          <w:szCs w:val="24"/>
          <w:highlight w:val="none"/>
          <w:u w:val="none"/>
        </w:rPr>
        <w:t>属地化创新应用要求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rPr>
        <w:t>结合白杨街道实际需求，围绕“实用、高效、可推广”原则，开展以下适应性创新。</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5</w:t>
      </w:r>
      <w:r>
        <w:rPr>
          <w:rFonts w:hint="eastAsia" w:ascii="仿宋_GB2312" w:hAnsi="仿宋_GB2312" w:eastAsia="仿宋_GB2312" w:cs="仿宋_GB2312"/>
          <w:snapToGrid w:val="0"/>
          <w:color w:val="auto"/>
          <w:kern w:val="0"/>
          <w:sz w:val="24"/>
          <w:szCs w:val="24"/>
          <w:highlight w:val="none"/>
          <w:u w:val="none"/>
        </w:rPr>
        <w:t>.1管理模式创新：由项目负责人或技术负责人牵头，组建技术专班，制定“一设施一策略”智慧养护方案（如针对老旧街区窄巷的无人设备作业模式、应急事件的智慧化处理机制）；</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rPr>
      </w:pPr>
      <w:r>
        <w:rPr>
          <w:rFonts w:hint="eastAsia" w:ascii="仿宋_GB2312" w:hAnsi="仿宋_GB2312" w:eastAsia="仿宋_GB2312" w:cs="仿宋_GB2312"/>
          <w:snapToGrid w:val="0"/>
          <w:color w:val="auto"/>
          <w:kern w:val="0"/>
          <w:sz w:val="24"/>
          <w:szCs w:val="24"/>
          <w:highlight w:val="none"/>
          <w:u w:val="none"/>
          <w:lang w:val="en-US" w:eastAsia="zh-CN"/>
        </w:rPr>
        <w:t>5</w:t>
      </w:r>
      <w:r>
        <w:rPr>
          <w:rFonts w:hint="eastAsia" w:ascii="仿宋_GB2312" w:hAnsi="仿宋_GB2312" w:eastAsia="仿宋_GB2312" w:cs="仿宋_GB2312"/>
          <w:snapToGrid w:val="0"/>
          <w:color w:val="auto"/>
          <w:kern w:val="0"/>
          <w:sz w:val="24"/>
          <w:szCs w:val="24"/>
          <w:highlight w:val="none"/>
          <w:u w:val="none"/>
        </w:rPr>
        <w:t>.2技术应用优化，基于现有物联网及5G设备，开发低成本数据中台，打通环卫、绿化、市政等多系统数据孤岛，实现养护任务自动关联派发（如路面清扫同步触发绿化带垃圾识别、道路破损识别、城市管理违法违章事件识别等）</w:t>
      </w:r>
      <w:r>
        <w:rPr>
          <w:rFonts w:hint="eastAsia" w:ascii="仿宋_GB2312" w:hAnsi="仿宋_GB2312" w:eastAsia="仿宋_GB2312" w:cs="仿宋_GB2312"/>
          <w:snapToGrid w:val="0"/>
          <w:color w:val="auto"/>
          <w:kern w:val="0"/>
          <w:sz w:val="24"/>
          <w:szCs w:val="24"/>
          <w:highlight w:val="none"/>
          <w:u w:val="none"/>
          <w:lang w:eastAsia="zh-CN"/>
        </w:rPr>
        <w:t>，鼓励形成具有自主知识产权的创新解决方案和技术成果</w:t>
      </w:r>
      <w:r>
        <w:rPr>
          <w:rFonts w:hint="eastAsia" w:ascii="仿宋_GB2312" w:hAnsi="仿宋_GB2312" w:eastAsia="仿宋_GB2312" w:cs="仿宋_GB2312"/>
          <w:snapToGrid w:val="0"/>
          <w:color w:val="auto"/>
          <w:kern w:val="0"/>
          <w:sz w:val="24"/>
          <w:szCs w:val="24"/>
          <w:highlight w:val="none"/>
          <w:u w:val="none"/>
        </w:rPr>
        <w:t>；</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u w:val="none"/>
          <w:lang w:eastAsia="zh-CN"/>
        </w:rPr>
      </w:pPr>
      <w:r>
        <w:rPr>
          <w:rFonts w:hint="eastAsia" w:ascii="仿宋_GB2312" w:hAnsi="仿宋_GB2312" w:eastAsia="仿宋_GB2312" w:cs="仿宋_GB2312"/>
          <w:snapToGrid w:val="0"/>
          <w:color w:val="auto"/>
          <w:kern w:val="0"/>
          <w:sz w:val="24"/>
          <w:szCs w:val="24"/>
          <w:highlight w:val="none"/>
          <w:u w:val="none"/>
          <w:lang w:val="en-US" w:eastAsia="zh-CN"/>
        </w:rPr>
        <w:t>5</w:t>
      </w:r>
      <w:r>
        <w:rPr>
          <w:rFonts w:hint="eastAsia" w:ascii="仿宋_GB2312" w:hAnsi="仿宋_GB2312" w:eastAsia="仿宋_GB2312" w:cs="仿宋_GB2312"/>
          <w:snapToGrid w:val="0"/>
          <w:color w:val="auto"/>
          <w:kern w:val="0"/>
          <w:sz w:val="24"/>
          <w:szCs w:val="24"/>
          <w:highlight w:val="none"/>
          <w:u w:val="none"/>
        </w:rPr>
        <w:t>.3环卫模式升级：落地“人机协同”作业模式（如环卫工人通过智能终端实时反馈问题，AI自动生成处置优先级），形成可复制的街道级智慧养护标准作业流程。</w:t>
      </w:r>
      <w:bookmarkEnd w:id="36"/>
      <w:bookmarkStart w:id="38" w:name="_Toc410993147"/>
      <w:bookmarkStart w:id="39" w:name="_Toc495389907"/>
      <w:bookmarkStart w:id="40" w:name="_Toc325717640"/>
      <w:bookmarkStart w:id="41" w:name="_Toc22899931"/>
    </w:p>
    <w:p>
      <w:pPr>
        <w:keepNext/>
        <w:keepLines/>
        <w:pageBreakBefore w:val="0"/>
        <w:widowControl w:val="0"/>
        <w:tabs>
          <w:tab w:val="left" w:pos="432"/>
        </w:tabs>
        <w:kinsoku/>
        <w:wordWrap/>
        <w:overflowPunct/>
        <w:topLinePunct w:val="0"/>
        <w:autoSpaceDE/>
        <w:autoSpaceDN/>
        <w:bidi w:val="0"/>
        <w:adjustRightInd/>
        <w:snapToGrid w:val="0"/>
        <w:spacing w:before="0" w:after="0" w:line="360" w:lineRule="auto"/>
        <w:ind w:left="0" w:firstLine="482" w:firstLineChars="200"/>
        <w:jc w:val="left"/>
        <w:textAlignment w:val="auto"/>
        <w:outlineLvl w:val="1"/>
        <w:rPr>
          <w:rFonts w:hint="eastAsia" w:ascii="仿宋_GB2312" w:hAnsi="仿宋_GB2312" w:eastAsia="仿宋_GB2312" w:cs="仿宋_GB2312"/>
          <w:b/>
          <w:bCs/>
          <w:snapToGrid w:val="0"/>
          <w:color w:val="auto"/>
          <w:kern w:val="0"/>
          <w:sz w:val="24"/>
          <w:szCs w:val="24"/>
          <w:highlight w:val="none"/>
          <w:lang w:val="zh-CN" w:eastAsia="zh-CN" w:bidi="ar-SA"/>
        </w:rPr>
      </w:pPr>
      <w:r>
        <w:rPr>
          <w:rFonts w:hint="eastAsia" w:ascii="仿宋_GB2312" w:hAnsi="仿宋_GB2312" w:eastAsia="仿宋_GB2312" w:cs="仿宋_GB2312"/>
          <w:b/>
          <w:bCs/>
          <w:snapToGrid w:val="0"/>
          <w:color w:val="auto"/>
          <w:kern w:val="0"/>
          <w:sz w:val="24"/>
          <w:szCs w:val="24"/>
          <w:highlight w:val="none"/>
          <w:lang w:val="zh-CN" w:eastAsia="zh-CN" w:bidi="ar-SA"/>
        </w:rPr>
        <w:t>五、</w:t>
      </w:r>
      <w:r>
        <w:rPr>
          <w:rFonts w:hint="eastAsia" w:ascii="仿宋_GB2312" w:hAnsi="仿宋_GB2312" w:eastAsia="仿宋_GB2312" w:cs="仿宋_GB2312"/>
          <w:b/>
          <w:bCs/>
          <w:snapToGrid w:val="0"/>
          <w:color w:val="auto"/>
          <w:kern w:val="0"/>
          <w:sz w:val="24"/>
          <w:szCs w:val="24"/>
          <w:highlight w:val="none"/>
          <w:lang w:val="en-US" w:eastAsia="zh-CN" w:bidi="ar-SA"/>
        </w:rPr>
        <w:t>环卫保洁、公厕养护、城管驿站需求</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一</w:t>
      </w:r>
      <w:r>
        <w:rPr>
          <w:rFonts w:hint="eastAsia" w:ascii="仿宋_GB2312" w:hAnsi="仿宋_GB2312" w:eastAsia="仿宋_GB2312" w:cs="仿宋_GB2312"/>
          <w:b/>
          <w:bCs/>
          <w:snapToGrid w:val="0"/>
          <w:color w:val="auto"/>
          <w:kern w:val="0"/>
          <w:sz w:val="24"/>
          <w:szCs w:val="24"/>
          <w:highlight w:val="none"/>
        </w:rPr>
        <w:t>）须遵循的规范性文件</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、《关于调整市区道路、公厕分类管理经费定额的通知》（杭城管委﹝2015﹞256号）及杭州市区城市道路保洁分类管理指标（杭城管委〔2013〕211号）。</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2</w:t>
      </w:r>
      <w:r>
        <w:rPr>
          <w:rFonts w:hint="eastAsia" w:ascii="仿宋_GB2312" w:hAnsi="仿宋_GB2312" w:eastAsia="仿宋_GB2312" w:cs="仿宋_GB2312"/>
          <w:snapToGrid w:val="0"/>
          <w:color w:val="auto"/>
          <w:kern w:val="0"/>
          <w:sz w:val="24"/>
          <w:szCs w:val="24"/>
          <w:highlight w:val="none"/>
        </w:rPr>
        <w:t xml:space="preserve"> 、《杭州市城市市容和环境卫生管理条例》。</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城市道路清扫保洁作业规范</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DB3301T/0475-2024。</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4</w:t>
      </w:r>
      <w:r>
        <w:rPr>
          <w:rFonts w:hint="eastAsia" w:ascii="仿宋_GB2312" w:hAnsi="仿宋_GB2312" w:eastAsia="仿宋_GB2312" w:cs="仿宋_GB2312"/>
          <w:snapToGrid w:val="0"/>
          <w:color w:val="auto"/>
          <w:kern w:val="0"/>
          <w:sz w:val="24"/>
          <w:szCs w:val="24"/>
          <w:highlight w:val="none"/>
        </w:rPr>
        <w:t>、《杭州市公共厕所保洁与服务规范》DB 3301/T 74-2016。</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5</w:t>
      </w:r>
      <w:r>
        <w:rPr>
          <w:rFonts w:hint="eastAsia" w:ascii="仿宋_GB2312" w:hAnsi="仿宋_GB2312" w:eastAsia="仿宋_GB2312" w:cs="仿宋_GB2312"/>
          <w:snapToGrid w:val="0"/>
          <w:color w:val="auto"/>
          <w:kern w:val="0"/>
          <w:sz w:val="24"/>
          <w:szCs w:val="24"/>
          <w:highlight w:val="none"/>
        </w:rPr>
        <w:t>、《杭州市区公共厕所分类管理检查考核实施细则》，《杭州市区公共厕所分类管理检查考核评分标准》.</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6</w:t>
      </w:r>
      <w:r>
        <w:rPr>
          <w:rFonts w:hint="eastAsia" w:ascii="仿宋_GB2312" w:hAnsi="仿宋_GB2312" w:eastAsia="仿宋_GB2312" w:cs="仿宋_GB2312"/>
          <w:snapToGrid w:val="0"/>
          <w:color w:val="auto"/>
          <w:kern w:val="0"/>
          <w:sz w:val="24"/>
          <w:szCs w:val="24"/>
          <w:highlight w:val="none"/>
        </w:rPr>
        <w:t>、《杭州市公共厕所保洁与服务规范》DB 3301/T 74-2016。</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val="en-US" w:eastAsia="zh-CN"/>
        </w:rPr>
        <w:t>7</w:t>
      </w:r>
      <w:r>
        <w:rPr>
          <w:rFonts w:hint="eastAsia" w:ascii="仿宋_GB2312" w:hAnsi="仿宋_GB2312" w:eastAsia="仿宋_GB2312" w:cs="仿宋_GB2312"/>
          <w:snapToGrid w:val="0"/>
          <w:color w:val="auto"/>
          <w:kern w:val="0"/>
          <w:sz w:val="24"/>
          <w:szCs w:val="24"/>
          <w:highlight w:val="none"/>
        </w:rPr>
        <w:t>、《杭州市区公共厕所分类管理检查考核实施细则》，《杭州市区公共厕所分类管理检查考核评分标准》</w:t>
      </w:r>
      <w:r>
        <w:rPr>
          <w:rFonts w:hint="eastAsia" w:ascii="仿宋_GB2312" w:hAnsi="仿宋_GB2312" w:eastAsia="仿宋_GB2312" w:cs="仿宋_GB2312"/>
          <w:snapToGrid w:val="0"/>
          <w:color w:val="auto"/>
          <w:kern w:val="0"/>
          <w:sz w:val="24"/>
          <w:szCs w:val="24"/>
          <w:highlight w:val="none"/>
          <w:lang w:eastAsia="zh-CN"/>
        </w:rPr>
        <w:t>。</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8</w:t>
      </w:r>
      <w:r>
        <w:rPr>
          <w:rFonts w:hint="eastAsia" w:ascii="仿宋_GB2312" w:hAnsi="仿宋_GB2312" w:eastAsia="仿宋_GB2312" w:cs="仿宋_GB2312"/>
          <w:snapToGrid w:val="0"/>
          <w:color w:val="auto"/>
          <w:kern w:val="0"/>
          <w:sz w:val="24"/>
          <w:szCs w:val="24"/>
          <w:highlight w:val="none"/>
        </w:rPr>
        <w:t>、</w:t>
      </w:r>
      <w:r>
        <w:rPr>
          <w:rFonts w:hint="eastAsia" w:ascii="仿宋_GB2312" w:hAnsi="仿宋_GB2312" w:eastAsia="仿宋_GB2312" w:cs="仿宋_GB2312"/>
          <w:snapToGrid w:val="0"/>
          <w:color w:val="auto"/>
          <w:kern w:val="0"/>
          <w:sz w:val="24"/>
          <w:szCs w:val="24"/>
          <w:highlight w:val="none"/>
          <w:lang w:eastAsia="zh-CN"/>
        </w:rPr>
        <w:t>《城管驿站管理规范》</w:t>
      </w:r>
      <w:r>
        <w:rPr>
          <w:rFonts w:hint="eastAsia" w:ascii="仿宋_GB2312" w:hAnsi="仿宋_GB2312" w:eastAsia="仿宋_GB2312" w:cs="仿宋_GB2312"/>
          <w:snapToGrid w:val="0"/>
          <w:color w:val="auto"/>
          <w:kern w:val="0"/>
          <w:sz w:val="24"/>
          <w:szCs w:val="24"/>
          <w:highlight w:val="none"/>
          <w:lang w:val="en-US" w:eastAsia="zh-CN"/>
        </w:rPr>
        <w:t>DB 3301/T 0266-2018。</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9、</w:t>
      </w:r>
      <w:r>
        <w:rPr>
          <w:rFonts w:hint="eastAsia" w:ascii="仿宋_GB2312" w:hAnsi="仿宋_GB2312" w:eastAsia="仿宋_GB2312" w:cs="仿宋_GB2312"/>
          <w:snapToGrid w:val="0"/>
          <w:color w:val="auto"/>
          <w:kern w:val="0"/>
          <w:sz w:val="24"/>
          <w:szCs w:val="24"/>
          <w:highlight w:val="none"/>
        </w:rPr>
        <w:t>其他相关规范及标准。</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二</w:t>
      </w:r>
      <w:r>
        <w:rPr>
          <w:rFonts w:hint="eastAsia" w:ascii="仿宋_GB2312" w:hAnsi="仿宋_GB2312" w:eastAsia="仿宋_GB2312" w:cs="仿宋_GB2312"/>
          <w:b/>
          <w:bCs/>
          <w:snapToGrid w:val="0"/>
          <w:color w:val="auto"/>
          <w:kern w:val="0"/>
          <w:sz w:val="24"/>
          <w:szCs w:val="24"/>
          <w:highlight w:val="none"/>
        </w:rPr>
        <w:t>）道路保洁基本要求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 清洁卫生：</w:t>
      </w:r>
    </w:p>
    <w:p>
      <w:pPr>
        <w:keepNext w:val="0"/>
        <w:keepLines w:val="0"/>
        <w:pageBreakBefore w:val="0"/>
        <w:widowControl/>
        <w:suppressLineNumbers w:val="0"/>
        <w:kinsoku/>
        <w:wordWrap/>
        <w:overflowPunct/>
        <w:topLinePunct w:val="0"/>
        <w:autoSpaceDE/>
        <w:autoSpaceDN/>
        <w:bidi w:val="0"/>
        <w:snapToGrid w:val="0"/>
        <w:spacing w:line="360" w:lineRule="auto"/>
        <w:ind w:left="0" w:firstLine="480" w:firstLineChars="200"/>
        <w:jc w:val="left"/>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1.1公共道路清扫保洁，</w:t>
      </w:r>
      <w:r>
        <w:rPr>
          <w:rFonts w:hint="eastAsia" w:ascii="仿宋_GB2312" w:hAnsi="仿宋_GB2312" w:eastAsia="仿宋_GB2312" w:cs="仿宋_GB2312"/>
          <w:snapToGrid w:val="0"/>
          <w:color w:val="auto"/>
          <w:kern w:val="0"/>
          <w:sz w:val="24"/>
          <w:szCs w:val="24"/>
          <w:highlight w:val="none"/>
          <w:lang w:val="en-US" w:eastAsia="zh-CN"/>
        </w:rPr>
        <w:t>一类道路</w:t>
      </w:r>
      <w:r>
        <w:rPr>
          <w:rFonts w:hint="eastAsia" w:ascii="仿宋_GB2312" w:hAnsi="仿宋_GB2312" w:eastAsia="仿宋_GB2312" w:cs="仿宋_GB2312"/>
          <w:snapToGrid w:val="0"/>
          <w:color w:val="auto"/>
          <w:kern w:val="0"/>
          <w:sz w:val="24"/>
          <w:szCs w:val="24"/>
          <w:highlight w:val="none"/>
        </w:rPr>
        <w:t>每天普扫不少于3次</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机扫不少于3次，洒水不少于</w:t>
      </w:r>
      <w:r>
        <w:rPr>
          <w:rFonts w:hint="eastAsia" w:ascii="仿宋_GB2312" w:hAnsi="仿宋_GB2312" w:eastAsia="仿宋_GB2312" w:cs="仿宋_GB2312"/>
          <w:snapToGrid w:val="0"/>
          <w:color w:val="auto"/>
          <w:kern w:val="0"/>
          <w:sz w:val="24"/>
          <w:szCs w:val="24"/>
          <w:highlight w:val="none"/>
          <w:lang w:val="en-US" w:eastAsia="zh-CN"/>
        </w:rPr>
        <w:t>5</w:t>
      </w:r>
      <w:r>
        <w:rPr>
          <w:rFonts w:hint="eastAsia" w:ascii="仿宋_GB2312" w:hAnsi="仿宋_GB2312" w:eastAsia="仿宋_GB2312" w:cs="仿宋_GB2312"/>
          <w:snapToGrid w:val="0"/>
          <w:color w:val="auto"/>
          <w:kern w:val="0"/>
          <w:sz w:val="24"/>
          <w:szCs w:val="24"/>
          <w:highlight w:val="none"/>
        </w:rPr>
        <w:t>次，夏季（6-10月）增加一次，</w:t>
      </w:r>
      <w:r>
        <w:rPr>
          <w:rFonts w:hint="eastAsia" w:ascii="仿宋_GB2312" w:hAnsi="仿宋_GB2312" w:eastAsia="仿宋_GB2312" w:cs="仿宋_GB2312"/>
          <w:snapToGrid w:val="0"/>
          <w:color w:val="auto"/>
          <w:kern w:val="0"/>
          <w:sz w:val="24"/>
          <w:szCs w:val="24"/>
          <w:highlight w:val="none"/>
          <w:lang w:val="en-US" w:eastAsia="zh-CN"/>
        </w:rPr>
        <w:t>每日高压冲洗2次，宜配备护栏清洗车，每周清洗1次；</w:t>
      </w:r>
      <w:r>
        <w:rPr>
          <w:rFonts w:hint="eastAsia" w:ascii="仿宋_GB2312" w:hAnsi="仿宋_GB2312" w:eastAsia="仿宋_GB2312" w:cs="仿宋_GB2312"/>
          <w:snapToGrid w:val="0"/>
          <w:color w:val="auto"/>
          <w:kern w:val="0"/>
          <w:sz w:val="24"/>
          <w:szCs w:val="24"/>
          <w:highlight w:val="none"/>
        </w:rPr>
        <w:t>二类道路每天普扫不少于3次</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机扫不少于3次，洒水不少于4次，夏季（6-10月）增加一次，</w:t>
      </w:r>
      <w:r>
        <w:rPr>
          <w:rFonts w:hint="eastAsia" w:ascii="仿宋_GB2312" w:hAnsi="仿宋_GB2312" w:eastAsia="仿宋_GB2312" w:cs="仿宋_GB2312"/>
          <w:snapToGrid w:val="0"/>
          <w:color w:val="auto"/>
          <w:kern w:val="0"/>
          <w:sz w:val="24"/>
          <w:szCs w:val="24"/>
          <w:highlight w:val="none"/>
          <w:lang w:val="en-US" w:eastAsia="zh-CN"/>
        </w:rPr>
        <w:t>每日高压冲洗1次，宜配备护栏清洗车，每周清洗1次；</w:t>
      </w:r>
      <w:r>
        <w:rPr>
          <w:rFonts w:hint="eastAsia" w:ascii="仿宋_GB2312" w:hAnsi="仿宋_GB2312" w:eastAsia="仿宋_GB2312" w:cs="仿宋_GB2312"/>
          <w:snapToGrid w:val="0"/>
          <w:color w:val="auto"/>
          <w:kern w:val="0"/>
          <w:sz w:val="24"/>
          <w:szCs w:val="24"/>
          <w:highlight w:val="none"/>
        </w:rPr>
        <w:t>三类道路每天</w:t>
      </w:r>
      <w:r>
        <w:rPr>
          <w:rFonts w:hint="eastAsia" w:ascii="仿宋_GB2312" w:hAnsi="仿宋_GB2312" w:eastAsia="仿宋_GB2312" w:cs="仿宋_GB2312"/>
          <w:snapToGrid w:val="0"/>
          <w:color w:val="auto"/>
          <w:kern w:val="0"/>
          <w:sz w:val="24"/>
          <w:szCs w:val="24"/>
          <w:highlight w:val="none"/>
          <w:lang w:val="en-US" w:eastAsia="zh-CN"/>
        </w:rPr>
        <w:t>普扫不少于2次，</w:t>
      </w:r>
      <w:r>
        <w:rPr>
          <w:rFonts w:hint="eastAsia" w:ascii="仿宋_GB2312" w:hAnsi="仿宋_GB2312" w:eastAsia="仿宋_GB2312" w:cs="仿宋_GB2312"/>
          <w:snapToGrid w:val="0"/>
          <w:color w:val="auto"/>
          <w:kern w:val="0"/>
          <w:sz w:val="24"/>
          <w:szCs w:val="24"/>
          <w:highlight w:val="none"/>
        </w:rPr>
        <w:t>机扫不少于2次，洒水不少于</w:t>
      </w: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次，夏季（6-10月）增加一次，</w:t>
      </w:r>
      <w:r>
        <w:rPr>
          <w:rFonts w:hint="eastAsia" w:ascii="仿宋_GB2312" w:hAnsi="仿宋_GB2312" w:eastAsia="仿宋_GB2312" w:cs="仿宋_GB2312"/>
          <w:snapToGrid w:val="0"/>
          <w:color w:val="auto"/>
          <w:kern w:val="0"/>
          <w:sz w:val="24"/>
          <w:szCs w:val="24"/>
          <w:highlight w:val="none"/>
          <w:lang w:val="en-US" w:eastAsia="zh-CN"/>
        </w:rPr>
        <w:t>每日高压冲洗1次，宜配备护栏清洗车，每10天清洗1次。</w:t>
      </w:r>
      <w:r>
        <w:rPr>
          <w:rFonts w:hint="eastAsia" w:ascii="仿宋_GB2312" w:hAnsi="仿宋_GB2312" w:eastAsia="仿宋_GB2312" w:cs="仿宋_GB2312"/>
          <w:snapToGrid w:val="0"/>
          <w:color w:val="auto"/>
          <w:kern w:val="0"/>
          <w:sz w:val="24"/>
          <w:szCs w:val="24"/>
          <w:highlight w:val="none"/>
        </w:rPr>
        <w:t>洒水作业应避开早晚高峰，雨天可暂停洒水作业，气温低于2℃时停止出水作业，暂停洒水和清洗。</w:t>
      </w:r>
      <w:r>
        <w:rPr>
          <w:rFonts w:hint="eastAsia" w:ascii="仿宋_GB2312" w:hAnsi="仿宋_GB2312" w:eastAsia="仿宋_GB2312" w:cs="仿宋_GB2312"/>
          <w:snapToGrid w:val="0"/>
          <w:color w:val="auto"/>
          <w:kern w:val="0"/>
          <w:sz w:val="24"/>
          <w:szCs w:val="24"/>
          <w:highlight w:val="none"/>
          <w:lang w:val="en-US" w:eastAsia="zh-CN" w:bidi="ar"/>
        </w:rPr>
        <w:t>可配备空气抑尘设备，进行洒水、抑尘。</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1.2</w:t>
      </w:r>
      <w:r>
        <w:rPr>
          <w:rFonts w:hint="eastAsia" w:ascii="仿宋_GB2312" w:hAnsi="仿宋_GB2312" w:eastAsia="仿宋_GB2312" w:cs="仿宋_GB2312"/>
          <w:snapToGrid w:val="0"/>
          <w:color w:val="auto"/>
          <w:kern w:val="0"/>
          <w:sz w:val="24"/>
          <w:szCs w:val="24"/>
          <w:highlight w:val="none"/>
          <w:lang w:val="en-US" w:eastAsia="zh-CN"/>
        </w:rPr>
        <w:t>2.根据《DB3301T 0475—2024 城市道路清扫保洁作业规范》，白杨街道道路分为三个等级，保洁时间分别为14-18小时（以具体道路等级为准）。</w:t>
      </w:r>
      <w:r>
        <w:rPr>
          <w:rFonts w:hint="eastAsia" w:ascii="仿宋_GB2312" w:hAnsi="仿宋_GB2312" w:eastAsia="仿宋_GB2312" w:cs="仿宋_GB2312"/>
          <w:snapToGrid w:val="0"/>
          <w:color w:val="auto"/>
          <w:kern w:val="0"/>
          <w:sz w:val="24"/>
          <w:szCs w:val="24"/>
          <w:highlight w:val="none"/>
        </w:rPr>
        <w:t xml:space="preserve"> </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1.3 不间断巡回保洁：普扫以外的作业时间即为巡回保洁时间。</w:t>
      </w:r>
      <w:r>
        <w:rPr>
          <w:rFonts w:hint="eastAsia" w:ascii="仿宋_GB2312" w:hAnsi="仿宋_GB2312" w:eastAsia="仿宋_GB2312" w:cs="仿宋_GB2312"/>
          <w:snapToGrid w:val="0"/>
          <w:color w:val="auto"/>
          <w:kern w:val="0"/>
          <w:sz w:val="24"/>
          <w:szCs w:val="24"/>
          <w:highlight w:val="none"/>
          <w:lang w:val="en-US" w:eastAsia="zh-CN"/>
        </w:rPr>
        <w:t>一类道路</w:t>
      </w:r>
      <w:r>
        <w:rPr>
          <w:rFonts w:hint="eastAsia" w:ascii="仿宋_GB2312" w:hAnsi="仿宋_GB2312" w:eastAsia="仿宋_GB2312" w:cs="仿宋_GB2312"/>
          <w:snapToGrid w:val="0"/>
          <w:color w:val="auto"/>
          <w:kern w:val="0"/>
          <w:sz w:val="24"/>
          <w:szCs w:val="24"/>
          <w:highlight w:val="none"/>
        </w:rPr>
        <w:t>城市家具每天全覆盖擦洗 1 次</w:t>
      </w:r>
      <w:r>
        <w:rPr>
          <w:rFonts w:hint="eastAsia" w:ascii="仿宋_GB2312" w:hAnsi="仿宋_GB2312" w:eastAsia="仿宋_GB2312" w:cs="仿宋_GB2312"/>
          <w:snapToGrid w:val="0"/>
          <w:color w:val="auto"/>
          <w:kern w:val="0"/>
          <w:sz w:val="24"/>
          <w:szCs w:val="24"/>
          <w:highlight w:val="none"/>
          <w:lang w:val="en-US" w:eastAsia="zh-CN"/>
        </w:rPr>
        <w:t>二类道路</w:t>
      </w:r>
      <w:r>
        <w:rPr>
          <w:rFonts w:hint="eastAsia" w:ascii="仿宋_GB2312" w:hAnsi="仿宋_GB2312" w:eastAsia="仿宋_GB2312" w:cs="仿宋_GB2312"/>
          <w:snapToGrid w:val="0"/>
          <w:color w:val="auto"/>
          <w:kern w:val="0"/>
          <w:sz w:val="24"/>
          <w:szCs w:val="24"/>
          <w:highlight w:val="none"/>
        </w:rPr>
        <w:t>城市家具每 2 天全覆盖擦洗 1 次；</w:t>
      </w:r>
      <w:r>
        <w:rPr>
          <w:rFonts w:hint="eastAsia" w:ascii="仿宋_GB2312" w:hAnsi="仿宋_GB2312" w:eastAsia="仿宋_GB2312" w:cs="仿宋_GB2312"/>
          <w:snapToGrid w:val="0"/>
          <w:color w:val="auto"/>
          <w:kern w:val="0"/>
          <w:sz w:val="24"/>
          <w:szCs w:val="24"/>
          <w:highlight w:val="none"/>
          <w:lang w:val="en-US" w:eastAsia="zh-CN"/>
        </w:rPr>
        <w:t>三类道路</w:t>
      </w:r>
      <w:r>
        <w:rPr>
          <w:rFonts w:hint="eastAsia" w:ascii="仿宋_GB2312" w:hAnsi="仿宋_GB2312" w:eastAsia="仿宋_GB2312" w:cs="仿宋_GB2312"/>
          <w:snapToGrid w:val="0"/>
          <w:color w:val="auto"/>
          <w:kern w:val="0"/>
          <w:sz w:val="24"/>
          <w:szCs w:val="24"/>
          <w:highlight w:val="none"/>
        </w:rPr>
        <w:t>城市家具每周全覆盖擦洗 1 次；非法涂写招贴清除：每天清除小广告；绿化带捡拾：机非隔离、人行道内绿化带，落实每日巡回保洁和清扫期间集中清理。机动车道内绿化带，每三天对机动车道内绿化带进行集中清理 1 次</w:t>
      </w:r>
      <w:r>
        <w:rPr>
          <w:rFonts w:hint="eastAsia" w:ascii="仿宋_GB2312" w:hAnsi="仿宋_GB2312" w:eastAsia="仿宋_GB2312" w:cs="仿宋_GB2312"/>
          <w:snapToGrid w:val="0"/>
          <w:color w:val="auto"/>
          <w:kern w:val="0"/>
          <w:sz w:val="24"/>
          <w:szCs w:val="24"/>
          <w:highlight w:val="none"/>
          <w:lang w:eastAsia="zh-CN"/>
        </w:rPr>
        <w:t>，绿化带保洁实行管养区域横向到边、纵向到底，每天完成河岸边保洁1次。</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w:t>
      </w:r>
      <w:r>
        <w:rPr>
          <w:rFonts w:hint="eastAsia" w:ascii="仿宋_GB2312" w:hAnsi="仿宋_GB2312" w:eastAsia="仿宋_GB2312" w:cs="仿宋_GB2312"/>
          <w:snapToGrid w:val="0"/>
          <w:color w:val="auto"/>
          <w:kern w:val="0"/>
          <w:sz w:val="24"/>
          <w:szCs w:val="24"/>
          <w:highlight w:val="none"/>
          <w:lang w:val="en-US" w:eastAsia="zh-CN"/>
        </w:rPr>
        <w:t>4</w:t>
      </w:r>
      <w:r>
        <w:rPr>
          <w:rFonts w:hint="eastAsia" w:ascii="仿宋_GB2312" w:hAnsi="仿宋_GB2312" w:eastAsia="仿宋_GB2312" w:cs="仿宋_GB2312"/>
          <w:snapToGrid w:val="0"/>
          <w:color w:val="auto"/>
          <w:kern w:val="0"/>
          <w:sz w:val="24"/>
          <w:szCs w:val="24"/>
          <w:highlight w:val="none"/>
        </w:rPr>
        <w:t xml:space="preserve"> 重点区域多功能抑尘车每天不少于一次洒水降尘净化空气，PM2.5超标时应加大洒水降尘频次，雨天可暂停洒水作业。</w:t>
      </w:r>
    </w:p>
    <w:p>
      <w:pPr>
        <w:pageBreakBefore w:val="0"/>
        <w:widowControl w:val="0"/>
        <w:kinsoku/>
        <w:wordWrap/>
        <w:overflowPunct/>
        <w:topLinePunct w:val="0"/>
        <w:autoSpaceDE/>
        <w:autoSpaceDN/>
        <w:bidi w:val="0"/>
        <w:adjustRightInd/>
        <w:spacing w:line="360" w:lineRule="auto"/>
        <w:ind w:left="0" w:firstLine="480" w:firstLineChars="200"/>
        <w:jc w:val="both"/>
        <w:textAlignment w:val="auto"/>
        <w:rPr>
          <w:rFonts w:hint="eastAsia" w:ascii="仿宋_GB2312" w:hAnsi="仿宋_GB2312" w:eastAsia="仿宋_GB2312" w:cs="仿宋_GB2312"/>
          <w:snapToGrid w:val="0"/>
          <w:color w:val="auto"/>
          <w:spacing w:val="0"/>
          <w:kern w:val="0"/>
          <w:sz w:val="24"/>
          <w:szCs w:val="24"/>
          <w:highlight w:val="none"/>
          <w:lang w:val="en-US" w:eastAsia="zh-CN" w:bidi="ar-SA"/>
        </w:rPr>
      </w:pPr>
      <w:r>
        <w:rPr>
          <w:rFonts w:hint="eastAsia" w:ascii="仿宋_GB2312" w:hAnsi="仿宋_GB2312" w:eastAsia="仿宋_GB2312" w:cs="仿宋_GB2312"/>
          <w:snapToGrid w:val="0"/>
          <w:color w:val="auto"/>
          <w:spacing w:val="0"/>
          <w:kern w:val="0"/>
          <w:sz w:val="24"/>
          <w:szCs w:val="24"/>
          <w:highlight w:val="none"/>
          <w:lang w:val="en-US" w:eastAsia="zh-CN" w:bidi="ar-SA"/>
        </w:rPr>
        <w:t>1.5未尽事宜参照《城市道路清扫保洁作业规范》DB3301T/0475-2024执行。</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2.作业要求：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2.1保洁区域内无垃圾废弃物（包括烟头、纸屑、瓜 果皮核、包装壳、塑料袋、砖瓦、石子等各类明显废弃物）；无散袋装垃圾滞留 路面及绿化带；果壳箱定时清洗及时加盖、关门；人行道、步阶、墙根、树穴无 明显杂草、杂物。晴天路面无积水，侧石无积泥积沙、无污迹；无窨井堵塞</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无蚊蝇孽生，路两旁及隔离护栏下无淤泥，所有道路上废弃物滞留路面时间不得超过 15 分钟。道路发现的偷倒装修垃圾及时通知主管部门清理。</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2.2普扫的卫生标准达到“五无五净”的标准。 即无杂物、无淤泥积土、无污水、无堵塞窨井沟眼、无卫生死角。路面干净；窨井沟眼干净；树穴墙根净；果壳 箱净；花坛周围净。</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2.3 乱张贴广告清除的范围和清洗质量要求：清除范围包括承包区域内街 道、马路上所有的公共设施上面的各类张贴的印刷小广告，企业围墙外墙面上张 贴的各类小广告，商店门面上张贴的各类小广告。发现张贴的各类小广告必须在 12 小时内组织人员清除，对粘 附力强的要求用清洗剂刷洗，被清洗或清除后物体表面没有明显残留痕迹。不得癣中癣。</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2.4 机械清扫:机扫到边、到位效果明显，路面无垃圾、无淤泥、无沙石； 作业期间基本无扬尘，清扫途中无垃圾洒落；垃圾到指定地点倾倒，不得随意倾 倒、偷到、乱倒垃圾；每次倾倒垃圾时间不得超过 30 分钟；严格按照范围、路 线、时间进行机械作业，不得随意变更。同一类型两次作业间距原则上不得少于2个小时。</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2.5 道路冲洗：对存在夜宵点污染地面的的区域实行人工药水冲刷，冲刷时间为晚上10 时起至次日凌晨5时。冲洗后路面无积逅、灰尘、烟蒂、果壳散落；机动车道为冲水路段，要求水冲后无积水、灰尘、烟蒂、果壳散落；冲洗路面时如发现路面有垃圾应及时清理。 做到机动车道、非机动车道、人行道（含店前道路）路面见本色，无污迹。</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2.6 环卫设施：环卫设施无破损、定期清洗保持外观清洁；果壳箱每天清理2次，上午、下午各清运一次；果壳箱每日清洗1次，果壳箱完好率不得低于 98%；箱内的垃圾应日产日清，禁止环卫工人在果壳箱内翻捡废品。</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2.7 垃圾收集车辆（含机动车和非机动车）每日清洗后方可上路；垃圾容器封闭无四害孳生，周围无垃圾散落，管理规范，垃圾做到日产日清，无积压、 溢满。</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2.8 清扫保洁时间内垃圾不得扫入窨井、花坛、绿化带；清扫作业中不得漏扫、甩扫；交接班不得出现空挡，责任区交界处清扫保洁由相应负责的保洁公司共同清扫，垃圾在指定地点倾倒，不得焚烧垃圾。</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2.9 机械化清扫车和洒水车出车前必须进行车辆检查，发现故障及时排除。 禁止带故障运行。机械化清扫车和洒水车作业时必须开警示灯或发送警示信号；机扫作业时，应喷水压尘。冲洒水作业时应适当控制水压和车速，避免把水溅到路边的行人。机械化清扫车作业时，机扫车时速不得超过8码，清洗车不得超过5码，洒水车不得超过20码。机械化清扫车和洒水车驾驶员在工作过程中，要遵守道路交通安全 法，礼让行车，注意行人的安全。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3</w:t>
      </w:r>
      <w:r>
        <w:rPr>
          <w:rFonts w:hint="eastAsia" w:ascii="仿宋_GB2312" w:hAnsi="仿宋_GB2312" w:eastAsia="仿宋_GB2312" w:cs="仿宋_GB2312"/>
          <w:snapToGrid w:val="0"/>
          <w:color w:val="auto"/>
          <w:kern w:val="0"/>
          <w:sz w:val="24"/>
          <w:szCs w:val="24"/>
          <w:highlight w:val="none"/>
        </w:rPr>
        <w:t xml:space="preserve"> </w:t>
      </w:r>
      <w:r>
        <w:rPr>
          <w:rFonts w:hint="eastAsia" w:ascii="仿宋_GB2312" w:hAnsi="仿宋_GB2312" w:eastAsia="仿宋_GB2312" w:cs="仿宋_GB2312"/>
          <w:snapToGrid w:val="0"/>
          <w:color w:val="auto"/>
          <w:kern w:val="0"/>
          <w:sz w:val="24"/>
          <w:szCs w:val="24"/>
          <w:highlight w:val="none"/>
          <w:lang w:val="en-US" w:eastAsia="zh-CN"/>
        </w:rPr>
        <w:t xml:space="preserve"> </w:t>
      </w:r>
      <w:r>
        <w:rPr>
          <w:rFonts w:hint="eastAsia" w:ascii="仿宋_GB2312" w:hAnsi="仿宋_GB2312" w:eastAsia="仿宋_GB2312" w:cs="仿宋_GB2312"/>
          <w:snapToGrid w:val="0"/>
          <w:color w:val="auto"/>
          <w:kern w:val="0"/>
          <w:sz w:val="24"/>
          <w:szCs w:val="24"/>
          <w:highlight w:val="none"/>
        </w:rPr>
        <w:t>作业人员配证上岗，作业期间穿反光安全服装；在作业期间内，不集聚闲聊，工作休息时间不超过10分钟；作业期内不做与作业无关的事；车辆停放遵守交通法规；垃圾运输实行密闭，不得超高运输和吊挂杂物；严禁作业人员擅自向责任区内单位收取各种费用。</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三</w:t>
      </w:r>
      <w:r>
        <w:rPr>
          <w:rFonts w:hint="eastAsia" w:ascii="仿宋_GB2312" w:hAnsi="仿宋_GB2312" w:eastAsia="仿宋_GB2312" w:cs="仿宋_GB2312"/>
          <w:b/>
          <w:bCs/>
          <w:snapToGrid w:val="0"/>
          <w:color w:val="auto"/>
          <w:kern w:val="0"/>
          <w:sz w:val="24"/>
          <w:szCs w:val="24"/>
          <w:highlight w:val="none"/>
        </w:rPr>
        <w:t>）公厕</w:t>
      </w:r>
      <w:r>
        <w:rPr>
          <w:rFonts w:hint="eastAsia" w:ascii="仿宋_GB2312" w:hAnsi="仿宋_GB2312" w:eastAsia="仿宋_GB2312" w:cs="仿宋_GB2312"/>
          <w:b/>
          <w:bCs/>
          <w:snapToGrid w:val="0"/>
          <w:color w:val="auto"/>
          <w:kern w:val="0"/>
          <w:sz w:val="24"/>
          <w:szCs w:val="24"/>
          <w:highlight w:val="none"/>
          <w:lang w:val="en-US" w:eastAsia="zh-CN"/>
        </w:rPr>
        <w:t>养护</w:t>
      </w:r>
      <w:r>
        <w:rPr>
          <w:rFonts w:hint="eastAsia" w:ascii="仿宋_GB2312" w:hAnsi="仿宋_GB2312" w:eastAsia="仿宋_GB2312" w:cs="仿宋_GB2312"/>
          <w:b/>
          <w:bCs/>
          <w:snapToGrid w:val="0"/>
          <w:color w:val="auto"/>
          <w:kern w:val="0"/>
          <w:sz w:val="24"/>
          <w:szCs w:val="24"/>
          <w:highlight w:val="none"/>
        </w:rPr>
        <w:t>保洁基本要求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 公厕</w:t>
      </w:r>
      <w:r>
        <w:rPr>
          <w:rFonts w:hint="eastAsia" w:ascii="仿宋_GB2312" w:hAnsi="仿宋_GB2312" w:eastAsia="仿宋_GB2312" w:cs="仿宋_GB2312"/>
          <w:snapToGrid w:val="0"/>
          <w:color w:val="auto"/>
          <w:kern w:val="0"/>
          <w:sz w:val="24"/>
          <w:szCs w:val="24"/>
          <w:highlight w:val="none"/>
          <w:lang w:val="en-US" w:eastAsia="zh-CN"/>
        </w:rPr>
        <w:t>养护</w:t>
      </w:r>
      <w:r>
        <w:rPr>
          <w:rFonts w:hint="eastAsia" w:ascii="仿宋_GB2312" w:hAnsi="仿宋_GB2312" w:eastAsia="仿宋_GB2312" w:cs="仿宋_GB2312"/>
          <w:snapToGrid w:val="0"/>
          <w:color w:val="auto"/>
          <w:kern w:val="0"/>
          <w:sz w:val="24"/>
          <w:szCs w:val="24"/>
          <w:highlight w:val="none"/>
        </w:rPr>
        <w:t>内容：内墙瓷砖、地砖、座便器、小便斗、除臭设备、台盆感应器、台盆、脚踏阀、水龙头、镜玻、电器开关、烘手器、换气扇、灯具、门、隔断板及五金配件、手纸盒、地漏、标牌、搁板、纱门纱窗、挂衣钩、呼叫器、拖把池、残疾人扶手等所有室内设施和陈设。若遇公厕提升改造，</w:t>
      </w:r>
      <w:r>
        <w:rPr>
          <w:rFonts w:hint="eastAsia" w:ascii="仿宋_GB2312" w:hAnsi="仿宋_GB2312" w:eastAsia="仿宋_GB2312" w:cs="仿宋_GB2312"/>
          <w:snapToGrid w:val="0"/>
          <w:color w:val="auto"/>
          <w:kern w:val="0"/>
          <w:sz w:val="24"/>
          <w:szCs w:val="24"/>
          <w:highlight w:val="none"/>
          <w:lang w:val="en-US" w:eastAsia="zh-CN"/>
        </w:rPr>
        <w:t>养护</w:t>
      </w:r>
      <w:r>
        <w:rPr>
          <w:rFonts w:hint="eastAsia" w:ascii="仿宋_GB2312" w:hAnsi="仿宋_GB2312" w:eastAsia="仿宋_GB2312" w:cs="仿宋_GB2312"/>
          <w:snapToGrid w:val="0"/>
          <w:color w:val="auto"/>
          <w:kern w:val="0"/>
          <w:sz w:val="24"/>
          <w:szCs w:val="24"/>
          <w:highlight w:val="none"/>
        </w:rPr>
        <w:t>费用将相应扣除。如因较大的自然灾害或上级部门管理要求，对公厕内的设施设备进行抢修或设施提升更新，所需经费</w:t>
      </w:r>
      <w:r>
        <w:rPr>
          <w:rFonts w:hint="eastAsia" w:ascii="仿宋_GB2312" w:hAnsi="仿宋_GB2312" w:eastAsia="仿宋_GB2312" w:cs="仿宋_GB2312"/>
          <w:snapToGrid w:val="0"/>
          <w:color w:val="auto"/>
          <w:kern w:val="0"/>
          <w:sz w:val="24"/>
          <w:szCs w:val="24"/>
          <w:highlight w:val="none"/>
          <w:lang w:val="en-US" w:eastAsia="zh-CN"/>
        </w:rPr>
        <w:t>未明确的</w:t>
      </w:r>
      <w:r>
        <w:rPr>
          <w:rFonts w:hint="eastAsia" w:ascii="仿宋_GB2312" w:hAnsi="仿宋_GB2312" w:eastAsia="仿宋_GB2312" w:cs="仿宋_GB2312"/>
          <w:snapToGrid w:val="0"/>
          <w:color w:val="auto"/>
          <w:kern w:val="0"/>
          <w:sz w:val="24"/>
          <w:szCs w:val="24"/>
          <w:highlight w:val="none"/>
        </w:rPr>
        <w:t>由双方协商解决。</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对责任区公厕进行日查，保证设施使用正常，无缺损，做好日常检查记录。如发现公共厕所设施、设备损坏，应当由中标方根据采购方要求进行维修更换，如遇配件暂时缺货，需对损坏设施悬挂暂停使用告示牌，维修需拖延时间的情况要及时通知采购方。及时做好公厕化粪池清污运输等工作。（小件维修应当天解决，做到不过夜，如遇到大件设施破损，应在2天内恢复使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3.维修更换的配件需与原损坏的设施一致。外观统一，品牌一致，不得更换三无产品。（因产品退市等原因造成无法更换原件的，先向招标人书面反馈）</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4.做到文明维修（维修处摆放作业告知牌，警示游人注意安全）。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napToGrid w:val="0"/>
          <w:color w:val="auto"/>
          <w:kern w:val="0"/>
          <w:sz w:val="24"/>
          <w:szCs w:val="24"/>
          <w:highlight w:val="none"/>
        </w:rPr>
        <w:t>5.做到维修及时，在规定时间内完成维修，不能无故拖延或不维修，影响正常使用。在维修（更换零件）工作完成后，中标方维修人员应向采购方提供书面报告，并由双方签字确认故障已被修复。</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 w:val="0"/>
          <w:bCs w:val="0"/>
          <w:snapToGrid w:val="0"/>
          <w:color w:val="auto"/>
          <w:kern w:val="0"/>
          <w:sz w:val="24"/>
          <w:szCs w:val="24"/>
          <w:highlight w:val="none"/>
        </w:rPr>
      </w:pPr>
      <w:r>
        <w:rPr>
          <w:rFonts w:hint="eastAsia" w:ascii="仿宋_GB2312" w:hAnsi="仿宋_GB2312" w:eastAsia="仿宋_GB2312" w:cs="仿宋_GB2312"/>
          <w:b w:val="0"/>
          <w:bCs w:val="0"/>
          <w:snapToGrid w:val="0"/>
          <w:color w:val="auto"/>
          <w:kern w:val="0"/>
          <w:sz w:val="24"/>
          <w:szCs w:val="24"/>
          <w:highlight w:val="none"/>
          <w:lang w:val="en-US" w:eastAsia="zh-CN"/>
        </w:rPr>
        <w:t>6.</w:t>
      </w:r>
      <w:r>
        <w:rPr>
          <w:rFonts w:hint="eastAsia" w:ascii="仿宋_GB2312" w:hAnsi="仿宋_GB2312" w:eastAsia="仿宋_GB2312" w:cs="仿宋_GB2312"/>
          <w:b w:val="0"/>
          <w:bCs w:val="0"/>
          <w:snapToGrid w:val="0"/>
          <w:color w:val="auto"/>
          <w:kern w:val="0"/>
          <w:sz w:val="24"/>
          <w:szCs w:val="24"/>
          <w:highlight w:val="none"/>
        </w:rPr>
        <w:t>注意事项</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不得以任何名义擅自向沿街单位和个人收取环卫保洁费用。</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公厕紧急呼叫器确保有效使用，及时更换电池。</w:t>
      </w:r>
    </w:p>
    <w:p>
      <w:pPr>
        <w:pageBreakBefore w:val="0"/>
        <w:kinsoku/>
        <w:wordWrap/>
        <w:overflowPunct/>
        <w:topLinePunct w:val="0"/>
        <w:autoSpaceDE/>
        <w:autoSpaceDN/>
        <w:bidi w:val="0"/>
        <w:snapToGrid w:val="0"/>
        <w:spacing w:line="360" w:lineRule="auto"/>
        <w:ind w:left="0" w:right="0" w:rightChars="0" w:firstLine="480" w:firstLineChars="200"/>
        <w:jc w:val="left"/>
        <w:textAlignment w:val="auto"/>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val="en-US" w:eastAsia="zh-CN"/>
        </w:rPr>
        <w:t>7.公厕的化粪池周围设置明显的安全警示标识标牌、防护栏等设施，</w:t>
      </w:r>
      <w:r>
        <w:rPr>
          <w:rFonts w:hint="eastAsia" w:ascii="仿宋_GB2312" w:hAnsi="仿宋_GB2312" w:eastAsia="仿宋_GB2312" w:cs="仿宋_GB2312"/>
          <w:bCs/>
          <w:color w:val="auto"/>
          <w:sz w:val="24"/>
          <w:szCs w:val="24"/>
          <w:highlight w:val="none"/>
        </w:rPr>
        <w:t>定期对化粪池进行巡视</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发现问题及时处理，</w:t>
      </w:r>
      <w:r>
        <w:rPr>
          <w:rFonts w:hint="eastAsia" w:ascii="仿宋_GB2312" w:hAnsi="仿宋_GB2312" w:eastAsia="仿宋_GB2312" w:cs="仿宋_GB2312"/>
          <w:bCs/>
          <w:color w:val="auto"/>
          <w:sz w:val="24"/>
          <w:szCs w:val="24"/>
          <w:highlight w:val="none"/>
          <w:lang w:val="en-US" w:eastAsia="zh-CN"/>
        </w:rPr>
        <w:t>定期进行抽粪</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rPr>
        <w:t>作业符合有限空间作业管理办法</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江堤公厕（江堤3号公厕、江堤4号公厕、江堤5号公厕、江堤7号公厕、之江东路音乐喷泉广场公厕、11号路#之江东路公厕等）及部分公厕抽粪频次较高，请考虑成本，</w:t>
      </w:r>
      <w:bookmarkStart w:id="42" w:name="OLE_LINK19"/>
      <w:r>
        <w:rPr>
          <w:rFonts w:hint="eastAsia" w:ascii="仿宋_GB2312" w:hAnsi="仿宋_GB2312" w:eastAsia="仿宋_GB2312" w:cs="仿宋_GB2312"/>
          <w:bCs/>
          <w:color w:val="auto"/>
          <w:sz w:val="24"/>
          <w:szCs w:val="24"/>
          <w:highlight w:val="none"/>
          <w:u w:val="none"/>
        </w:rPr>
        <w:t>投标价中应已包含相关费用</w:t>
      </w:r>
      <w:bookmarkEnd w:id="42"/>
      <w:r>
        <w:rPr>
          <w:rFonts w:hint="eastAsia" w:ascii="仿宋_GB2312" w:hAnsi="仿宋_GB2312" w:eastAsia="仿宋_GB2312" w:cs="仿宋_GB2312"/>
          <w:bCs/>
          <w:color w:val="auto"/>
          <w:sz w:val="24"/>
          <w:szCs w:val="24"/>
          <w:highlight w:val="none"/>
          <w:lang w:eastAsia="zh-CN"/>
        </w:rPr>
        <w:t>。</w:t>
      </w:r>
    </w:p>
    <w:p>
      <w:pPr>
        <w:pageBreakBefore w:val="0"/>
        <w:kinsoku/>
        <w:wordWrap/>
        <w:overflowPunct/>
        <w:topLinePunct w:val="0"/>
        <w:autoSpaceDE/>
        <w:autoSpaceDN/>
        <w:bidi w:val="0"/>
        <w:snapToGrid w:val="0"/>
        <w:spacing w:line="360" w:lineRule="auto"/>
        <w:ind w:left="0" w:firstLine="480" w:firstLineChars="200"/>
        <w:jc w:val="lef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8.公厕养护中出现用</w:t>
      </w:r>
      <w:r>
        <w:rPr>
          <w:rFonts w:hint="eastAsia" w:ascii="仿宋_GB2312" w:hAnsi="仿宋_GB2312" w:eastAsia="仿宋_GB2312" w:cs="仿宋_GB2312"/>
          <w:bCs/>
          <w:i w:val="0"/>
          <w:iCs w:val="0"/>
          <w:caps w:val="0"/>
          <w:color w:val="auto"/>
          <w:spacing w:val="0"/>
          <w:sz w:val="24"/>
          <w:szCs w:val="24"/>
          <w:highlight w:val="none"/>
          <w:shd w:val="clear"/>
        </w:rPr>
        <w:t>水</w:t>
      </w:r>
      <w:r>
        <w:rPr>
          <w:rFonts w:hint="eastAsia" w:ascii="仿宋_GB2312" w:hAnsi="仿宋_GB2312" w:eastAsia="仿宋_GB2312" w:cs="仿宋_GB2312"/>
          <w:bCs/>
          <w:i w:val="0"/>
          <w:iCs w:val="0"/>
          <w:caps w:val="0"/>
          <w:color w:val="auto"/>
          <w:spacing w:val="0"/>
          <w:sz w:val="24"/>
          <w:szCs w:val="24"/>
          <w:highlight w:val="none"/>
          <w:shd w:val="clear"/>
          <w:lang w:eastAsia="zh-CN"/>
        </w:rPr>
        <w:t>、</w:t>
      </w:r>
      <w:r>
        <w:rPr>
          <w:rFonts w:hint="eastAsia" w:ascii="仿宋_GB2312" w:hAnsi="仿宋_GB2312" w:eastAsia="仿宋_GB2312" w:cs="仿宋_GB2312"/>
          <w:bCs/>
          <w:i w:val="0"/>
          <w:iCs w:val="0"/>
          <w:caps w:val="0"/>
          <w:color w:val="auto"/>
          <w:spacing w:val="0"/>
          <w:sz w:val="24"/>
          <w:szCs w:val="24"/>
          <w:highlight w:val="none"/>
          <w:shd w:val="clear"/>
        </w:rPr>
        <w:t>接电</w:t>
      </w:r>
      <w:r>
        <w:rPr>
          <w:rFonts w:hint="eastAsia" w:ascii="仿宋_GB2312" w:hAnsi="仿宋_GB2312" w:eastAsia="仿宋_GB2312" w:cs="仿宋_GB2312"/>
          <w:bCs/>
          <w:i w:val="0"/>
          <w:iCs w:val="0"/>
          <w:caps w:val="0"/>
          <w:color w:val="auto"/>
          <w:spacing w:val="0"/>
          <w:sz w:val="24"/>
          <w:szCs w:val="24"/>
          <w:highlight w:val="none"/>
          <w:shd w:val="clear"/>
          <w:lang w:eastAsia="zh-CN"/>
        </w:rPr>
        <w:t>、</w:t>
      </w:r>
      <w:r>
        <w:rPr>
          <w:rFonts w:hint="eastAsia" w:ascii="仿宋_GB2312" w:hAnsi="仿宋_GB2312" w:eastAsia="仿宋_GB2312" w:cs="仿宋_GB2312"/>
          <w:bCs/>
          <w:i w:val="0"/>
          <w:iCs w:val="0"/>
          <w:caps w:val="0"/>
          <w:color w:val="auto"/>
          <w:spacing w:val="0"/>
          <w:sz w:val="24"/>
          <w:szCs w:val="24"/>
          <w:highlight w:val="none"/>
          <w:shd w:val="clear"/>
          <w:lang w:val="en-US" w:eastAsia="zh-CN"/>
        </w:rPr>
        <w:t>屋面渗漏等影响公厕日常养护的问题进行零星维修，例如</w:t>
      </w:r>
      <w:bookmarkStart w:id="43" w:name="OLE_LINK7"/>
      <w:r>
        <w:rPr>
          <w:rFonts w:hint="eastAsia" w:ascii="仿宋_GB2312" w:hAnsi="仿宋_GB2312" w:eastAsia="仿宋_GB2312" w:cs="仿宋_GB2312"/>
          <w:bCs/>
          <w:i w:val="0"/>
          <w:iCs w:val="0"/>
          <w:caps w:val="0"/>
          <w:color w:val="auto"/>
          <w:spacing w:val="0"/>
          <w:sz w:val="24"/>
          <w:szCs w:val="24"/>
          <w:highlight w:val="none"/>
          <w:shd w:val="clear"/>
          <w:lang w:val="en-US" w:eastAsia="zh-CN"/>
        </w:rPr>
        <w:t>自来水表</w:t>
      </w:r>
      <w:bookmarkEnd w:id="43"/>
      <w:r>
        <w:rPr>
          <w:rFonts w:hint="eastAsia" w:ascii="仿宋_GB2312" w:hAnsi="仿宋_GB2312" w:eastAsia="仿宋_GB2312" w:cs="仿宋_GB2312"/>
          <w:bCs/>
          <w:i w:val="0"/>
          <w:iCs w:val="0"/>
          <w:caps w:val="0"/>
          <w:color w:val="auto"/>
          <w:spacing w:val="0"/>
          <w:sz w:val="24"/>
          <w:szCs w:val="24"/>
          <w:highlight w:val="none"/>
          <w:shd w:val="clear"/>
          <w:lang w:val="en-US" w:eastAsia="zh-CN"/>
        </w:rPr>
        <w:t>后到公厕水管维修、更换、绿化修复，</w:t>
      </w:r>
      <w:bookmarkStart w:id="44" w:name="OLE_LINK8"/>
      <w:r>
        <w:rPr>
          <w:rFonts w:hint="eastAsia" w:ascii="仿宋_GB2312" w:hAnsi="仿宋_GB2312" w:eastAsia="仿宋_GB2312" w:cs="仿宋_GB2312"/>
          <w:bCs/>
          <w:i w:val="0"/>
          <w:iCs w:val="0"/>
          <w:caps w:val="0"/>
          <w:color w:val="auto"/>
          <w:spacing w:val="0"/>
          <w:sz w:val="24"/>
          <w:szCs w:val="24"/>
          <w:highlight w:val="none"/>
          <w:shd w:val="clear"/>
          <w:lang w:val="en-US" w:eastAsia="zh-CN"/>
        </w:rPr>
        <w:t>公厕到</w:t>
      </w:r>
      <w:bookmarkEnd w:id="44"/>
      <w:r>
        <w:rPr>
          <w:rFonts w:hint="eastAsia" w:ascii="仿宋_GB2312" w:hAnsi="仿宋_GB2312" w:eastAsia="仿宋_GB2312" w:cs="仿宋_GB2312"/>
          <w:bCs/>
          <w:color w:val="auto"/>
          <w:sz w:val="24"/>
          <w:szCs w:val="24"/>
          <w:highlight w:val="none"/>
          <w:lang w:val="en-US" w:eastAsia="zh-CN"/>
        </w:rPr>
        <w:t>箱变的线路维修、更换、路面开挖及修复等，请考虑成本，</w:t>
      </w:r>
      <w:r>
        <w:rPr>
          <w:rFonts w:hint="eastAsia" w:ascii="仿宋_GB2312" w:hAnsi="仿宋_GB2312" w:eastAsia="仿宋_GB2312" w:cs="仿宋_GB2312"/>
          <w:bCs/>
          <w:color w:val="auto"/>
          <w:sz w:val="24"/>
          <w:szCs w:val="24"/>
          <w:highlight w:val="none"/>
          <w:u w:val="none"/>
        </w:rPr>
        <w:t>投标价中应已包含相关费用</w:t>
      </w:r>
      <w:r>
        <w:rPr>
          <w:rFonts w:hint="eastAsia" w:ascii="仿宋_GB2312" w:hAnsi="仿宋_GB2312" w:eastAsia="仿宋_GB2312" w:cs="仿宋_GB2312"/>
          <w:bCs/>
          <w:color w:val="auto"/>
          <w:sz w:val="24"/>
          <w:szCs w:val="24"/>
          <w:highlight w:val="none"/>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left="0" w:right="0" w:rightChars="0" w:firstLine="480" w:firstLineChars="200"/>
        <w:jc w:val="left"/>
        <w:textAlignment w:val="auto"/>
        <w:rPr>
          <w:rFonts w:hint="eastAsia" w:ascii="仿宋_GB2312" w:hAnsi="仿宋_GB2312" w:eastAsia="仿宋_GB2312" w:cs="仿宋_GB2312"/>
          <w:bCs/>
          <w:color w:val="auto"/>
          <w:sz w:val="24"/>
          <w:szCs w:val="24"/>
          <w:highlight w:val="none"/>
          <w:lang w:eastAsia="zh-CN"/>
        </w:rPr>
      </w:pPr>
      <w:bookmarkStart w:id="45" w:name="OLE_LINK20"/>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lang w:eastAsia="zh-CN"/>
        </w:rPr>
        <w:t>根据采购人的要求以及日常养护实际需求，中标单位需自行采购并安装纱窗、灭蝇灯、灭蚊灯等防护设施，除臭设备，</w:t>
      </w:r>
      <w:bookmarkStart w:id="46" w:name="OLE_LINK4"/>
      <w:r>
        <w:rPr>
          <w:rFonts w:hint="eastAsia" w:ascii="仿宋_GB2312" w:hAnsi="仿宋_GB2312" w:eastAsia="仿宋_GB2312" w:cs="仿宋_GB2312"/>
          <w:bCs/>
          <w:color w:val="auto"/>
          <w:sz w:val="24"/>
          <w:szCs w:val="24"/>
          <w:highlight w:val="none"/>
        </w:rPr>
        <w:t>投标价中应已包含相关费用</w:t>
      </w:r>
      <w:bookmarkEnd w:id="46"/>
      <w:r>
        <w:rPr>
          <w:rFonts w:hint="eastAsia" w:ascii="仿宋_GB2312" w:hAnsi="仿宋_GB2312" w:eastAsia="仿宋_GB2312" w:cs="仿宋_GB2312"/>
          <w:bCs/>
          <w:color w:val="auto"/>
          <w:sz w:val="24"/>
          <w:szCs w:val="24"/>
          <w:highlight w:val="none"/>
        </w:rPr>
        <w:t>。</w:t>
      </w:r>
    </w:p>
    <w:bookmarkEnd w:id="45"/>
    <w:p>
      <w:pPr>
        <w:pageBreakBefore w:val="0"/>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lang w:eastAsia="zh-CN"/>
        </w:rPr>
        <w:t>对现有破损、不符合规范的公厕无障碍</w:t>
      </w:r>
      <w:r>
        <w:rPr>
          <w:rFonts w:hint="eastAsia" w:ascii="仿宋_GB2312" w:hAnsi="仿宋_GB2312" w:eastAsia="仿宋_GB2312" w:cs="仿宋_GB2312"/>
          <w:bCs/>
          <w:color w:val="auto"/>
          <w:sz w:val="24"/>
          <w:szCs w:val="24"/>
          <w:highlight w:val="none"/>
          <w:lang w:val="en-US" w:eastAsia="zh-CN"/>
        </w:rPr>
        <w:t>设施</w:t>
      </w:r>
      <w:r>
        <w:rPr>
          <w:rFonts w:hint="eastAsia" w:ascii="仿宋_GB2312" w:hAnsi="仿宋_GB2312" w:eastAsia="仿宋_GB2312" w:cs="仿宋_GB2312"/>
          <w:bCs/>
          <w:color w:val="auto"/>
          <w:sz w:val="24"/>
          <w:szCs w:val="24"/>
          <w:highlight w:val="none"/>
          <w:lang w:eastAsia="zh-CN"/>
        </w:rPr>
        <w:t>进行整改，例如更换马桶一厕L型扶手，增加小便池池扶手，对报警器位置的调整等，</w:t>
      </w:r>
      <w:r>
        <w:rPr>
          <w:rFonts w:hint="eastAsia" w:ascii="仿宋_GB2312" w:hAnsi="仿宋_GB2312" w:eastAsia="仿宋_GB2312" w:cs="仿宋_GB2312"/>
          <w:bCs/>
          <w:color w:val="auto"/>
          <w:sz w:val="24"/>
          <w:szCs w:val="24"/>
          <w:highlight w:val="none"/>
        </w:rPr>
        <w:t>投标价中应已包含相关费用</w:t>
      </w:r>
      <w:r>
        <w:rPr>
          <w:rFonts w:hint="eastAsia" w:ascii="仿宋_GB2312" w:hAnsi="仿宋_GB2312" w:eastAsia="仿宋_GB2312" w:cs="仿宋_GB2312"/>
          <w:bCs/>
          <w:color w:val="auto"/>
          <w:sz w:val="24"/>
          <w:szCs w:val="24"/>
          <w:highlight w:val="none"/>
          <w:lang w:eastAsia="zh-CN"/>
        </w:rPr>
        <w:t>。</w:t>
      </w:r>
    </w:p>
    <w:p>
      <w:pPr>
        <w:pageBreakBefore w:val="0"/>
        <w:kinsoku/>
        <w:wordWrap/>
        <w:overflowPunct/>
        <w:topLinePunct w:val="0"/>
        <w:autoSpaceDE/>
        <w:autoSpaceDN/>
        <w:bidi w:val="0"/>
        <w:adjustRightInd w:val="0"/>
        <w:snapToGrid w:val="0"/>
        <w:spacing w:line="360" w:lineRule="auto"/>
        <w:ind w:left="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四</w:t>
      </w: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eastAsia="zh-CN"/>
        </w:rPr>
        <w:t>城管驿站</w:t>
      </w:r>
      <w:r>
        <w:rPr>
          <w:rFonts w:hint="eastAsia" w:ascii="仿宋_GB2312" w:hAnsi="仿宋_GB2312" w:eastAsia="仿宋_GB2312" w:cs="仿宋_GB2312"/>
          <w:b/>
          <w:bCs/>
          <w:snapToGrid w:val="0"/>
          <w:color w:val="auto"/>
          <w:kern w:val="0"/>
          <w:sz w:val="24"/>
          <w:szCs w:val="24"/>
          <w:highlight w:val="none"/>
        </w:rPr>
        <w:t>基本要求</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val="en-US" w:eastAsia="zh-CN"/>
        </w:rPr>
        <w:t>1、</w:t>
      </w:r>
      <w:r>
        <w:rPr>
          <w:rFonts w:hint="eastAsia" w:ascii="仿宋_GB2312" w:hAnsi="仿宋_GB2312" w:eastAsia="仿宋_GB2312" w:cs="仿宋_GB2312"/>
          <w:snapToGrid w:val="0"/>
          <w:color w:val="auto"/>
          <w:kern w:val="0"/>
          <w:sz w:val="24"/>
          <w:szCs w:val="24"/>
          <w:highlight w:val="none"/>
        </w:rPr>
        <w:t>环境卫生</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室内通风效果良好，无异味</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室内地面无积水、无污迹，门窗、餐桌、书报架、家电、上墙牌等设施表面无灰尘、无污迹</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外墙起4米范围内无杂物堆放、无垃圾、无积水、无绿化死株；外墙无乱张贴涂写、无污迹，干净见本色</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大小便器无破损、无堵塞、无粪水满溢现象</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驿站内垃圾分类规范</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驿站内部物品摆放整齐、有序，无明显乱堆乱放杂物现象。</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2、设施完好：</w:t>
      </w:r>
      <w:r>
        <w:rPr>
          <w:rFonts w:hint="eastAsia" w:ascii="仿宋_GB2312" w:hAnsi="仿宋_GB2312" w:eastAsia="仿宋_GB2312" w:cs="仿宋_GB2312"/>
          <w:snapToGrid w:val="0"/>
          <w:color w:val="auto"/>
          <w:kern w:val="0"/>
          <w:sz w:val="24"/>
          <w:szCs w:val="24"/>
          <w:highlight w:val="none"/>
        </w:rPr>
        <w:t>驿站内外墙面完好，墙面砖无缺失或破损；外屋顶无漏水现象，无粉刷层剥落，内部吊顶无缺失或破损；内外地砖铺砌平整</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主体建筑安全性完好，无开裂、沉降、构件脱落等问题</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门、窗、吊顶、用餐桌椅、书报架、空调、电冰箱、微波炉、饮水机、急救药箱等设施完好齐备，无生锈、无刻划、无破损</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水、电供应正常，夜间照明正常，灯光明亮，门头发光</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分设用餐区、洗漱区、休息区、宣传区、应急物资储备区等并及时有序对外开放</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驿站标识标牌设置规范统一</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内部标识、管理制度牌、室外灯箱安装到位，无缺失或破损。</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3、管理规范：</w:t>
      </w:r>
      <w:r>
        <w:rPr>
          <w:rFonts w:hint="eastAsia" w:ascii="仿宋_GB2312" w:hAnsi="仿宋_GB2312" w:eastAsia="仿宋_GB2312" w:cs="仿宋_GB2312"/>
          <w:snapToGrid w:val="0"/>
          <w:color w:val="auto"/>
          <w:kern w:val="0"/>
          <w:sz w:val="24"/>
          <w:szCs w:val="24"/>
          <w:highlight w:val="none"/>
        </w:rPr>
        <w:t>管理员统一穿着工作服，服装干净整洁，不得穿拖鞋，仪表端庄，头发梳理整齐，不得披头散发</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管理员举止文明，坐时不能翘二郎腿或将脚架在桌面上，对进驿站歇息的人员应微笑服务，主动热情，有问必答，用语文明，不得在工作时间大声喧哗嬉闹，不得在驿站内嗑瓜子</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管理员应娴熟使用驿站内微波炉、电视机、雨伞架等设施设备</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管理员应及时做好进出驿站人员的登记工作，并妥善保管</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驿站内应适当储备若干矿泉水、饮料、干粮、防暑降温物品，空调根据季节变换及时开放</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积极配合社会各界在驿站内开展志愿服务活动、关心关爱活动、便民服务活动，积极提供场地和人员的支持和配合</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按照要求及时报送相关信息</w:t>
      </w:r>
      <w:r>
        <w:rPr>
          <w:rFonts w:hint="eastAsia" w:ascii="仿宋_GB2312" w:hAnsi="仿宋_GB2312" w:eastAsia="仿宋_GB2312" w:cs="仿宋_GB2312"/>
          <w:snapToGrid w:val="0"/>
          <w:color w:val="auto"/>
          <w:kern w:val="0"/>
          <w:sz w:val="24"/>
          <w:szCs w:val="24"/>
          <w:highlight w:val="none"/>
          <w:lang w:eastAsia="zh-CN"/>
        </w:rPr>
        <w:t>；</w:t>
      </w:r>
      <w:r>
        <w:rPr>
          <w:rFonts w:hint="eastAsia" w:ascii="仿宋_GB2312" w:hAnsi="仿宋_GB2312" w:eastAsia="仿宋_GB2312" w:cs="仿宋_GB2312"/>
          <w:snapToGrid w:val="0"/>
          <w:color w:val="auto"/>
          <w:kern w:val="0"/>
          <w:sz w:val="24"/>
          <w:szCs w:val="24"/>
          <w:highlight w:val="none"/>
        </w:rPr>
        <w:t>按时免费开放（</w:t>
      </w:r>
      <w:r>
        <w:rPr>
          <w:rFonts w:hint="eastAsia" w:ascii="仿宋_GB2312" w:hAnsi="仿宋_GB2312" w:eastAsia="仿宋_GB2312" w:cs="仿宋_GB2312"/>
          <w:snapToGrid w:val="0"/>
          <w:color w:val="auto"/>
          <w:kern w:val="0"/>
          <w:sz w:val="24"/>
          <w:szCs w:val="24"/>
          <w:highlight w:val="none"/>
          <w:lang w:val="en-US" w:eastAsia="zh-CN"/>
        </w:rPr>
        <w:t>4-9月：7-18时；10月-次年3月：7-17</w:t>
      </w:r>
      <w:r>
        <w:rPr>
          <w:rFonts w:hint="eastAsia" w:ascii="仿宋_GB2312" w:hAnsi="仿宋_GB2312" w:eastAsia="仿宋_GB2312" w:cs="仿宋_GB2312"/>
          <w:snapToGrid w:val="0"/>
          <w:color w:val="auto"/>
          <w:kern w:val="0"/>
          <w:sz w:val="24"/>
          <w:szCs w:val="24"/>
          <w:highlight w:val="none"/>
        </w:rPr>
        <w:t>时），无挪作他用问题，驿站内无经营行为。</w:t>
      </w:r>
    </w:p>
    <w:p>
      <w:pPr>
        <w:pageBreakBefore w:val="0"/>
        <w:kinsoku/>
        <w:wordWrap/>
        <w:overflowPunct/>
        <w:topLinePunct w:val="0"/>
        <w:autoSpaceDE/>
        <w:autoSpaceDN/>
        <w:bidi w:val="0"/>
        <w:snapToGrid w:val="0"/>
        <w:spacing w:line="360" w:lineRule="auto"/>
        <w:ind w:left="0" w:firstLine="480" w:firstLineChars="200"/>
        <w:jc w:val="left"/>
        <w:textAlignment w:val="auto"/>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val="en-US" w:eastAsia="zh-CN"/>
        </w:rPr>
        <w:t>4.对驿站</w:t>
      </w:r>
      <w:r>
        <w:rPr>
          <w:rFonts w:hint="eastAsia" w:ascii="仿宋_GB2312" w:hAnsi="仿宋_GB2312" w:eastAsia="仿宋_GB2312" w:cs="仿宋_GB2312"/>
          <w:bCs/>
          <w:color w:val="auto"/>
          <w:sz w:val="24"/>
          <w:szCs w:val="24"/>
          <w:highlight w:val="none"/>
          <w:lang w:val="en-US" w:eastAsia="zh-CN"/>
        </w:rPr>
        <w:t>养护中出现用</w:t>
      </w:r>
      <w:r>
        <w:rPr>
          <w:rFonts w:hint="eastAsia" w:ascii="仿宋_GB2312" w:hAnsi="仿宋_GB2312" w:eastAsia="仿宋_GB2312" w:cs="仿宋_GB2312"/>
          <w:bCs/>
          <w:i w:val="0"/>
          <w:iCs w:val="0"/>
          <w:caps w:val="0"/>
          <w:color w:val="auto"/>
          <w:spacing w:val="0"/>
          <w:sz w:val="24"/>
          <w:szCs w:val="24"/>
          <w:highlight w:val="none"/>
          <w:shd w:val="clear"/>
        </w:rPr>
        <w:t>水</w:t>
      </w:r>
      <w:r>
        <w:rPr>
          <w:rFonts w:hint="eastAsia" w:ascii="仿宋_GB2312" w:hAnsi="仿宋_GB2312" w:eastAsia="仿宋_GB2312" w:cs="仿宋_GB2312"/>
          <w:bCs/>
          <w:i w:val="0"/>
          <w:iCs w:val="0"/>
          <w:caps w:val="0"/>
          <w:color w:val="auto"/>
          <w:spacing w:val="0"/>
          <w:sz w:val="24"/>
          <w:szCs w:val="24"/>
          <w:highlight w:val="none"/>
          <w:shd w:val="clear"/>
          <w:lang w:eastAsia="zh-CN"/>
        </w:rPr>
        <w:t>、</w:t>
      </w:r>
      <w:r>
        <w:rPr>
          <w:rFonts w:hint="eastAsia" w:ascii="仿宋_GB2312" w:hAnsi="仿宋_GB2312" w:eastAsia="仿宋_GB2312" w:cs="仿宋_GB2312"/>
          <w:bCs/>
          <w:i w:val="0"/>
          <w:iCs w:val="0"/>
          <w:caps w:val="0"/>
          <w:color w:val="auto"/>
          <w:spacing w:val="0"/>
          <w:sz w:val="24"/>
          <w:szCs w:val="24"/>
          <w:highlight w:val="none"/>
          <w:shd w:val="clear"/>
        </w:rPr>
        <w:t>接电</w:t>
      </w:r>
      <w:r>
        <w:rPr>
          <w:rFonts w:hint="eastAsia" w:ascii="仿宋_GB2312" w:hAnsi="仿宋_GB2312" w:eastAsia="仿宋_GB2312" w:cs="仿宋_GB2312"/>
          <w:bCs/>
          <w:i w:val="0"/>
          <w:iCs w:val="0"/>
          <w:caps w:val="0"/>
          <w:color w:val="auto"/>
          <w:spacing w:val="0"/>
          <w:sz w:val="24"/>
          <w:szCs w:val="24"/>
          <w:highlight w:val="none"/>
          <w:shd w:val="clear"/>
          <w:lang w:eastAsia="zh-CN"/>
        </w:rPr>
        <w:t>、</w:t>
      </w:r>
      <w:r>
        <w:rPr>
          <w:rFonts w:hint="eastAsia" w:ascii="仿宋_GB2312" w:hAnsi="仿宋_GB2312" w:eastAsia="仿宋_GB2312" w:cs="仿宋_GB2312"/>
          <w:bCs/>
          <w:i w:val="0"/>
          <w:iCs w:val="0"/>
          <w:caps w:val="0"/>
          <w:color w:val="auto"/>
          <w:spacing w:val="0"/>
          <w:sz w:val="24"/>
          <w:szCs w:val="24"/>
          <w:highlight w:val="none"/>
          <w:shd w:val="clear"/>
          <w:lang w:val="en-US" w:eastAsia="zh-CN"/>
        </w:rPr>
        <w:t>屋面渗漏等影响驿站日常养护的问题进行零星维修，</w:t>
      </w:r>
      <w:r>
        <w:rPr>
          <w:rFonts w:hint="eastAsia" w:ascii="仿宋_GB2312" w:hAnsi="仿宋_GB2312" w:eastAsia="仿宋_GB2312" w:cs="仿宋_GB2312"/>
          <w:bCs/>
          <w:color w:val="auto"/>
          <w:sz w:val="24"/>
          <w:szCs w:val="24"/>
          <w:highlight w:val="none"/>
          <w:u w:val="none"/>
        </w:rPr>
        <w:t>投标价中应已包含相关费用</w:t>
      </w:r>
      <w:r>
        <w:rPr>
          <w:rFonts w:hint="eastAsia" w:ascii="仿宋_GB2312" w:hAnsi="仿宋_GB2312" w:eastAsia="仿宋_GB2312" w:cs="仿宋_GB2312"/>
          <w:bCs/>
          <w:color w:val="auto"/>
          <w:sz w:val="24"/>
          <w:szCs w:val="24"/>
          <w:highlight w:val="none"/>
          <w:lang w:val="en-US" w:eastAsia="zh-CN"/>
        </w:rPr>
        <w:t>。</w:t>
      </w:r>
    </w:p>
    <w:p>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附：驿站清单</w:t>
      </w:r>
    </w:p>
    <w:tbl>
      <w:tblPr>
        <w:tblStyle w:val="64"/>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543"/>
        <w:gridCol w:w="3684"/>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序号</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驿站名称</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地址</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杭州城管驿站沿江党群服务站</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6号大街27号口</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杭州城管驿站东公园党群服务站</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高教东公园公厕</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杭州城管驿站学源党群服务站</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银海街通宇路交叉口</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lang w:val="en-US" w:eastAsia="zh-CN"/>
              </w:rPr>
            </w:pPr>
            <w:r>
              <w:rPr>
                <w:rFonts w:hint="eastAsia" w:ascii="仿宋_GB2312" w:hAnsi="仿宋_GB2312" w:eastAsia="仿宋_GB2312" w:cs="仿宋_GB2312"/>
                <w:i w:val="0"/>
                <w:iCs w:val="0"/>
                <w:color w:val="000000"/>
                <w:sz w:val="24"/>
                <w:szCs w:val="24"/>
                <w:highlight w:val="none"/>
                <w:u w:val="none"/>
                <w:lang w:val="en-US" w:eastAsia="zh-CN"/>
              </w:rPr>
              <w:t>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杭州城管驿站文海南路党群服务站</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文海南路站地铁站口公厕附属</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r>
    </w:tbl>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lang w:eastAsia="zh-CN"/>
        </w:rPr>
        <w:t>（五）</w:t>
      </w:r>
      <w:r>
        <w:rPr>
          <w:rFonts w:hint="eastAsia" w:ascii="仿宋_GB2312" w:hAnsi="仿宋_GB2312" w:eastAsia="仿宋_GB2312" w:cs="仿宋_GB2312"/>
          <w:b/>
          <w:bCs/>
          <w:snapToGrid w:val="0"/>
          <w:color w:val="auto"/>
          <w:kern w:val="0"/>
          <w:sz w:val="24"/>
          <w:szCs w:val="24"/>
          <w:highlight w:val="none"/>
        </w:rPr>
        <w:t>注意事项</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1、不得以任何名义擅自向沿街单位和个人收取环卫保洁费用。</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、应</w:t>
      </w:r>
      <w:r>
        <w:rPr>
          <w:rFonts w:hint="eastAsia" w:ascii="仿宋_GB2312" w:hAnsi="仿宋_GB2312" w:eastAsia="仿宋_GB2312" w:cs="仿宋_GB2312"/>
          <w:bCs/>
          <w:color w:val="auto"/>
          <w:sz w:val="24"/>
          <w:szCs w:val="24"/>
          <w:highlight w:val="none"/>
          <w:lang w:val="en-US" w:eastAsia="zh-CN"/>
        </w:rPr>
        <w:t>提供妥善的养护保洁产生的垃圾清运处置方案</w:t>
      </w:r>
      <w:r>
        <w:rPr>
          <w:rFonts w:hint="eastAsia" w:ascii="仿宋_GB2312" w:hAnsi="仿宋_GB2312" w:eastAsia="仿宋_GB2312" w:cs="仿宋_GB2312"/>
          <w:bCs/>
          <w:color w:val="auto"/>
          <w:sz w:val="24"/>
          <w:szCs w:val="24"/>
          <w:highlight w:val="none"/>
        </w:rPr>
        <w:t>。</w:t>
      </w:r>
    </w:p>
    <w:p>
      <w:pPr>
        <w:keepNext/>
        <w:keepLines/>
        <w:pageBreakBefore w:val="0"/>
        <w:widowControl w:val="0"/>
        <w:tabs>
          <w:tab w:val="left" w:pos="432"/>
        </w:tabs>
        <w:kinsoku/>
        <w:wordWrap/>
        <w:overflowPunct/>
        <w:topLinePunct w:val="0"/>
        <w:bidi w:val="0"/>
        <w:adjustRightInd/>
        <w:snapToGrid w:val="0"/>
        <w:spacing w:before="0" w:after="0" w:line="360" w:lineRule="auto"/>
        <w:ind w:left="0" w:leftChars="0" w:firstLine="482" w:firstLineChars="200"/>
        <w:jc w:val="left"/>
        <w:textAlignment w:val="auto"/>
        <w:outlineLvl w:val="1"/>
        <w:rPr>
          <w:rFonts w:hint="eastAsia" w:ascii="仿宋_GB2312" w:hAnsi="仿宋_GB2312" w:eastAsia="仿宋_GB2312" w:cs="仿宋_GB2312"/>
          <w:b/>
          <w:bCs/>
          <w:snapToGrid w:val="0"/>
          <w:color w:val="auto"/>
          <w:kern w:val="0"/>
          <w:sz w:val="24"/>
          <w:szCs w:val="24"/>
          <w:highlight w:val="none"/>
          <w:lang w:val="zh-CN" w:eastAsia="zh-CN" w:bidi="ar-SA"/>
        </w:rPr>
      </w:pPr>
      <w:r>
        <w:rPr>
          <w:rFonts w:hint="eastAsia" w:ascii="仿宋_GB2312" w:hAnsi="仿宋_GB2312" w:eastAsia="仿宋_GB2312" w:cs="仿宋_GB2312"/>
          <w:b/>
          <w:bCs/>
          <w:snapToGrid w:val="0"/>
          <w:color w:val="auto"/>
          <w:kern w:val="0"/>
          <w:sz w:val="24"/>
          <w:szCs w:val="24"/>
          <w:highlight w:val="none"/>
          <w:lang w:val="zh-CN" w:eastAsia="zh-CN" w:bidi="ar-SA"/>
        </w:rPr>
        <w:t>六、河道保洁、</w:t>
      </w:r>
      <w:r>
        <w:rPr>
          <w:rFonts w:hint="eastAsia" w:ascii="仿宋_GB2312" w:hAnsi="仿宋_GB2312" w:eastAsia="仿宋_GB2312" w:cs="仿宋_GB2312"/>
          <w:b/>
          <w:bCs/>
          <w:snapToGrid w:val="0"/>
          <w:color w:val="auto"/>
          <w:kern w:val="0"/>
          <w:sz w:val="24"/>
          <w:szCs w:val="24"/>
          <w:highlight w:val="none"/>
          <w:lang w:val="en-US" w:eastAsia="zh-CN" w:bidi="ar-SA"/>
        </w:rPr>
        <w:t>河道周边绿化、河道周边设施养护</w:t>
      </w:r>
      <w:r>
        <w:rPr>
          <w:rFonts w:hint="eastAsia" w:ascii="仿宋_GB2312" w:hAnsi="仿宋_GB2312" w:eastAsia="仿宋_GB2312" w:cs="仿宋_GB2312"/>
          <w:b/>
          <w:bCs/>
          <w:snapToGrid w:val="0"/>
          <w:color w:val="auto"/>
          <w:kern w:val="0"/>
          <w:sz w:val="24"/>
          <w:szCs w:val="24"/>
          <w:highlight w:val="none"/>
          <w:lang w:val="zh-CN" w:eastAsia="zh-CN" w:bidi="ar-SA"/>
        </w:rPr>
        <w:t>需求</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一</w:t>
      </w:r>
      <w:r>
        <w:rPr>
          <w:rFonts w:hint="eastAsia" w:ascii="仿宋_GB2312" w:hAnsi="仿宋_GB2312" w:eastAsia="仿宋_GB2312" w:cs="仿宋_GB2312"/>
          <w:b/>
          <w:bCs/>
          <w:snapToGrid w:val="0"/>
          <w:color w:val="auto"/>
          <w:kern w:val="0"/>
          <w:sz w:val="24"/>
          <w:szCs w:val="24"/>
          <w:highlight w:val="none"/>
        </w:rPr>
        <w:t>）须遵循的规范性文件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color w:val="auto"/>
          <w:sz w:val="24"/>
          <w:szCs w:val="24"/>
          <w:highlight w:val="none"/>
        </w:rPr>
        <w:t>《关于进一步加强道路、河道养护及环卫保洁作业设备管理的通知》（杭城管委〔2018〕255号）。</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2、河边绿化带标准及要求同绿化养护要求及标准。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3、招标人或主管部门制定的管理细则、考核标准。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4、其他相关规范及标准。</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napToGrid w:val="0"/>
          <w:color w:val="auto"/>
          <w:kern w:val="0"/>
          <w:sz w:val="24"/>
          <w:szCs w:val="24"/>
          <w:highlight w:val="none"/>
          <w:lang w:val="en-US" w:eastAsia="zh-CN"/>
        </w:rPr>
      </w:pPr>
      <w:r>
        <w:rPr>
          <w:rFonts w:hint="eastAsia" w:ascii="仿宋_GB2312" w:hAnsi="仿宋_GB2312" w:eastAsia="仿宋_GB2312" w:cs="仿宋_GB2312"/>
          <w:b/>
          <w:bCs/>
          <w:snapToGrid w:val="0"/>
          <w:color w:val="auto"/>
          <w:kern w:val="0"/>
          <w:sz w:val="24"/>
          <w:szCs w:val="24"/>
          <w:highlight w:val="none"/>
          <w:lang w:eastAsia="zh-CN"/>
        </w:rPr>
        <w:t>（二）</w:t>
      </w:r>
      <w:r>
        <w:rPr>
          <w:rFonts w:hint="eastAsia" w:ascii="仿宋_GB2312" w:hAnsi="仿宋_GB2312" w:eastAsia="仿宋_GB2312" w:cs="仿宋_GB2312"/>
          <w:b/>
          <w:bCs/>
          <w:snapToGrid w:val="0"/>
          <w:color w:val="auto"/>
          <w:kern w:val="0"/>
          <w:sz w:val="24"/>
          <w:szCs w:val="24"/>
          <w:highlight w:val="none"/>
          <w:lang w:val="en-US" w:eastAsia="zh-CN"/>
        </w:rPr>
        <w:t>总体要求</w:t>
      </w:r>
    </w:p>
    <w:p>
      <w:pPr>
        <w:pageBreakBefore w:val="0"/>
        <w:numPr>
          <w:ilvl w:val="0"/>
          <w:numId w:val="0"/>
        </w:numPr>
        <w:kinsoku/>
        <w:wordWrap/>
        <w:overflowPunct/>
        <w:topLinePunct w:val="0"/>
        <w:bidi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eastAsia="zh-CN" w:bidi="ar"/>
        </w:rPr>
        <w:t xml:space="preserve">    </w:t>
      </w:r>
      <w:r>
        <w:rPr>
          <w:rFonts w:hint="eastAsia" w:ascii="仿宋_GB2312" w:hAnsi="仿宋_GB2312" w:eastAsia="仿宋_GB2312" w:cs="仿宋_GB2312"/>
          <w:kern w:val="2"/>
          <w:sz w:val="24"/>
          <w:szCs w:val="24"/>
          <w:highlight w:val="none"/>
          <w:lang w:val="en-US" w:eastAsia="zh-CN" w:bidi="ar"/>
        </w:rPr>
        <w:t>（4）河道养护。包括但不限于：河道保洁，河道巡查，净水设施养护，河道驳坎等其他设施维修养护（包括河道两侧排口标识标牌、警示牌、河道公告牌、救生圈、救生杆等与河道有关的设施维护管理更新更换），河道除四害，河道淤积监测等相关工作，维护城市大脑智慧河道平台，日常养护、巡查等有关信息录入等。每年安排河道养护费用（最终以实际养护金额为准）的15%为“专项养护”，专项养护内容由采购人明确，包括但不限于以下内容：</w:t>
      </w:r>
      <w:r>
        <w:rPr>
          <w:rFonts w:hint="eastAsia" w:ascii="仿宋_GB2312" w:hAnsi="仿宋_GB2312" w:eastAsia="仿宋_GB2312" w:cs="仿宋_GB2312"/>
          <w:sz w:val="24"/>
          <w:szCs w:val="24"/>
          <w:highlight w:val="none"/>
        </w:rPr>
        <w:t>单处破损</w:t>
      </w:r>
      <w:r>
        <w:rPr>
          <w:rFonts w:hint="eastAsia" w:ascii="仿宋_GB2312" w:hAnsi="仿宋_GB2312" w:eastAsia="仿宋_GB2312" w:cs="仿宋_GB2312"/>
          <w:sz w:val="24"/>
          <w:szCs w:val="24"/>
          <w:highlight w:val="none"/>
          <w:lang w:eastAsia="zh-CN"/>
        </w:rPr>
        <w:t>长</w:t>
      </w:r>
      <w:r>
        <w:rPr>
          <w:rFonts w:hint="eastAsia" w:ascii="仿宋_GB2312" w:hAnsi="仿宋_GB2312" w:eastAsia="仿宋_GB2312" w:cs="仿宋_GB2312"/>
          <w:color w:val="auto"/>
          <w:sz w:val="24"/>
          <w:szCs w:val="24"/>
          <w:highlight w:val="none"/>
          <w:lang w:eastAsia="zh-CN"/>
        </w:rPr>
        <w:t>度</w:t>
      </w:r>
      <w:r>
        <w:rPr>
          <w:rFonts w:hint="eastAsia" w:ascii="仿宋_GB2312" w:hAnsi="仿宋_GB2312" w:eastAsia="仿宋_GB2312" w:cs="仿宋_GB2312"/>
          <w:color w:val="auto"/>
          <w:sz w:val="24"/>
          <w:szCs w:val="24"/>
          <w:highlight w:val="none"/>
        </w:rPr>
        <w:t>大于</w:t>
      </w:r>
      <w:r>
        <w:rPr>
          <w:rFonts w:hint="eastAsia" w:ascii="仿宋_GB2312" w:hAnsi="仿宋_GB2312" w:eastAsia="仿宋_GB2312" w:cs="仿宋_GB2312"/>
          <w:b/>
          <w:bCs/>
          <w:color w:val="auto"/>
          <w:sz w:val="24"/>
          <w:szCs w:val="24"/>
          <w:highlight w:val="none"/>
          <w:lang w:val="en-US" w:eastAsia="zh-CN"/>
        </w:rPr>
        <w:t>5m的</w:t>
      </w:r>
      <w:r>
        <w:rPr>
          <w:rFonts w:hint="eastAsia" w:ascii="仿宋_GB2312" w:hAnsi="仿宋_GB2312" w:eastAsia="仿宋_GB2312" w:cs="仿宋_GB2312"/>
          <w:color w:val="auto"/>
          <w:kern w:val="2"/>
          <w:sz w:val="24"/>
          <w:szCs w:val="24"/>
          <w:highlight w:val="none"/>
          <w:lang w:val="en-US" w:eastAsia="zh-CN" w:bidi="ar"/>
        </w:rPr>
        <w:t>河道驳坎、克</w:t>
      </w:r>
      <w:r>
        <w:rPr>
          <w:rFonts w:hint="eastAsia" w:ascii="仿宋_GB2312" w:hAnsi="仿宋_GB2312" w:eastAsia="仿宋_GB2312" w:cs="仿宋_GB2312"/>
          <w:kern w:val="2"/>
          <w:sz w:val="24"/>
          <w:szCs w:val="24"/>
          <w:highlight w:val="none"/>
          <w:lang w:val="en-US" w:eastAsia="zh-CN" w:bidi="ar"/>
        </w:rPr>
        <w:t>顶、二级平台修复；河道局部阻水点清疏；以及涉及重大保障、设施安全、舆情以及考核创建等紧急任务。具体以采购人下发任务单为实施依据，采购人负责落实跟审单位进行过程管理，由中标人提供第三方审计报告作为结算依据，年度尾款拨付时统一结算。如审计金额超出实际养护金额的15%则超出部分视作优惠，不足部分在尾款结算时扣除。</w:t>
      </w:r>
      <w:r>
        <w:rPr>
          <w:rFonts w:hint="eastAsia" w:ascii="仿宋_GB2312" w:hAnsi="仿宋_GB2312" w:eastAsia="仿宋_GB2312" w:cs="仿宋_GB2312"/>
          <w:i w:val="0"/>
          <w:caps w:val="0"/>
          <w:color w:val="auto"/>
          <w:spacing w:val="0"/>
          <w:sz w:val="24"/>
          <w:szCs w:val="24"/>
          <w:highlight w:val="none"/>
          <w:shd w:val="clear"/>
          <w:lang w:eastAsia="zh-CN"/>
        </w:rPr>
        <w:t>“专项养护”</w:t>
      </w:r>
      <w:r>
        <w:rPr>
          <w:rFonts w:hint="eastAsia" w:ascii="仿宋_GB2312" w:hAnsi="仿宋_GB2312" w:eastAsia="仿宋_GB2312" w:cs="仿宋_GB2312"/>
          <w:i w:val="0"/>
          <w:caps w:val="0"/>
          <w:color w:val="auto"/>
          <w:spacing w:val="0"/>
          <w:sz w:val="24"/>
          <w:szCs w:val="24"/>
          <w:highlight w:val="none"/>
          <w:shd w:val="clear"/>
        </w:rPr>
        <w:t>预算费用无法保障的病害问题，纳入专项修复由财政保障。</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napToGrid w:val="0"/>
          <w:color w:val="auto"/>
          <w:kern w:val="0"/>
          <w:sz w:val="24"/>
          <w:szCs w:val="24"/>
          <w:highlight w:val="none"/>
          <w:lang w:val="en-US" w:eastAsia="zh-CN"/>
        </w:rPr>
      </w:pP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lang w:val="en-US" w:eastAsia="zh-CN"/>
        </w:rPr>
        <w:t>三</w:t>
      </w:r>
      <w:r>
        <w:rPr>
          <w:rFonts w:hint="eastAsia" w:ascii="仿宋_GB2312" w:hAnsi="仿宋_GB2312" w:eastAsia="仿宋_GB2312" w:cs="仿宋_GB2312"/>
          <w:b/>
          <w:bCs/>
          <w:snapToGrid w:val="0"/>
          <w:color w:val="auto"/>
          <w:kern w:val="0"/>
          <w:sz w:val="24"/>
          <w:szCs w:val="24"/>
          <w:highlight w:val="none"/>
          <w:lang w:eastAsia="zh-CN"/>
        </w:rPr>
        <w:t>）</w:t>
      </w:r>
      <w:r>
        <w:rPr>
          <w:rFonts w:hint="eastAsia" w:ascii="仿宋_GB2312" w:hAnsi="仿宋_GB2312" w:eastAsia="仿宋_GB2312" w:cs="仿宋_GB2312"/>
          <w:b/>
          <w:bCs/>
          <w:snapToGrid w:val="0"/>
          <w:color w:val="auto"/>
          <w:kern w:val="0"/>
          <w:sz w:val="24"/>
          <w:szCs w:val="24"/>
          <w:highlight w:val="none"/>
          <w:lang w:val="en-US" w:eastAsia="zh-CN"/>
        </w:rPr>
        <w:t>河道养护相关需求</w:t>
      </w:r>
    </w:p>
    <w:p>
      <w:pPr>
        <w:keepNext/>
        <w:keepLines/>
        <w:pageBreakBefore w:val="0"/>
        <w:kinsoku/>
        <w:wordWrap/>
        <w:overflowPunct/>
        <w:topLinePunct w:val="0"/>
        <w:bidi w:val="0"/>
        <w:adjustRightInd w:val="0"/>
        <w:snapToGrid w:val="0"/>
        <w:spacing w:line="360" w:lineRule="auto"/>
        <w:ind w:left="0" w:leftChars="0" w:firstLine="482" w:firstLineChars="200"/>
        <w:jc w:val="left"/>
        <w:textAlignment w:val="auto"/>
        <w:outlineLvl w:val="2"/>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1、河道保洁</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1.1河道保洁分为河面保洁</w:t>
      </w:r>
      <w:bookmarkStart w:id="47" w:name="OLE_LINK1"/>
      <w:bookmarkStart w:id="48" w:name="OLE_LINK2"/>
      <w:bookmarkStart w:id="49" w:name="OLE_LINK3"/>
      <w:r>
        <w:rPr>
          <w:rFonts w:hint="eastAsia" w:ascii="仿宋_GB2312" w:hAnsi="仿宋_GB2312" w:eastAsia="仿宋_GB2312" w:cs="仿宋_GB2312"/>
          <w:sz w:val="24"/>
          <w:szCs w:val="24"/>
          <w:highlight w:val="none"/>
        </w:rPr>
        <w:t>和1m以内的</w:t>
      </w:r>
      <w:bookmarkEnd w:id="47"/>
      <w:r>
        <w:rPr>
          <w:rFonts w:hint="eastAsia" w:ascii="仿宋_GB2312" w:hAnsi="仿宋_GB2312" w:eastAsia="仿宋_GB2312" w:cs="仿宋_GB2312"/>
          <w:sz w:val="24"/>
          <w:szCs w:val="24"/>
          <w:highlight w:val="none"/>
        </w:rPr>
        <w:t>河岸保洁。</w:t>
      </w:r>
      <w:bookmarkEnd w:id="48"/>
      <w:bookmarkEnd w:id="49"/>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1.2总体要求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河面垃圾、枯枝落叶、水草、绿萍、水葫芦、油污、污花等各类漂浮物（种植物除外）进行打捞清理，对驳坎、克顶、二级平台、河岸的垃圾、杂草、枯枝落叶、积泥、青苔等进行清理，达到河面清洁无漂浮物，河岸无垃圾、无杂物、无污垢的目标。</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1.3作业要求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1.3.1保洁船须统一编号、统一标识，应有醒目的保洁单位名称及监督电话。</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1.3.2开船前船员和打捞员按各自职责做好各项检查和准备工作。</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1.3.3河道垃圾应集中收运，日清日运，分类运送至垃圾中转站或处理场。垃圾在外运途中应采取密闭措施，防止抛洒、泄漏。</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1.3.4严禁开闸将漂浮物排入下游河段。</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1.3.5每艘手划船应配备2 名保洁人员，每艘机动船应至少配备3名保洁人员。</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1.4设备要求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1.4.1机动保洁作业船应选用无油污染、低噪音的环保型船舶，船舶设施良好。</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1.4.2每艘保洁船应配备适合清理各种垃圾漂浮物及污染物的打捞工具。</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1.4.3保持良好的船容船貌，保洁工具整洁、干净。</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1.5安全要求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1.5.1作业人员统一着装，水上作业时穿着救生衣。</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1.5.2遇台风和雷暴雨等恶劣天气应停止水上作业，并将船只停靠安全地点。</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1.5.3保洁船在行驶过程中，遇到有人在河埠头、亲水平台、游船停靠点等设施进行亲水活动时应减速慢行，确保人员安全。</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1.6应急要求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1.6.1应制定河面保洁应急预案，配备应急所需的人员、工具、设备和物资。</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1.6.2遇水草、水葫芦、绿萍等水生植物爆发，应第一时间组织力量进行清理并查明原因。</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1.6.3汛期后应根据水位状况及时组织力量做好突击保洁，最快时间清除大型漂浮物、倾入河内的树木树枝等各类障碍物。</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1.6.4应制定重大活动及节假日保障预案，并按上级有关要求落实各项重大活动及节假日措施。</w:t>
      </w:r>
    </w:p>
    <w:p>
      <w:pPr>
        <w:keepNext/>
        <w:keepLines/>
        <w:pageBreakBefore w:val="0"/>
        <w:kinsoku/>
        <w:wordWrap/>
        <w:overflowPunct/>
        <w:topLinePunct w:val="0"/>
        <w:bidi w:val="0"/>
        <w:adjustRightInd w:val="0"/>
        <w:snapToGrid w:val="0"/>
        <w:spacing w:line="360" w:lineRule="auto"/>
        <w:ind w:left="0" w:leftChars="0" w:firstLine="482" w:firstLineChars="200"/>
        <w:jc w:val="left"/>
        <w:textAlignment w:val="auto"/>
        <w:outlineLvl w:val="2"/>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2、河道巡查</w:t>
      </w:r>
      <w:r>
        <w:rPr>
          <w:rFonts w:hint="eastAsia" w:ascii="仿宋_GB2312" w:hAnsi="仿宋_GB2312" w:eastAsia="仿宋_GB2312" w:cs="仿宋_GB2312"/>
          <w:b/>
          <w:bCs/>
          <w:sz w:val="24"/>
          <w:szCs w:val="24"/>
          <w:highlight w:val="none"/>
          <w:lang w:eastAsia="zh-CN"/>
        </w:rPr>
        <w:t>及处置</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2.1巡查内容</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河道水质状况、排水口、净水设施、汛前汛后的专项巡查；对河道附属设施、管理房的监督巡查；对河道淤积情况的巡查；对涉河建设项目的监督巡查；对各项重大活动及节假日服务保障的重点巡查；对违法违章行为和不文明现象的劝导。</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2.2巡查</w:t>
      </w:r>
      <w:r>
        <w:rPr>
          <w:rFonts w:hint="eastAsia" w:ascii="仿宋_GB2312" w:hAnsi="仿宋_GB2312" w:eastAsia="仿宋_GB2312" w:cs="仿宋_GB2312"/>
          <w:b/>
          <w:bCs/>
          <w:sz w:val="24"/>
          <w:szCs w:val="24"/>
          <w:highlight w:val="none"/>
          <w:lang w:eastAsia="zh-CN"/>
        </w:rPr>
        <w:t>处置</w:t>
      </w:r>
      <w:r>
        <w:rPr>
          <w:rFonts w:hint="eastAsia" w:ascii="仿宋_GB2312" w:hAnsi="仿宋_GB2312" w:eastAsia="仿宋_GB2312" w:cs="仿宋_GB2312"/>
          <w:b/>
          <w:bCs/>
          <w:sz w:val="24"/>
          <w:szCs w:val="24"/>
          <w:highlight w:val="none"/>
        </w:rPr>
        <w:t>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2.2.1巡查人员应配备录像设备，在巡查时应认真负责、全面仔细，快速及时地掌握河道设施的安全性、整洁和完好状况，做到实事求是，当天做好巡查记录，每日一报。</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2.2.2巡查人员要及时了解河道水质状况，包括水体感官与颜色等。遇死鱼、蓝藻、水体发黑发臭等突发情况应第一时间上报</w:t>
      </w:r>
      <w:r>
        <w:rPr>
          <w:rFonts w:hint="eastAsia" w:ascii="仿宋_GB2312" w:hAnsi="仿宋_GB2312" w:eastAsia="仿宋_GB2312" w:cs="仿宋_GB2312"/>
          <w:sz w:val="24"/>
          <w:szCs w:val="24"/>
          <w:highlight w:val="none"/>
          <w:lang w:eastAsia="zh-CN"/>
        </w:rPr>
        <w:t>并采取应急处置措施，确保河道水质达到水质功能区要求</w:t>
      </w:r>
      <w:r>
        <w:rPr>
          <w:rFonts w:hint="eastAsia" w:ascii="仿宋_GB2312" w:hAnsi="仿宋_GB2312" w:eastAsia="仿宋_GB2312" w:cs="仿宋_GB2312"/>
          <w:sz w:val="24"/>
          <w:szCs w:val="24"/>
          <w:highlight w:val="none"/>
        </w:rPr>
        <w:t>。</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2.2.3巡查人员要及时掌握河道沿线排水口设施（包括标识）完好情况、晴天出水情况。做好河道雨水排口管理工作，对有晴天出水现象的，要分时段检查出水情况，评估记录出水频次（间歇性或常出水），并查看该排水口上下游河道水质感官，及时采取相应措施溯源消除异常排水情况，并做好信息登记并第一时间上报，同时做好与排查溯源部门的对接。</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2.2.4巡查人员要及时了解净水设施养护管理情况，发现枯枝、落叶、死株、生长不良、病虫害、设施破损及设备故障等情况及时记录和报告，并采取相应处理措施。</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2.2.5巡查人员要及时了解河道警示牌、护栏、驳坎、克顶、护岸等河道附属设施的完好情况，发现破损、缺失、塌陷等情况及时报告，若涉及安全隐患应第一时间采取安全围护措施。</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2.2.6巡查人员要及时掌握涉河建设项目实施动态，按审批要求对涉河建设项目进行监督。</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2.2.7巡查人员要协助做好河道边共享单车帮扶工作。</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2.2.8巡查人员对违法违章行为有劝阻的责任和义务，做好有关影像资料的收集记录，并第一时间上报河道主管部门及相关执法单位。</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2.2.9遇重大活动及节假日，应积极主动，加强巡查，配合河道监管部门做好保障工作，做好记录，及时上报。</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2.2.10遇防汛、防台、抗雪等紧急状况，应加强巡查，配合河道主管部门做好抢险应急工作，第一时间掌握防汛隐患，做好记录，及时上报。</w:t>
      </w:r>
    </w:p>
    <w:p>
      <w:pPr>
        <w:keepNext/>
        <w:keepLines/>
        <w:pageBreakBefore w:val="0"/>
        <w:kinsoku/>
        <w:wordWrap/>
        <w:overflowPunct/>
        <w:topLinePunct w:val="0"/>
        <w:bidi w:val="0"/>
        <w:adjustRightInd w:val="0"/>
        <w:snapToGrid w:val="0"/>
        <w:spacing w:line="360" w:lineRule="auto"/>
        <w:ind w:left="0" w:leftChars="0" w:firstLine="482" w:firstLineChars="200"/>
        <w:jc w:val="left"/>
        <w:textAlignment w:val="auto"/>
        <w:outlineLvl w:val="2"/>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3、净水设施养护</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对净水设施每天进行保洁，清理枯枝、落叶、垃圾、杂物等。发现问题及时采取相应措施，确保水生植物无枯枝落叶、无死株、长势良好，人工水草和生态浮岛完好，曝气装置正常运行。具体按《城市河道净水设施养护管理规范》（DB3301/T 0234—2018）标准实施。</w:t>
      </w:r>
    </w:p>
    <w:p>
      <w:pPr>
        <w:keepNext/>
        <w:keepLines/>
        <w:pageBreakBefore w:val="0"/>
        <w:kinsoku/>
        <w:wordWrap/>
        <w:overflowPunct/>
        <w:topLinePunct w:val="0"/>
        <w:bidi w:val="0"/>
        <w:adjustRightInd w:val="0"/>
        <w:snapToGrid w:val="0"/>
        <w:spacing w:line="360" w:lineRule="auto"/>
        <w:ind w:left="0" w:leftChars="0" w:firstLine="482" w:firstLineChars="200"/>
        <w:jc w:val="left"/>
        <w:textAlignment w:val="auto"/>
        <w:outlineLvl w:val="2"/>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4、其他设施</w:t>
      </w:r>
    </w:p>
    <w:p>
      <w:pPr>
        <w:pageBreakBefore w:val="0"/>
        <w:widowControl/>
        <w:kinsoku/>
        <w:wordWrap/>
        <w:overflowPunct/>
        <w:topLinePunct w:val="0"/>
        <w:autoSpaceDE w:val="0"/>
        <w:autoSpaceDN w:val="0"/>
        <w:bidi w:val="0"/>
        <w:snapToGrid w:val="0"/>
        <w:spacing w:line="360" w:lineRule="auto"/>
        <w:ind w:left="0" w:leftChars="0" w:firstLine="482" w:firstLineChars="200"/>
        <w:textAlignment w:val="auto"/>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4.1 河道标志牌养护</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4.1.1  河道标志牌包括安全标志、信息标志、安全标志。</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4.1.2  导向标志包括导向牌、平面示意图等；信息标志包括介绍牌、河道管理范围公告牌、雨水排口公示牌、河道界桩、垂钓公约牌等；安全标志包括禁止标志、警告标志、安全警示线等。</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4.1.3  应定期巡视检查。河道标志牌应保持表面洁净，牌上字迹完整、清晰，镶嵌牢固。警示线的油漆应完整、明亮，发现缺失及时补缺。具体按《城市河道标志系统设置规范》（DB3301/T 0236—2018）标准实施。</w:t>
      </w:r>
    </w:p>
    <w:p>
      <w:pPr>
        <w:keepNext w:val="0"/>
        <w:keepLines w:val="0"/>
        <w:pageBreakBefore w:val="0"/>
        <w:widowControl/>
        <w:suppressLineNumbers w:val="0"/>
        <w:kinsoku/>
        <w:wordWrap/>
        <w:overflowPunct/>
        <w:topLinePunct w:val="0"/>
        <w:autoSpaceDE w:val="0"/>
        <w:autoSpaceDN w:val="0"/>
        <w:bidi w:val="0"/>
        <w:snapToGrid w:val="0"/>
        <w:spacing w:line="360" w:lineRule="auto"/>
        <w:ind w:left="0" w:leftChars="0" w:firstLine="480" w:firstLineChars="200"/>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bidi="ar-SA"/>
        </w:rPr>
        <w:t>4.1.4 投标人在养护过程中承诺按采购人要求每年更新、新设警示牌不少于120块，费用由投标人在投标报价中自行考虑。具体按浙江省杭州市地方标准《城市河道标志系统设置规范》（DB3301/T 0236—2018）标准实施。警示牌所有权归招标人所有。</w:t>
      </w:r>
    </w:p>
    <w:p>
      <w:pPr>
        <w:pageBreakBefore w:val="0"/>
        <w:widowControl/>
        <w:kinsoku/>
        <w:wordWrap/>
        <w:overflowPunct/>
        <w:topLinePunct w:val="0"/>
        <w:autoSpaceDE w:val="0"/>
        <w:autoSpaceDN w:val="0"/>
        <w:bidi w:val="0"/>
        <w:snapToGrid w:val="0"/>
        <w:spacing w:line="360" w:lineRule="auto"/>
        <w:ind w:left="0" w:leftChars="0" w:firstLine="482" w:firstLineChars="200"/>
        <w:textAlignment w:val="auto"/>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4.2 河道挡墙、驳坎、克</w:t>
      </w:r>
      <w:r>
        <w:rPr>
          <w:rFonts w:hint="eastAsia" w:ascii="仿宋_GB2312" w:hAnsi="仿宋_GB2312" w:eastAsia="仿宋_GB2312" w:cs="仿宋_GB2312"/>
          <w:b/>
          <w:color w:val="auto"/>
          <w:kern w:val="0"/>
          <w:sz w:val="24"/>
          <w:szCs w:val="24"/>
          <w:highlight w:val="none"/>
        </w:rPr>
        <w:t>顶、二级平台</w:t>
      </w:r>
      <w:r>
        <w:rPr>
          <w:rFonts w:hint="eastAsia" w:ascii="仿宋_GB2312" w:hAnsi="仿宋_GB2312" w:eastAsia="仿宋_GB2312" w:cs="仿宋_GB2312"/>
          <w:b/>
          <w:color w:val="auto"/>
          <w:kern w:val="0"/>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围护桩、护坡</w:t>
      </w:r>
      <w:r>
        <w:rPr>
          <w:rFonts w:hint="eastAsia" w:ascii="仿宋_GB2312" w:hAnsi="仿宋_GB2312" w:eastAsia="仿宋_GB2312" w:cs="仿宋_GB2312"/>
          <w:b/>
          <w:color w:val="auto"/>
          <w:kern w:val="0"/>
          <w:sz w:val="24"/>
          <w:szCs w:val="24"/>
          <w:highlight w:val="none"/>
        </w:rPr>
        <w:t>等设施维修养护</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bCs/>
          <w:kern w:val="0"/>
          <w:sz w:val="24"/>
          <w:szCs w:val="24"/>
          <w:highlight w:val="none"/>
        </w:rPr>
        <w:t>对</w:t>
      </w:r>
      <w:r>
        <w:rPr>
          <w:rFonts w:hint="eastAsia" w:ascii="仿宋_GB2312" w:hAnsi="仿宋_GB2312" w:eastAsia="仿宋_GB2312" w:cs="仿宋_GB2312"/>
          <w:bCs/>
          <w:kern w:val="0"/>
          <w:sz w:val="24"/>
          <w:szCs w:val="24"/>
          <w:highlight w:val="none"/>
          <w:lang w:eastAsia="zh-CN"/>
        </w:rPr>
        <w:t>单处</w:t>
      </w:r>
      <w:r>
        <w:rPr>
          <w:rFonts w:hint="eastAsia" w:ascii="仿宋_GB2312" w:hAnsi="仿宋_GB2312" w:eastAsia="仿宋_GB2312" w:cs="仿宋_GB2312"/>
          <w:bCs/>
          <w:kern w:val="0"/>
          <w:sz w:val="24"/>
          <w:szCs w:val="24"/>
          <w:highlight w:val="none"/>
        </w:rPr>
        <w:t>破损面积小于</w:t>
      </w:r>
      <w:r>
        <w:rPr>
          <w:rFonts w:hint="eastAsia" w:ascii="仿宋_GB2312" w:hAnsi="仿宋_GB2312" w:eastAsia="仿宋_GB2312" w:cs="仿宋_GB2312"/>
          <w:bCs/>
          <w:kern w:val="0"/>
          <w:sz w:val="24"/>
          <w:szCs w:val="24"/>
          <w:highlight w:val="none"/>
          <w:lang w:val="en-US" w:eastAsia="zh-CN"/>
        </w:rPr>
        <w:t>5m</w:t>
      </w:r>
      <w:r>
        <w:rPr>
          <w:rFonts w:hint="eastAsia" w:ascii="仿宋_GB2312" w:hAnsi="仿宋_GB2312" w:eastAsia="仿宋_GB2312" w:cs="仿宋_GB2312"/>
          <w:bCs/>
          <w:kern w:val="0"/>
          <w:sz w:val="24"/>
          <w:szCs w:val="24"/>
          <w:highlight w:val="none"/>
        </w:rPr>
        <w:t>（含）的河道驳坎、克顶、二级平台以及河道护栏等设施破损及时自行修复，</w:t>
      </w:r>
      <w:r>
        <w:rPr>
          <w:rFonts w:hint="eastAsia" w:ascii="仿宋_GB2312" w:hAnsi="仿宋_GB2312" w:eastAsia="仿宋_GB2312" w:cs="仿宋_GB2312"/>
          <w:kern w:val="0"/>
          <w:sz w:val="24"/>
          <w:szCs w:val="24"/>
          <w:highlight w:val="none"/>
        </w:rPr>
        <w:t>确保损坏情况不加重、安全得到保障，不能及时修复的应立即设置围挡至完成修复为止，费用不纳入</w:t>
      </w:r>
      <w:r>
        <w:rPr>
          <w:rFonts w:hint="eastAsia" w:ascii="仿宋_GB2312" w:hAnsi="仿宋_GB2312" w:eastAsia="仿宋_GB2312" w:cs="仿宋_GB2312"/>
          <w:bCs/>
          <w:kern w:val="0"/>
          <w:sz w:val="24"/>
          <w:szCs w:val="24"/>
          <w:highlight w:val="none"/>
          <w:lang w:eastAsia="zh-CN"/>
        </w:rPr>
        <w:t>“专项养护”</w:t>
      </w:r>
      <w:r>
        <w:rPr>
          <w:rFonts w:hint="eastAsia" w:ascii="仿宋_GB2312" w:hAnsi="仿宋_GB2312" w:eastAsia="仿宋_GB2312" w:cs="仿宋_GB2312"/>
          <w:kern w:val="0"/>
          <w:sz w:val="24"/>
          <w:szCs w:val="24"/>
          <w:highlight w:val="none"/>
        </w:rPr>
        <w:t>。</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4.2.1  河岸驳坎挡墙的养护应符合下列规定：</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 xml:space="preserve">（1）驳坎挡墙应保持工程完好、表面平整清洁，块石应整齐无松动、塌陷、隆起，砂浆勾缝应饱满、完整、无脱落； </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（2）驳坎挡墙压顶上的杂物、杂草应及时清除，迎水面上的污垢应用人工或泵冲洗干净，止水设施应完整无损，无渗水；挡墙后无水土流失；</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（3）缝内流失填料应及时填补；</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（4）驳坎挡墙不稳定，修补后继续发生倾斜、滑移、下沉等结构性破坏时，应将其拆除重建。</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4.2.2  砌石混凝土护岸养护应保持坡面平顺、砌块完好、砌缝紧密，无松动、塌陷、脱落、架空等现象，无杂草、杂物，保持坡面整洁完好。</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4.2.3  干砌石护岸养护应符合下列规定：</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（1）填补、整修变形或损坏的块石；</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（2）更换风化或损毁的块石，并嵌砌紧密；</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（3）护岸局部塌陷或垫层被淘刷，应先翻出块石，恢复土体和垫层，再将块石嵌砌紧密。</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4.2.4  混凝土或浆砌石护岸养护应符合下列规定：</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（1）清理护岸表面杂物；</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（2）变形缝内填料流失应及时填补，填补前将缝内杂物清除干净；</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（3）浆砌石的灰缝脱落应及时修补，修补时讲缝口剔清刷净，修补后洒水养护；</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（4）护岸局部发生侵蚀剥落或破碎，应采用水泥砂浆进行抹补、喷浆处理；破碎面较大且有垫层淘刷砌体架空现象的，应填塞石料进行临时性处理，岁修时彻底整修；</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（5）排水孔堵塞，应及时疏通；</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（6）护岸局部出现裂缝，应加强观测，判别裂缝成因，进行处理。</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4.2.5  河道堤岸受损维修标准不得低于原设计标准，对于原结构与维修部位之间的连接，应有相应的结构加强措施确保连接良好。</w:t>
      </w:r>
    </w:p>
    <w:p>
      <w:pPr>
        <w:pageBreakBefore w:val="0"/>
        <w:widowControl/>
        <w:kinsoku/>
        <w:wordWrap/>
        <w:overflowPunct/>
        <w:topLinePunct w:val="0"/>
        <w:autoSpaceDE w:val="0"/>
        <w:autoSpaceDN w:val="0"/>
        <w:bidi w:val="0"/>
        <w:snapToGrid w:val="0"/>
        <w:spacing w:line="360" w:lineRule="auto"/>
        <w:ind w:left="0" w:leftChars="0" w:firstLine="482" w:firstLineChars="200"/>
        <w:textAlignment w:val="auto"/>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kern w:val="0"/>
          <w:sz w:val="24"/>
          <w:szCs w:val="24"/>
          <w:highlight w:val="none"/>
        </w:rPr>
        <w:t>4.3 其他</w:t>
      </w:r>
      <w:r>
        <w:rPr>
          <w:rFonts w:hint="eastAsia" w:ascii="仿宋_GB2312" w:hAnsi="仿宋_GB2312" w:eastAsia="仿宋_GB2312" w:cs="仿宋_GB2312"/>
          <w:b/>
          <w:color w:val="auto"/>
          <w:kern w:val="0"/>
          <w:sz w:val="24"/>
          <w:szCs w:val="24"/>
          <w:highlight w:val="none"/>
        </w:rPr>
        <w:t>附属设施养护</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4.3.1  其他河道相关附属设施的养护，应包括对河道管理用房</w:t>
      </w:r>
      <w:r>
        <w:rPr>
          <w:rFonts w:hint="eastAsia" w:ascii="仿宋_GB2312" w:hAnsi="仿宋_GB2312" w:eastAsia="仿宋_GB2312" w:cs="仿宋_GB2312"/>
          <w:color w:val="auto"/>
          <w:sz w:val="24"/>
          <w:szCs w:val="24"/>
          <w:highlight w:val="none"/>
          <w:lang w:eastAsia="zh-CN"/>
        </w:rPr>
        <w:t>、沿河慢行系统、栈道、景观桥、河埠头防汛配水设施</w:t>
      </w:r>
      <w:r>
        <w:rPr>
          <w:rFonts w:hint="eastAsia" w:ascii="仿宋_GB2312" w:hAnsi="仿宋_GB2312" w:eastAsia="仿宋_GB2312" w:cs="仿宋_GB2312"/>
          <w:color w:val="auto"/>
          <w:kern w:val="0"/>
          <w:sz w:val="24"/>
          <w:szCs w:val="24"/>
          <w:highlight w:val="none"/>
        </w:rPr>
        <w:t>等河道附属设施的养护。</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4.3.2  应定期巡视检查，保持设施洁净、无破损、无缺失、无歪斜、油漆完整。</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4.3.3  管理用房应整洁有序，无乱拉电线，违规使用燃气用具等情况。</w:t>
      </w:r>
    </w:p>
    <w:p>
      <w:pPr>
        <w:keepNext w:val="0"/>
        <w:keepLines w:val="0"/>
        <w:pageBreakBefore w:val="0"/>
        <w:widowControl/>
        <w:suppressLineNumbers w:val="0"/>
        <w:kinsoku/>
        <w:wordWrap/>
        <w:overflowPunct/>
        <w:topLinePunct w:val="0"/>
        <w:autoSpaceDE w:val="0"/>
        <w:autoSpaceDN w:val="0"/>
        <w:bidi w:val="0"/>
        <w:snapToGrid w:val="0"/>
        <w:spacing w:line="360" w:lineRule="auto"/>
        <w:ind w:left="0" w:leftChars="0" w:firstLine="480" w:firstLineChars="200"/>
        <w:jc w:val="both"/>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sz w:val="24"/>
          <w:szCs w:val="24"/>
          <w:highlight w:val="none"/>
          <w:lang w:val="en-US" w:eastAsia="zh-CN" w:bidi="ar-SA"/>
        </w:rPr>
        <w:t>4.3.4 投标人在养护过程中承诺按采购人要求每年安装救生设施50套，费用由投标人在投标报价中自行考虑。救生设施包括救生圈、救生绳及救生杆并符合市级考核要求。救生设施所有权归招标人所有，在河道养护期间需保证救生设施的正常使用。</w:t>
      </w:r>
    </w:p>
    <w:p>
      <w:pPr>
        <w:keepNext/>
        <w:keepLines/>
        <w:pageBreakBefore w:val="0"/>
        <w:numPr>
          <w:ilvl w:val="0"/>
          <w:numId w:val="0"/>
        </w:numPr>
        <w:kinsoku/>
        <w:wordWrap/>
        <w:overflowPunct/>
        <w:topLinePunct w:val="0"/>
        <w:bidi w:val="0"/>
        <w:adjustRightInd w:val="0"/>
        <w:snapToGrid w:val="0"/>
        <w:spacing w:line="360" w:lineRule="auto"/>
        <w:ind w:firstLine="482" w:firstLineChars="200"/>
        <w:jc w:val="left"/>
        <w:textAlignment w:val="auto"/>
        <w:outlineLvl w:val="2"/>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5、</w:t>
      </w:r>
      <w:r>
        <w:rPr>
          <w:rFonts w:hint="eastAsia" w:ascii="仿宋_GB2312" w:hAnsi="仿宋_GB2312" w:eastAsia="仿宋_GB2312" w:cs="仿宋_GB2312"/>
          <w:b/>
          <w:bCs/>
          <w:sz w:val="24"/>
          <w:szCs w:val="24"/>
          <w:highlight w:val="none"/>
        </w:rPr>
        <w:t>河道除四害</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5.1 服务标准</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5.1.1 遵照方案、执行标准。消杀工作原则上遵照上级卫生行政主管部门印发的工作方案中相关规定，并执行《浙江省城镇病媒生物密度控制水平评估认可管理办法》（2022版）中的相关规定执行。</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5.1.2 根据“四害”等病媒生物的生活习性和本项目服务范围的环境情况，适时进行科学有效的防制，将“四害”密度常态控制在全国爱卫会标准范围内。消杀频率按消杀规范进行。</w:t>
      </w:r>
    </w:p>
    <w:p>
      <w:pPr>
        <w:pageBreakBefore w:val="0"/>
        <w:widowControl/>
        <w:kinsoku/>
        <w:wordWrap/>
        <w:overflowPunct/>
        <w:topLinePunct w:val="0"/>
        <w:autoSpaceDE w:val="0"/>
        <w:autoSpaceDN w:val="0"/>
        <w:bidi w:val="0"/>
        <w:snapToGrid w:val="0"/>
        <w:spacing w:line="360" w:lineRule="auto"/>
        <w:ind w:left="0" w:leftChars="0" w:firstLine="480" w:firstLineChars="200"/>
        <w:textAlignment w:val="auto"/>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5.1.3 科学用药、确保安全。须使用全国爱卫会推荐或认可的安全卫生杀虫剂，不得使用高毒、高危药物。投放药品时要做好标记、设置警示、确保安全。若出现中毒现象，中标人须及时做好抢救并做好善后工作。因违规作业而产生的安全事故和后果由中标人自理，与采购人无涉。</w:t>
      </w:r>
    </w:p>
    <w:p>
      <w:pPr>
        <w:keepNext/>
        <w:keepLines/>
        <w:pageBreakBefore w:val="0"/>
        <w:kinsoku/>
        <w:wordWrap/>
        <w:overflowPunct/>
        <w:topLinePunct w:val="0"/>
        <w:bidi w:val="0"/>
        <w:adjustRightInd w:val="0"/>
        <w:snapToGrid w:val="0"/>
        <w:spacing w:line="360" w:lineRule="auto"/>
        <w:ind w:left="0" w:leftChars="0" w:firstLine="482" w:firstLineChars="200"/>
        <w:jc w:val="left"/>
        <w:textAlignment w:val="auto"/>
        <w:outlineLvl w:val="2"/>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rPr>
        <w:t>6、河道</w:t>
      </w:r>
      <w:r>
        <w:rPr>
          <w:rFonts w:hint="eastAsia" w:ascii="仿宋_GB2312" w:hAnsi="仿宋_GB2312" w:eastAsia="仿宋_GB2312" w:cs="仿宋_GB2312"/>
          <w:b/>
          <w:bCs/>
          <w:sz w:val="24"/>
          <w:szCs w:val="24"/>
          <w:highlight w:val="none"/>
          <w:lang w:eastAsia="zh-CN"/>
        </w:rPr>
        <w:t>淤积监测</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河道淤积监测</w:t>
      </w:r>
      <w:r>
        <w:rPr>
          <w:rFonts w:hint="eastAsia" w:ascii="仿宋_GB2312" w:hAnsi="仿宋_GB2312" w:eastAsia="仿宋_GB2312" w:cs="仿宋_GB2312"/>
          <w:sz w:val="24"/>
          <w:szCs w:val="24"/>
          <w:highlight w:val="none"/>
          <w:lang w:val="en-US" w:eastAsia="zh-CN"/>
        </w:rPr>
        <w:t>，委托专业单位，采用专业测量仪器对河道进行定期淤积监测，提交河道淤积测量成果报告。提交的报告需满足市级淤积监测工作及《杭州钱塘新区下沙片河道清淤轮疏长效机制方案》要求</w:t>
      </w:r>
      <w:r>
        <w:rPr>
          <w:rFonts w:hint="eastAsia" w:ascii="仿宋_GB2312" w:hAnsi="仿宋_GB2312" w:eastAsia="仿宋_GB2312" w:cs="仿宋_GB2312"/>
          <w:sz w:val="24"/>
          <w:szCs w:val="24"/>
          <w:highlight w:val="none"/>
          <w:lang w:eastAsia="zh-CN"/>
        </w:rPr>
        <w:t>。监测断面</w:t>
      </w:r>
      <w:r>
        <w:rPr>
          <w:rFonts w:hint="eastAsia" w:ascii="仿宋_GB2312" w:hAnsi="仿宋_GB2312" w:eastAsia="仿宋_GB2312" w:cs="仿宋_GB2312"/>
          <w:sz w:val="24"/>
          <w:szCs w:val="24"/>
          <w:highlight w:val="none"/>
        </w:rPr>
        <w:t>以每条河道（河段）为一个单元，断面顺序按河道从南至北(或从东至西)进行编号排列，其中《杭州钱塘新区下沙片河道清淤轮疏长效机制方案》中所规定的监测断面为必测断面，河道变化处适当加密。</w:t>
      </w:r>
      <w:r>
        <w:rPr>
          <w:rFonts w:hint="eastAsia" w:ascii="仿宋_GB2312" w:hAnsi="仿宋_GB2312" w:eastAsia="仿宋_GB2312" w:cs="仿宋_GB2312"/>
          <w:sz w:val="24"/>
          <w:szCs w:val="24"/>
          <w:highlight w:val="none"/>
          <w:lang w:val="en-US" w:eastAsia="zh-CN"/>
        </w:rPr>
        <w:t>于每年9月底前提交淤积监测报告，包含测量断面图、测量技术报告及相关数据信息成果资料，数据成果资料经审核后上传市级智慧河道平台淤积监测模块。</w:t>
      </w:r>
    </w:p>
    <w:p>
      <w:pPr>
        <w:keepNext/>
        <w:keepLines/>
        <w:pageBreakBefore w:val="0"/>
        <w:kinsoku/>
        <w:wordWrap/>
        <w:overflowPunct/>
        <w:topLinePunct w:val="0"/>
        <w:bidi w:val="0"/>
        <w:adjustRightInd w:val="0"/>
        <w:snapToGrid w:val="0"/>
        <w:spacing w:line="360" w:lineRule="auto"/>
        <w:ind w:left="0" w:leftChars="0" w:firstLine="482" w:firstLineChars="200"/>
        <w:jc w:val="left"/>
        <w:textAlignment w:val="auto"/>
        <w:outlineLvl w:val="2"/>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7、</w:t>
      </w:r>
      <w:r>
        <w:rPr>
          <w:rFonts w:hint="eastAsia" w:ascii="仿宋_GB2312" w:hAnsi="仿宋_GB2312" w:eastAsia="仿宋_GB2312" w:cs="仿宋_GB2312"/>
          <w:b/>
          <w:bCs/>
          <w:sz w:val="24"/>
          <w:szCs w:val="24"/>
          <w:highlight w:val="none"/>
          <w:lang w:eastAsia="zh-CN"/>
        </w:rPr>
        <w:t>河道作业频次及人员配备要求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7.1作业频次</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依据</w:t>
      </w:r>
      <w:r>
        <w:rPr>
          <w:rFonts w:hint="eastAsia" w:ascii="仿宋_GB2312" w:hAnsi="仿宋_GB2312" w:eastAsia="仿宋_GB2312" w:cs="仿宋_GB2312"/>
          <w:sz w:val="24"/>
          <w:szCs w:val="24"/>
          <w:highlight w:val="none"/>
        </w:rPr>
        <w:t>《河道分类养护管理方案</w:t>
      </w:r>
      <w:r>
        <w:rPr>
          <w:rFonts w:hint="eastAsia" w:ascii="仿宋_GB2312" w:hAnsi="仿宋_GB2312" w:eastAsia="仿宋_GB2312" w:cs="仿宋_GB2312"/>
          <w:sz w:val="24"/>
          <w:szCs w:val="24"/>
          <w:highlight w:val="none"/>
          <w:lang w:val="en-US" w:eastAsia="zh-CN"/>
        </w:rPr>
        <w:t>2019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三类一级河道：每天对河面进行3次保洁，二级平台清理每月不少于三次,每天全线巡查1次。三类二级河道：每天对河面进行2次保洁，二级平台清理每月不少于二次,每2天巡查1次。其余河道：每天对河面进行2次保洁，每2天巡查1次。重大保障期间按要求增加巡查频次。</w:t>
      </w:r>
    </w:p>
    <w:p>
      <w:pPr>
        <w:pageBreakBefore w:val="0"/>
        <w:widowControl w:val="0"/>
        <w:kinsoku/>
        <w:wordWrap/>
        <w:overflowPunct/>
        <w:topLinePunct w:val="0"/>
        <w:autoSpaceDE w:val="0"/>
        <w:autoSpaceDN w:val="0"/>
        <w:bidi w:val="0"/>
        <w:adjustRightInd w:val="0"/>
        <w:spacing w:line="360" w:lineRule="auto"/>
        <w:ind w:left="0" w:leftChars="0" w:firstLine="480" w:firstLineChars="200"/>
        <w:jc w:val="both"/>
        <w:textAlignment w:val="auto"/>
        <w:rPr>
          <w:rFonts w:hint="eastAsia" w:ascii="仿宋_GB2312" w:hAnsi="仿宋_GB2312" w:eastAsia="仿宋_GB2312" w:cs="仿宋_GB2312"/>
          <w:snapToGrid w:val="0"/>
          <w:kern w:val="2"/>
          <w:sz w:val="24"/>
          <w:szCs w:val="24"/>
          <w:highlight w:val="none"/>
          <w:lang w:val="en-US" w:eastAsia="zh-CN" w:bidi="ar-SA"/>
        </w:rPr>
      </w:pPr>
      <w:r>
        <w:rPr>
          <w:rFonts w:hint="eastAsia" w:ascii="仿宋_GB2312" w:hAnsi="仿宋_GB2312" w:eastAsia="仿宋_GB2312" w:cs="仿宋_GB2312"/>
          <w:snapToGrid w:val="0"/>
          <w:kern w:val="2"/>
          <w:sz w:val="24"/>
          <w:szCs w:val="24"/>
          <w:highlight w:val="none"/>
          <w:lang w:val="en-US" w:eastAsia="zh-CN" w:bidi="ar-SA"/>
        </w:rPr>
        <w:t>7.2人员配备要求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依据</w:t>
      </w:r>
      <w:r>
        <w:rPr>
          <w:rFonts w:hint="eastAsia" w:ascii="仿宋_GB2312" w:hAnsi="仿宋_GB2312" w:eastAsia="仿宋_GB2312" w:cs="仿宋_GB2312"/>
          <w:sz w:val="24"/>
          <w:szCs w:val="24"/>
          <w:highlight w:val="none"/>
        </w:rPr>
        <w:t>《城市河道养护管理规范》</w:t>
      </w:r>
      <w:r>
        <w:rPr>
          <w:rFonts w:hint="eastAsia" w:ascii="仿宋_GB2312" w:hAnsi="仿宋_GB2312" w:eastAsia="仿宋_GB2312" w:cs="仿宋_GB2312"/>
          <w:sz w:val="24"/>
          <w:szCs w:val="24"/>
          <w:highlight w:val="none"/>
          <w:lang w:eastAsia="zh-CN"/>
        </w:rPr>
        <w:t>，巡查和保洁人员配备符合以下要求，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巡查人员配备</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三类城市河道，每8000m长度应配备不少于1名巡查人员。</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河面保洁人员配备：三类城市河道，每110000㎡水域面积应配备不少于3名保洁人员。</w:t>
      </w:r>
    </w:p>
    <w:p>
      <w:pPr>
        <w:keepNext/>
        <w:keepLines/>
        <w:pageBreakBefore w:val="0"/>
        <w:kinsoku/>
        <w:wordWrap/>
        <w:overflowPunct/>
        <w:topLinePunct w:val="0"/>
        <w:bidi w:val="0"/>
        <w:adjustRightInd w:val="0"/>
        <w:snapToGrid w:val="0"/>
        <w:spacing w:line="360" w:lineRule="auto"/>
        <w:ind w:left="0" w:leftChars="0" w:firstLine="482" w:firstLineChars="200"/>
        <w:jc w:val="left"/>
        <w:textAlignment w:val="auto"/>
        <w:outlineLvl w:val="2"/>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8、执行标准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美丽河道评价标准》、《城市河道净水设施养护管理规范》、《城市河道标志系统设置规范》、《城市生态河道设施配置规范》、《河道排水口动态监管管理规范》、《杭州市城市河道管理养护技术规范》、《杭州市城市河道养护人员作业行为规范》、《杭州市城市河道监管衔接工作程序规范》、《标准实施检查规范》、《防汛防台应急保障工作规范》、《杭州市城市河道长效管理考核办法》、《杭州钱塘新区下沙片区城市河道养护管理规范》等。若有调整，以最新发布的为准。</w:t>
      </w:r>
    </w:p>
    <w:p>
      <w:pPr>
        <w:pageBreakBefore w:val="0"/>
        <w:numPr>
          <w:ilvl w:val="0"/>
          <w:numId w:val="0"/>
        </w:numPr>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9、其它要求</w:t>
      </w:r>
    </w:p>
    <w:p>
      <w:pPr>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leftChars="0" w:right="0" w:firstLine="480" w:firstLineChars="200"/>
        <w:jc w:val="both"/>
        <w:textAlignment w:val="auto"/>
        <w:rPr>
          <w:rFonts w:hint="eastAsia" w:ascii="仿宋_GB2312" w:hAnsi="仿宋_GB2312" w:eastAsia="仿宋_GB2312" w:cs="仿宋_GB2312"/>
          <w:bCs/>
          <w:color w:val="auto"/>
          <w:kern w:val="2"/>
          <w:sz w:val="24"/>
          <w:szCs w:val="24"/>
          <w:highlight w:val="none"/>
          <w:lang w:val="en-US" w:eastAsia="zh-CN" w:bidi="ar"/>
        </w:rPr>
      </w:pPr>
      <w:r>
        <w:rPr>
          <w:rFonts w:hint="eastAsia" w:ascii="仿宋_GB2312" w:hAnsi="仿宋_GB2312" w:eastAsia="仿宋_GB2312" w:cs="仿宋_GB2312"/>
          <w:bCs/>
          <w:color w:val="auto"/>
          <w:kern w:val="2"/>
          <w:sz w:val="24"/>
          <w:szCs w:val="24"/>
          <w:highlight w:val="none"/>
          <w:lang w:val="en-US" w:eastAsia="zh-CN" w:bidi="ar"/>
        </w:rPr>
        <w:t>1、投标时提供</w:t>
      </w:r>
      <w:r>
        <w:rPr>
          <w:rFonts w:hint="eastAsia" w:ascii="仿宋_GB2312" w:hAnsi="仿宋_GB2312" w:eastAsia="仿宋_GB2312" w:cs="仿宋_GB2312"/>
          <w:bCs/>
          <w:color w:val="auto"/>
          <w:kern w:val="2"/>
          <w:sz w:val="24"/>
          <w:szCs w:val="24"/>
          <w:highlight w:val="none"/>
          <w:lang w:eastAsia="zh-CN" w:bidi="ar"/>
        </w:rPr>
        <w:t>在养护期</w:t>
      </w:r>
      <w:r>
        <w:rPr>
          <w:rFonts w:hint="eastAsia" w:ascii="仿宋_GB2312" w:hAnsi="仿宋_GB2312" w:eastAsia="仿宋_GB2312" w:cs="仿宋_GB2312"/>
          <w:bCs/>
          <w:color w:val="auto"/>
          <w:kern w:val="2"/>
          <w:sz w:val="24"/>
          <w:szCs w:val="24"/>
          <w:highlight w:val="none"/>
          <w:lang w:val="en-US" w:eastAsia="zh-CN" w:bidi="ar"/>
        </w:rPr>
        <w:t>购买人员意外保险（保额不少于80万/人）</w:t>
      </w:r>
      <w:r>
        <w:rPr>
          <w:rFonts w:hint="eastAsia" w:ascii="仿宋_GB2312" w:hAnsi="仿宋_GB2312" w:eastAsia="仿宋_GB2312" w:cs="仿宋_GB2312"/>
          <w:bCs/>
          <w:color w:val="auto"/>
          <w:kern w:val="2"/>
          <w:sz w:val="24"/>
          <w:szCs w:val="24"/>
          <w:highlight w:val="none"/>
          <w:lang w:eastAsia="zh-CN" w:bidi="ar"/>
        </w:rPr>
        <w:t>、责任险</w:t>
      </w:r>
      <w:r>
        <w:rPr>
          <w:rFonts w:hint="eastAsia" w:ascii="仿宋_GB2312" w:hAnsi="仿宋_GB2312" w:eastAsia="仿宋_GB2312" w:cs="仿宋_GB2312"/>
          <w:bCs/>
          <w:color w:val="auto"/>
          <w:kern w:val="2"/>
          <w:sz w:val="24"/>
          <w:szCs w:val="24"/>
          <w:highlight w:val="none"/>
          <w:lang w:val="en-US" w:eastAsia="zh-CN" w:bidi="ar"/>
        </w:rPr>
        <w:t>的相关承诺。</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bCs/>
          <w:color w:val="auto"/>
          <w:kern w:val="2"/>
          <w:sz w:val="24"/>
          <w:szCs w:val="24"/>
          <w:highlight w:val="none"/>
          <w:lang w:val="en-US" w:eastAsia="zh-CN" w:bidi="ar"/>
        </w:rPr>
      </w:pPr>
      <w:r>
        <w:rPr>
          <w:rFonts w:hint="eastAsia" w:ascii="仿宋_GB2312" w:hAnsi="仿宋_GB2312" w:eastAsia="仿宋_GB2312" w:cs="仿宋_GB2312"/>
          <w:bCs/>
          <w:color w:val="auto"/>
          <w:kern w:val="2"/>
          <w:sz w:val="24"/>
          <w:szCs w:val="24"/>
          <w:highlight w:val="none"/>
          <w:lang w:val="en-US" w:eastAsia="zh-CN" w:bidi="ar"/>
        </w:rPr>
        <w:t>2、按要求登录市智慧河道平台系统完成城市河道智慧系统巡查、设施量维护、排水口、淤积动态监测、异常天气等平台各模块运用工作。自查自改做到系统有依据有记录，对于上级检查发现问题，按照规范标准和时间要求完成整改。</w:t>
      </w:r>
    </w:p>
    <w:p>
      <w:pPr>
        <w:keepNext w:val="0"/>
        <w:keepLines w:val="0"/>
        <w:pageBreakBefore w:val="0"/>
        <w:widowControl w:val="0"/>
        <w:suppressLineNumbers w:val="0"/>
        <w:kinsoku/>
        <w:wordWrap/>
        <w:overflowPunct/>
        <w:topLinePunct w:val="0"/>
        <w:bidi w:val="0"/>
        <w:adjustRightInd w:val="0"/>
        <w:spacing w:before="0" w:beforeAutospacing="0" w:after="0" w:afterAutospacing="0" w:line="360" w:lineRule="auto"/>
        <w:ind w:left="0" w:leftChars="0" w:right="0" w:firstLine="480" w:firstLineChars="200"/>
        <w:jc w:val="both"/>
        <w:textAlignment w:val="auto"/>
        <w:rPr>
          <w:rFonts w:hint="eastAsia" w:ascii="仿宋_GB2312" w:hAnsi="仿宋_GB2312" w:eastAsia="仿宋_GB2312" w:cs="仿宋_GB2312"/>
          <w:bCs/>
          <w:color w:val="auto"/>
          <w:kern w:val="2"/>
          <w:sz w:val="24"/>
          <w:szCs w:val="24"/>
          <w:highlight w:val="none"/>
          <w:lang w:eastAsia="zh-CN" w:bidi="ar"/>
        </w:rPr>
      </w:pPr>
      <w:r>
        <w:rPr>
          <w:rFonts w:hint="eastAsia" w:ascii="仿宋_GB2312" w:hAnsi="仿宋_GB2312" w:eastAsia="仿宋_GB2312" w:cs="仿宋_GB2312"/>
          <w:bCs/>
          <w:color w:val="auto"/>
          <w:kern w:val="2"/>
          <w:sz w:val="24"/>
          <w:szCs w:val="24"/>
          <w:highlight w:val="none"/>
          <w:lang w:eastAsia="zh-CN" w:bidi="ar"/>
        </w:rPr>
        <w:t>3、对与河道有关的信访、数字城管、上级交办任务等经调查确认无主或无法确定责任单位的应根据业主要求进行兜底处置。</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三</w:t>
      </w:r>
      <w:r>
        <w:rPr>
          <w:rFonts w:hint="eastAsia" w:ascii="仿宋_GB2312" w:hAnsi="仿宋_GB2312" w:eastAsia="仿宋_GB2312" w:cs="仿宋_GB2312"/>
          <w:b/>
          <w:bCs/>
          <w:snapToGrid w:val="0"/>
          <w:color w:val="auto"/>
          <w:kern w:val="0"/>
          <w:sz w:val="24"/>
          <w:szCs w:val="24"/>
          <w:highlight w:val="none"/>
        </w:rPr>
        <w:t>）注意事项</w:t>
      </w:r>
    </w:p>
    <w:p>
      <w:pPr>
        <w:pageBreakBefore w:val="0"/>
        <w:tabs>
          <w:tab w:val="left" w:pos="432"/>
        </w:tabs>
        <w:kinsoku/>
        <w:wordWrap/>
        <w:overflowPunct/>
        <w:topLinePunct w:val="0"/>
        <w:bidi w:val="0"/>
        <w:snapToGrid w:val="0"/>
        <w:spacing w:before="0" w:after="0" w:line="360" w:lineRule="auto"/>
        <w:ind w:left="0" w:leftChars="0" w:firstLine="480" w:firstLineChars="200"/>
        <w:textAlignment w:val="auto"/>
        <w:outlineLvl w:val="9"/>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bCs/>
          <w:color w:val="auto"/>
          <w:kern w:val="2"/>
          <w:sz w:val="24"/>
          <w:szCs w:val="24"/>
          <w:highlight w:val="none"/>
          <w:lang w:eastAsia="zh-CN" w:bidi="ar"/>
        </w:rPr>
        <w:t>配合做好迎接各类检查和突发性公共事件等的河道应急保障工作。</w:t>
      </w:r>
    </w:p>
    <w:p>
      <w:pPr>
        <w:keepNext/>
        <w:keepLines/>
        <w:pageBreakBefore w:val="0"/>
        <w:widowControl w:val="0"/>
        <w:tabs>
          <w:tab w:val="left" w:pos="432"/>
        </w:tabs>
        <w:kinsoku/>
        <w:wordWrap/>
        <w:overflowPunct/>
        <w:topLinePunct w:val="0"/>
        <w:autoSpaceDE/>
        <w:autoSpaceDN/>
        <w:bidi w:val="0"/>
        <w:adjustRightInd/>
        <w:snapToGrid w:val="0"/>
        <w:spacing w:before="0" w:after="0" w:line="360" w:lineRule="auto"/>
        <w:ind w:left="0" w:leftChars="0" w:firstLine="482" w:firstLineChars="200"/>
        <w:jc w:val="left"/>
        <w:textAlignment w:val="auto"/>
        <w:outlineLvl w:val="1"/>
        <w:rPr>
          <w:rFonts w:hint="eastAsia" w:ascii="仿宋_GB2312" w:hAnsi="仿宋_GB2312" w:eastAsia="仿宋_GB2312" w:cs="仿宋_GB2312"/>
          <w:b w:val="0"/>
          <w:bCs w:val="0"/>
          <w:snapToGrid w:val="0"/>
          <w:color w:val="auto"/>
          <w:kern w:val="0"/>
          <w:sz w:val="24"/>
          <w:szCs w:val="24"/>
          <w:highlight w:val="none"/>
          <w:lang w:val="zh-CN" w:eastAsia="zh-CN" w:bidi="ar-SA"/>
        </w:rPr>
      </w:pPr>
      <w:r>
        <w:rPr>
          <w:rFonts w:hint="eastAsia" w:ascii="仿宋_GB2312" w:hAnsi="仿宋_GB2312" w:eastAsia="仿宋_GB2312" w:cs="仿宋_GB2312"/>
          <w:b/>
          <w:bCs/>
          <w:snapToGrid w:val="0"/>
          <w:color w:val="auto"/>
          <w:kern w:val="0"/>
          <w:sz w:val="24"/>
          <w:szCs w:val="24"/>
          <w:highlight w:val="none"/>
          <w:lang w:val="zh-CN" w:eastAsia="zh-CN" w:bidi="ar-SA"/>
        </w:rPr>
        <w:t>七、</w:t>
      </w:r>
      <w:bookmarkEnd w:id="38"/>
      <w:bookmarkEnd w:id="39"/>
      <w:bookmarkEnd w:id="40"/>
      <w:r>
        <w:rPr>
          <w:rFonts w:hint="eastAsia" w:ascii="仿宋_GB2312" w:hAnsi="仿宋_GB2312" w:eastAsia="仿宋_GB2312" w:cs="仿宋_GB2312"/>
          <w:b/>
          <w:bCs/>
          <w:snapToGrid w:val="0"/>
          <w:color w:val="auto"/>
          <w:kern w:val="0"/>
          <w:sz w:val="24"/>
          <w:szCs w:val="24"/>
          <w:highlight w:val="none"/>
          <w:lang w:val="zh-CN" w:eastAsia="zh-CN" w:bidi="ar-SA"/>
        </w:rPr>
        <w:t>绿化养护需求</w:t>
      </w:r>
      <w:bookmarkEnd w:id="41"/>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一</w:t>
      </w:r>
      <w:r>
        <w:rPr>
          <w:rFonts w:hint="eastAsia" w:ascii="仿宋_GB2312" w:hAnsi="仿宋_GB2312" w:eastAsia="仿宋_GB2312" w:cs="仿宋_GB2312"/>
          <w:b/>
          <w:bCs/>
          <w:snapToGrid w:val="0"/>
          <w:color w:val="auto"/>
          <w:kern w:val="0"/>
          <w:sz w:val="24"/>
          <w:szCs w:val="24"/>
          <w:highlight w:val="none"/>
        </w:rPr>
        <w:t>）须遵循的规范性文件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1、城市绿地分类标准（CJJ/T 85-2017）。</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2、城市绿地养护管理质量标准（杭州市DB3301/T 0286—2019）。</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3、《杭州市城区绿地养护质量标准》。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4</w:t>
      </w:r>
      <w:r>
        <w:rPr>
          <w:rFonts w:hint="eastAsia" w:ascii="仿宋_GB2312" w:hAnsi="仿宋_GB2312" w:eastAsia="仿宋_GB2312" w:cs="仿宋_GB2312"/>
          <w:snapToGrid w:val="0"/>
          <w:color w:val="auto"/>
          <w:kern w:val="0"/>
          <w:sz w:val="24"/>
          <w:szCs w:val="24"/>
          <w:highlight w:val="none"/>
        </w:rPr>
        <w:t>、《杭州市城市绿化管理</w:t>
      </w:r>
      <w:r>
        <w:rPr>
          <w:rFonts w:hint="eastAsia" w:ascii="仿宋_GB2312" w:hAnsi="仿宋_GB2312" w:eastAsia="仿宋_GB2312" w:cs="仿宋_GB2312"/>
          <w:snapToGrid w:val="0"/>
          <w:color w:val="auto"/>
          <w:kern w:val="0"/>
          <w:sz w:val="24"/>
          <w:szCs w:val="24"/>
          <w:highlight w:val="none"/>
          <w:lang w:val="en-US" w:eastAsia="zh-CN"/>
        </w:rPr>
        <w:t>条例</w:t>
      </w:r>
      <w:r>
        <w:rPr>
          <w:rFonts w:hint="eastAsia" w:ascii="仿宋_GB2312" w:hAnsi="仿宋_GB2312" w:eastAsia="仿宋_GB2312" w:cs="仿宋_GB2312"/>
          <w:snapToGrid w:val="0"/>
          <w:color w:val="auto"/>
          <w:kern w:val="0"/>
          <w:sz w:val="24"/>
          <w:szCs w:val="24"/>
          <w:highlight w:val="none"/>
        </w:rPr>
        <w:t>》。</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5</w:t>
      </w:r>
      <w:r>
        <w:rPr>
          <w:rFonts w:hint="eastAsia" w:ascii="仿宋_GB2312" w:hAnsi="仿宋_GB2312" w:eastAsia="仿宋_GB2312" w:cs="仿宋_GB2312"/>
          <w:snapToGrid w:val="0"/>
          <w:color w:val="auto"/>
          <w:kern w:val="0"/>
          <w:sz w:val="24"/>
          <w:szCs w:val="24"/>
          <w:highlight w:val="none"/>
        </w:rPr>
        <w:t>、《杭州市区最佳最差公园（景区）、道路及河道绿地、高架绿化评选活动实施方案》。</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lang w:val="en-US" w:eastAsia="zh-CN"/>
        </w:rPr>
        <w:t>6</w:t>
      </w:r>
      <w:r>
        <w:rPr>
          <w:rFonts w:hint="eastAsia" w:ascii="仿宋_GB2312" w:hAnsi="仿宋_GB2312" w:eastAsia="仿宋_GB2312" w:cs="仿宋_GB2312"/>
          <w:snapToGrid w:val="0"/>
          <w:color w:val="auto"/>
          <w:kern w:val="0"/>
          <w:sz w:val="24"/>
          <w:szCs w:val="24"/>
          <w:highlight w:val="none"/>
        </w:rPr>
        <w:t>、其他相关规范及标准。</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二</w:t>
      </w:r>
      <w:r>
        <w:rPr>
          <w:rFonts w:hint="eastAsia" w:ascii="仿宋_GB2312" w:hAnsi="仿宋_GB2312" w:eastAsia="仿宋_GB2312" w:cs="仿宋_GB2312"/>
          <w:b/>
          <w:bCs/>
          <w:snapToGrid w:val="0"/>
          <w:color w:val="auto"/>
          <w:kern w:val="0"/>
          <w:sz w:val="24"/>
          <w:szCs w:val="24"/>
          <w:highlight w:val="none"/>
        </w:rPr>
        <w:t>）基本要求</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（参照杭州市城区绿地养护质量标准）</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 总则</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  为加强杭州市绿地养护的管理，提高绿地养护质量，加强园林行业管理，根据国家和省、市有关法律、法规，结合本市实际情况，特制订本标准。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  本标准适用于杭州市城区范围内的绿地养护。凡在城区范围内，由市、区财政核拨养护经费的绿地，必须按照本标准执行；非市、区财政核拨养护经费的城区其他绿地和西湖风景名胜区的绿地可参照本标准执行。</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  各类绿地的养护管理，除应按本标准执行外，还应遵守国家、行业、地方有关标准规范的规定。</w:t>
      </w:r>
    </w:p>
    <w:p>
      <w:pPr>
        <w:pageBreakBefore w:val="0"/>
        <w:kinsoku/>
        <w:wordWrap/>
        <w:overflowPunct/>
        <w:topLinePunct w:val="0"/>
        <w:bidi w:val="0"/>
        <w:adjustRightInd w:val="0"/>
        <w:snapToGrid w:val="0"/>
        <w:spacing w:line="360" w:lineRule="auto"/>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  公园绿地养护标准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  总体标准：指公园绿地养护的整体质量，内容有植物养护、树木存活率、设施维护、土肥标准、病虫害防治标准、卫生标准及管理标准。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  植物养护标准：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2.1.1.1  根据设计意图，养护要重视和体现植物造景，对植物群落进行合理养护，使植物季相分明，色彩丰富，生长茂盛，营造优美植物景观。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2.1.1.2  随着植物生长的各个阶段，应不断进行调整与充实，使植物群落完整，层次丰富，四季有花，黄土不裸露，保持叶面清洁，有整体观赏效果。</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2.1.1.3  花卉面积（含宿根花卉）不低于规定标准。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2.1.1.4  树木及时修剪，无徒长枝、病虫枝、过密枝、枯枝、伤损枝；宿根植物及时翻种、断根、间删；植物无死株。</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2.1.1.5  草坪生长茂盛，无空秃，无明显杂草，草坪边缘线清晰（及时切边），草高不超过8厘米，草坪土壤低于园路或侧石。</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2.1.1.6  棚架、假山及垂直绿化管护合理，达到正常生长量。</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2.1.2  树木成活率标准：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树木成活率98%以上；树木保存率100%。</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  设施维护标准：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2.1.3.1  绿地附属设施完好、分布合理、放置整齐、保持清洁。</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2.1.3.2  园路、铺装地坪平整，无大面积破损、无积水、无淤泥。</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2.1.3.3  亭、廊及其它园林建筑保持安全，及时修缮，维护良好，无瓦草。</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2.1.3.4  金属构件设施无明显锈斑、油漆剥落现象。</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2.1.3.5  供水、供电、排水、喷灌等管网设施维护良好。</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2.1.3.6  指示牌、禁令牌、宣传牌放置合理，醒目、完善、规范。</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2.1.4  土肥标准：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土壤疏松，无积水，根据植物生长特性及时施肥，充分利用有机肥，也可施复合肥，增强土壤肥力（要求一年施肥二次，每次用腐熟豆饼0.5kg／m2），改善土壤理化性状。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2.1.5  病虫害防治标准：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提倡综合防治，以防为主。病虫害危害应控制在以不影响观赏效果的范围之内。其中食叶性害虫危害的叶片，每株不超过5%；刺吸性害虫危害的叶片，每株不超过10%；无蛀干性害虫的活虫、活卵。</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2.1.6  卫生标准：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2.1.6.1  绿地整洁，地面卫生，无垃圾杂物，墙面无涂刻、无招贴，建筑物上无蛛网。</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2.1.6.2  绿地内水体透明度大于50公分、无漂浮杂物、无杂生水生植物。</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2.1.6.3  垃圾日产日清，无卫生死角，厕所冲洗设施完整，无积垢，无明显异味。</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2.1.7  管理标准：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2.1.7.1  绿地管理制度全面落实，档案资料完整、详尽，工作人员统一着装，挂牌上岗。</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2.1.7.2  无违章占绿、无违法建设。</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2.1.7.3  秩序良好，无乱堆乱放、晾晒衣物现象。</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  时花花坛的养护标准：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2.2.1  布置效果：</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按设计精心养护，有全年用花计划，做到四季有花，花期整齐，图案美观，布置效果良好。</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2.2.2  花卉生长：</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花卉植株生长健壮，花色艳丽，始花期方可上花坛种植，株行距适宜，不露底土。无缺株倒伏，无枯枝残花，无杂草垃圾。</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  常绿草草坪的养护标准：</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  整体效果：</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草种基本纯正，生长茂盛，有一定厚度，草根不裸露；草坪无明显枯黄现象，草高不超过6cm；草坪边缘线清晰。</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  养护要求：</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草坪基本无杂草、无空秃，护栏等防护设施完好美观；草坪保持整洁，不得有石块、果壳纸屑及其它垃圾。</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2.4   具体养护标准 </w:t>
      </w:r>
    </w:p>
    <w:tbl>
      <w:tblPr>
        <w:tblStyle w:val="64"/>
        <w:tblW w:w="690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18"/>
        <w:gridCol w:w="1680"/>
        <w:gridCol w:w="1908"/>
        <w:gridCol w:w="17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noWrap w:val="0"/>
            <w:vAlign w:val="top"/>
          </w:tcPr>
          <w:p>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分级标准类别  </w:t>
            </w:r>
          </w:p>
        </w:tc>
        <w:tc>
          <w:tcPr>
            <w:tcW w:w="1680" w:type="dxa"/>
            <w:noWrap w:val="0"/>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一级标准</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二级标准</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三级标准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vMerge w:val="restart"/>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植物</w:t>
            </w: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生长势旺盛</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生长势好</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生长势一般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vMerge w:val="continue"/>
            <w:noWrap w:val="0"/>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树形完美</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树形良好</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基本保持树形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杂草控制</w:t>
            </w: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基本无杂草</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无大型和缠绕性、攀缘性杂草。另星区域的杂草控制在5CM以下</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藤类杂草及大型杂草应予清除。</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vMerge w:val="restart"/>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病虫害控制</w:t>
            </w: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食叶性害虫危害的叶片每株小于5%</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食叶性害虫危害的叶片每株小于10%</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食叶性害虫危害的叶片每株小于15%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vMerge w:val="continue"/>
            <w:noWrap w:val="0"/>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刺吸性害虫危害的叶片每株小于10%</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刺吸性害虫危害的叶片每株小于20%</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刺吸性害虫危害的叶片每株小于30%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vMerge w:val="continue"/>
            <w:noWrap w:val="0"/>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无蛀干性害虫危害</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蛀干性害虫危害率小于5%</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蛀干性害虫危害率小于10%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时花花坛</w:t>
            </w: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月月有花，花期整齐，图案美观</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四季有花，花期整齐，整体效果好</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适时开花，有整体色彩效果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草坪</w:t>
            </w: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草种纯，无空秃.草高不得超过8CM，常绿草高不得超过6CM，生长季节不枯黄</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草种基本纯，草坪覆盖率应大于95%，中心区不得有空秃现象。草高不得超过8CM，常绿草高不得超过6CM</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草种基本纯，草坪覆盖率应大于90%，中心区不得有空秃现象。草高不得超过10CM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51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设施、卫生</w:t>
            </w:r>
          </w:p>
        </w:tc>
        <w:tc>
          <w:tcPr>
            <w:tcW w:w="1680"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完好，无损，整洁</w:t>
            </w:r>
          </w:p>
        </w:tc>
        <w:tc>
          <w:tcPr>
            <w:tcW w:w="1908"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基本完好，整洁</w:t>
            </w:r>
          </w:p>
        </w:tc>
        <w:tc>
          <w:tcPr>
            <w:tcW w:w="1794"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有必要设施，无沉积垃圾</w:t>
            </w:r>
          </w:p>
        </w:tc>
      </w:tr>
    </w:tbl>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   一级绿地、二级绿地要求达到一级养护标准，三级绿地要求达到二级以上养护标准。</w:t>
      </w:r>
    </w:p>
    <w:p>
      <w:pPr>
        <w:adjustRightInd w:val="0"/>
        <w:snapToGrid w:val="0"/>
        <w:spacing w:line="360" w:lineRule="auto"/>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 行道树养护标准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  总体标准：指行道树养护的整体质量，内容有养护质量、树木存活率、设施维护、土肥标准、病虫害防治标准及管理标准。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  养护质量：</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3.1.1.1  植株树冠丰满、完整、茂盛，骨架均匀、树干挺直，具有一定的遮荫及观赏效果。叶片正常，在正常条件下不黄叶，不焦叶，不卷叶，不落叶。</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3.1.1.2  植株无徒长枝、病虫枝、过密枝、并生枝、交叉枝、下垂枝、枯枝、伤损枝、碰线枝；及时抹芽，主干及一级枝不定芽不超过15cm；对倾斜老树要及时扶正。</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3.1.1.3  行道树要有群体特色效果，选用的品种、规格相对统一，补植树品种、规格（树高一致，胸径误差≤20%）也应保持一致，树冠必须保留骨架（3--4根一级主枝）</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3.1.1.4  有防台措施，对危树及时采取修枝、加固或申报更换等措施，遇灾害性天气及时组织进行抢扶。</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3.1.2  树木存活率：</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新栽行道树存活率95%以上，行道树保存率100%。无死株、无缺株。</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3.1.3  设施维护：</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3.1.3.1  树穴边长净空大于1米，树穴有侧石，有平整盖板或种植地被植物，黄土不裸露。</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3.1.3.2  树木支撑规范、统一，无断桩、坏桩，桩位扎缚规范化。</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3.1.4  土肥标准：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栽培基质应具有一定的透水、透气、保肥能力；每年冬季施有机肥一次，每次用腐熟豆饼１公斤／株；石砾含量中，其粒径≤5cm,含量≤10%；PH值为6.0—7.8之间；有效土层(长、宽、深)≥100cm；有机质含量≥25g/kg。</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3.1.5  病虫害防治标准: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基本无病虫害危害迹象。</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3.1.6  管理标准：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3.1.6.1  树穴无杂草、垃圾和其它杂物，树干无钉子、铁丝等破坏树木生长的东西。</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3.1.6.2  管理制度全面落实，档案资料完整、详尽，对行道树的基础资料、变更情况及时记录入档；工作人员统一着装，挂牌上岗。</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3.2   具体养护标准</w:t>
      </w:r>
    </w:p>
    <w:tbl>
      <w:tblPr>
        <w:tblStyle w:val="64"/>
        <w:tblW w:w="645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47"/>
        <w:gridCol w:w="1601"/>
        <w:gridCol w:w="1601"/>
        <w:gridCol w:w="16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分级标准类  别</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一级标准</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二级标准</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三级标准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生长势</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好</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正常</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叶片</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健壮，在正常条件下不黄叶，不焦叶，不卷叶，不落叶。</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正常，较严重黄叶，焦叶，卷叶的株数在2%以下。</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基本正常，较严重黄叶，焦叶，卷叶的株数在10%以下。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枝干</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健壮，无明显枯枝死杈。</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正常，无明显枯枝死杈。</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基本正常。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树冠</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完整美观，分枝点合适。内膛不乱，通风透光。</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基本完整，主侧枝分布均匀，通风透光。</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90%以上的树冠基本完整，有绿化效果。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病虫害控制</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基本无病虫害危害。食叶害虫危害的叶片每株不超过5%，刺吸性害虫危害的叶片每株不超过10%，</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无蛀干性害虫的活虫，活卵。</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病虫害危害未达到明显程度。食叶害虫危害的叶片每株不超过10%，刺吸性害虫危害的叶片每株不超过15%，</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蛀干性害虫危害的株数在2%以下。</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有病虫害控制措施。食叶害虫危害的叶片每株不超过20%，刺吸性害虫危害的叶片每株不超过25%，蛀干性害虫危害的株数在5%以下。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树穴</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有侧石，有平整盖板或种植地被植物，黄土不裸露。</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有平整盖板或种植地被植物，黄土不裸露。</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有较完整的覆盖。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blCellSpacing w:w="0" w:type="dxa"/>
          <w:jc w:val="center"/>
        </w:trPr>
        <w:tc>
          <w:tcPr>
            <w:tcW w:w="1647"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w:t>
            </w:r>
          </w:p>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其他</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无断桩，坏桩，桩位扎缚规范。有防台措施。</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基本无断桩，坏桩，桩位扎缚有效。有一定的防台措施。</w:t>
            </w:r>
          </w:p>
        </w:tc>
        <w:tc>
          <w:tcPr>
            <w:tcW w:w="1601" w:type="dxa"/>
            <w:noWrap w:val="0"/>
            <w:vAlign w:val="top"/>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有一定的防台措施。</w:t>
            </w:r>
          </w:p>
        </w:tc>
      </w:tr>
    </w:tbl>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3.3 胸径10CM以上的行道树要求达到一级养护标准，胸径10CM以下的行道树要求达到二级以上养护标准。 </w:t>
      </w:r>
    </w:p>
    <w:p>
      <w:pPr>
        <w:adjustRightInd w:val="0"/>
        <w:snapToGrid w:val="0"/>
        <w:spacing w:line="36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4 道路绿化带（包括高架挂箱）养护标准</w:t>
      </w:r>
      <w:r>
        <w:rPr>
          <w:rFonts w:hint="eastAsia" w:ascii="仿宋_GB2312" w:hAnsi="仿宋_GB2312" w:eastAsia="仿宋_GB2312" w:cs="仿宋_GB2312"/>
          <w:color w:val="auto"/>
          <w:sz w:val="24"/>
          <w:szCs w:val="24"/>
          <w:highlight w:val="none"/>
        </w:rPr>
        <w:t> </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  总体标准：指道路绿化带养护的整体质量，内容有养护质量、树木存活率、设施维护、土肥标准、病虫害防治标准及管理标准。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4.1.1  植物养护标准：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按道路绿化带的立地条件，对植物进行特殊养护、精心养护，使植物健康生长，具有良好的道路景观。</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4.1.2  树木种植成活率标准：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当年新栽植物成活率达95%以上，保存率98%以上，无缺株、死株。</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4.1.3  土肥标准：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壤疏松，无积水，种植土低于容器（或侧石）上沿5cm；充分利用有机肥，也可用复合肥，增强土壤肥力（要求一年施肥二次，每次用腐熟豆饼0.5kg／m2），其理化性状应符合下列规定：PH值为6.7—7.5之间；石砾粒径≤5cm（高架挂箱石砾粒径≤2cm），含量≤8%（W/W）；有机质含量≥25g/kg。</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4.1.4  病虫害防治标准：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提倡综合防治，病虫害应控制在以不影响观赏效果的危害程度之内。</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  道路绿化带的具体养管标准。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  道路绿化带景观要求。</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4.2.1.1  采用修剪等特殊手法，控制植物高度，植物高度不得影响交通视线。</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4.2.1.2  特殊地段的景观应按设计精心养护，形成有特色的植物景观。整形植物必须及时修剪保持形态，悬垂植物生长健壮，及时通过修剪去除枯死枝和调整高度及生长密度，整体效果良好。</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4.2.1.3  花卉花期整齐，株行距适宜，无空秃、色彩效果好。</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4.2.1.4  绿带必须无裸地，可种植地被植物或草坪。</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4.2.1.5  绿带内无枯枝残叶、无杂草，整洁无垃圾；每天冲洗一次以上，植物叶面无积尘。</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4.2.1.6  辅助设施（包括支撑物和悬挂容器）必须安全、完好、整洁、美观。</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4.2.1.7  道路绿化带及悬垂挂箱冬季浇水应注意不要让水溢出，避免造成路面结冰。</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  道路绿化带养护作业必须穿着有反光条的工作服，做到文明作业，尽量减少对行车的干扰。 </w:t>
      </w:r>
    </w:p>
    <w:p>
      <w:pPr>
        <w:adjustRightInd w:val="0"/>
        <w:snapToGrid w:val="0"/>
        <w:spacing w:line="360" w:lineRule="auto"/>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5  借地绿化养护标准</w:t>
      </w:r>
      <w:r>
        <w:rPr>
          <w:rFonts w:hint="eastAsia" w:ascii="仿宋_GB2312" w:hAnsi="仿宋_GB2312" w:eastAsia="仿宋_GB2312" w:cs="仿宋_GB2312"/>
          <w:color w:val="auto"/>
          <w:sz w:val="24"/>
          <w:szCs w:val="24"/>
          <w:highlight w:val="none"/>
        </w:rPr>
        <w:t> </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  总体标准：指借地绿化养护的整体质量，内容有植物养护、树木存活率、病虫害防治标准及管理标准。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  植物养护标准：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5.1.1.1  根据设计意图，按植物生态特性：喜阳、耐阴、耐旱、喜湿等分别养护，做到季相分明，群落完整。</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5.1.1.2  植物生长健壮正常，全年有绿化效果，无枯枝烂头、无死树。没有地被植物的区域内杂草高度不超过30cm，绿地内藤类杂草应予清除。</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5.1.1.3  每年施冬肥（有机肥）一次，养管粗放的地段可用农家肥。</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5.1.2  树木存活率：</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当年新栽植物成活率达85%以上，保存率95%以上，无缺株、死株。</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5.1.3  病虫害防治标准：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提倡综合防治，病虫害应控制在以不影响观赏效果的危害程度之内。</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5.1.4  管理标准:</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有必要设施，无沉积垃圾。</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6在以上基础上，还需做到</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6.1绿化养护技术措施比较完善，管理基本得当，植物配置合理，达到黄土不露天。</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6.2园林植物生长正常，园林树木树冠基本完整，树木成活率、保存率达到100 %；保持原绿化设计景观风格。绿地内各类地被植物覆盖完好，覆盖率达到100 %，植物缺损必须在2天内补种；补种苗木的规格和原苗木相同。达到地被植物与花灌木的界线清晰，线条流畅。</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6.3落叶树新梢生长正常，叶片大小、颜色正常，在一般条件下，黄叶、焦叶、卷叶和带虫尿、虫网的叶片不得超过5 %，正常叶片保存率在90 %以上。针叶树针叶宿存2年以上，结果枝条不超过20 %。</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6.4垂直绿化应根据不同植物的攀缘特点，采取相应的牵引、设置网架等技术措施，视攀缘植物生长习性，覆盖率不得低于80 %，开花的攀缘植物能适时开花。</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6.5草坪及地被植物整齐一致，覆盖率98 %以上，除缀花草坪外草坪内杂草率不得超过2 %。草坪绿色期：冷季型草不得少于270天，暖季型草不得少于180天。交播草坪绿色期不得少于345天。</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6.6草坪随时修剪，并讲究修剪方法，割草机直线行程较长时应拉线操作，保持修剪后的草坪整齐美观，草高度不超过8 cm（常绿草高度不超过6 cm），树木周围和草坪边缘应及时切边。常绿草四季应保持绿色，草坪的纯洁度在98%以上，无明显纹横。草坪内无空秃、黄化现象。对人为损坏和已发生病害的常绿草坪两天内切除调换。行政大楼拱顶草坪及门前、门后草坪是草坪养护的重中之重，必须更加精心养护。全部草坪要严格落实好定期修剪、施肥浇水、清除杂草、除虫防病等养护措施，各项养护指标必须完全达标，保证草坪生长茂盛，色泽浓绿。</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6.7乔灌木的修剪要达标，主侧枝分布均匀，内堂不乱，通风透光，香樟等乔木每年必须进行一次抹芽、疏枝；不可出现黄化；冬季必须刷白；及时防治虫害；发现枯枝、死枝必须24小时内处理完毕；对枯死的树木应连根部在24小时内挖除，并填平挖穴，并在3天内补种完毕，对花灌木应修剪及时，球形灌木应常年保持形态完整，色块灌木应保持一定高度和层次感，无15cm以上徒长枝，无杂草，常年保持绿篱、色块枝叶正常、整齐一致，曲线必须清晰流畅，无缺株、无空洞；宿根植物及时翻种、断根。</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6.8病虫害控制及时，园林树木有蛀虫害虫危害的株数不得超过1 %；园林树木的主干、主枝上平均每100 cm2介壳虫的活虫数不得超过2头，较细枝条上平均每30 cm不得超过5头，且平均被害株数不得超过3 %。叶上无虫粪，被虫咬的叶片每株不得超过5 %。苗木在养护期内发现病虫害应在2天内治理完毕，保证植株常年无病虫害。</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6.9绿地内无生活垃圾、生产垃圾（如树枝、树叶、草屑等）、杂物、建筑垃圾、石块，绿地内水面杂物，确保绿地内常年整洁，无杂物、无白色污染（树挂），无卫生死角，做到随产随清，树叶、垃圾等滞留绿地时间不超过半小时。</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6.10绿地完整，无堆物、堆料、搭棚，树干上无钉拴刻画等现象。行道树下距树干2m范围内无堆物、堆料、搭棚设摊、圈栏等影响树木生长和养护管理的现象。</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6.11维护好相关的设施，如水管、喷头等，金属制品无锈迹及油漆剥落现象，设施破损应及时上报，并在2天内维修完毕，必须常年确保相关设施的完整。同时应适时对树木的叶面、园林设施（栏杆、侧石、花坛、坐凳等）进行清洗。栏杆、园路、桌椅、路灯、井盖和牌示等园林设施完整、安全，维护及时到位。</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6.12所有植物一年不少于两次全面施肥，肥料为复合肥或饼肥，施肥时间应定在非重大活动日的时间段，并告知</w:t>
      </w:r>
      <w:r>
        <w:rPr>
          <w:rFonts w:hint="eastAsia" w:ascii="仿宋_GB2312" w:hAnsi="仿宋_GB2312" w:eastAsia="仿宋_GB2312" w:cs="仿宋_GB2312"/>
          <w:bCs/>
          <w:color w:val="auto"/>
          <w:sz w:val="24"/>
          <w:szCs w:val="24"/>
          <w:highlight w:val="none"/>
          <w:lang w:eastAsia="zh-CN"/>
        </w:rPr>
        <w:t>采购人</w:t>
      </w:r>
      <w:r>
        <w:rPr>
          <w:rFonts w:hint="eastAsia" w:ascii="仿宋_GB2312" w:hAnsi="仿宋_GB2312" w:eastAsia="仿宋_GB2312" w:cs="仿宋_GB2312"/>
          <w:bCs/>
          <w:color w:val="auto"/>
          <w:sz w:val="24"/>
          <w:szCs w:val="24"/>
          <w:highlight w:val="none"/>
        </w:rPr>
        <w:t>，以</w:t>
      </w:r>
      <w:r>
        <w:rPr>
          <w:rFonts w:hint="eastAsia" w:ascii="仿宋_GB2312" w:hAnsi="仿宋_GB2312" w:eastAsia="仿宋_GB2312" w:cs="仿宋_GB2312"/>
          <w:bCs/>
          <w:color w:val="auto"/>
          <w:sz w:val="24"/>
          <w:szCs w:val="24"/>
          <w:highlight w:val="none"/>
          <w:lang w:eastAsia="zh-CN"/>
        </w:rPr>
        <w:t>采购人</w:t>
      </w:r>
      <w:r>
        <w:rPr>
          <w:rFonts w:hint="eastAsia" w:ascii="仿宋_GB2312" w:hAnsi="仿宋_GB2312" w:eastAsia="仿宋_GB2312" w:cs="仿宋_GB2312"/>
          <w:bCs/>
          <w:color w:val="auto"/>
          <w:sz w:val="24"/>
          <w:szCs w:val="24"/>
          <w:highlight w:val="none"/>
        </w:rPr>
        <w:t>验收为准。其他施肥，根据需要及时进行。</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6.13遇灾害性气候发生，应加强值班并及时组织应急力量进行特殊养护。遇到树木斜倒时在24小时内扶正，及时组织人员夏季防台抗台，冬季地面积雪达到5—6 cm时必须及时组织人员进行清雪掸枝，霜冻天气应及时组织人员除冰救苗。</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6.14遇到人为或其它因素造成的苗木损坏，养护单位必须在3天内补种完毕。否则扣除相应花木价值2—3倍的养护经费。</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6.15绿地要建立日常巡查制度，并做好记录台帐，管理及养护人员统一着装，标志明显，管理方式应文明、礼貌，对进入绿地践踏树木和损坏花木现象应及时予以制止，遇到严重的破坏绿化行为需及时上报采购人或执法部门。</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6.16建立养护管理台帐，作好养护工作日报、月报、年报，健全养护档案制度。 </w:t>
      </w:r>
    </w:p>
    <w:p>
      <w:pPr>
        <w:adjustRightInd w:val="0"/>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三</w:t>
      </w:r>
      <w:r>
        <w:rPr>
          <w:rFonts w:hint="eastAsia" w:ascii="仿宋_GB2312" w:hAnsi="仿宋_GB2312" w:eastAsia="仿宋_GB2312" w:cs="仿宋_GB2312"/>
          <w:b/>
          <w:bCs/>
          <w:snapToGrid w:val="0"/>
          <w:color w:val="auto"/>
          <w:kern w:val="0"/>
          <w:sz w:val="24"/>
          <w:szCs w:val="24"/>
          <w:highlight w:val="none"/>
        </w:rPr>
        <w:t>）注意事项</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1、现状苗木及其它绿化设施（如喷头、水泵）的日常维修包括在投标报价中。</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2、</w:t>
      </w:r>
      <w:r>
        <w:rPr>
          <w:rFonts w:hint="eastAsia" w:ascii="仿宋_GB2312" w:hAnsi="仿宋_GB2312" w:eastAsia="仿宋_GB2312" w:cs="仿宋_GB2312"/>
          <w:bCs/>
          <w:color w:val="auto"/>
          <w:sz w:val="24"/>
          <w:szCs w:val="24"/>
          <w:highlight w:val="none"/>
          <w:lang w:val="en-US" w:eastAsia="zh-CN"/>
        </w:rPr>
        <w:t>为</w:t>
      </w:r>
      <w:r>
        <w:rPr>
          <w:rFonts w:hint="eastAsia" w:ascii="仿宋_GB2312" w:hAnsi="仿宋_GB2312" w:eastAsia="仿宋_GB2312" w:cs="仿宋_GB2312"/>
          <w:bCs/>
          <w:color w:val="auto"/>
          <w:sz w:val="24"/>
          <w:szCs w:val="24"/>
          <w:highlight w:val="none"/>
        </w:rPr>
        <w:t>加强应急管理，具体要求参照《杭州市城区绿化防台树木支撑工作方案》</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中标单位应储备行道树抗台的支撑钢管（或快速支撑）</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其中第一片组至少储备500套，第二片组至少储备800套，第三片组至少储备700套，第四片组至少储备1000套。钢管要求管口直径60 mm，Q235钢板的热镀锌管1根，不可伸缩支撑高度不小于3米，酸洗磷化后喷涂双组分红色反光漆，合同到期后移交街道。</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、日常养护及养护计划应在投标文件中体现，并应有养护期间的补株、补植处理方案。</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化肥、农药费用必须通过作业前报备、中标单位提供购货发票、招标单位现场清点、验收、检查、考核相结合。中标单位施肥、农药达不到标准的，招标方要求立即整改，限期不整改的，通报后，从当季养护款中直接扣除相应的费用。</w:t>
      </w:r>
    </w:p>
    <w:p>
      <w:pPr>
        <w:keepNext/>
        <w:keepLines/>
        <w:pageBreakBefore w:val="0"/>
        <w:widowControl w:val="0"/>
        <w:tabs>
          <w:tab w:val="left" w:pos="432"/>
        </w:tabs>
        <w:kinsoku/>
        <w:wordWrap/>
        <w:overflowPunct/>
        <w:topLinePunct w:val="0"/>
        <w:autoSpaceDE/>
        <w:autoSpaceDN/>
        <w:bidi w:val="0"/>
        <w:adjustRightInd/>
        <w:snapToGrid w:val="0"/>
        <w:spacing w:before="0" w:after="0" w:line="360" w:lineRule="auto"/>
        <w:ind w:left="0" w:firstLine="482" w:firstLineChars="200"/>
        <w:jc w:val="left"/>
        <w:textAlignment w:val="auto"/>
        <w:outlineLvl w:val="1"/>
        <w:rPr>
          <w:rFonts w:hint="eastAsia" w:ascii="仿宋_GB2312" w:hAnsi="仿宋_GB2312" w:eastAsia="仿宋_GB2312" w:cs="仿宋_GB2312"/>
          <w:b/>
          <w:bCs/>
          <w:snapToGrid w:val="0"/>
          <w:color w:val="auto"/>
          <w:kern w:val="0"/>
          <w:sz w:val="24"/>
          <w:szCs w:val="24"/>
          <w:highlight w:val="none"/>
          <w:lang w:val="zh-CN" w:eastAsia="zh-CN" w:bidi="ar-SA"/>
        </w:rPr>
      </w:pPr>
      <w:r>
        <w:rPr>
          <w:rFonts w:hint="eastAsia" w:ascii="仿宋_GB2312" w:hAnsi="仿宋_GB2312" w:eastAsia="仿宋_GB2312" w:cs="仿宋_GB2312"/>
          <w:b/>
          <w:bCs/>
          <w:snapToGrid w:val="0"/>
          <w:color w:val="auto"/>
          <w:kern w:val="0"/>
          <w:sz w:val="24"/>
          <w:szCs w:val="24"/>
          <w:highlight w:val="none"/>
          <w:lang w:val="zh-CN" w:eastAsia="zh-CN" w:bidi="ar-SA"/>
        </w:rPr>
        <w:t>八、市政</w:t>
      </w:r>
      <w:r>
        <w:rPr>
          <w:rFonts w:hint="eastAsia" w:ascii="仿宋_GB2312" w:hAnsi="仿宋_GB2312" w:eastAsia="仿宋_GB2312" w:cs="仿宋_GB2312"/>
          <w:b/>
          <w:bCs/>
          <w:snapToGrid w:val="0"/>
          <w:color w:val="auto"/>
          <w:kern w:val="0"/>
          <w:sz w:val="24"/>
          <w:szCs w:val="24"/>
          <w:highlight w:val="none"/>
          <w:lang w:val="en-US" w:eastAsia="zh-CN" w:bidi="ar-SA"/>
        </w:rPr>
        <w:t>设施</w:t>
      </w:r>
      <w:r>
        <w:rPr>
          <w:rFonts w:hint="eastAsia" w:ascii="仿宋_GB2312" w:hAnsi="仿宋_GB2312" w:eastAsia="仿宋_GB2312" w:cs="仿宋_GB2312"/>
          <w:b/>
          <w:bCs/>
          <w:snapToGrid w:val="0"/>
          <w:color w:val="auto"/>
          <w:kern w:val="0"/>
          <w:sz w:val="24"/>
          <w:szCs w:val="24"/>
          <w:highlight w:val="none"/>
          <w:lang w:val="zh-CN" w:eastAsia="zh-CN" w:bidi="ar-SA"/>
        </w:rPr>
        <w:t>养护需求</w:t>
      </w:r>
    </w:p>
    <w:p>
      <w:pPr>
        <w:adjustRightInd w:val="0"/>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一</w:t>
      </w:r>
      <w:r>
        <w:rPr>
          <w:rFonts w:hint="eastAsia" w:ascii="仿宋_GB2312" w:hAnsi="仿宋_GB2312" w:eastAsia="仿宋_GB2312" w:cs="仿宋_GB2312"/>
          <w:b/>
          <w:bCs/>
          <w:snapToGrid w:val="0"/>
          <w:color w:val="auto"/>
          <w:kern w:val="0"/>
          <w:sz w:val="24"/>
          <w:szCs w:val="24"/>
          <w:highlight w:val="none"/>
        </w:rPr>
        <w:t>）须遵循的规范性文件</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1、《浙江省城市道路管理办法》（浙江省政府令第145号）</w:t>
      </w:r>
      <w:r>
        <w:rPr>
          <w:rFonts w:hint="eastAsia" w:ascii="仿宋_GB2312" w:hAnsi="仿宋_GB2312" w:eastAsia="仿宋_GB2312" w:cs="仿宋_GB2312"/>
          <w:snapToGrid w:val="0"/>
          <w:color w:val="auto"/>
          <w:kern w:val="0"/>
          <w:sz w:val="24"/>
          <w:szCs w:val="24"/>
          <w:highlight w:val="none"/>
          <w:lang w:eastAsia="zh-CN"/>
        </w:rPr>
        <w:t>。</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2、《城市道路管理条例》</w:t>
      </w:r>
      <w:r>
        <w:rPr>
          <w:rFonts w:hint="eastAsia" w:ascii="仿宋_GB2312" w:hAnsi="仿宋_GB2312" w:eastAsia="仿宋_GB2312" w:cs="仿宋_GB2312"/>
          <w:snapToGrid w:val="0"/>
          <w:color w:val="auto"/>
          <w:kern w:val="0"/>
          <w:sz w:val="24"/>
          <w:szCs w:val="24"/>
          <w:highlight w:val="none"/>
          <w:lang w:eastAsia="zh-CN"/>
        </w:rPr>
        <w:t>。</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rPr>
        <w:t>3、《城镇道路养护技术规范》(CJJ36-2006)、《城市道路养护规范》（DB3301/T0012-2013)</w:t>
      </w:r>
      <w:r>
        <w:rPr>
          <w:rFonts w:hint="eastAsia" w:ascii="仿宋_GB2312" w:hAnsi="仿宋_GB2312" w:eastAsia="仿宋_GB2312" w:cs="仿宋_GB2312"/>
          <w:snapToGrid w:val="0"/>
          <w:color w:val="auto"/>
          <w:kern w:val="0"/>
          <w:sz w:val="24"/>
          <w:szCs w:val="24"/>
          <w:highlight w:val="none"/>
          <w:lang w:eastAsia="zh-CN"/>
        </w:rPr>
        <w:t>。</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4、</w:t>
      </w:r>
      <w:r>
        <w:rPr>
          <w:rFonts w:hint="eastAsia" w:ascii="仿宋_GB2312" w:hAnsi="仿宋_GB2312" w:eastAsia="仿宋_GB2312" w:cs="仿宋_GB2312"/>
          <w:snapToGrid w:val="0"/>
          <w:color w:val="auto"/>
          <w:kern w:val="0"/>
          <w:sz w:val="24"/>
          <w:szCs w:val="24"/>
          <w:highlight w:val="none"/>
          <w:lang w:val="en-US" w:eastAsia="zh-CN"/>
        </w:rPr>
        <w:t>《杭州市区城市道路设施完好度检查考核指引办法实施细则》。</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rPr>
        <w:t>5、</w:t>
      </w:r>
      <w:r>
        <w:rPr>
          <w:rFonts w:hint="eastAsia" w:ascii="仿宋_GB2312" w:hAnsi="仿宋_GB2312" w:eastAsia="仿宋_GB2312" w:cs="仿宋_GB2312"/>
          <w:snapToGrid w:val="0"/>
          <w:color w:val="auto"/>
          <w:kern w:val="0"/>
          <w:sz w:val="24"/>
          <w:szCs w:val="24"/>
          <w:highlight w:val="none"/>
          <w:lang w:val="en-US" w:eastAsia="zh-CN"/>
        </w:rPr>
        <w:t>《杭州市城市道路考核细则》。</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6、《城镇排水管渠与泵站运行、维护及安全技术规程》（CJJ68-2016）。</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7、《杭州市城市排水管渠养护管理标准(试行)》(杭城管委[2012]285号)。</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8、</w:t>
      </w:r>
      <w:r>
        <w:rPr>
          <w:rFonts w:hint="eastAsia" w:ascii="仿宋_GB2312" w:hAnsi="仿宋_GB2312" w:eastAsia="仿宋_GB2312" w:cs="仿宋_GB2312"/>
          <w:snapToGrid w:val="0"/>
          <w:color w:val="auto"/>
          <w:kern w:val="0"/>
          <w:sz w:val="24"/>
          <w:szCs w:val="24"/>
          <w:highlight w:val="none"/>
          <w:lang w:val="en-US" w:eastAsia="zh-CN"/>
        </w:rPr>
        <w:t>《杭州市排水设施长效管理意见》</w:t>
      </w:r>
      <w:r>
        <w:rPr>
          <w:rFonts w:hint="eastAsia" w:ascii="仿宋_GB2312" w:hAnsi="仿宋_GB2312" w:eastAsia="仿宋_GB2312" w:cs="仿宋_GB2312"/>
          <w:snapToGrid w:val="0"/>
          <w:color w:val="auto"/>
          <w:kern w:val="0"/>
          <w:sz w:val="24"/>
          <w:szCs w:val="24"/>
          <w:highlight w:val="none"/>
        </w:rPr>
        <w:t>。</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9、《城市桥梁养护技术标准》CJJ99-2017。</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10、《</w:t>
      </w:r>
      <w:r>
        <w:rPr>
          <w:rFonts w:hint="eastAsia" w:ascii="仿宋_GB2312" w:hAnsi="仿宋_GB2312" w:eastAsia="仿宋_GB2312" w:cs="仿宋_GB2312"/>
          <w:snapToGrid w:val="0"/>
          <w:color w:val="auto"/>
          <w:kern w:val="0"/>
          <w:sz w:val="24"/>
          <w:szCs w:val="24"/>
          <w:highlight w:val="none"/>
          <w:lang w:val="en-US" w:eastAsia="zh-CN"/>
        </w:rPr>
        <w:t>城市桥梁检测和养护维修管理办法》</w:t>
      </w:r>
      <w:r>
        <w:rPr>
          <w:rFonts w:hint="eastAsia" w:ascii="仿宋_GB2312" w:hAnsi="仿宋_GB2312" w:eastAsia="仿宋_GB2312" w:cs="仿宋_GB2312"/>
          <w:snapToGrid w:val="0"/>
          <w:color w:val="auto"/>
          <w:kern w:val="0"/>
          <w:sz w:val="24"/>
          <w:szCs w:val="24"/>
          <w:highlight w:val="none"/>
        </w:rPr>
        <w:t>。</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11、</w:t>
      </w:r>
      <w:r>
        <w:rPr>
          <w:rFonts w:hint="eastAsia" w:ascii="仿宋_GB2312" w:hAnsi="仿宋_GB2312" w:eastAsia="仿宋_GB2312" w:cs="仿宋_GB2312"/>
          <w:snapToGrid w:val="0"/>
          <w:color w:val="auto"/>
          <w:kern w:val="0"/>
          <w:sz w:val="24"/>
          <w:szCs w:val="24"/>
          <w:highlight w:val="none"/>
          <w:lang w:val="en-US" w:eastAsia="zh-CN"/>
        </w:rPr>
        <w:t>《城市河道养护管理规范》</w:t>
      </w:r>
      <w:r>
        <w:rPr>
          <w:rFonts w:hint="eastAsia" w:ascii="仿宋_GB2312" w:hAnsi="仿宋_GB2312" w:eastAsia="仿宋_GB2312" w:cs="仿宋_GB2312"/>
          <w:snapToGrid w:val="0"/>
          <w:color w:val="auto"/>
          <w:kern w:val="0"/>
          <w:sz w:val="24"/>
          <w:szCs w:val="24"/>
          <w:highlight w:val="none"/>
        </w:rPr>
        <w:t>。</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12、《杭州市城市河道建设和管理条例》。</w:t>
      </w:r>
    </w:p>
    <w:p>
      <w:pPr>
        <w:adjustRightInd w:val="0"/>
        <w:snapToGrid w:val="0"/>
        <w:spacing w:line="360" w:lineRule="auto"/>
        <w:ind w:firstLine="480" w:firstLineChars="200"/>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13、</w:t>
      </w:r>
      <w:r>
        <w:rPr>
          <w:rFonts w:hint="eastAsia" w:ascii="仿宋_GB2312" w:hAnsi="仿宋_GB2312" w:eastAsia="仿宋_GB2312" w:cs="仿宋_GB2312"/>
          <w:snapToGrid w:val="0"/>
          <w:color w:val="auto"/>
          <w:kern w:val="0"/>
          <w:sz w:val="24"/>
          <w:szCs w:val="24"/>
          <w:highlight w:val="none"/>
          <w:lang w:val="en-US" w:eastAsia="zh-CN"/>
        </w:rPr>
        <w:t>《杭州市城市河道保护管理办法》等相关要求及国家强制性标准</w:t>
      </w:r>
      <w:r>
        <w:rPr>
          <w:rFonts w:hint="eastAsia" w:ascii="仿宋_GB2312" w:hAnsi="仿宋_GB2312" w:eastAsia="仿宋_GB2312" w:cs="仿宋_GB2312"/>
          <w:snapToGrid w:val="0"/>
          <w:color w:val="auto"/>
          <w:kern w:val="0"/>
          <w:sz w:val="24"/>
          <w:szCs w:val="24"/>
          <w:highlight w:val="none"/>
        </w:rPr>
        <w:t>。</w:t>
      </w:r>
    </w:p>
    <w:p>
      <w:pPr>
        <w:adjustRightInd w:val="0"/>
        <w:snapToGrid w:val="0"/>
        <w:spacing w:line="360" w:lineRule="auto"/>
        <w:ind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二</w:t>
      </w: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养护内容</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道路养护：包含混凝土路面、沥青路面、人行道（含占用人行道的停车泊位、石球及配套管线井盖上部的道板）、侧石（含树池）、平石、路名牌、城市家居、下穿道路水位检测设施、断头路挡墙（含油漆）设施的日常巡查、检测、检查、维修、保养和应急保障（如防台防汛、抗雪防冻等)及活动保障等。</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雨水管网养护：包含雨水井盖、雨水井座、雨水井防护网、不锈钢拉钩、雨水管道、雨水排出口、雨水篦子等设施清淤、检测、维修、保养、巡查（不仅限于日常人工、车辆、平台等）和应急保障（如防台防汛、抗雪防冻等）及活动保障等。</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桥梁养护：包括桥梁桥面系：桥面铺装、伸缩装置、排水系统、防撞墙、栏杆、桥头搭板、人行道、顶棚等；上部结构：主梁、主桁架、主拱圈、横梁、横向联系、主节点、挂梁、连接件等；下部结构：支座、盖梁、墩身、台身、台帽、基础、挡墙、侧墙、护坡、河床冲刷情况等；附属设施：连廊、桥下空间、声屏障设施、标志标牌、雨水收集口及绿化等）、桥梁限载设施牌的日常巡查、检测、检查、维修、保养等。</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4、桥梁称重：中标单位养护区域内如有桥梁称重系统的，需按要求做好称重系统的日常养护工作，确保其正常运行。</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雨水泵站：对养护范围内的雨水泵站根据市、区相关标准规范进行管理并做好日常维护。包含水泵、格栅、阀门、电气设备、泵站建筑物、前池与集水池等设施的清淤、检测、维修、保养、巡查（不仅限于日常人工、车辆、平台等）和应急保障（如防台防汛、抗雪防冻等）及活动保障等。（具体清单见附件《2025白杨街道城市基础设施养护量及招标限价汇总表》）</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6、管网清疏检测：养护范围内的雨水管网清疏量每年不少于雨水管网公里数的300%，雨水管网cctv检测每年不少于总量的30%，3年全覆盖1次，并出具检测报告；</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7、道路空洞检测:养护范围内的市政道路空洞检测量每年不少于道路公里数的100%；</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8、桥梁检测：养护范围内的桥梁常规性检测（含水下部分）以及独柱桥梁抗倾覆评估等，每年全覆盖1次；桥梁结构检测每年不少于总量的30%，3年全覆盖1次，并出具检测报告；</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9、道路检测：每年至少进行一次路面常规检测，包含但不仅限于损坏状况及路面行驶质量检测，出具检测报告，并填写路面技术状况评价汇总表和路面行驶质量评价汇总表。</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10、按市、区日常养护管理要求及标准，落实并做好包含但不仅限于无产权单位市政设施养护、道路“三色管理”、智慧市政等智慧化管理的相关任务及要求。</w:t>
      </w:r>
    </w:p>
    <w:p>
      <w:pPr>
        <w:adjustRightInd w:val="0"/>
        <w:snapToGrid w:val="0"/>
        <w:spacing w:line="360" w:lineRule="auto"/>
        <w:ind w:firstLine="482" w:firstLineChars="200"/>
        <w:rPr>
          <w:rFonts w:hint="eastAsia" w:ascii="仿宋_GB2312" w:hAnsi="仿宋_GB2312" w:eastAsia="仿宋_GB2312" w:cs="仿宋_GB2312"/>
          <w:b/>
          <w:bCs/>
          <w:snapToGrid w:val="0"/>
          <w:color w:val="auto"/>
          <w:kern w:val="0"/>
          <w:sz w:val="24"/>
          <w:szCs w:val="24"/>
          <w:highlight w:val="none"/>
          <w:lang w:val="en-US" w:eastAsia="zh-CN"/>
        </w:rPr>
      </w:pP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eastAsia="zh-CN"/>
        </w:rPr>
        <w:t>三</w:t>
      </w:r>
      <w:r>
        <w:rPr>
          <w:rFonts w:hint="eastAsia" w:ascii="仿宋_GB2312" w:hAnsi="仿宋_GB2312" w:eastAsia="仿宋_GB2312" w:cs="仿宋_GB2312"/>
          <w:b/>
          <w:bCs/>
          <w:snapToGrid w:val="0"/>
          <w:color w:val="auto"/>
          <w:kern w:val="0"/>
          <w:sz w:val="24"/>
          <w:szCs w:val="24"/>
          <w:highlight w:val="none"/>
        </w:rPr>
        <w:t>）</w:t>
      </w:r>
      <w:r>
        <w:rPr>
          <w:rFonts w:hint="eastAsia" w:ascii="仿宋_GB2312" w:hAnsi="仿宋_GB2312" w:eastAsia="仿宋_GB2312" w:cs="仿宋_GB2312"/>
          <w:b/>
          <w:bCs/>
          <w:snapToGrid w:val="0"/>
          <w:color w:val="auto"/>
          <w:kern w:val="0"/>
          <w:sz w:val="24"/>
          <w:szCs w:val="24"/>
          <w:highlight w:val="none"/>
          <w:lang w:val="en-US" w:eastAsia="zh-CN"/>
        </w:rPr>
        <w:t>养护要求</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1、每年安排市政养护费用（最终以实际养护金额为准）的15%为“专项养护”，专项养护内容由采购人明确，包含但不仅限于市政设施病害整治，主要包括单处面积大于150平方米（含）或以上的道路（含人行道）路面维修；单处面积大于100平米（含）或以上的道路结构维修；雨水篦子连接支管整仓开挖修复；雨水主管、支管的开挖维修及大于1仓管道整体内衬修复；大于5米桥梁栏杆整体更换维修；桥梁伸缩缝整体更换等；桥梁称重系统等无养护预算保障项目以及涉及重大保障、设施安全、舆情、考核等重要任务。</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rPr>
        <w:t>必须严格按合同条款、招标文件响应要求、管养质量标准及相关规定，精心组织养护，使用同材质维修，达到养护工程的验收标准，确保管养质量，承担设施、人员安全和因养护不到位产生的公共安全责任。</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rPr>
        <w:t>严格履行</w:t>
      </w:r>
      <w:r>
        <w:rPr>
          <w:rFonts w:hint="eastAsia" w:ascii="仿宋_GB2312" w:hAnsi="仿宋_GB2312" w:eastAsia="仿宋_GB2312" w:cs="仿宋_GB2312"/>
          <w:b w:val="0"/>
          <w:bCs w:val="0"/>
          <w:color w:val="auto"/>
          <w:sz w:val="24"/>
          <w:szCs w:val="24"/>
          <w:highlight w:val="none"/>
          <w:lang w:val="en-US" w:eastAsia="zh-CN"/>
        </w:rPr>
        <w:t>响应文件</w:t>
      </w:r>
      <w:r>
        <w:rPr>
          <w:rFonts w:hint="eastAsia" w:ascii="仿宋_GB2312" w:hAnsi="仿宋_GB2312" w:eastAsia="仿宋_GB2312" w:cs="仿宋_GB2312"/>
          <w:b w:val="0"/>
          <w:bCs w:val="0"/>
          <w:color w:val="auto"/>
          <w:sz w:val="24"/>
          <w:szCs w:val="24"/>
          <w:highlight w:val="none"/>
        </w:rPr>
        <w:t>中优惠承诺、</w:t>
      </w:r>
      <w:r>
        <w:rPr>
          <w:rFonts w:hint="eastAsia" w:ascii="仿宋_GB2312" w:hAnsi="仿宋_GB2312" w:eastAsia="仿宋_GB2312" w:cs="仿宋_GB2312"/>
          <w:b w:val="0"/>
          <w:bCs w:val="0"/>
          <w:color w:val="auto"/>
          <w:sz w:val="24"/>
          <w:szCs w:val="24"/>
          <w:highlight w:val="none"/>
          <w:lang w:val="en-US" w:eastAsia="zh-CN"/>
        </w:rPr>
        <w:t>响应文件</w:t>
      </w:r>
      <w:r>
        <w:rPr>
          <w:rFonts w:hint="eastAsia" w:ascii="仿宋_GB2312" w:hAnsi="仿宋_GB2312" w:eastAsia="仿宋_GB2312" w:cs="仿宋_GB2312"/>
          <w:b w:val="0"/>
          <w:bCs w:val="0"/>
          <w:color w:val="auto"/>
          <w:sz w:val="24"/>
          <w:szCs w:val="24"/>
          <w:highlight w:val="none"/>
        </w:rPr>
        <w:t>及</w:t>
      </w:r>
      <w:r>
        <w:rPr>
          <w:rFonts w:hint="eastAsia" w:ascii="仿宋_GB2312" w:hAnsi="仿宋_GB2312" w:eastAsia="仿宋_GB2312" w:cs="仿宋_GB2312"/>
          <w:b w:val="0"/>
          <w:bCs w:val="0"/>
          <w:color w:val="auto"/>
          <w:sz w:val="24"/>
          <w:szCs w:val="24"/>
          <w:highlight w:val="none"/>
          <w:lang w:val="en-US" w:eastAsia="zh-CN"/>
        </w:rPr>
        <w:t>磋商</w:t>
      </w:r>
      <w:r>
        <w:rPr>
          <w:rFonts w:hint="eastAsia" w:ascii="仿宋_GB2312" w:hAnsi="仿宋_GB2312" w:eastAsia="仿宋_GB2312" w:cs="仿宋_GB2312"/>
          <w:b w:val="0"/>
          <w:bCs w:val="0"/>
          <w:color w:val="auto"/>
          <w:sz w:val="24"/>
          <w:szCs w:val="24"/>
          <w:highlight w:val="none"/>
        </w:rPr>
        <w:t>过程中的有关承诺。</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养护作业人员机</w:t>
      </w:r>
      <w:r>
        <w:rPr>
          <w:rFonts w:hint="eastAsia" w:ascii="仿宋_GB2312" w:hAnsi="仿宋_GB2312" w:eastAsia="仿宋_GB2312" w:cs="仿宋_GB2312"/>
          <w:b w:val="0"/>
          <w:bCs w:val="0"/>
          <w:color w:val="auto"/>
          <w:sz w:val="24"/>
          <w:szCs w:val="24"/>
          <w:highlight w:val="none"/>
          <w:lang w:eastAsia="zh-CN"/>
        </w:rPr>
        <w:t>具</w:t>
      </w:r>
      <w:r>
        <w:rPr>
          <w:rFonts w:hint="eastAsia" w:ascii="仿宋_GB2312" w:hAnsi="仿宋_GB2312" w:eastAsia="仿宋_GB2312" w:cs="仿宋_GB2312"/>
          <w:b w:val="0"/>
          <w:bCs w:val="0"/>
          <w:color w:val="auto"/>
          <w:sz w:val="24"/>
          <w:szCs w:val="24"/>
          <w:highlight w:val="none"/>
        </w:rPr>
        <w:t>设备的投入</w:t>
      </w:r>
      <w:r>
        <w:rPr>
          <w:rFonts w:hint="eastAsia" w:ascii="仿宋_GB2312" w:hAnsi="仿宋_GB2312" w:eastAsia="仿宋_GB2312" w:cs="仿宋_GB2312"/>
          <w:b w:val="0"/>
          <w:bCs w:val="0"/>
          <w:color w:val="auto"/>
          <w:sz w:val="24"/>
          <w:szCs w:val="24"/>
          <w:highlight w:val="none"/>
          <w:lang w:val="en-US" w:eastAsia="zh-CN"/>
        </w:rPr>
        <w:t>须满足招标文件中规定的人员及设备投入要求，且不低于投标时所作承诺标准</w:t>
      </w:r>
      <w:r>
        <w:rPr>
          <w:rFonts w:hint="eastAsia" w:ascii="仿宋_GB2312" w:hAnsi="仿宋_GB2312" w:eastAsia="仿宋_GB2312" w:cs="仿宋_GB2312"/>
          <w:b w:val="0"/>
          <w:bCs w:val="0"/>
          <w:color w:val="auto"/>
          <w:sz w:val="24"/>
          <w:szCs w:val="24"/>
          <w:highlight w:val="none"/>
        </w:rPr>
        <w:t>。</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b w:val="0"/>
          <w:bCs w:val="0"/>
          <w:color w:val="auto"/>
          <w:sz w:val="24"/>
          <w:szCs w:val="24"/>
          <w:highlight w:val="none"/>
        </w:rPr>
        <w:t>遇特殊天气，制定灾害性天气应急预案，建立应急救灾队伍、应急备货制，将应急预案和人员名单上报至</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备案，防汛防台、抗雪防冻等物资及设备。如遇到防汛防台、防雪抗冻、重大活动保障、突发事件或自然灾害，必须服从</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指挥与安排，完成</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交办的突击性任务并及时将有关情况上报至</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rPr>
        <w:t>协助</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调查、解决市民来信来访及投诉并</w:t>
      </w:r>
      <w:r>
        <w:rPr>
          <w:rFonts w:hint="eastAsia" w:ascii="仿宋_GB2312" w:hAnsi="仿宋_GB2312" w:eastAsia="仿宋_GB2312" w:cs="仿宋_GB2312"/>
          <w:b w:val="0"/>
          <w:bCs w:val="0"/>
          <w:color w:val="auto"/>
          <w:sz w:val="24"/>
          <w:szCs w:val="24"/>
          <w:highlight w:val="none"/>
          <w:lang w:eastAsia="zh-CN"/>
        </w:rPr>
        <w:t>按要求做好数字城管、有奖举报、信访投诉等平台案卷处置工作，严格按采购要求人进行兜底，</w:t>
      </w:r>
      <w:r>
        <w:rPr>
          <w:rFonts w:hint="eastAsia" w:ascii="仿宋_GB2312" w:hAnsi="仿宋_GB2312" w:eastAsia="仿宋_GB2312" w:cs="仿宋_GB2312"/>
          <w:b w:val="0"/>
          <w:bCs w:val="0"/>
          <w:color w:val="auto"/>
          <w:sz w:val="24"/>
          <w:szCs w:val="24"/>
          <w:highlight w:val="none"/>
        </w:rPr>
        <w:t>并根据</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要求及时处理。</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7、</w:t>
      </w:r>
      <w:r>
        <w:rPr>
          <w:rFonts w:hint="eastAsia" w:ascii="仿宋_GB2312" w:hAnsi="仿宋_GB2312" w:eastAsia="仿宋_GB2312" w:cs="仿宋_GB2312"/>
          <w:b w:val="0"/>
          <w:bCs w:val="0"/>
          <w:color w:val="auto"/>
          <w:sz w:val="24"/>
          <w:szCs w:val="24"/>
          <w:highlight w:val="none"/>
        </w:rPr>
        <w:t>建立健全养护、清疏档案，健全日常养护、巡查等作业的文字和影像记录，做好台账的整理和归档工作，确保内容正确、完整。对日常养护、特殊情况、突发事件、服务保障、管道定期检测及清疏、应急抢险等工作进行总结，形成年度养护报告并存档。待合同期满并经</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考核合格后，</w:t>
      </w:r>
      <w:r>
        <w:rPr>
          <w:rFonts w:hint="eastAsia" w:ascii="仿宋_GB2312" w:hAnsi="仿宋_GB2312" w:eastAsia="仿宋_GB2312" w:cs="仿宋_GB2312"/>
          <w:b w:val="0"/>
          <w:bCs w:val="0"/>
          <w:color w:val="auto"/>
          <w:sz w:val="24"/>
          <w:szCs w:val="24"/>
          <w:highlight w:val="none"/>
          <w:lang w:eastAsia="zh-CN"/>
        </w:rPr>
        <w:t>中标人</w:t>
      </w:r>
      <w:r>
        <w:rPr>
          <w:rFonts w:hint="eastAsia" w:ascii="仿宋_GB2312" w:hAnsi="仿宋_GB2312" w:eastAsia="仿宋_GB2312" w:cs="仿宋_GB2312"/>
          <w:b w:val="0"/>
          <w:bCs w:val="0"/>
          <w:color w:val="auto"/>
          <w:sz w:val="24"/>
          <w:szCs w:val="24"/>
          <w:highlight w:val="none"/>
        </w:rPr>
        <w:t>应提交完整的养护台帐，并按</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要求做好与下一家养护企业的衔接。</w:t>
      </w:r>
    </w:p>
    <w:p>
      <w:pPr>
        <w:pageBreakBefore w:val="0"/>
        <w:kinsoku/>
        <w:wordWrap/>
        <w:overflowPunct/>
        <w:topLinePunct w:val="0"/>
        <w:bidi w:val="0"/>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8、</w:t>
      </w:r>
      <w:r>
        <w:rPr>
          <w:rFonts w:hint="eastAsia" w:ascii="仿宋_GB2312" w:hAnsi="仿宋_GB2312" w:eastAsia="仿宋_GB2312" w:cs="仿宋_GB2312"/>
          <w:b w:val="0"/>
          <w:bCs w:val="0"/>
          <w:color w:val="auto"/>
          <w:sz w:val="24"/>
          <w:szCs w:val="24"/>
          <w:highlight w:val="none"/>
          <w:lang w:eastAsia="zh-CN"/>
        </w:rPr>
        <w:t>中标人</w:t>
      </w:r>
      <w:r>
        <w:rPr>
          <w:rFonts w:hint="eastAsia" w:ascii="仿宋_GB2312" w:hAnsi="仿宋_GB2312" w:eastAsia="仿宋_GB2312" w:cs="仿宋_GB2312"/>
          <w:b w:val="0"/>
          <w:bCs w:val="0"/>
          <w:color w:val="auto"/>
          <w:sz w:val="24"/>
          <w:szCs w:val="24"/>
          <w:highlight w:val="none"/>
        </w:rPr>
        <w:t>必须加强安全管理工作，定期进行安全培训。发生各类事故后</w:t>
      </w:r>
      <w:r>
        <w:rPr>
          <w:rFonts w:hint="eastAsia" w:ascii="仿宋_GB2312" w:hAnsi="仿宋_GB2312" w:eastAsia="仿宋_GB2312" w:cs="仿宋_GB2312"/>
          <w:b w:val="0"/>
          <w:bCs w:val="0"/>
          <w:color w:val="auto"/>
          <w:sz w:val="24"/>
          <w:szCs w:val="24"/>
          <w:highlight w:val="none"/>
          <w:lang w:eastAsia="zh-CN"/>
        </w:rPr>
        <w:t>中标人</w:t>
      </w:r>
      <w:r>
        <w:rPr>
          <w:rFonts w:hint="eastAsia" w:ascii="仿宋_GB2312" w:hAnsi="仿宋_GB2312" w:eastAsia="仿宋_GB2312" w:cs="仿宋_GB2312"/>
          <w:b w:val="0"/>
          <w:bCs w:val="0"/>
          <w:color w:val="auto"/>
          <w:sz w:val="24"/>
          <w:szCs w:val="24"/>
          <w:highlight w:val="none"/>
        </w:rPr>
        <w:t>应及时向</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报告，并自行负责处理。如事故因</w:t>
      </w:r>
      <w:r>
        <w:rPr>
          <w:rFonts w:hint="eastAsia" w:ascii="仿宋_GB2312" w:hAnsi="仿宋_GB2312" w:eastAsia="仿宋_GB2312" w:cs="仿宋_GB2312"/>
          <w:b w:val="0"/>
          <w:bCs w:val="0"/>
          <w:color w:val="auto"/>
          <w:sz w:val="24"/>
          <w:szCs w:val="24"/>
          <w:highlight w:val="none"/>
          <w:lang w:eastAsia="zh-CN"/>
        </w:rPr>
        <w:t>中标人</w:t>
      </w:r>
      <w:r>
        <w:rPr>
          <w:rFonts w:hint="eastAsia" w:ascii="仿宋_GB2312" w:hAnsi="仿宋_GB2312" w:eastAsia="仿宋_GB2312" w:cs="仿宋_GB2312"/>
          <w:b w:val="0"/>
          <w:bCs w:val="0"/>
          <w:color w:val="auto"/>
          <w:sz w:val="24"/>
          <w:szCs w:val="24"/>
          <w:highlight w:val="none"/>
        </w:rPr>
        <w:t>责任导致发生的，除自行承担相关经济责任外，</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保留对</w:t>
      </w:r>
      <w:r>
        <w:rPr>
          <w:rFonts w:hint="eastAsia" w:ascii="仿宋_GB2312" w:hAnsi="仿宋_GB2312" w:eastAsia="仿宋_GB2312" w:cs="仿宋_GB2312"/>
          <w:b w:val="0"/>
          <w:bCs w:val="0"/>
          <w:color w:val="auto"/>
          <w:sz w:val="24"/>
          <w:szCs w:val="24"/>
          <w:highlight w:val="none"/>
          <w:lang w:eastAsia="zh-CN"/>
        </w:rPr>
        <w:t>中标人</w:t>
      </w:r>
      <w:r>
        <w:rPr>
          <w:rFonts w:hint="eastAsia" w:ascii="仿宋_GB2312" w:hAnsi="仿宋_GB2312" w:eastAsia="仿宋_GB2312" w:cs="仿宋_GB2312"/>
          <w:b w:val="0"/>
          <w:bCs w:val="0"/>
          <w:color w:val="auto"/>
          <w:sz w:val="24"/>
          <w:szCs w:val="24"/>
          <w:highlight w:val="none"/>
        </w:rPr>
        <w:t xml:space="preserve">的经济追偿权。 </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firstLine="480" w:firstLineChars="20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val="en-US" w:eastAsia="zh-CN"/>
        </w:rPr>
        <w:t>9、</w:t>
      </w:r>
      <w:r>
        <w:rPr>
          <w:rFonts w:hint="eastAsia" w:ascii="仿宋_GB2312" w:hAnsi="仿宋_GB2312" w:eastAsia="仿宋_GB2312" w:cs="仿宋_GB2312"/>
          <w:b w:val="0"/>
          <w:bCs w:val="0"/>
          <w:color w:val="auto"/>
          <w:sz w:val="24"/>
          <w:szCs w:val="24"/>
          <w:highlight w:val="none"/>
        </w:rPr>
        <w:t>按合同附表配备技术熟练、经验丰富的项目负责人、项目技术负责人、各类专业技术人员和道路养护工、排水疏挖工等，并保持其岗位的相对稳定，如果需要更换项目负责人或项目技术负责人、各类专业技术人员和道路养护工、排水疏挖工，应事</w:t>
      </w:r>
      <w:r>
        <w:rPr>
          <w:rFonts w:hint="eastAsia" w:ascii="仿宋_GB2312" w:hAnsi="仿宋_GB2312" w:eastAsia="仿宋_GB2312" w:cs="仿宋_GB2312"/>
          <w:b w:val="0"/>
          <w:bCs w:val="0"/>
          <w:color w:val="auto"/>
          <w:sz w:val="24"/>
          <w:szCs w:val="24"/>
          <w:highlight w:val="none"/>
          <w:lang w:val="en-US" w:eastAsia="zh-CN"/>
        </w:rPr>
        <w:t>先</w:t>
      </w:r>
      <w:r>
        <w:rPr>
          <w:rFonts w:hint="eastAsia" w:ascii="仿宋_GB2312" w:hAnsi="仿宋_GB2312" w:eastAsia="仿宋_GB2312" w:cs="仿宋_GB2312"/>
          <w:b w:val="0"/>
          <w:bCs w:val="0"/>
          <w:color w:val="auto"/>
          <w:sz w:val="24"/>
          <w:szCs w:val="24"/>
          <w:highlight w:val="none"/>
        </w:rPr>
        <w:t>书面报请</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同意；</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有权要求</w:t>
      </w:r>
      <w:r>
        <w:rPr>
          <w:rFonts w:hint="eastAsia" w:ascii="仿宋_GB2312" w:hAnsi="仿宋_GB2312" w:eastAsia="仿宋_GB2312" w:cs="仿宋_GB2312"/>
          <w:b w:val="0"/>
          <w:bCs w:val="0"/>
          <w:color w:val="auto"/>
          <w:sz w:val="24"/>
          <w:szCs w:val="24"/>
          <w:highlight w:val="none"/>
          <w:lang w:eastAsia="zh-CN"/>
        </w:rPr>
        <w:t>中标人</w:t>
      </w:r>
      <w:r>
        <w:rPr>
          <w:rFonts w:hint="eastAsia" w:ascii="仿宋_GB2312" w:hAnsi="仿宋_GB2312" w:eastAsia="仿宋_GB2312" w:cs="仿宋_GB2312"/>
          <w:b w:val="0"/>
          <w:bCs w:val="0"/>
          <w:color w:val="auto"/>
          <w:sz w:val="24"/>
          <w:szCs w:val="24"/>
          <w:highlight w:val="none"/>
        </w:rPr>
        <w:t>撤换那些工作不能胜任或玩忽职守、工作不负责的人员；养护期间应保证一定的机具设备，不得另作他用。</w:t>
      </w:r>
    </w:p>
    <w:p>
      <w:pPr>
        <w:pageBreakBefore w:val="0"/>
        <w:widowControl w:val="0"/>
        <w:kinsoku/>
        <w:wordWrap/>
        <w:overflowPunct/>
        <w:topLinePunct w:val="0"/>
        <w:autoSpaceDE w:val="0"/>
        <w:autoSpaceDN w:val="0"/>
        <w:bidi w:val="0"/>
        <w:adjustRightInd w:val="0"/>
        <w:spacing w:line="348" w:lineRule="auto"/>
        <w:ind w:left="0" w:leftChars="0" w:firstLine="480" w:firstLineChars="200"/>
        <w:jc w:val="both"/>
        <w:textAlignment w:val="auto"/>
        <w:rPr>
          <w:rFonts w:hint="eastAsia" w:ascii="仿宋_GB2312" w:hAnsi="仿宋_GB2312" w:eastAsia="仿宋_GB2312" w:cs="仿宋_GB2312"/>
          <w:b w:val="0"/>
          <w:bCs w:val="0"/>
          <w:snapToGrid/>
          <w:color w:val="auto"/>
          <w:kern w:val="2"/>
          <w:sz w:val="24"/>
          <w:szCs w:val="24"/>
          <w:highlight w:val="none"/>
          <w:lang w:val="en-US" w:eastAsia="zh-CN" w:bidi="ar-SA"/>
        </w:rPr>
      </w:pPr>
      <w:r>
        <w:rPr>
          <w:rFonts w:hint="eastAsia" w:ascii="仿宋_GB2312" w:hAnsi="仿宋_GB2312" w:eastAsia="仿宋_GB2312" w:cs="仿宋_GB2312"/>
          <w:b w:val="0"/>
          <w:bCs w:val="0"/>
          <w:snapToGrid/>
          <w:color w:val="auto"/>
          <w:kern w:val="2"/>
          <w:sz w:val="24"/>
          <w:szCs w:val="24"/>
          <w:highlight w:val="none"/>
          <w:lang w:val="en-US" w:eastAsia="zh-CN" w:bidi="ar-SA"/>
        </w:rPr>
        <w:t>10、</w:t>
      </w:r>
      <w:r>
        <w:rPr>
          <w:rFonts w:hint="eastAsia" w:ascii="仿宋_GB2312" w:hAnsi="仿宋_GB2312" w:eastAsia="仿宋_GB2312" w:cs="仿宋_GB2312"/>
          <w:b w:val="0"/>
          <w:bCs w:val="0"/>
          <w:snapToGrid/>
          <w:color w:val="auto"/>
          <w:kern w:val="2"/>
          <w:sz w:val="24"/>
          <w:szCs w:val="24"/>
          <w:highlight w:val="none"/>
          <w:lang w:val="zh-CN" w:eastAsia="zh-CN" w:bidi="ar-SA"/>
        </w:rPr>
        <w:t>按采购人要求建立养护档案，健全日常养护作业记录，按规范和采购人要求认真做好台帐的整理和归档工作；</w:t>
      </w:r>
    </w:p>
    <w:p>
      <w:pPr>
        <w:pageBreakBefore w:val="0"/>
        <w:widowControl w:val="0"/>
        <w:kinsoku/>
        <w:wordWrap/>
        <w:overflowPunct/>
        <w:topLinePunct w:val="0"/>
        <w:bidi w:val="0"/>
        <w:adjustRightInd w:val="0"/>
        <w:spacing w:before="0" w:line="348" w:lineRule="auto"/>
        <w:ind w:firstLine="480" w:firstLineChars="200"/>
        <w:jc w:val="both"/>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11、发现设施损坏或缺损，及时与相关部门联系。如市政道路红线范围内的配套管线、管沟、无产权单位窨井发生下沉、坍塌等情况，对于产权明确的管线、窨井问题（如电力、电信、自来水等），及时报告采购人同时必须通知相应产权单位自行维护、处理；一时无法确定产权单位、存在安全隐患、无产权单位窨井发生下沉、坍塌等情况，供应商应做好临时维护措施，确保行人、车辆安全，同时及时报告采购人并按采购人要求做好兜底工作。</w:t>
      </w:r>
    </w:p>
    <w:p>
      <w:pPr>
        <w:pageBreakBefore w:val="0"/>
        <w:widowControl w:val="0"/>
        <w:kinsoku/>
        <w:wordWrap/>
        <w:overflowPunct/>
        <w:topLinePunct w:val="0"/>
        <w:autoSpaceDE w:val="0"/>
        <w:autoSpaceDN w:val="0"/>
        <w:bidi w:val="0"/>
        <w:adjustRightInd w:val="0"/>
        <w:spacing w:line="348" w:lineRule="auto"/>
        <w:ind w:left="0" w:leftChars="0" w:firstLine="480" w:firstLineChars="200"/>
        <w:jc w:val="both"/>
        <w:textAlignment w:val="auto"/>
        <w:rPr>
          <w:rFonts w:hint="eastAsia" w:ascii="仿宋_GB2312" w:hAnsi="仿宋_GB2312" w:eastAsia="仿宋_GB2312" w:cs="仿宋_GB2312"/>
          <w:b w:val="0"/>
          <w:bCs w:val="0"/>
          <w:snapToGrid/>
          <w:color w:val="auto"/>
          <w:kern w:val="2"/>
          <w:sz w:val="24"/>
          <w:szCs w:val="24"/>
          <w:highlight w:val="none"/>
          <w:lang w:val="zh-CN" w:eastAsia="zh-CN" w:bidi="ar-SA"/>
        </w:rPr>
      </w:pPr>
      <w:r>
        <w:rPr>
          <w:rFonts w:hint="eastAsia" w:ascii="仿宋_GB2312" w:hAnsi="仿宋_GB2312" w:eastAsia="仿宋_GB2312" w:cs="仿宋_GB2312"/>
          <w:b w:val="0"/>
          <w:bCs w:val="0"/>
          <w:snapToGrid/>
          <w:color w:val="auto"/>
          <w:kern w:val="2"/>
          <w:sz w:val="24"/>
          <w:szCs w:val="24"/>
          <w:highlight w:val="none"/>
          <w:lang w:val="en-US" w:eastAsia="zh-CN" w:bidi="ar-SA"/>
        </w:rPr>
        <w:t>12、供应商需对不符合标准要求的雨水边井进行更换。更换量不少于500个/年球墨铸铁井盖。</w:t>
      </w:r>
    </w:p>
    <w:p>
      <w:pPr>
        <w:adjustRightInd w:val="0"/>
        <w:snapToGrid w:val="0"/>
        <w:spacing w:line="360" w:lineRule="auto"/>
        <w:ind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四</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标准</w:t>
      </w:r>
    </w:p>
    <w:p>
      <w:pPr>
        <w:adjustRightInd w:val="0"/>
        <w:snapToGrid w:val="0"/>
        <w:spacing w:line="360" w:lineRule="auto"/>
        <w:ind w:firstLine="480" w:firstLineChars="200"/>
        <w:rPr>
          <w:rFonts w:hint="eastAsia" w:ascii="仿宋_GB2312" w:hAnsi="仿宋_GB2312" w:eastAsia="仿宋_GB2312" w:cs="仿宋_GB2312"/>
          <w:strike w:val="0"/>
          <w:dstrike w:val="0"/>
          <w:color w:val="auto"/>
          <w:sz w:val="24"/>
          <w:szCs w:val="24"/>
          <w:highlight w:val="none"/>
          <w:lang w:eastAsia="zh-CN"/>
        </w:rPr>
      </w:pPr>
      <w:r>
        <w:rPr>
          <w:rFonts w:hint="eastAsia" w:ascii="仿宋_GB2312" w:hAnsi="仿宋_GB2312" w:eastAsia="仿宋_GB2312" w:cs="仿宋_GB2312"/>
          <w:strike w:val="0"/>
          <w:dstrike w:val="0"/>
          <w:color w:val="auto"/>
          <w:sz w:val="24"/>
          <w:szCs w:val="24"/>
          <w:highlight w:val="none"/>
          <w:lang w:val="en-US" w:eastAsia="zh-CN"/>
        </w:rPr>
        <w:t>1、</w:t>
      </w:r>
      <w:r>
        <w:rPr>
          <w:rFonts w:hint="eastAsia" w:ascii="仿宋_GB2312" w:hAnsi="仿宋_GB2312" w:eastAsia="仿宋_GB2312" w:cs="仿宋_GB2312"/>
          <w:strike w:val="0"/>
          <w:dstrike w:val="0"/>
          <w:color w:val="auto"/>
          <w:sz w:val="24"/>
          <w:szCs w:val="24"/>
          <w:highlight w:val="none"/>
          <w:lang w:eastAsia="zh-CN"/>
        </w:rPr>
        <w:t>人行道表面平整，砌块无松动，裂缝长度小于1m或宽度小于6mm，下沉或拱起变形小于25mm或面积小于1.5㎡；无堆积物、障碍物，平侧石整齐稳固，线型顺直；道板铺装材料统一，砌块及平侧石松动破碎面积小于0.3㎡。</w:t>
      </w:r>
    </w:p>
    <w:p>
      <w:pPr>
        <w:adjustRightInd w:val="0"/>
        <w:snapToGrid w:val="0"/>
        <w:spacing w:line="360" w:lineRule="auto"/>
        <w:ind w:firstLine="480" w:firstLineChars="200"/>
        <w:rPr>
          <w:rFonts w:hint="eastAsia" w:ascii="仿宋_GB2312" w:hAnsi="仿宋_GB2312" w:eastAsia="仿宋_GB2312" w:cs="仿宋_GB2312"/>
          <w:strike w:val="0"/>
          <w:dstrike w:val="0"/>
          <w:color w:val="auto"/>
          <w:sz w:val="24"/>
          <w:szCs w:val="24"/>
          <w:highlight w:val="none"/>
          <w:lang w:eastAsia="zh-CN"/>
        </w:rPr>
      </w:pPr>
      <w:r>
        <w:rPr>
          <w:rFonts w:hint="eastAsia" w:ascii="仿宋_GB2312" w:hAnsi="仿宋_GB2312" w:eastAsia="仿宋_GB2312" w:cs="仿宋_GB2312"/>
          <w:strike w:val="0"/>
          <w:dstrike w:val="0"/>
          <w:color w:val="auto"/>
          <w:sz w:val="24"/>
          <w:szCs w:val="24"/>
          <w:highlight w:val="none"/>
          <w:lang w:val="en-US" w:eastAsia="zh-CN"/>
        </w:rPr>
        <w:t>2、</w:t>
      </w:r>
      <w:r>
        <w:rPr>
          <w:rFonts w:hint="eastAsia" w:ascii="仿宋_GB2312" w:hAnsi="仿宋_GB2312" w:eastAsia="仿宋_GB2312" w:cs="仿宋_GB2312"/>
          <w:strike w:val="0"/>
          <w:dstrike w:val="0"/>
          <w:color w:val="auto"/>
          <w:sz w:val="24"/>
          <w:szCs w:val="24"/>
          <w:highlight w:val="none"/>
          <w:lang w:eastAsia="zh-CN"/>
        </w:rPr>
        <w:t>沥青及混凝土路面线裂缝宽度小于6mm；网裂、碎裂面积小于0.5㎡；泛油、车辙、沉陷、坑槽、搓板、拥包、剥落、脱皮、烂边、啃边面积小于0.5㎡；雨水检查井、雨水篦子以及其他井盖与道路标高保持一致，误差不大于20mm；窨井盖无缺失、破损、断裂、反盖、错盖等现象；雨天路面临时积水面积每处不超过4m2（积水深度3cm以上）。</w:t>
      </w:r>
    </w:p>
    <w:p>
      <w:pPr>
        <w:adjustRightInd w:val="0"/>
        <w:snapToGrid w:val="0"/>
        <w:spacing w:line="360" w:lineRule="auto"/>
        <w:ind w:firstLine="480" w:firstLineChars="200"/>
        <w:rPr>
          <w:rFonts w:hint="eastAsia" w:ascii="仿宋_GB2312" w:hAnsi="仿宋_GB2312" w:eastAsia="仿宋_GB2312" w:cs="仿宋_GB2312"/>
          <w:strike w:val="0"/>
          <w:dstrike w:val="0"/>
          <w:color w:val="auto"/>
          <w:sz w:val="24"/>
          <w:szCs w:val="24"/>
          <w:highlight w:val="none"/>
          <w:lang w:eastAsia="zh-CN"/>
        </w:rPr>
      </w:pPr>
      <w:r>
        <w:rPr>
          <w:rFonts w:hint="eastAsia" w:ascii="仿宋_GB2312" w:hAnsi="仿宋_GB2312" w:eastAsia="仿宋_GB2312" w:cs="仿宋_GB2312"/>
          <w:strike w:val="0"/>
          <w:dstrike w:val="0"/>
          <w:color w:val="auto"/>
          <w:sz w:val="24"/>
          <w:szCs w:val="24"/>
          <w:highlight w:val="none"/>
          <w:lang w:val="en-US" w:eastAsia="zh-CN"/>
        </w:rPr>
        <w:t>3、城市景观照明亮灯率应达96%以上；景观照明设施完好率应达95%以上。城市景观照明及其附属设施外观整洁、安全、完好；按时亮灯熄灯，在盛夏高温季节按照有序用电要求实施亮灯；配电箱等附属设施完好，无破损、油漆剥落和锈斑；景观灯设施无缺损现象；照明质量好，照明亮度在标准范围内；无缺亮、断亮现象；控制箱完好无损；内部线路连接整齐、牢固、规范。重大节庆活动、重大会展活动、重大体育赛事、重要接待活动或其他临时应急活动期间的亮灯保障安全有序，亮灯率达100%。景观灯养护严格参照国家规范执行，文明安全施工，无安全责任事故</w:t>
      </w:r>
      <w:r>
        <w:rPr>
          <w:rFonts w:hint="eastAsia" w:ascii="仿宋_GB2312" w:hAnsi="仿宋_GB2312" w:eastAsia="仿宋_GB2312" w:cs="仿宋_GB2312"/>
          <w:strike w:val="0"/>
          <w:dstrike w:val="0"/>
          <w:color w:val="auto"/>
          <w:sz w:val="24"/>
          <w:szCs w:val="24"/>
          <w:highlight w:val="none"/>
          <w:lang w:eastAsia="zh-CN"/>
        </w:rPr>
        <w:t>。</w:t>
      </w:r>
    </w:p>
    <w:p>
      <w:pPr>
        <w:adjustRightInd w:val="0"/>
        <w:snapToGrid w:val="0"/>
        <w:spacing w:line="360" w:lineRule="auto"/>
        <w:ind w:firstLine="480" w:firstLineChars="200"/>
        <w:rPr>
          <w:rFonts w:hint="eastAsia" w:ascii="仿宋_GB2312" w:hAnsi="仿宋_GB2312" w:eastAsia="仿宋_GB2312" w:cs="仿宋_GB2312"/>
          <w:strike w:val="0"/>
          <w:dstrike w:val="0"/>
          <w:color w:val="auto"/>
          <w:sz w:val="24"/>
          <w:szCs w:val="24"/>
          <w:highlight w:val="none"/>
          <w:lang w:eastAsia="zh-CN"/>
        </w:rPr>
      </w:pPr>
      <w:r>
        <w:rPr>
          <w:rFonts w:hint="eastAsia" w:ascii="仿宋_GB2312" w:hAnsi="仿宋_GB2312" w:eastAsia="仿宋_GB2312" w:cs="仿宋_GB2312"/>
          <w:strike w:val="0"/>
          <w:dstrike w:val="0"/>
          <w:color w:val="auto"/>
          <w:sz w:val="24"/>
          <w:szCs w:val="24"/>
          <w:highlight w:val="none"/>
          <w:lang w:val="en-US" w:eastAsia="zh-CN"/>
        </w:rPr>
        <w:t>4、</w:t>
      </w:r>
      <w:r>
        <w:rPr>
          <w:rFonts w:hint="eastAsia" w:ascii="仿宋_GB2312" w:hAnsi="仿宋_GB2312" w:eastAsia="仿宋_GB2312" w:cs="仿宋_GB2312"/>
          <w:strike w:val="0"/>
          <w:dstrike w:val="0"/>
          <w:color w:val="auto"/>
          <w:sz w:val="24"/>
          <w:szCs w:val="24"/>
          <w:highlight w:val="none"/>
          <w:lang w:eastAsia="zh-CN"/>
        </w:rPr>
        <w:t>排水设施完好，无阻水物，泄水孔、排水管道通畅，积泥深度不超过1/5管径。</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sectPr>
          <w:headerReference r:id="rId9" w:type="first"/>
          <w:footerReference r:id="rId12" w:type="first"/>
          <w:headerReference r:id="rId8" w:type="default"/>
          <w:footerReference r:id="rId10" w:type="default"/>
          <w:footerReference r:id="rId11" w:type="even"/>
          <w:pgSz w:w="11906" w:h="16838"/>
          <w:pgMar w:top="1276" w:right="536" w:bottom="1247" w:left="1418" w:header="851" w:footer="992" w:gutter="0"/>
          <w:cols w:space="720" w:num="1"/>
          <w:titlePg/>
          <w:docGrid w:linePitch="312" w:charSpace="0"/>
        </w:sectPr>
      </w:pPr>
      <w:r>
        <w:rPr>
          <w:rFonts w:hint="eastAsia" w:ascii="仿宋_GB2312" w:hAnsi="仿宋_GB2312" w:eastAsia="仿宋_GB2312" w:cs="仿宋_GB2312"/>
          <w:strike w:val="0"/>
          <w:dstrike w:val="0"/>
          <w:color w:val="auto"/>
          <w:sz w:val="24"/>
          <w:szCs w:val="24"/>
          <w:highlight w:val="none"/>
          <w:lang w:val="en-US" w:eastAsia="zh-CN"/>
        </w:rPr>
        <w:t>5、</w:t>
      </w:r>
      <w:r>
        <w:rPr>
          <w:rFonts w:hint="eastAsia" w:ascii="仿宋_GB2312" w:hAnsi="仿宋_GB2312" w:eastAsia="仿宋_GB2312" w:cs="仿宋_GB2312"/>
          <w:strike w:val="0"/>
          <w:dstrike w:val="0"/>
          <w:color w:val="auto"/>
          <w:sz w:val="24"/>
          <w:szCs w:val="24"/>
          <w:highlight w:val="none"/>
          <w:lang w:eastAsia="zh-CN"/>
        </w:rPr>
        <w:t>桥面平整完好，无裂缝、坑槽、破损；梁板外形整洁，无麻面、变形、开裂、锈蚀、通缝；伸缩缝外形整齐平整牢固无破损、阻塞；支座安全有效整洁，无破损、锈蚀、污秽；墩台墙柱外形齐整，无剥落锈蚀、破损、开裂变形，设置墩台沉降观测点；基础牢固完整，无冲毁冻胀、下沉、位移开裂；栏杆结构牢固无破损；泄水孔、排水管道、落水管无堵塞损坏、残缺脱落；挡墙等基础牢固，无破损、开裂变形；桥名、限重等标志齐全清晰，无缺少、破损。</w:t>
      </w:r>
    </w:p>
    <w:p>
      <w:pPr>
        <w:rPr>
          <w:rFonts w:hint="eastAsia" w:ascii="仿宋_GB2312" w:hAnsi="仿宋_GB2312" w:eastAsia="仿宋_GB2312" w:cs="仿宋_GB2312"/>
          <w:sz w:val="24"/>
          <w:szCs w:val="24"/>
        </w:rPr>
      </w:pPr>
    </w:p>
    <w:p>
      <w:pPr>
        <w:keepNext/>
        <w:keepLines/>
        <w:widowControl w:val="0"/>
        <w:tabs>
          <w:tab w:val="left" w:pos="432"/>
        </w:tabs>
        <w:adjustRightInd/>
        <w:snapToGrid w:val="0"/>
        <w:spacing w:before="0" w:after="0" w:line="360" w:lineRule="auto"/>
        <w:ind w:left="0" w:leftChars="0" w:firstLine="0" w:firstLineChars="0"/>
        <w:jc w:val="left"/>
        <w:outlineLvl w:val="1"/>
        <w:rPr>
          <w:rFonts w:hint="eastAsia" w:ascii="仿宋_GB2312" w:hAnsi="仿宋_GB2312" w:eastAsia="仿宋_GB2312" w:cs="仿宋_GB2312"/>
          <w:b/>
          <w:bCs/>
          <w:snapToGrid w:val="0"/>
          <w:color w:val="auto"/>
          <w:kern w:val="0"/>
          <w:sz w:val="24"/>
          <w:szCs w:val="24"/>
          <w:highlight w:val="none"/>
          <w:lang w:val="en-US" w:eastAsia="zh-CN" w:bidi="ar-SA"/>
        </w:rPr>
      </w:pPr>
      <w:r>
        <w:rPr>
          <w:rFonts w:hint="eastAsia" w:ascii="仿宋_GB2312" w:hAnsi="仿宋_GB2312" w:eastAsia="仿宋_GB2312" w:cs="仿宋_GB2312"/>
          <w:b/>
          <w:bCs/>
          <w:snapToGrid w:val="0"/>
          <w:color w:val="auto"/>
          <w:kern w:val="0"/>
          <w:sz w:val="24"/>
          <w:szCs w:val="24"/>
          <w:highlight w:val="none"/>
          <w:lang w:val="en-US" w:eastAsia="zh-CN" w:bidi="ar-SA"/>
        </w:rPr>
        <w:t>九、人员、设备及平台建设要求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（一）人员配置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1、本项目人员配置要求如下：</w:t>
      </w:r>
    </w:p>
    <w:tbl>
      <w:tblPr>
        <w:tblStyle w:val="64"/>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8"/>
        <w:gridCol w:w="3336"/>
        <w:gridCol w:w="930"/>
        <w:gridCol w:w="97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0" w:type="auto"/>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序号</w:t>
            </w:r>
          </w:p>
        </w:tc>
        <w:tc>
          <w:tcPr>
            <w:tcW w:w="13617" w:type="dxa"/>
            <w:gridSpan w:val="3"/>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管理人员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p>
        </w:tc>
        <w:tc>
          <w:tcPr>
            <w:tcW w:w="0" w:type="auto"/>
            <w:tcBorders>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类别</w:t>
            </w:r>
          </w:p>
        </w:tc>
        <w:tc>
          <w:tcPr>
            <w:tcW w:w="930" w:type="dxa"/>
            <w:tcBorders>
              <w:left w:val="single" w:color="000000" w:sz="2" w:space="0"/>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人员配置数量</w:t>
            </w:r>
          </w:p>
        </w:tc>
        <w:tc>
          <w:tcPr>
            <w:tcW w:w="9741" w:type="dxa"/>
            <w:tcBorders>
              <w:left w:val="single" w:color="000000" w:sz="2" w:space="0"/>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工作职责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0" w:type="auto"/>
            <w:tcBorders>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single"/>
                <w:lang w:val="en-US" w:eastAsia="zh-CN"/>
              </w:rPr>
              <w:t>项目负责人</w:t>
            </w:r>
          </w:p>
        </w:tc>
        <w:tc>
          <w:tcPr>
            <w:tcW w:w="930" w:type="dxa"/>
            <w:tcBorders>
              <w:left w:val="single" w:color="000000" w:sz="2" w:space="0"/>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1人</w:t>
            </w:r>
          </w:p>
        </w:tc>
        <w:tc>
          <w:tcPr>
            <w:tcW w:w="9741" w:type="dxa"/>
            <w:tcBorders>
              <w:left w:val="single" w:color="000000" w:sz="2" w:space="0"/>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负责统筹一体化智慧养护项目的整体实施，协调跨部门资源，推动智慧环卫与绿化、市政、河道等养护业务协同；制定街道一体化智慧养护战略规划，明确技术路径与实施步骤，监督各模块进度与质量；对接采购方、政府监管部门及其他相关部门，确保项目合规交付与数据互通共享；主导重大应急事件决策与资源调配，建立智慧化应急处理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highlight w:val="none"/>
                <w:u w:val="single"/>
                <w:lang w:eastAsia="zh-CN"/>
              </w:rPr>
              <w:t>总技术负责人</w:t>
            </w:r>
          </w:p>
        </w:tc>
        <w:tc>
          <w:tcPr>
            <w:tcW w:w="9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1人</w:t>
            </w:r>
          </w:p>
        </w:tc>
        <w:tc>
          <w:tcPr>
            <w:tcW w:w="97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负责牵头街道一体化智慧养护技术方案设计与评审，制定街道全域 “感知 - 分析 - 执行 - 反馈” 闭环运维标准，确保技术方案落地可行性；主导 L4 级自动驾驶环卫装备选型及系统集成，推进无人设备在复杂场景的应用；监督智慧管理云平台的功能开发与应用，保障数据安全及与区级平台对接的稳定性；组织技术团队攻克属地化技术难点、推动属地化技术创新，提升智能装备作业效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0" w:type="auto"/>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u w:val="single"/>
                <w:lang w:eastAsia="zh-CN"/>
              </w:rPr>
              <w:t>智慧环卫负责人</w:t>
            </w:r>
          </w:p>
        </w:tc>
        <w:tc>
          <w:tcPr>
            <w:tcW w:w="93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sz w:val="24"/>
                <w:szCs w:val="24"/>
                <w:highlight w:val="none"/>
                <w:u w:val="single"/>
                <w:lang w:val="en-US" w:eastAsia="zh-CN"/>
              </w:rPr>
              <w:t>1人</w:t>
            </w:r>
          </w:p>
        </w:tc>
        <w:tc>
          <w:tcPr>
            <w:tcW w:w="974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u w:val="single"/>
                <w:lang w:val="en-US" w:eastAsia="zh-CN"/>
              </w:rPr>
              <w:t>负责智能设备部署及运维管理，优化自动驾驶车辆路径规划与故障诊断系统，提升设备作业可靠性；负责高精地图的绘制、动态更新及 AI 算法迭代，保障智能设备精准作业；监督视频监控、作业质量评估等模块运行，分析月度数据并生成报告，为决策提供数据支撑；推动 “人机协同” 作业模式落地，促进智慧环卫管理全流程数字化。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园林养护技术负责人</w:t>
            </w:r>
          </w:p>
        </w:tc>
        <w:tc>
          <w:tcPr>
            <w:tcW w:w="93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1人</w:t>
            </w:r>
          </w:p>
        </w:tc>
        <w:tc>
          <w:tcPr>
            <w:tcW w:w="97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制定全街道绿化养护管理操作手册，明确养护标准与操作规范；统筹时花更换、病虫害防治及抗旱防冻预案，保障绿化景观效果；推动园林养护板块与智慧环卫板块的智慧化联动，提升绿化养护智能化水平；主导老化苗木更新专项方案，确保绿地整治符合相关政策、规范及采购人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市政养护技术负责人</w:t>
            </w:r>
          </w:p>
        </w:tc>
        <w:tc>
          <w:tcPr>
            <w:tcW w:w="93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1人</w:t>
            </w:r>
          </w:p>
        </w:tc>
        <w:tc>
          <w:tcPr>
            <w:tcW w:w="97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负责规划道路空洞检测、管道CCTV检测年度计划；推动路面裂缝、井盖位移场景识别与智慧环卫智能检测联动的智慧化养护机制；协调摊铺设备与人工班组协同作业，保障市政设施病害整治时效性。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绿化养护</w:t>
            </w:r>
            <w:r>
              <w:rPr>
                <w:rFonts w:hint="eastAsia" w:ascii="仿宋_GB2312" w:hAnsi="仿宋_GB2312" w:eastAsia="仿宋_GB2312" w:cs="仿宋_GB2312"/>
                <w:color w:val="auto"/>
                <w:sz w:val="24"/>
                <w:szCs w:val="24"/>
                <w:highlight w:val="none"/>
                <w:lang w:eastAsia="zh-CN"/>
              </w:rPr>
              <w:t>技术</w:t>
            </w:r>
            <w:r>
              <w:rPr>
                <w:rFonts w:hint="eastAsia" w:ascii="仿宋_GB2312" w:hAnsi="仿宋_GB2312" w:eastAsia="仿宋_GB2312" w:cs="仿宋_GB2312"/>
                <w:color w:val="auto"/>
                <w:sz w:val="24"/>
                <w:szCs w:val="24"/>
                <w:highlight w:val="none"/>
              </w:rPr>
              <w:t>人员</w:t>
            </w:r>
          </w:p>
        </w:tc>
        <w:tc>
          <w:tcPr>
            <w:tcW w:w="9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10人</w:t>
            </w:r>
          </w:p>
        </w:tc>
        <w:tc>
          <w:tcPr>
            <w:tcW w:w="97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负责执行日常绿化修剪、施肥及生物防治；操作智能喷灌设备并反馈系统优化建议；配合无人驾驶环卫装备巡检完成枯死植被标记及补种工单派发。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河道养护技术人员</w:t>
            </w:r>
          </w:p>
        </w:tc>
        <w:tc>
          <w:tcPr>
            <w:tcW w:w="9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4人</w:t>
            </w:r>
          </w:p>
        </w:tc>
        <w:tc>
          <w:tcPr>
            <w:tcW w:w="97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负责开展河道驳坎巡查、救生设施维护及淤积监测；使用专业设备进行排口溯源排查；联动智慧管理平台推送洪涝预警信息，执行应急清淤任务。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市政养护技术人员</w:t>
            </w:r>
          </w:p>
        </w:tc>
        <w:tc>
          <w:tcPr>
            <w:tcW w:w="9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6人</w:t>
            </w:r>
          </w:p>
        </w:tc>
        <w:tc>
          <w:tcPr>
            <w:tcW w:w="97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负责实施道路裂缝灌封、人行道砖更换等日常养护；负责操作沥青摊铺机完成路段的精准施工；通过智慧管理平台实时上报突发设施故障。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其他技术人员</w:t>
            </w:r>
          </w:p>
        </w:tc>
        <w:tc>
          <w:tcPr>
            <w:tcW w:w="9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2人</w:t>
            </w:r>
          </w:p>
        </w:tc>
        <w:tc>
          <w:tcPr>
            <w:tcW w:w="974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负责高处作业场景（如桥梁检测、路灯维护、苗木修剪）安全操作。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0" w:type="auto"/>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安全员、资料员、其他人员等</w:t>
            </w:r>
          </w:p>
        </w:tc>
        <w:tc>
          <w:tcPr>
            <w:tcW w:w="10671"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按需配置</w:t>
            </w:r>
          </w:p>
        </w:tc>
      </w:tr>
    </w:tbl>
    <w:p>
      <w:pPr>
        <w:rPr>
          <w:rFonts w:hint="eastAsia" w:ascii="仿宋_GB2312" w:hAnsi="仿宋_GB2312" w:eastAsia="仿宋_GB2312" w:cs="仿宋_GB2312"/>
          <w:sz w:val="24"/>
          <w:szCs w:val="24"/>
          <w:highlight w:val="none"/>
          <w:lang w:eastAsia="zh-CN"/>
        </w:rPr>
      </w:pPr>
    </w:p>
    <w:p>
      <w:pPr>
        <w:rPr>
          <w:rFonts w:hint="eastAsia" w:ascii="仿宋_GB2312" w:hAnsi="仿宋_GB2312" w:eastAsia="仿宋_GB2312" w:cs="仿宋_GB2312"/>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2、其他作业人员安排数量符合招标文件规定，其中基本要求如下：</w:t>
      </w:r>
    </w:p>
    <w:tbl>
      <w:tblPr>
        <w:tblStyle w:val="64"/>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5"/>
        <w:gridCol w:w="3413"/>
        <w:gridCol w:w="3334"/>
        <w:gridCol w:w="81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序号</w:t>
            </w:r>
          </w:p>
        </w:tc>
        <w:tc>
          <w:tcPr>
            <w:tcW w:w="4683" w:type="pct"/>
            <w:gridSpan w:val="3"/>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一线</w:t>
            </w:r>
            <w:r>
              <w:rPr>
                <w:rFonts w:hint="eastAsia" w:ascii="仿宋_GB2312" w:hAnsi="仿宋_GB2312" w:eastAsia="仿宋_GB2312" w:cs="仿宋_GB2312"/>
                <w:b/>
                <w:bCs/>
                <w:color w:val="auto"/>
                <w:sz w:val="24"/>
                <w:szCs w:val="24"/>
                <w:highlight w:val="none"/>
              </w:rPr>
              <w:t>作业人员</w:t>
            </w: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最少人数</w:t>
            </w:r>
            <w:r>
              <w:rPr>
                <w:rFonts w:hint="eastAsia" w:ascii="仿宋_GB2312" w:hAnsi="仿宋_GB2312" w:eastAsia="仿宋_GB2312" w:cs="仿宋_GB2312"/>
                <w:b/>
                <w:bCs/>
                <w:color w:val="auto"/>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p>
        </w:tc>
        <w:tc>
          <w:tcPr>
            <w:tcW w:w="1073" w:type="pct"/>
            <w:tcBorders>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类别</w:t>
            </w:r>
          </w:p>
        </w:tc>
        <w:tc>
          <w:tcPr>
            <w:tcW w:w="1048" w:type="pct"/>
            <w:tcBorders>
              <w:left w:val="single" w:color="000000" w:sz="2" w:space="0"/>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人数</w:t>
            </w:r>
          </w:p>
        </w:tc>
        <w:tc>
          <w:tcPr>
            <w:tcW w:w="2561" w:type="pct"/>
            <w:tcBorders>
              <w:lef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1073" w:type="pct"/>
            <w:tcBorders>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环卫</w:t>
            </w:r>
            <w:r>
              <w:rPr>
                <w:rFonts w:hint="eastAsia" w:ascii="仿宋_GB2312" w:hAnsi="仿宋_GB2312" w:eastAsia="仿宋_GB2312" w:cs="仿宋_GB2312"/>
                <w:color w:val="auto"/>
                <w:sz w:val="24"/>
                <w:szCs w:val="24"/>
                <w:highlight w:val="none"/>
              </w:rPr>
              <w:t>保洁人员</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（含公厕）</w:t>
            </w:r>
          </w:p>
        </w:tc>
        <w:tc>
          <w:tcPr>
            <w:tcW w:w="1048" w:type="pct"/>
            <w:tcBorders>
              <w:left w:val="single" w:color="000000" w:sz="2" w:space="0"/>
              <w:righ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 xml:space="preserve">                                                                                       590</w:t>
            </w:r>
          </w:p>
        </w:tc>
        <w:tc>
          <w:tcPr>
            <w:tcW w:w="2561" w:type="pct"/>
            <w:tcBorders>
              <w:left w:val="single" w:color="000000" w:sz="2" w:space="0"/>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人数为最少数量。</w:t>
            </w:r>
            <w:r>
              <w:rPr>
                <w:rFonts w:hint="eastAsia" w:ascii="仿宋_GB2312" w:hAnsi="仿宋_GB2312" w:eastAsia="仿宋_GB2312" w:cs="仿宋_GB2312"/>
                <w:color w:val="auto"/>
                <w:sz w:val="24"/>
                <w:szCs w:val="24"/>
                <w:highlight w:val="none"/>
              </w:rPr>
              <w:t>按保洁16个小时，两个班次</w:t>
            </w:r>
            <w:r>
              <w:rPr>
                <w:rFonts w:hint="eastAsia" w:ascii="仿宋_GB2312" w:hAnsi="仿宋_GB2312" w:eastAsia="仿宋_GB2312" w:cs="仿宋_GB2312"/>
                <w:color w:val="auto"/>
                <w:sz w:val="24"/>
                <w:szCs w:val="24"/>
                <w:highlight w:val="none"/>
                <w:lang w:val="en-US" w:eastAsia="zh-CN"/>
              </w:rPr>
              <w:t>排班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1073"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绿化养护人员</w:t>
            </w:r>
          </w:p>
        </w:tc>
        <w:tc>
          <w:tcPr>
            <w:tcW w:w="104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210</w:t>
            </w:r>
          </w:p>
        </w:tc>
        <w:tc>
          <w:tcPr>
            <w:tcW w:w="2561"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1073"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河道</w:t>
            </w:r>
            <w:r>
              <w:rPr>
                <w:rFonts w:hint="eastAsia" w:ascii="仿宋_GB2312" w:hAnsi="仿宋_GB2312" w:eastAsia="仿宋_GB2312" w:cs="仿宋_GB2312"/>
                <w:color w:val="auto"/>
                <w:sz w:val="24"/>
                <w:szCs w:val="24"/>
                <w:highlight w:val="none"/>
                <w:lang w:val="en-US" w:eastAsia="zh-CN"/>
              </w:rPr>
              <w:t>养护人员</w:t>
            </w:r>
          </w:p>
        </w:tc>
        <w:tc>
          <w:tcPr>
            <w:tcW w:w="104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69</w:t>
            </w:r>
          </w:p>
        </w:tc>
        <w:tc>
          <w:tcPr>
            <w:tcW w:w="2561"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包含河道绿化、设施养护、保洁，其中保洁员60人，巡查9人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1073"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市政养护人员</w:t>
            </w:r>
          </w:p>
        </w:tc>
        <w:tc>
          <w:tcPr>
            <w:tcW w:w="104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13班组，65人</w:t>
            </w:r>
          </w:p>
        </w:tc>
        <w:tc>
          <w:tcPr>
            <w:tcW w:w="2561"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至少保证4个车行道养护班组。每班组不少于5人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073"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其他辅助人员</w:t>
            </w:r>
          </w:p>
        </w:tc>
        <w:tc>
          <w:tcPr>
            <w:tcW w:w="1048"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14</w:t>
            </w:r>
          </w:p>
        </w:tc>
        <w:tc>
          <w:tcPr>
            <w:tcW w:w="2561"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316"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p>
        </w:tc>
        <w:tc>
          <w:tcPr>
            <w:tcW w:w="1073" w:type="pc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说明</w:t>
            </w:r>
          </w:p>
        </w:tc>
        <w:tc>
          <w:tcPr>
            <w:tcW w:w="3610" w:type="pct"/>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如有活动、节假日、高温抗旱、抗台风、抗暴雨、抗雪灾等恶劣天气情况下根据</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要求增派人员，满足突发事件需求</w:t>
            </w:r>
          </w:p>
        </w:tc>
      </w:tr>
    </w:tbl>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3、上述人员应身体健康，所有作业人员必须挂牌上岗，统一着装，作业时必须统一穿着工作制服。</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4、项目管理部人员、一线保洁/养护人员中的班组长（职位均不得兼任），必须提供</w:t>
      </w:r>
      <w:r>
        <w:rPr>
          <w:rFonts w:hint="eastAsia" w:ascii="仿宋_GB2312" w:hAnsi="仿宋_GB2312" w:eastAsia="仿宋_GB2312" w:cs="仿宋_GB2312"/>
          <w:snapToGrid w:val="0"/>
          <w:color w:val="auto"/>
          <w:kern w:val="2"/>
          <w:sz w:val="24"/>
          <w:szCs w:val="24"/>
          <w:highlight w:val="none"/>
          <w:lang w:val="zh-CN" w:eastAsia="zh-CN" w:bidi="ar-SA"/>
        </w:rPr>
        <w:t>社保机构出具</w:t>
      </w:r>
      <w:r>
        <w:rPr>
          <w:rFonts w:hint="eastAsia" w:ascii="仿宋_GB2312" w:hAnsi="仿宋_GB2312" w:eastAsia="仿宋_GB2312" w:cs="仿宋_GB2312"/>
          <w:snapToGrid w:val="0"/>
          <w:color w:val="auto"/>
          <w:kern w:val="2"/>
          <w:sz w:val="24"/>
          <w:szCs w:val="24"/>
          <w:highlight w:val="none"/>
          <w:lang w:val="en-US" w:eastAsia="zh-CN" w:bidi="ar-SA"/>
        </w:rPr>
        <w:t>的、投标人</w:t>
      </w:r>
      <w:r>
        <w:rPr>
          <w:rFonts w:hint="eastAsia" w:ascii="仿宋_GB2312" w:hAnsi="仿宋_GB2312" w:eastAsia="仿宋_GB2312" w:cs="仿宋_GB2312"/>
          <w:snapToGrid w:val="0"/>
          <w:color w:val="auto"/>
          <w:kern w:val="2"/>
          <w:sz w:val="24"/>
          <w:szCs w:val="24"/>
          <w:highlight w:val="none"/>
          <w:lang w:val="zh-CN" w:eastAsia="zh-CN" w:bidi="ar-SA"/>
        </w:rPr>
        <w:t>为其缴纳的近</w:t>
      </w:r>
      <w:r>
        <w:rPr>
          <w:rFonts w:hint="eastAsia" w:ascii="仿宋_GB2312" w:hAnsi="仿宋_GB2312" w:eastAsia="仿宋_GB2312" w:cs="仿宋_GB2312"/>
          <w:snapToGrid w:val="0"/>
          <w:color w:val="auto"/>
          <w:kern w:val="2"/>
          <w:sz w:val="24"/>
          <w:szCs w:val="24"/>
          <w:highlight w:val="none"/>
          <w:lang w:val="en-US" w:eastAsia="zh-CN" w:bidi="ar-SA"/>
        </w:rPr>
        <w:t>3个月的</w:t>
      </w:r>
      <w:r>
        <w:rPr>
          <w:rFonts w:hint="eastAsia" w:ascii="仿宋_GB2312" w:hAnsi="仿宋_GB2312" w:eastAsia="仿宋_GB2312" w:cs="仿宋_GB2312"/>
          <w:snapToGrid w:val="0"/>
          <w:color w:val="auto"/>
          <w:kern w:val="2"/>
          <w:sz w:val="24"/>
          <w:szCs w:val="24"/>
          <w:highlight w:val="none"/>
          <w:lang w:val="zh-CN" w:eastAsia="zh-CN" w:bidi="ar-SA"/>
        </w:rPr>
        <w:t>社保证明。</w:t>
      </w:r>
      <w:r>
        <w:rPr>
          <w:rFonts w:hint="eastAsia" w:ascii="仿宋_GB2312" w:hAnsi="仿宋_GB2312" w:eastAsia="仿宋_GB2312" w:cs="仿宋_GB2312"/>
          <w:snapToGrid w:val="0"/>
          <w:color w:val="auto"/>
          <w:kern w:val="2"/>
          <w:sz w:val="24"/>
          <w:szCs w:val="24"/>
          <w:highlight w:val="none"/>
          <w:lang w:val="en-US" w:eastAsia="zh-CN" w:bidi="ar-SA"/>
        </w:rPr>
        <w:t>否则人员不予认可。</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 xml:space="preserve">5、投标人可根据各片组实际养护对象情况，提供更充足的、具有相关职称、技能证书的人员。    </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_GB2312" w:hAnsi="仿宋_GB2312" w:eastAsia="仿宋_GB2312" w:cs="仿宋_GB2312"/>
          <w:b/>
          <w:bCs/>
          <w:color w:val="auto"/>
          <w:sz w:val="24"/>
          <w:szCs w:val="24"/>
          <w:highlight w:val="none"/>
          <w:lang w:val="zh-CN" w:eastAsia="zh-CN"/>
        </w:rPr>
        <w:sectPr>
          <w:headerReference r:id="rId13" w:type="default"/>
          <w:footerReference r:id="rId14" w:type="default"/>
          <w:pgSz w:w="16840" w:h="11907" w:orient="landscape"/>
          <w:pgMar w:top="1417" w:right="680" w:bottom="1417" w:left="471" w:header="851" w:footer="851" w:gutter="0"/>
          <w:pgBorders>
            <w:top w:val="none" w:sz="0" w:space="0"/>
            <w:left w:val="none" w:sz="0" w:space="0"/>
            <w:bottom w:val="none" w:sz="0" w:space="0"/>
            <w:right w:val="none" w:sz="0" w:space="0"/>
          </w:pgBorders>
          <w:cols w:space="720" w:num="1"/>
        </w:sect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_GB2312" w:hAnsi="仿宋_GB2312" w:eastAsia="仿宋_GB2312" w:cs="仿宋_GB2312"/>
          <w:b/>
          <w:bCs/>
          <w:snapToGrid w:val="0"/>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zh-CN" w:eastAsia="zh-CN"/>
        </w:rPr>
        <w:t>（</w:t>
      </w:r>
      <w:r>
        <w:rPr>
          <w:rFonts w:hint="eastAsia" w:ascii="仿宋_GB2312" w:hAnsi="仿宋_GB2312" w:eastAsia="仿宋_GB2312" w:cs="仿宋_GB2312"/>
          <w:b/>
          <w:bCs/>
          <w:color w:val="auto"/>
          <w:sz w:val="24"/>
          <w:szCs w:val="24"/>
          <w:highlight w:val="none"/>
          <w:lang w:val="en-US" w:eastAsia="zh-CN"/>
        </w:rPr>
        <w:t>二</w:t>
      </w:r>
      <w:r>
        <w:rPr>
          <w:rFonts w:hint="eastAsia" w:ascii="仿宋_GB2312" w:hAnsi="仿宋_GB2312" w:eastAsia="仿宋_GB2312" w:cs="仿宋_GB2312"/>
          <w:b/>
          <w:bCs/>
          <w:color w:val="auto"/>
          <w:sz w:val="24"/>
          <w:szCs w:val="24"/>
          <w:highlight w:val="none"/>
          <w:lang w:val="zh-CN" w:eastAsia="zh-CN"/>
        </w:rPr>
        <w:t>）</w:t>
      </w:r>
      <w:r>
        <w:rPr>
          <w:rFonts w:hint="eastAsia" w:ascii="仿宋_GB2312" w:hAnsi="仿宋_GB2312" w:eastAsia="仿宋_GB2312" w:cs="仿宋_GB2312"/>
          <w:b/>
          <w:bCs/>
          <w:snapToGrid w:val="0"/>
          <w:color w:val="auto"/>
          <w:kern w:val="2"/>
          <w:sz w:val="24"/>
          <w:szCs w:val="24"/>
          <w:highlight w:val="none"/>
          <w:lang w:val="en-US" w:eastAsia="zh-CN" w:bidi="ar-SA"/>
        </w:rPr>
        <w:t>本项目车辆、设备配置要求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textAlignment w:val="auto"/>
        <w:outlineLvl w:val="9"/>
        <w:rPr>
          <w:rFonts w:hint="eastAsia" w:ascii="仿宋_GB2312" w:hAnsi="仿宋_GB2312" w:eastAsia="仿宋_GB2312" w:cs="仿宋_GB2312"/>
          <w:b/>
          <w:bCs/>
          <w:snapToGrid w:val="0"/>
          <w:color w:val="auto"/>
          <w:kern w:val="2"/>
          <w:sz w:val="24"/>
          <w:szCs w:val="24"/>
          <w:highlight w:val="none"/>
          <w:lang w:val="en-US" w:eastAsia="zh-CN" w:bidi="ar-SA"/>
        </w:rPr>
      </w:pPr>
      <w:r>
        <w:rPr>
          <w:rFonts w:hint="eastAsia" w:ascii="仿宋_GB2312" w:hAnsi="仿宋_GB2312" w:eastAsia="仿宋_GB2312" w:cs="仿宋_GB2312"/>
          <w:b/>
          <w:bCs/>
          <w:snapToGrid w:val="0"/>
          <w:color w:val="auto"/>
          <w:kern w:val="2"/>
          <w:sz w:val="24"/>
          <w:szCs w:val="24"/>
          <w:highlight w:val="none"/>
          <w:lang w:val="en-US" w:eastAsia="zh-CN" w:bidi="ar-SA"/>
        </w:rPr>
        <w:t>1、拟投入项目设备配置表。以下车辆、设备为基本要求，可自有、租赁或承诺。自有的车辆、设备，必须提供车辆行驶证（或购置发票；设备、仪器可提供购置发票），以及车辆设备的照片；租赁的，提供租赁合同，并保证车辆、设备在服务期内可长期保障。承诺的，提供承诺函（格式自拟）如中标，车辆、设备清单在合同签署前交招标人备案，否则承担虚假应标责任。车辆及设备须在项目进场时配备完毕并投入使用，否则采购人有权解除本合同，且中标人应承担由此给采购人造成的全部损失（包括但不限于工期延误损失、重新采购成本等）。</w:t>
      </w:r>
    </w:p>
    <w:tbl>
      <w:tblPr>
        <w:tblStyle w:val="64"/>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2976"/>
        <w:gridCol w:w="3096"/>
        <w:gridCol w:w="1558"/>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序号</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设备名称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规格要求</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基本配置数量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洒水机动车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≥18吨（总质量，后同）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保洁设备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洗扫车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无人驾驶环卫装备（扫路机）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无人驾驶环卫装备（清扫机）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多功能抑尘车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5</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6</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护栏清洗车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≥7吨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7</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高压冲洗车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应急扫雪设备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小型高压冲洗设备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吸粪车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≥7吨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储料式沥青保温车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市政养护设备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吊车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≥12吨（需具备高空作业证）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13</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工程救险车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14</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雨污水管道专用高压冲洗设备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管道CCTV摄像检测设备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16</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气体检测仪</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17</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发电机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18</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抽水泵</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四寸（含）以上口径泵占比不小于80%；其中，较大口径（6寸、8寸等）泵占比约40%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10</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19</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排涝车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sz w:val="24"/>
                <w:szCs w:val="24"/>
                <w:highlight w:val="none"/>
                <w:u w:val="none"/>
              </w:rPr>
              <w:t>排量</w:t>
            </w:r>
            <w:r>
              <w:rPr>
                <w:rFonts w:hint="eastAsia" w:ascii="仿宋_GB2312" w:hAnsi="仿宋_GB2312"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i w:val="0"/>
                <w:iCs w:val="0"/>
                <w:color w:val="000000"/>
                <w:sz w:val="24"/>
                <w:szCs w:val="24"/>
                <w:highlight w:val="none"/>
                <w:u w:val="none"/>
              </w:rPr>
              <w:t>1600立方米/小时/辆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20</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铣刨机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21</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摊铺机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22</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压路机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23</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登高车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（需具备高空作业证）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绿化养护设备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24</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绿化喷洒车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25</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皮卡车</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15</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26</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割灌机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12</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27</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高压除虫喷雾器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8</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28</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树枝粉碎机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4</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29</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草坪修剪机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9</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30</w:t>
            </w:r>
          </w:p>
        </w:tc>
        <w:tc>
          <w:tcPr>
            <w:tcW w:w="2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保洁船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河道保洁设备</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仿宋_GB2312" w:hAnsi="仿宋_GB2312" w:eastAsia="仿宋_GB2312" w:cs="仿宋_GB2312"/>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2、根据实际工作需要，投标人可提供更充足的、更先进设备。拟投入项目设备配置表数量之外，新增的车辆、设备可在评审时加分。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outlineLvl w:val="9"/>
        <w:rPr>
          <w:rFonts w:hint="eastAsia" w:ascii="仿宋_GB2312" w:hAnsi="仿宋_GB2312" w:eastAsia="仿宋_GB2312" w:cs="仿宋_GB2312"/>
          <w:snapToGrid w:val="0"/>
          <w:color w:val="auto"/>
          <w:kern w:val="2"/>
          <w:sz w:val="24"/>
          <w:szCs w:val="24"/>
          <w:highlight w:val="none"/>
          <w:lang w:val="en-US"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3、因各厂家对车辆、设备名称可能不同，投标人在投标文件投标清单中提供必要说明。名称与拟投入项目设备配置表不一致，且无合理说明的，不予认可。</w:t>
      </w:r>
    </w:p>
    <w:p>
      <w:pPr>
        <w:widowControl w:val="0"/>
        <w:autoSpaceDE w:val="0"/>
        <w:autoSpaceDN w:val="0"/>
        <w:adjustRightInd w:val="0"/>
        <w:spacing w:line="360" w:lineRule="auto"/>
        <w:ind w:firstLine="482" w:firstLineChars="200"/>
        <w:jc w:val="both"/>
        <w:rPr>
          <w:rFonts w:hint="eastAsia" w:ascii="仿宋_GB2312" w:hAnsi="仿宋_GB2312" w:eastAsia="仿宋_GB2312" w:cs="仿宋_GB2312"/>
          <w:b/>
          <w:bCs/>
          <w:snapToGrid w:val="0"/>
          <w:color w:val="auto"/>
          <w:kern w:val="2"/>
          <w:sz w:val="24"/>
          <w:szCs w:val="24"/>
          <w:highlight w:val="none"/>
          <w:lang w:val="zh-CN" w:eastAsia="zh-CN" w:bidi="ar-SA"/>
        </w:rPr>
      </w:pPr>
      <w:r>
        <w:rPr>
          <w:rFonts w:hint="eastAsia" w:ascii="仿宋_GB2312" w:hAnsi="仿宋_GB2312" w:eastAsia="仿宋_GB2312" w:cs="仿宋_GB2312"/>
          <w:b/>
          <w:bCs/>
          <w:snapToGrid w:val="0"/>
          <w:color w:val="auto"/>
          <w:kern w:val="2"/>
          <w:sz w:val="24"/>
          <w:szCs w:val="24"/>
          <w:highlight w:val="none"/>
          <w:lang w:val="zh-CN" w:eastAsia="zh-CN" w:bidi="ar-SA"/>
        </w:rPr>
        <w:t>（三）智慧环卫管理平台</w:t>
      </w:r>
      <w:r>
        <w:rPr>
          <w:rFonts w:hint="eastAsia" w:ascii="仿宋_GB2312" w:hAnsi="仿宋_GB2312" w:eastAsia="仿宋_GB2312" w:cs="仿宋_GB2312"/>
          <w:b/>
          <w:bCs/>
          <w:snapToGrid w:val="0"/>
          <w:color w:val="auto"/>
          <w:kern w:val="2"/>
          <w:sz w:val="24"/>
          <w:szCs w:val="24"/>
          <w:highlight w:val="none"/>
          <w:lang w:val="en-US" w:eastAsia="zh-CN" w:bidi="ar-SA"/>
        </w:rPr>
        <w:t>功能</w:t>
      </w:r>
      <w:r>
        <w:rPr>
          <w:rFonts w:hint="eastAsia" w:ascii="仿宋_GB2312" w:hAnsi="仿宋_GB2312" w:eastAsia="仿宋_GB2312" w:cs="仿宋_GB2312"/>
          <w:b/>
          <w:bCs/>
          <w:snapToGrid w:val="0"/>
          <w:color w:val="auto"/>
          <w:kern w:val="2"/>
          <w:sz w:val="24"/>
          <w:szCs w:val="24"/>
          <w:highlight w:val="none"/>
          <w:lang w:val="zh-CN" w:eastAsia="zh-CN" w:bidi="ar-SA"/>
        </w:rPr>
        <w:t>要求</w:t>
      </w:r>
    </w:p>
    <w:p>
      <w:pPr>
        <w:widowControl w:val="0"/>
        <w:autoSpaceDE w:val="0"/>
        <w:autoSpaceDN w:val="0"/>
        <w:adjustRightInd w:val="0"/>
        <w:spacing w:line="360" w:lineRule="auto"/>
        <w:ind w:firstLine="480" w:firstLineChars="200"/>
        <w:jc w:val="both"/>
        <w:rPr>
          <w:rFonts w:hint="eastAsia" w:ascii="仿宋_GB2312" w:hAnsi="仿宋_GB2312" w:eastAsia="仿宋_GB2312" w:cs="仿宋_GB2312"/>
          <w:snapToGrid w:val="0"/>
          <w:color w:val="auto"/>
          <w:kern w:val="2"/>
          <w:sz w:val="24"/>
          <w:szCs w:val="24"/>
          <w:highlight w:val="none"/>
          <w:lang w:val="zh-CN"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1、</w:t>
      </w:r>
      <w:r>
        <w:rPr>
          <w:rFonts w:hint="eastAsia" w:ascii="仿宋_GB2312" w:hAnsi="仿宋_GB2312" w:eastAsia="仿宋_GB2312" w:cs="仿宋_GB2312"/>
          <w:snapToGrid w:val="0"/>
          <w:color w:val="auto"/>
          <w:kern w:val="2"/>
          <w:sz w:val="24"/>
          <w:szCs w:val="24"/>
          <w:highlight w:val="none"/>
          <w:lang w:val="zh-CN" w:eastAsia="zh-CN" w:bidi="ar-SA"/>
        </w:rPr>
        <w:t>实时监管。通过云平台可以实时查看车辆、设备及人员的作业信息，包括GPS位置、作业模式、作业速度、作业轨迹、实时视频、车辆及设备状态等，实行统一监管。</w:t>
      </w:r>
    </w:p>
    <w:p>
      <w:pPr>
        <w:widowControl w:val="0"/>
        <w:autoSpaceDE w:val="0"/>
        <w:autoSpaceDN w:val="0"/>
        <w:adjustRightInd w:val="0"/>
        <w:spacing w:line="360" w:lineRule="auto"/>
        <w:ind w:firstLine="480" w:firstLineChars="200"/>
        <w:jc w:val="both"/>
        <w:rPr>
          <w:rFonts w:hint="eastAsia" w:ascii="仿宋_GB2312" w:hAnsi="仿宋_GB2312" w:eastAsia="仿宋_GB2312" w:cs="仿宋_GB2312"/>
          <w:snapToGrid w:val="0"/>
          <w:color w:val="auto"/>
          <w:kern w:val="2"/>
          <w:sz w:val="24"/>
          <w:szCs w:val="24"/>
          <w:highlight w:val="none"/>
          <w:lang w:val="zh-CN" w:eastAsia="zh-CN" w:bidi="ar-SA"/>
        </w:rPr>
      </w:pPr>
      <w:r>
        <w:rPr>
          <w:rFonts w:hint="eastAsia" w:ascii="仿宋_GB2312" w:hAnsi="仿宋_GB2312" w:eastAsia="仿宋_GB2312" w:cs="仿宋_GB2312"/>
          <w:snapToGrid w:val="0"/>
          <w:color w:val="auto"/>
          <w:kern w:val="2"/>
          <w:sz w:val="24"/>
          <w:szCs w:val="24"/>
          <w:highlight w:val="none"/>
          <w:lang w:val="en-US" w:eastAsia="zh-CN" w:bidi="ar-SA"/>
        </w:rPr>
        <w:t>2、</w:t>
      </w:r>
      <w:r>
        <w:rPr>
          <w:rFonts w:hint="eastAsia" w:ascii="仿宋_GB2312" w:hAnsi="仿宋_GB2312" w:eastAsia="仿宋_GB2312" w:cs="仿宋_GB2312"/>
          <w:snapToGrid w:val="0"/>
          <w:color w:val="auto"/>
          <w:kern w:val="2"/>
          <w:sz w:val="24"/>
          <w:szCs w:val="24"/>
          <w:highlight w:val="none"/>
          <w:lang w:val="zh-CN" w:eastAsia="zh-CN" w:bidi="ar-SA"/>
        </w:rPr>
        <w:t>质量监督。利用人工智能算法，智能识别车辆及设备作业过程中发现的道路、绿化带等区域的质量问题、并通过平台调度及时解决。</w:t>
      </w:r>
    </w:p>
    <w:p>
      <w:pPr>
        <w:widowControl w:val="0"/>
        <w:autoSpaceDE w:val="0"/>
        <w:autoSpaceDN w:val="0"/>
        <w:adjustRightInd w:val="0"/>
        <w:spacing w:line="360" w:lineRule="auto"/>
        <w:ind w:firstLine="480" w:firstLineChars="200"/>
        <w:jc w:val="both"/>
        <w:rPr>
          <w:rFonts w:hint="eastAsia" w:ascii="仿宋_GB2312" w:hAnsi="仿宋_GB2312" w:eastAsia="仿宋_GB2312" w:cs="仿宋_GB2312"/>
          <w:snapToGrid w:val="0"/>
          <w:color w:val="auto"/>
          <w:kern w:val="2"/>
          <w:sz w:val="24"/>
          <w:szCs w:val="24"/>
          <w:highlight w:val="none"/>
          <w:lang w:val="zh-CN" w:eastAsia="zh-CN" w:bidi="ar-SA"/>
        </w:rPr>
      </w:pPr>
      <w:r>
        <w:rPr>
          <w:rFonts w:hint="eastAsia" w:ascii="仿宋_GB2312" w:hAnsi="仿宋_GB2312" w:eastAsia="仿宋_GB2312" w:cs="仿宋_GB2312"/>
          <w:snapToGrid w:val="0"/>
          <w:color w:val="auto"/>
          <w:kern w:val="2"/>
          <w:sz w:val="24"/>
          <w:szCs w:val="24"/>
          <w:highlight w:val="none"/>
          <w:lang w:val="zh-CN" w:eastAsia="zh-CN" w:bidi="ar-SA"/>
        </w:rPr>
        <w:t>3</w:t>
      </w:r>
      <w:r>
        <w:rPr>
          <w:rFonts w:hint="eastAsia" w:ascii="仿宋_GB2312" w:hAnsi="仿宋_GB2312" w:eastAsia="仿宋_GB2312" w:cs="仿宋_GB2312"/>
          <w:snapToGrid w:val="0"/>
          <w:color w:val="auto"/>
          <w:kern w:val="2"/>
          <w:sz w:val="24"/>
          <w:szCs w:val="24"/>
          <w:highlight w:val="none"/>
          <w:lang w:val="en-US" w:eastAsia="zh-CN" w:bidi="ar-SA"/>
        </w:rPr>
        <w:t>、</w:t>
      </w:r>
      <w:r>
        <w:rPr>
          <w:rFonts w:hint="eastAsia" w:ascii="仿宋_GB2312" w:hAnsi="仿宋_GB2312" w:eastAsia="仿宋_GB2312" w:cs="仿宋_GB2312"/>
          <w:snapToGrid w:val="0"/>
          <w:color w:val="auto"/>
          <w:kern w:val="2"/>
          <w:sz w:val="24"/>
          <w:szCs w:val="24"/>
          <w:highlight w:val="none"/>
          <w:lang w:val="zh-CN" w:eastAsia="zh-CN" w:bidi="ar-SA"/>
        </w:rPr>
        <w:t>数据增值。构建环卫数据分析平台，整合设备运行数据、作业检测数据、环境感知数据等多元信息，赋能城市治理，实现环卫资源配置动态优化与长效管理机制建设。</w:t>
      </w:r>
    </w:p>
    <w:p>
      <w:pPr>
        <w:keepNext/>
        <w:keepLines/>
        <w:widowControl w:val="0"/>
        <w:tabs>
          <w:tab w:val="left" w:pos="432"/>
        </w:tabs>
        <w:adjustRightInd/>
        <w:snapToGrid w:val="0"/>
        <w:spacing w:before="0" w:after="0" w:line="360" w:lineRule="auto"/>
        <w:ind w:left="434" w:leftChars="202" w:hanging="10" w:hangingChars="4"/>
        <w:jc w:val="left"/>
        <w:outlineLvl w:val="1"/>
        <w:rPr>
          <w:rFonts w:hint="eastAsia" w:ascii="仿宋_GB2312" w:hAnsi="仿宋_GB2312" w:eastAsia="仿宋_GB2312" w:cs="仿宋_GB2312"/>
          <w:b/>
          <w:bCs/>
          <w:snapToGrid w:val="0"/>
          <w:color w:val="auto"/>
          <w:kern w:val="0"/>
          <w:sz w:val="24"/>
          <w:szCs w:val="24"/>
          <w:highlight w:val="none"/>
          <w:lang w:val="zh-CN" w:eastAsia="zh-CN" w:bidi="ar-SA"/>
        </w:rPr>
      </w:pPr>
      <w:bookmarkStart w:id="50" w:name="_Toc22899936"/>
      <w:r>
        <w:rPr>
          <w:rFonts w:hint="eastAsia" w:ascii="仿宋_GB2312" w:hAnsi="仿宋_GB2312" w:eastAsia="仿宋_GB2312" w:cs="仿宋_GB2312"/>
          <w:b/>
          <w:bCs/>
          <w:snapToGrid w:val="0"/>
          <w:color w:val="auto"/>
          <w:kern w:val="0"/>
          <w:sz w:val="24"/>
          <w:szCs w:val="24"/>
          <w:highlight w:val="none"/>
          <w:lang w:val="en-US" w:eastAsia="zh-CN" w:bidi="ar-SA"/>
        </w:rPr>
        <w:t>十</w:t>
      </w:r>
      <w:r>
        <w:rPr>
          <w:rFonts w:hint="eastAsia" w:ascii="仿宋_GB2312" w:hAnsi="仿宋_GB2312" w:eastAsia="仿宋_GB2312" w:cs="仿宋_GB2312"/>
          <w:b/>
          <w:bCs/>
          <w:snapToGrid w:val="0"/>
          <w:color w:val="auto"/>
          <w:kern w:val="0"/>
          <w:sz w:val="24"/>
          <w:szCs w:val="24"/>
          <w:highlight w:val="none"/>
          <w:lang w:val="zh-CN" w:eastAsia="zh-CN" w:bidi="ar-SA"/>
        </w:rPr>
        <w:t>、其他服务需求</w:t>
      </w:r>
      <w:bookmarkEnd w:id="50"/>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（一）</w:t>
      </w:r>
      <w:r>
        <w:rPr>
          <w:rFonts w:hint="eastAsia" w:ascii="仿宋_GB2312" w:hAnsi="仿宋_GB2312" w:eastAsia="仿宋_GB2312" w:cs="仿宋_GB2312"/>
          <w:bCs/>
          <w:color w:val="auto"/>
          <w:sz w:val="24"/>
          <w:szCs w:val="24"/>
          <w:highlight w:val="none"/>
          <w:lang w:val="en-US" w:eastAsia="zh-CN"/>
        </w:rPr>
        <w:t>应急处置及重大活动保障</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1、投标人应设立人员、设备储备制度。遇到应急处置任务，或者重大活动需要无条件保障时，可以及时排出备用力量，供采购人统筹安排。</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人员方面，投标人应设置应急防汛、抗台、抢险班组，数量不少于9个，每班组不少于6人，岗位合理配置。岗位人员可以额外安排，也可以在项目团队中抽掉。抽调人员的，不得影响正常养护工在，也不得影响采购人在应急处置或重大活动时调配。</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3、设备方面，每个班组应储备：①相应的救急物资，例如纱布、救援绳索、创可贴、医用口罩、防护镜、多功能刀片、剪刀、钳子；②相应的救急设备，至少2台应急排水泵、1台柴油应急发电机；③工程抢险车若干辆及沙袋、沙包等其他抢险工具和物资。</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4、该部分人员、设备</w:t>
      </w:r>
      <w:r>
        <w:rPr>
          <w:rFonts w:hint="eastAsia" w:ascii="仿宋_GB2312" w:hAnsi="仿宋_GB2312" w:eastAsia="仿宋_GB2312" w:cs="仿宋_GB2312"/>
          <w:color w:val="auto"/>
          <w:sz w:val="24"/>
          <w:szCs w:val="24"/>
          <w:highlight w:val="none"/>
          <w:lang w:val="en-US" w:eastAsia="zh-CN"/>
        </w:rPr>
        <w:t>日常值班、储备，当采购人提出要求时，必须可以随时派出，服从招标人统筹安排。</w:t>
      </w:r>
    </w:p>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（二）零星项目整治</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对养护区域内疑难、无主、推诿等问题，纳入养护范围内的公共基础设施、偷倒的垃圾渣土、城市家具维修和背街小巷改造后由政府负责维护的项目，以及</w:t>
      </w:r>
      <w:r>
        <w:rPr>
          <w:rFonts w:hint="eastAsia" w:ascii="仿宋_GB2312" w:hAnsi="仿宋_GB2312" w:eastAsia="仿宋_GB2312" w:cs="仿宋_GB2312"/>
          <w:bCs/>
          <w:color w:val="auto"/>
          <w:sz w:val="24"/>
          <w:szCs w:val="24"/>
          <w:highlight w:val="none"/>
          <w:lang w:eastAsia="zh-CN"/>
        </w:rPr>
        <w:t>采购人</w:t>
      </w:r>
      <w:r>
        <w:rPr>
          <w:rFonts w:hint="eastAsia" w:ascii="仿宋_GB2312" w:hAnsi="仿宋_GB2312" w:eastAsia="仿宋_GB2312" w:cs="仿宋_GB2312"/>
          <w:bCs/>
          <w:color w:val="auto"/>
          <w:sz w:val="24"/>
          <w:szCs w:val="24"/>
          <w:highlight w:val="none"/>
        </w:rPr>
        <w:t>临时指派的其它内容，按规定时限范围内解决问题。</w:t>
      </w:r>
    </w:p>
    <w:tbl>
      <w:tblPr>
        <w:tblStyle w:val="64"/>
        <w:tblW w:w="6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86"/>
        <w:gridCol w:w="182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3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序号</w:t>
            </w:r>
          </w:p>
        </w:tc>
        <w:tc>
          <w:tcPr>
            <w:tcW w:w="2486"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小类</w:t>
            </w:r>
          </w:p>
        </w:tc>
        <w:tc>
          <w:tcPr>
            <w:tcW w:w="182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整改要求</w:t>
            </w:r>
          </w:p>
        </w:tc>
        <w:tc>
          <w:tcPr>
            <w:tcW w:w="157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2486"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积存垃圾渣土</w:t>
            </w:r>
          </w:p>
        </w:tc>
        <w:tc>
          <w:tcPr>
            <w:tcW w:w="182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清除</w:t>
            </w:r>
          </w:p>
        </w:tc>
        <w:tc>
          <w:tcPr>
            <w:tcW w:w="1575"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w:t>
            </w:r>
          </w:p>
        </w:tc>
        <w:tc>
          <w:tcPr>
            <w:tcW w:w="2486"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废弃家具</w:t>
            </w:r>
          </w:p>
        </w:tc>
        <w:tc>
          <w:tcPr>
            <w:tcW w:w="182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清除</w:t>
            </w:r>
          </w:p>
        </w:tc>
        <w:tc>
          <w:tcPr>
            <w:tcW w:w="1575"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w:t>
            </w:r>
          </w:p>
        </w:tc>
        <w:tc>
          <w:tcPr>
            <w:tcW w:w="2486"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乱堆物堆料</w:t>
            </w:r>
          </w:p>
        </w:tc>
        <w:tc>
          <w:tcPr>
            <w:tcW w:w="182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清除</w:t>
            </w:r>
          </w:p>
        </w:tc>
        <w:tc>
          <w:tcPr>
            <w:tcW w:w="1575"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w:t>
            </w:r>
          </w:p>
        </w:tc>
        <w:tc>
          <w:tcPr>
            <w:tcW w:w="2486"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无主井盖</w:t>
            </w:r>
          </w:p>
        </w:tc>
        <w:tc>
          <w:tcPr>
            <w:tcW w:w="182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修复或填埋</w:t>
            </w:r>
          </w:p>
        </w:tc>
        <w:tc>
          <w:tcPr>
            <w:tcW w:w="1575"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3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5</w:t>
            </w:r>
          </w:p>
        </w:tc>
        <w:tc>
          <w:tcPr>
            <w:tcW w:w="2486" w:type="dxa"/>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河道护栏</w:t>
            </w:r>
          </w:p>
        </w:tc>
        <w:tc>
          <w:tcPr>
            <w:tcW w:w="182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修复</w:t>
            </w:r>
          </w:p>
        </w:tc>
        <w:tc>
          <w:tcPr>
            <w:tcW w:w="1575" w:type="dxa"/>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w:t>
            </w:r>
          </w:p>
        </w:tc>
      </w:tr>
    </w:tbl>
    <w:p>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（三）</w:t>
      </w:r>
      <w:r>
        <w:rPr>
          <w:rFonts w:hint="eastAsia" w:ascii="仿宋_GB2312" w:hAnsi="仿宋_GB2312" w:eastAsia="仿宋_GB2312" w:cs="仿宋_GB2312"/>
          <w:bCs/>
          <w:color w:val="auto"/>
          <w:sz w:val="24"/>
          <w:szCs w:val="24"/>
          <w:highlight w:val="none"/>
          <w:lang w:val="en-US" w:eastAsia="zh-CN"/>
        </w:rPr>
        <w:t>协助秩序维护</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1、负责养护区域内巡查、</w:t>
      </w:r>
      <w:r>
        <w:rPr>
          <w:rFonts w:hint="eastAsia" w:ascii="仿宋_GB2312" w:hAnsi="仿宋_GB2312" w:eastAsia="仿宋_GB2312" w:cs="仿宋_GB2312"/>
          <w:color w:val="auto"/>
          <w:sz w:val="24"/>
          <w:szCs w:val="24"/>
          <w:highlight w:val="none"/>
          <w:lang w:eastAsia="zh-CN"/>
        </w:rPr>
        <w:t>协助</w:t>
      </w:r>
      <w:r>
        <w:rPr>
          <w:rFonts w:hint="eastAsia" w:ascii="仿宋_GB2312" w:hAnsi="仿宋_GB2312" w:eastAsia="仿宋_GB2312" w:cs="仿宋_GB2312"/>
          <w:color w:val="auto"/>
          <w:sz w:val="24"/>
          <w:szCs w:val="24"/>
          <w:highlight w:val="none"/>
          <w:lang w:val="en-US" w:eastAsia="zh-CN"/>
        </w:rPr>
        <w:t>秩序维护相关</w:t>
      </w:r>
      <w:r>
        <w:rPr>
          <w:rFonts w:hint="eastAsia" w:ascii="仿宋_GB2312" w:hAnsi="仿宋_GB2312" w:eastAsia="仿宋_GB2312" w:cs="仿宋_GB2312"/>
          <w:color w:val="auto"/>
          <w:sz w:val="24"/>
          <w:szCs w:val="24"/>
          <w:highlight w:val="none"/>
        </w:rPr>
        <w:t>工作。主要包含</w:t>
      </w:r>
      <w:r>
        <w:rPr>
          <w:rFonts w:hint="eastAsia" w:ascii="仿宋_GB2312" w:hAnsi="仿宋_GB2312" w:eastAsia="仿宋_GB2312" w:cs="仿宋_GB2312"/>
          <w:color w:val="auto"/>
          <w:sz w:val="24"/>
          <w:szCs w:val="24"/>
          <w:highlight w:val="none"/>
          <w:lang w:val="en-US" w:eastAsia="zh-CN"/>
        </w:rPr>
        <w:t>日常巡查，发现</w:t>
      </w:r>
      <w:r>
        <w:rPr>
          <w:rFonts w:hint="eastAsia" w:ascii="仿宋_GB2312" w:hAnsi="仿宋_GB2312" w:eastAsia="仿宋_GB2312" w:cs="仿宋_GB2312"/>
          <w:color w:val="auto"/>
          <w:sz w:val="24"/>
          <w:szCs w:val="24"/>
          <w:highlight w:val="none"/>
        </w:rPr>
        <w:t>无证设摊、晾晒衣被、污水横流、出店经营、占道经营、违章停车、偷倒渣土、</w:t>
      </w:r>
      <w:r>
        <w:rPr>
          <w:rFonts w:hint="eastAsia" w:ascii="仿宋_GB2312" w:hAnsi="仿宋_GB2312" w:eastAsia="仿宋_GB2312" w:cs="仿宋_GB2312"/>
          <w:color w:val="auto"/>
          <w:sz w:val="24"/>
          <w:szCs w:val="24"/>
          <w:highlight w:val="none"/>
          <w:lang w:eastAsia="zh-CN"/>
        </w:rPr>
        <w:t>偷倒垃圾</w:t>
      </w:r>
      <w:r>
        <w:rPr>
          <w:rFonts w:hint="eastAsia" w:ascii="仿宋_GB2312" w:hAnsi="仿宋_GB2312" w:eastAsia="仿宋_GB2312" w:cs="仿宋_GB2312"/>
          <w:color w:val="auto"/>
          <w:sz w:val="24"/>
          <w:szCs w:val="24"/>
          <w:highlight w:val="none"/>
        </w:rPr>
        <w:t>、抛洒滴漏、施工工地污染道路</w:t>
      </w:r>
      <w:r>
        <w:rPr>
          <w:rFonts w:hint="eastAsia" w:ascii="仿宋_GB2312" w:hAnsi="仿宋_GB2312" w:eastAsia="仿宋_GB2312" w:cs="仿宋_GB2312"/>
          <w:color w:val="auto"/>
          <w:sz w:val="24"/>
          <w:szCs w:val="24"/>
          <w:highlight w:val="none"/>
          <w:lang w:eastAsia="zh-CN"/>
        </w:rPr>
        <w:t>、破坏绿化、擅自占用绿化</w:t>
      </w:r>
      <w:r>
        <w:rPr>
          <w:rFonts w:hint="eastAsia" w:ascii="仿宋_GB2312" w:hAnsi="仿宋_GB2312" w:eastAsia="仿宋_GB2312" w:cs="仿宋_GB2312"/>
          <w:color w:val="auto"/>
          <w:sz w:val="24"/>
          <w:szCs w:val="24"/>
          <w:highlight w:val="none"/>
          <w:lang w:val="en-US" w:eastAsia="zh-CN"/>
        </w:rPr>
        <w:t>等情况时，予以劝导，并及时向采购人或行政执法部门报告。</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中标</w:t>
      </w:r>
      <w:r>
        <w:rPr>
          <w:rFonts w:hint="eastAsia" w:ascii="仿宋_GB2312" w:hAnsi="仿宋_GB2312" w:eastAsia="仿宋_GB2312" w:cs="仿宋_GB2312"/>
          <w:color w:val="auto"/>
          <w:sz w:val="24"/>
          <w:szCs w:val="24"/>
          <w:highlight w:val="none"/>
        </w:rPr>
        <w:t>单位须确保队伍举止文明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注意工作态度及处置方法</w:t>
      </w:r>
      <w:r>
        <w:rPr>
          <w:rFonts w:hint="eastAsia" w:ascii="仿宋_GB2312" w:hAnsi="仿宋_GB2312" w:eastAsia="仿宋_GB2312" w:cs="仿宋_GB2312"/>
          <w:color w:val="auto"/>
          <w:sz w:val="24"/>
          <w:szCs w:val="24"/>
          <w:highlight w:val="none"/>
        </w:rPr>
        <w:t>。切实加强队员的培训、教育、考核和督查，不断提高管理人员的管理水平和自身素质。</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（四）交接过渡服务</w:t>
      </w:r>
    </w:p>
    <w:p>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1、如中标，</w:t>
      </w:r>
      <w:r>
        <w:rPr>
          <w:rFonts w:hint="eastAsia" w:ascii="仿宋_GB2312" w:hAnsi="仿宋_GB2312" w:eastAsia="仿宋_GB2312" w:cs="仿宋_GB2312"/>
          <w:color w:val="auto"/>
          <w:sz w:val="24"/>
          <w:szCs w:val="24"/>
          <w:highlight w:val="none"/>
        </w:rPr>
        <w:t>中标单位</w:t>
      </w:r>
      <w:r>
        <w:rPr>
          <w:rFonts w:hint="eastAsia" w:ascii="仿宋_GB2312" w:hAnsi="仿宋_GB2312" w:eastAsia="仿宋_GB2312" w:cs="仿宋_GB2312"/>
          <w:color w:val="auto"/>
          <w:sz w:val="24"/>
          <w:szCs w:val="24"/>
          <w:highlight w:val="none"/>
          <w:lang w:val="en-US" w:eastAsia="zh-CN"/>
        </w:rPr>
        <w:t>必须</w:t>
      </w:r>
      <w:r>
        <w:rPr>
          <w:rFonts w:hint="eastAsia" w:ascii="仿宋_GB2312" w:hAnsi="仿宋_GB2312" w:eastAsia="仿宋_GB2312" w:cs="仿宋_GB2312"/>
          <w:color w:val="auto"/>
          <w:sz w:val="24"/>
          <w:szCs w:val="24"/>
          <w:highlight w:val="none"/>
        </w:rPr>
        <w:t>按照</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要求做好项目的顺利交接过度，做好企业进出场交接计划措施、企业平稳过渡实施方案</w:t>
      </w:r>
      <w:r>
        <w:rPr>
          <w:rFonts w:hint="eastAsia" w:ascii="仿宋_GB2312" w:hAnsi="仿宋_GB2312" w:eastAsia="仿宋_GB2312" w:cs="仿宋_GB2312"/>
          <w:color w:val="auto"/>
          <w:sz w:val="24"/>
          <w:szCs w:val="24"/>
          <w:highlight w:val="none"/>
          <w:lang w:eastAsia="zh-CN"/>
        </w:rPr>
        <w:t>。</w:t>
      </w:r>
    </w:p>
    <w:p>
      <w:pPr>
        <w:adjustRightInd w:val="0"/>
        <w:snapToGrid w:val="0"/>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val="en-US" w:eastAsia="zh-CN"/>
        </w:rPr>
        <w:t>2、投标人做好预案及保障措施，不得出现不稳定因素，确保项目的顺利交接。</w:t>
      </w:r>
    </w:p>
    <w:p>
      <w:pPr>
        <w:spacing w:line="36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（六）拟采购标的的商务要求</w:t>
      </w:r>
    </w:p>
    <w:p>
      <w:pPr>
        <w:spacing w:line="360" w:lineRule="auto"/>
        <w:ind w:left="210" w:left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highlight w:val="none"/>
        </w:rPr>
        <w:t>交付（实施）的时间（期限）：</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本项目为服务项目，整体服务期为三年，合同一年一签</w:t>
      </w:r>
      <w:r>
        <w:rPr>
          <w:rFonts w:hint="eastAsia" w:ascii="仿宋_GB2312" w:hAnsi="仿宋_GB2312" w:eastAsia="仿宋_GB2312" w:cs="仿宋_GB2312"/>
          <w:sz w:val="24"/>
          <w:szCs w:val="24"/>
          <w:highlight w:val="none"/>
          <w:u w:val="single"/>
        </w:rPr>
        <w:t>。招标人或其指定机构对中标人的服务质量进行考核；项目合同签订后</w:t>
      </w:r>
      <w:r>
        <w:rPr>
          <w:rFonts w:hint="eastAsia" w:ascii="仿宋_GB2312" w:hAnsi="仿宋_GB2312" w:eastAsia="仿宋_GB2312" w:cs="仿宋_GB2312"/>
          <w:sz w:val="24"/>
          <w:szCs w:val="24"/>
          <w:highlight w:val="none"/>
          <w:u w:val="single"/>
          <w:lang w:val="en-US" w:eastAsia="zh-CN"/>
        </w:rPr>
        <w:t>9</w:t>
      </w:r>
      <w:r>
        <w:rPr>
          <w:rFonts w:hint="eastAsia" w:ascii="仿宋_GB2312" w:hAnsi="仿宋_GB2312" w:eastAsia="仿宋_GB2312" w:cs="仿宋_GB2312"/>
          <w:sz w:val="24"/>
          <w:szCs w:val="24"/>
          <w:highlight w:val="none"/>
          <w:u w:val="single"/>
        </w:rPr>
        <w:t>0天内进行初次验收，</w:t>
      </w:r>
      <w:r>
        <w:rPr>
          <w:rFonts w:hint="eastAsia" w:ascii="仿宋_GB2312" w:hAnsi="仿宋_GB2312" w:eastAsia="仿宋_GB2312" w:cs="仿宋_GB2312"/>
          <w:sz w:val="24"/>
          <w:szCs w:val="24"/>
          <w:highlight w:val="none"/>
          <w:u w:val="single"/>
          <w:lang w:eastAsia="zh-CN"/>
        </w:rPr>
        <w:t>验收</w:t>
      </w:r>
      <w:r>
        <w:rPr>
          <w:rFonts w:hint="eastAsia" w:ascii="仿宋_GB2312" w:hAnsi="仿宋_GB2312" w:eastAsia="仿宋_GB2312" w:cs="仿宋_GB2312"/>
          <w:sz w:val="24"/>
          <w:szCs w:val="24"/>
          <w:highlight w:val="none"/>
          <w:u w:val="single"/>
        </w:rPr>
        <w:t>不合格的，招标人有权提前终止合同并追究中标人违约责任，后续合同不再执行</w:t>
      </w:r>
      <w:r>
        <w:rPr>
          <w:rFonts w:hint="eastAsia" w:ascii="仿宋_GB2312" w:hAnsi="仿宋_GB2312" w:eastAsia="仿宋_GB2312" w:cs="仿宋_GB2312"/>
          <w:sz w:val="24"/>
          <w:szCs w:val="24"/>
          <w:highlight w:val="none"/>
          <w:u w:val="single"/>
          <w:lang w:eastAsia="zh-CN"/>
        </w:rPr>
        <w:t>。</w:t>
      </w:r>
      <w:r>
        <w:rPr>
          <w:rFonts w:hint="eastAsia" w:ascii="仿宋_GB2312" w:hAnsi="仿宋_GB2312" w:eastAsia="仿宋_GB2312" w:cs="仿宋_GB2312"/>
          <w:sz w:val="24"/>
          <w:szCs w:val="24"/>
          <w:highlight w:val="none"/>
          <w:u w:val="single"/>
        </w:rPr>
        <w:t xml:space="preserve"> </w:t>
      </w:r>
    </w:p>
    <w:p>
      <w:pPr>
        <w:spacing w:line="360" w:lineRule="auto"/>
        <w:ind w:left="210" w:left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2.交付（实施）的地点（范围）：</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钱塘区白杨街道。</w:t>
      </w:r>
    </w:p>
    <w:p>
      <w:pPr>
        <w:spacing w:line="360" w:lineRule="auto"/>
        <w:ind w:left="210" w:leftChars="1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3.付款条件（进度和方式）</w:t>
      </w:r>
    </w:p>
    <w:tbl>
      <w:tblPr>
        <w:tblStyle w:val="64"/>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2977"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付款比例（%）</w:t>
            </w:r>
          </w:p>
        </w:tc>
        <w:tc>
          <w:tcPr>
            <w:tcW w:w="4161"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2977" w:type="dxa"/>
            <w:vMerge w:val="restar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4161"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项目初验通过</w:t>
            </w:r>
            <w:r>
              <w:rPr>
                <w:rFonts w:hint="eastAsia" w:ascii="仿宋_GB2312" w:hAnsi="仿宋_GB2312" w:eastAsia="仿宋_GB2312" w:cs="仿宋_GB2312"/>
                <w:sz w:val="24"/>
                <w:szCs w:val="24"/>
                <w:highlight w:val="none"/>
                <w:lang w:val="en-US" w:eastAsia="zh-CN"/>
              </w:rPr>
              <w:t>后5个工作日内，采购人向中标人支付该年度合同总额的20%作为预付款。（本项目以人力投入为主且定期结算，预付款比例设为20%；在签订合同时，中标人明确表示无需预付款或者主动要求降低预付款比例的，可不适用预付款相关规定）</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2977" w:type="dxa"/>
            <w:vMerge w:val="continue"/>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p>
        </w:tc>
        <w:tc>
          <w:tcPr>
            <w:tcW w:w="4161"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第一季度结束支付该年度合同总额的20%。（支付预付款的，服务费用将在预付款全部扣回后支付）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2977"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4161"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第二季度结束支付该年度合同总额的20%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2977"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4161"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第三季度结束支付该年度合同总额的20%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2977"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4161"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第四季度结束支付该年度合同总额的20%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2977"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4161" w:type="dxa"/>
            <w:shd w:val="clear" w:color="auto" w:fill="auto"/>
          </w:tcPr>
          <w:p>
            <w:pPr>
              <w:keepNext w:val="0"/>
              <w:keepLines w:val="0"/>
              <w:suppressLineNumbers w:val="0"/>
              <w:spacing w:before="0" w:beforeAutospacing="0" w:after="0" w:afterAutospacing="0" w:line="360" w:lineRule="auto"/>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该年度验收完成后，支付尾款</w:t>
            </w:r>
          </w:p>
        </w:tc>
      </w:tr>
    </w:tbl>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4.售后服务要求</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u w:val="single"/>
        </w:rPr>
      </w:pPr>
      <w:r>
        <w:rPr>
          <w:rFonts w:hint="eastAsia" w:ascii="仿宋_GB2312" w:hAnsi="仿宋_GB2312" w:eastAsia="仿宋_GB2312" w:cs="仿宋_GB2312"/>
          <w:color w:val="auto"/>
          <w:sz w:val="24"/>
          <w:szCs w:val="24"/>
          <w:highlight w:val="none"/>
          <w:u w:val="single"/>
          <w:lang w:val="en-US" w:eastAsia="zh-CN"/>
        </w:rPr>
        <w:t>该项目为服务类，服务期内提供服务</w:t>
      </w:r>
      <w:r>
        <w:rPr>
          <w:rFonts w:hint="eastAsia" w:ascii="仿宋_GB2312" w:hAnsi="仿宋_GB2312" w:eastAsia="仿宋_GB2312" w:cs="仿宋_GB2312"/>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5.其他商务要求（包装和运输、保险等）</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u w:val="singl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报价时，各指标单价不得超过招标清单中参考的综合单价；汇总后，投标总价不得超过本项目设置的最高限价。</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lang w:val="en-US" w:eastAsia="zh-CN"/>
        </w:rPr>
        <w:t>十一、</w:t>
      </w:r>
      <w:r>
        <w:rPr>
          <w:rFonts w:hint="eastAsia" w:ascii="仿宋_GB2312" w:hAnsi="仿宋_GB2312" w:eastAsia="仿宋_GB2312" w:cs="仿宋_GB2312"/>
          <w:b/>
          <w:color w:val="auto"/>
          <w:sz w:val="24"/>
          <w:szCs w:val="24"/>
          <w:highlight w:val="none"/>
        </w:rPr>
        <w:t>履约验收方案</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（一）履约验收主体</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1.采购单位：</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eastAsia="zh-CN"/>
        </w:rPr>
        <w:t>杭州市钱塘区人民政府白杨街道办事处</w:t>
      </w:r>
      <w:r>
        <w:rPr>
          <w:rFonts w:hint="eastAsia" w:ascii="仿宋_GB2312" w:hAnsi="仿宋_GB2312" w:eastAsia="仿宋_GB2312" w:cs="仿宋_GB2312"/>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2.是否选择代理机构：</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3.是否邀请本项目的其他供应商：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4.是否邀请专家：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5.是否邀请服务对象：</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否</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6.其他</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rPr>
        <w:t xml:space="preserve">无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（二）履约验收时间：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服务期三年，</w:t>
      </w:r>
      <w:r>
        <w:rPr>
          <w:rFonts w:hint="eastAsia" w:ascii="仿宋_GB2312" w:hAnsi="仿宋_GB2312" w:eastAsia="仿宋_GB2312" w:cs="仿宋_GB2312"/>
          <w:sz w:val="24"/>
          <w:szCs w:val="24"/>
          <w:highlight w:val="none"/>
          <w:u w:val="single"/>
          <w:lang w:val="en-US" w:eastAsia="zh-CN"/>
        </w:rPr>
        <w:t>合同一年一签。</w:t>
      </w:r>
      <w:r>
        <w:rPr>
          <w:rFonts w:hint="eastAsia" w:ascii="仿宋_GB2312" w:hAnsi="仿宋_GB2312" w:eastAsia="仿宋_GB2312" w:cs="仿宋_GB2312"/>
          <w:color w:val="auto"/>
          <w:sz w:val="24"/>
          <w:szCs w:val="24"/>
          <w:highlight w:val="none"/>
          <w:u w:val="single"/>
          <w:lang w:val="en-US" w:eastAsia="zh-CN"/>
        </w:rPr>
        <w:t>项目合同签订后90天内进行初次验收，重点对智慧环卫场景建设、人员设备配备情况、养护质量等进行验收，验收不通过的招标人有权提前解除合同，中标人已投入的费用不予结算，并列入惩戒黑名单，请投标人自行考虑投标风险。初次验收通过后每年组织一次年度考核及验收，每年服务期结束后30天内开展，</w:t>
      </w:r>
      <w:r>
        <w:rPr>
          <w:rFonts w:hint="eastAsia" w:ascii="仿宋_GB2312" w:hAnsi="仿宋_GB2312" w:eastAsia="仿宋_GB2312" w:cs="仿宋_GB2312"/>
          <w:color w:val="auto"/>
          <w:sz w:val="24"/>
          <w:szCs w:val="24"/>
          <w:highlight w:val="none"/>
          <w:u w:val="single"/>
        </w:rPr>
        <w:t>中标人整理、组织验收材料，以及相关工作台账记录，向招标人申请验收。</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（三）履约验收方式：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简易程序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一般程序</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（四）履约验收程序：</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一次性验收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分段验收</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sym w:font="Wingdings" w:char="00FE"/>
      </w:r>
      <w:r>
        <w:rPr>
          <w:rFonts w:hint="eastAsia" w:ascii="仿宋_GB2312" w:hAnsi="仿宋_GB2312" w:eastAsia="仿宋_GB2312" w:cs="仿宋_GB2312"/>
          <w:color w:val="auto"/>
          <w:sz w:val="24"/>
          <w:szCs w:val="24"/>
          <w:highlight w:val="none"/>
        </w:rPr>
        <w:t>分期验收</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（五）履约验收内容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iCs/>
          <w:color w:val="auto"/>
          <w:sz w:val="24"/>
          <w:szCs w:val="24"/>
          <w:highlight w:val="none"/>
        </w:rPr>
      </w:pPr>
      <w:r>
        <w:rPr>
          <w:rFonts w:hint="eastAsia" w:ascii="仿宋_GB2312" w:hAnsi="仿宋_GB2312" w:eastAsia="仿宋_GB2312" w:cs="仿宋_GB2312"/>
          <w:iCs/>
          <w:color w:val="auto"/>
          <w:sz w:val="24"/>
          <w:szCs w:val="24"/>
          <w:highlight w:val="none"/>
        </w:rPr>
        <w:t>1.技术履约内容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single"/>
        </w:rPr>
        <w:t xml:space="preserve">   ①</w:t>
      </w:r>
      <w:r>
        <w:rPr>
          <w:rFonts w:hint="eastAsia" w:ascii="仿宋_GB2312" w:hAnsi="仿宋_GB2312" w:eastAsia="仿宋_GB2312" w:cs="仿宋_GB2312"/>
          <w:color w:val="auto"/>
          <w:sz w:val="24"/>
          <w:szCs w:val="24"/>
          <w:highlight w:val="none"/>
          <w:u w:val="single"/>
          <w:lang w:val="en-US" w:eastAsia="zh-CN"/>
        </w:rPr>
        <w:t>中标人按</w:t>
      </w:r>
      <w:r>
        <w:rPr>
          <w:rFonts w:hint="eastAsia" w:ascii="仿宋_GB2312" w:hAnsi="仿宋_GB2312" w:eastAsia="仿宋_GB2312" w:cs="仿宋_GB2312"/>
          <w:color w:val="auto"/>
          <w:sz w:val="24"/>
          <w:szCs w:val="24"/>
          <w:highlight w:val="none"/>
          <w:u w:val="single"/>
        </w:rPr>
        <w:t>采购文件确定的技术指标或者服务要求</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中标人自身投标文件承诺、响应内容及</w:t>
      </w:r>
      <w:r>
        <w:rPr>
          <w:rFonts w:hint="eastAsia" w:ascii="仿宋_GB2312" w:hAnsi="仿宋_GB2312" w:eastAsia="仿宋_GB2312" w:cs="仿宋_GB2312"/>
          <w:color w:val="auto"/>
          <w:sz w:val="24"/>
          <w:szCs w:val="24"/>
          <w:highlight w:val="none"/>
          <w:u w:val="single"/>
        </w:rPr>
        <w:t>询标回复</w:t>
      </w:r>
      <w:r>
        <w:rPr>
          <w:rFonts w:hint="eastAsia" w:ascii="仿宋_GB2312" w:hAnsi="仿宋_GB2312" w:eastAsia="仿宋_GB2312" w:cs="仿宋_GB2312"/>
          <w:color w:val="auto"/>
          <w:sz w:val="24"/>
          <w:szCs w:val="24"/>
          <w:highlight w:val="none"/>
          <w:u w:val="single"/>
          <w:lang w:val="en-US" w:eastAsia="zh-CN"/>
        </w:rPr>
        <w:t>，提供服务；②</w:t>
      </w:r>
      <w:r>
        <w:rPr>
          <w:rFonts w:hint="eastAsia" w:ascii="仿宋_GB2312" w:hAnsi="仿宋_GB2312" w:eastAsia="仿宋_GB2312" w:cs="仿宋_GB2312"/>
          <w:color w:val="auto"/>
          <w:sz w:val="24"/>
          <w:szCs w:val="24"/>
          <w:highlight w:val="none"/>
          <w:u w:val="single"/>
        </w:rPr>
        <w:t>服务合同、</w:t>
      </w:r>
      <w:r>
        <w:rPr>
          <w:rFonts w:hint="eastAsia" w:ascii="仿宋_GB2312" w:hAnsi="仿宋_GB2312" w:eastAsia="仿宋_GB2312" w:cs="仿宋_GB2312"/>
          <w:color w:val="auto"/>
          <w:sz w:val="24"/>
          <w:szCs w:val="24"/>
          <w:highlight w:val="none"/>
          <w:u w:val="single"/>
          <w:lang w:eastAsia="zh-CN"/>
        </w:rPr>
        <w:t>采购人</w:t>
      </w:r>
      <w:r>
        <w:rPr>
          <w:rFonts w:hint="eastAsia" w:ascii="仿宋_GB2312" w:hAnsi="仿宋_GB2312" w:eastAsia="仿宋_GB2312" w:cs="仿宋_GB2312"/>
          <w:color w:val="auto"/>
          <w:sz w:val="24"/>
          <w:szCs w:val="24"/>
          <w:highlight w:val="none"/>
          <w:u w:val="single"/>
        </w:rPr>
        <w:t>制定的考核标准。未进行相应约定的，应当符合国家强制性规定、政策要求、安全标准、行业或企业有关标准等</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rPr>
        <w:t>③</w:t>
      </w:r>
      <w:r>
        <w:rPr>
          <w:rFonts w:hint="eastAsia" w:ascii="仿宋_GB2312" w:hAnsi="仿宋_GB2312" w:eastAsia="仿宋_GB2312" w:cs="仿宋_GB2312"/>
          <w:color w:val="auto"/>
          <w:sz w:val="24"/>
          <w:szCs w:val="24"/>
          <w:highlight w:val="none"/>
          <w:u w:val="single"/>
          <w:lang w:val="en-US" w:eastAsia="zh-CN"/>
        </w:rPr>
        <w:t>按考核标准，中标人得分达到履约资格</w:t>
      </w:r>
      <w:r>
        <w:rPr>
          <w:rFonts w:hint="eastAsia" w:ascii="仿宋_GB2312" w:hAnsi="仿宋_GB2312" w:eastAsia="仿宋_GB2312" w:cs="仿宋_GB2312"/>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iCs/>
          <w:color w:val="auto"/>
          <w:sz w:val="24"/>
          <w:szCs w:val="24"/>
          <w:highlight w:val="none"/>
        </w:rPr>
      </w:pPr>
      <w:r>
        <w:rPr>
          <w:rFonts w:hint="eastAsia" w:ascii="仿宋_GB2312" w:hAnsi="仿宋_GB2312" w:eastAsia="仿宋_GB2312" w:cs="仿宋_GB2312"/>
          <w:iCs/>
          <w:color w:val="auto"/>
          <w:sz w:val="24"/>
          <w:szCs w:val="24"/>
          <w:highlight w:val="none"/>
        </w:rPr>
        <w:t>2.商务履约内容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single"/>
        </w:rPr>
        <w:t xml:space="preserve"> 严格按照时间节点进行合同内容执行，按照实际节点进行费用申报。</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（六）履约验收标准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u w:val="single"/>
        </w:rPr>
        <w:t xml:space="preserve"> 以</w:t>
      </w:r>
      <w:r>
        <w:rPr>
          <w:rFonts w:hint="eastAsia" w:ascii="仿宋_GB2312" w:hAnsi="仿宋_GB2312" w:eastAsia="仿宋_GB2312" w:cs="仿宋_GB2312"/>
          <w:color w:val="auto"/>
          <w:sz w:val="24"/>
          <w:szCs w:val="24"/>
          <w:highlight w:val="none"/>
          <w:u w:val="single"/>
          <w:lang w:eastAsia="zh-CN"/>
        </w:rPr>
        <w:t>采购人</w:t>
      </w:r>
      <w:r>
        <w:rPr>
          <w:rFonts w:hint="eastAsia" w:ascii="仿宋_GB2312" w:hAnsi="仿宋_GB2312" w:eastAsia="仿宋_GB2312" w:cs="仿宋_GB2312"/>
          <w:color w:val="auto"/>
          <w:sz w:val="24"/>
          <w:szCs w:val="24"/>
          <w:highlight w:val="none"/>
          <w:u w:val="single"/>
        </w:rPr>
        <w:t xml:space="preserve">组织验收报告为准    </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（七）履约验收其他事项</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本项目有考核，考核得分不足60分的，采购人有权终止合同。中标人给采购人造成经济损失的，采购人有权进一步追究中标人的履约责任。考核得分在80分（含）以上的，甲乙双方将继续履行合同。考核得分在60分（含）至80分之间的，采购人将根据中标人履约质量、后续项目开展情况，通知中标人是否继续履行合同。（</w:t>
      </w:r>
      <w:r>
        <w:rPr>
          <w:rFonts w:hint="eastAsia" w:ascii="仿宋_GB2312" w:hAnsi="仿宋_GB2312" w:eastAsia="仿宋_GB2312" w:cs="仿宋_GB2312"/>
          <w:iCs/>
          <w:color w:val="auto"/>
          <w:sz w:val="24"/>
          <w:szCs w:val="24"/>
          <w:highlight w:val="none"/>
          <w:u w:val="single"/>
          <w:lang w:val="en-US" w:eastAsia="zh-CN"/>
        </w:rPr>
        <w:t>考核办法以后续街道文件为准）</w:t>
      </w:r>
    </w:p>
    <w:p>
      <w:pPr>
        <w:spacing w:line="360" w:lineRule="auto"/>
        <w:ind w:firstLine="482" w:firstLineChars="200"/>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十二、考核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（一）考核标准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街道在区综合行政执法局的指导下，对街道城市基础设施一体化（智慧）养护考核内容进行明确，确定城市基础设施一体化（智慧）养护考核分为考核扣款和考核扣分两大内容，形成清单化考核标准，具体以街道后续下发的《白杨街道城市基础设施一体化（智慧）养护考核方案》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（二）考核机制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在区综合行政执法局的领导和指导下，建立由日常考核、季度考核以及年度考核三部分组成的综合性考核机制。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1.日常考核。建立市级（以上）抄告、区级抄告和街道（社区）本级考核的一体化养护</w:t>
      </w:r>
      <w:r>
        <w:rPr>
          <w:rFonts w:hint="eastAsia" w:ascii="仿宋_GB2312" w:hAnsi="仿宋_GB2312" w:eastAsia="仿宋_GB2312" w:cs="仿宋_GB2312"/>
          <w:b w:val="0"/>
          <w:bCs w:val="0"/>
          <w:sz w:val="24"/>
          <w:szCs w:val="24"/>
          <w:highlight w:val="none"/>
          <w:lang w:eastAsia="zh-CN"/>
        </w:rPr>
        <w:t>日常</w:t>
      </w:r>
      <w:r>
        <w:rPr>
          <w:rFonts w:hint="eastAsia" w:ascii="仿宋_GB2312" w:hAnsi="仿宋_GB2312" w:eastAsia="仿宋_GB2312" w:cs="仿宋_GB2312"/>
          <w:b w:val="0"/>
          <w:bCs w:val="0"/>
          <w:sz w:val="24"/>
          <w:szCs w:val="24"/>
          <w:highlight w:val="none"/>
        </w:rPr>
        <w:t>考评</w:t>
      </w:r>
      <w:r>
        <w:rPr>
          <w:rFonts w:hint="eastAsia" w:ascii="仿宋_GB2312" w:hAnsi="仿宋_GB2312" w:eastAsia="仿宋_GB2312" w:cs="仿宋_GB2312"/>
          <w:b w:val="0"/>
          <w:bCs w:val="0"/>
          <w:sz w:val="24"/>
          <w:szCs w:val="24"/>
          <w:highlight w:val="none"/>
          <w:lang w:val="en-US" w:eastAsia="zh-CN"/>
        </w:rPr>
        <w:t>机制。市级（以上）抄告由市（以上）领导督查以及相关部门督办、市（以上）单位抄告以及复核、市级（以上）单位相关行业抄告等组成；区级抄告由区领导以及相关部门督办、区环境整治专班抄告以及复核、区级行业抄告等组成。街道本级考核由街道领导检查督办、街道一体化养护</w:t>
      </w:r>
      <w:r>
        <w:rPr>
          <w:rFonts w:hint="eastAsia" w:ascii="仿宋_GB2312" w:hAnsi="仿宋_GB2312" w:eastAsia="仿宋_GB2312" w:cs="仿宋_GB2312"/>
          <w:b w:val="0"/>
          <w:bCs w:val="0"/>
          <w:sz w:val="24"/>
          <w:szCs w:val="24"/>
          <w:highlight w:val="none"/>
        </w:rPr>
        <w:t>综合考评</w:t>
      </w:r>
      <w:r>
        <w:rPr>
          <w:rFonts w:hint="eastAsia" w:ascii="仿宋_GB2312" w:hAnsi="仿宋_GB2312" w:eastAsia="仿宋_GB2312" w:cs="仿宋_GB2312"/>
          <w:b w:val="0"/>
          <w:bCs w:val="0"/>
          <w:sz w:val="24"/>
          <w:szCs w:val="24"/>
          <w:highlight w:val="none"/>
          <w:lang w:val="en-US" w:eastAsia="zh-CN"/>
        </w:rPr>
        <w:t>小组抄告及复核、各社区养护问题抄告上报以及6大序化管理网格养护问题上报组成。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季度考核。采购人在街道城市基础设施一体化（智慧）养护季度任务结束两周内，对养护单位进行季度考核。季度考核主要对养护单位的履职情况、工作台账、安全管理、应急管理等进行检查，并将日常考核情况进行汇总，对于在季度考核中出现重大履职问题、安全生产管理问题、信访舆情等问题时，采购人有权对其进行黄牌警告，并要求其提出整改方案，中标人须严格按照采购人相关要求进行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年度考核。在街道城市基础设施一体化（智慧）养护年度任务结束后，采购人对养护单位进行年度考核。年度考核主要对养护单位年度履职情况进行汇总，依据日常考核、季度考核情况对养护单位年度扣款扣分情况进行汇总和明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 （三）考核内容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1.考核扣款。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1.1扣款抄告数量。对上级抄告以及其复核情况按照其实际抄告数量进行统计扣款。街道抄告情况由采购人下发的《白杨街道城市基础设施一体化（智慧）养护考核方案》明确。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1.2考核扣款系数权重。根据同一点位抄告次数情况、复核情况赋予相遇的考核扣款系数，具体扣款数=扣款基数*考核系数。扣款基数以《白杨街道街道城市基础设施一体化（智慧）养护考核扣款细则》为准。各类考核扣款系数如下表。</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表1：城市基础设施一体化（智慧）养护</w:t>
      </w:r>
      <w:r>
        <w:rPr>
          <w:rFonts w:hint="eastAsia" w:ascii="仿宋_GB2312" w:hAnsi="仿宋_GB2312" w:eastAsia="仿宋_GB2312" w:cs="仿宋_GB2312"/>
          <w:b w:val="0"/>
          <w:bCs w:val="0"/>
          <w:sz w:val="24"/>
          <w:szCs w:val="24"/>
          <w:highlight w:val="none"/>
        </w:rPr>
        <w:t>综合</w:t>
      </w:r>
      <w:r>
        <w:rPr>
          <w:rFonts w:hint="eastAsia" w:ascii="仿宋_GB2312" w:hAnsi="仿宋_GB2312" w:eastAsia="仿宋_GB2312" w:cs="仿宋_GB2312"/>
          <w:b w:val="0"/>
          <w:bCs w:val="0"/>
          <w:sz w:val="24"/>
          <w:szCs w:val="24"/>
          <w:highlight w:val="none"/>
          <w:lang w:val="en-US" w:eastAsia="zh-CN"/>
        </w:rPr>
        <w:t>考核扣款系数表</w:t>
      </w:r>
    </w:p>
    <w:tbl>
      <w:tblPr>
        <w:tblStyle w:val="65"/>
        <w:tblW w:w="0" w:type="auto"/>
        <w:tblInd w:w="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798"/>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764"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考核类别</w:t>
            </w:r>
          </w:p>
        </w:tc>
        <w:tc>
          <w:tcPr>
            <w:tcW w:w="379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考核情况</w:t>
            </w:r>
          </w:p>
        </w:tc>
        <w:tc>
          <w:tcPr>
            <w:tcW w:w="238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考核扣款系数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日常抄告</w:t>
            </w:r>
          </w:p>
        </w:tc>
        <w:tc>
          <w:tcPr>
            <w:tcW w:w="37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第一次抄告</w:t>
            </w:r>
          </w:p>
        </w:tc>
        <w:tc>
          <w:tcPr>
            <w:tcW w:w="23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p>
        </w:tc>
        <w:tc>
          <w:tcPr>
            <w:tcW w:w="37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同一点位同一问题二次抄告</w:t>
            </w:r>
          </w:p>
        </w:tc>
        <w:tc>
          <w:tcPr>
            <w:tcW w:w="23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p>
        </w:tc>
        <w:tc>
          <w:tcPr>
            <w:tcW w:w="37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同一点位统一问题三次及以上抄告</w:t>
            </w:r>
          </w:p>
        </w:tc>
        <w:tc>
          <w:tcPr>
            <w:tcW w:w="23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考核复核</w:t>
            </w:r>
          </w:p>
        </w:tc>
        <w:tc>
          <w:tcPr>
            <w:tcW w:w="37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上级抄告区级复核未通过</w:t>
            </w:r>
          </w:p>
        </w:tc>
        <w:tc>
          <w:tcPr>
            <w:tcW w:w="23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p>
        </w:tc>
        <w:tc>
          <w:tcPr>
            <w:tcW w:w="37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上级抄告市级复核未通过</w:t>
            </w:r>
          </w:p>
        </w:tc>
        <w:tc>
          <w:tcPr>
            <w:tcW w:w="238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 xml:space="preserve">1.3其他扣款。其他扣款主要指社会各界监督扣款主要指信访投诉、各界人士问题反馈等扣款，经查实属于养护单位失职的，按照考核扣款细则予以扣款。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1.4考核奖励和代处理。各养护单位获得区级以上荣誉、年度考核优秀、区级以上领导批示表扬、环境整治月度市级优胜单位等荣誉的，给予适当奖励。各养护单位在采购人要求下，对非养护范围的问题帮助代整改代处理的，适当给予奖励或者考核扣款抵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1.5考核扣款费用结算。采购人每月对日常考核、奖励和代处理等情况进行统计，考核总扣款=上级考核扣款+街道本级扣款+其他扣款-奖励和代处理款项。考核扣款情况下发各养护单位进行确认后，按照考核扣款情况进行养护费用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2.考核扣分。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2.1基础考核扣分。城市基础设施一体化（智慧）养护考核基础扣分主要由日常考核扣分、工作成效扣分、年度附加扣分等内容组成。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2.2满意度测评。采购人应在城市基础设施一体化（智慧）养护年度任务结束一个月内组织开展满意度测评。测评人员主要包括养护片区内的人大代表政协委员、企事业单位代表、居民代表、社区工作人员代表等，测评内容主要是对一体化养护整体工作情况进行打分，相关得分纳入城市基础设施一体化（智慧）养护考核整体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2.3考核扣分统计。采购人依据《白杨街道城市基础设施一体化（智慧）养护考核扣分细则》，每季度对养护单位扣分和得分情况进行考核统计，并在年度考核中对总得分进行核算汇总。四个季度平均得分按90%进行折算，满意度调查按10%进行折算，两者相加即为该单位年度考核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2.4考核得分结果应用。养护单位年度得分在60分以下的，采购人有权终止合同，并有权追究养护单位因履职不力造成的损失；养护单位年度得分在80分以上的，继续履行合同；养护单位年度得分在60分-80分之间的，采购人将根据养护单位各方面实际情况，决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val="0"/>
          <w:bCs w:val="0"/>
          <w:sz w:val="24"/>
          <w:szCs w:val="24"/>
          <w:highlight w:val="none"/>
          <w:lang w:val="en-US" w:eastAsia="zh-CN"/>
        </w:rPr>
      </w:pPr>
    </w:p>
    <w:p>
      <w:pPr>
        <w:adjustRightInd w:val="0"/>
        <w:snapToGrid w:val="0"/>
        <w:spacing w:line="360" w:lineRule="auto"/>
        <w:ind w:firstLine="480" w:firstLineChars="200"/>
        <w:rPr>
          <w:rFonts w:hint="eastAsia" w:asciiTheme="minorEastAsia" w:hAnsiTheme="minorEastAsia" w:eastAsiaTheme="minorEastAsia" w:cstheme="minorEastAsia"/>
          <w:snapToGrid w:val="0"/>
          <w:color w:val="auto"/>
          <w:kern w:val="0"/>
          <w:sz w:val="24"/>
          <w:szCs w:val="24"/>
          <w:highlight w:val="none"/>
          <w:lang w:val="en-US" w:eastAsia="zh-CN"/>
        </w:rPr>
      </w:pPr>
    </w:p>
    <w:p>
      <w:pPr>
        <w:pStyle w:val="2"/>
        <w:rPr>
          <w:rFonts w:hint="eastAsia"/>
        </w:rPr>
        <w:sectPr>
          <w:headerReference r:id="rId15" w:type="default"/>
          <w:footerReference r:id="rId16" w:type="default"/>
          <w:pgSz w:w="11907" w:h="16840"/>
          <w:pgMar w:top="680" w:right="1417" w:bottom="471" w:left="1417" w:header="851" w:footer="851" w:gutter="0"/>
          <w:pgBorders>
            <w:top w:val="none" w:sz="0" w:space="0"/>
            <w:left w:val="none" w:sz="0" w:space="0"/>
            <w:bottom w:val="none" w:sz="0" w:space="0"/>
            <w:right w:val="none" w:sz="0" w:space="0"/>
          </w:pgBorders>
          <w:cols w:space="720" w:num="1"/>
        </w:sectPr>
      </w:pPr>
    </w:p>
    <w:p>
      <w:pPr>
        <w:numPr>
          <w:ilvl w:val="0"/>
          <w:numId w:val="3"/>
        </w:numPr>
        <w:spacing w:line="360" w:lineRule="auto"/>
        <w:jc w:val="center"/>
        <w:outlineLvl w:val="0"/>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lang w:eastAsia="zh-CN"/>
        </w:rPr>
        <w:t>评标办法</w:t>
      </w:r>
    </w:p>
    <w:p>
      <w:pPr>
        <w:snapToGrid w:val="0"/>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32"/>
          <w:szCs w:val="20"/>
          <w:highlight w:val="none"/>
        </w:rPr>
        <w:t>评标办法前附表</w:t>
      </w:r>
    </w:p>
    <w:tbl>
      <w:tblPr>
        <w:tblStyle w:val="64"/>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012"/>
        <w:gridCol w:w="684"/>
        <w:gridCol w:w="102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序号</w:t>
            </w:r>
          </w:p>
        </w:tc>
        <w:tc>
          <w:tcPr>
            <w:tcW w:w="6012" w:type="dxa"/>
            <w:noWrap w:val="0"/>
            <w:vAlign w:val="center"/>
          </w:tcPr>
          <w:p>
            <w:pPr>
              <w:keepNext w:val="0"/>
              <w:keepLines w:val="0"/>
              <w:pageBreakBefore w:val="0"/>
              <w:kinsoku/>
              <w:wordWrap/>
              <w:overflowPunct/>
              <w:topLinePunct w:val="0"/>
              <w:bidi w:val="0"/>
              <w:snapToGrid/>
              <w:spacing w:line="360" w:lineRule="auto"/>
              <w:ind w:firstLine="1566" w:firstLineChars="650"/>
              <w:textAlignment w:val="auto"/>
              <w:outlineLvl w:val="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评标标准</w:t>
            </w:r>
          </w:p>
        </w:tc>
        <w:tc>
          <w:tcPr>
            <w:tcW w:w="684" w:type="dxa"/>
            <w:noWrap w:val="0"/>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_GB2312" w:hAnsi="仿宋_GB2312" w:eastAsia="仿宋_GB2312" w:cs="仿宋_GB2312"/>
                <w:b/>
                <w:bCs w:val="0"/>
                <w:color w:val="auto"/>
                <w:sz w:val="24"/>
                <w:szCs w:val="24"/>
                <w:highlight w:val="none"/>
                <w:lang w:eastAsia="zh-CN"/>
              </w:rPr>
            </w:pPr>
            <w:r>
              <w:rPr>
                <w:rFonts w:hint="eastAsia" w:ascii="仿宋_GB2312" w:hAnsi="仿宋_GB2312" w:eastAsia="仿宋_GB2312" w:cs="仿宋_GB2312"/>
                <w:b/>
                <w:bCs w:val="0"/>
                <w:color w:val="auto"/>
                <w:sz w:val="24"/>
                <w:szCs w:val="24"/>
                <w:highlight w:val="none"/>
                <w:lang w:eastAsia="zh-CN"/>
              </w:rPr>
              <w:t>最高分值</w:t>
            </w:r>
          </w:p>
        </w:tc>
        <w:tc>
          <w:tcPr>
            <w:tcW w:w="1024" w:type="dxa"/>
            <w:noWrap w:val="0"/>
            <w:vAlign w:val="top"/>
          </w:tcPr>
          <w:p>
            <w:pPr>
              <w:keepNext w:val="0"/>
              <w:keepLines w:val="0"/>
              <w:pageBreakBefore w:val="0"/>
              <w:kinsoku/>
              <w:wordWrap/>
              <w:overflowPunct/>
              <w:topLinePunct w:val="0"/>
              <w:bidi w:val="0"/>
              <w:snapToGrid/>
              <w:spacing w:line="360" w:lineRule="auto"/>
              <w:textAlignment w:val="auto"/>
              <w:outlineLvl w:val="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bCs w:val="0"/>
                <w:color w:val="auto"/>
                <w:sz w:val="24"/>
                <w:szCs w:val="24"/>
                <w:highlight w:val="none"/>
              </w:rPr>
              <w:t>主观分/客观分属性</w:t>
            </w:r>
          </w:p>
        </w:tc>
        <w:tc>
          <w:tcPr>
            <w:tcW w:w="1456" w:type="dxa"/>
            <w:noWrap w:val="0"/>
            <w:vAlign w:val="top"/>
          </w:tcPr>
          <w:p>
            <w:pPr>
              <w:keepNext w:val="0"/>
              <w:keepLines w:val="0"/>
              <w:pageBreakBefore w:val="0"/>
              <w:kinsoku/>
              <w:wordWrap/>
              <w:overflowPunct/>
              <w:topLinePunct w:val="0"/>
              <w:bidi w:val="0"/>
              <w:snapToGrid/>
              <w:spacing w:line="360" w:lineRule="auto"/>
              <w:jc w:val="left"/>
              <w:textAlignment w:val="auto"/>
              <w:outlineLvl w:val="0"/>
              <w:rPr>
                <w:rFonts w:hint="eastAsia" w:ascii="仿宋_GB2312" w:hAnsi="仿宋_GB2312" w:eastAsia="仿宋_GB2312" w:cs="仿宋_GB2312"/>
                <w:b/>
                <w:bCs w:val="0"/>
                <w:color w:val="auto"/>
                <w:sz w:val="24"/>
                <w:szCs w:val="24"/>
                <w:highlight w:val="none"/>
              </w:rPr>
            </w:pPr>
            <w:r>
              <w:rPr>
                <w:rFonts w:hint="eastAsia" w:ascii="仿宋_GB2312" w:hAnsi="仿宋_GB2312" w:eastAsia="仿宋_GB2312" w:cs="仿宋_GB2312"/>
                <w:b/>
                <w:color w:val="auto"/>
                <w:sz w:val="24"/>
                <w:szCs w:val="24"/>
                <w:highlight w:val="none"/>
              </w:rPr>
              <w:t>投标文件中评标标准相应的商务技术资料目录</w:t>
            </w:r>
            <w:r>
              <w:rPr>
                <w:rFonts w:hint="eastAsia" w:ascii="仿宋_GB2312" w:hAnsi="仿宋_GB2312" w:eastAsia="仿宋_GB2312" w:cs="仿宋_GB2312"/>
                <w:b/>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sz w:val="24"/>
                <w:szCs w:val="24"/>
                <w:highlight w:val="none"/>
              </w:rPr>
              <w:t>1</w:t>
            </w:r>
          </w:p>
        </w:tc>
        <w:tc>
          <w:tcPr>
            <w:tcW w:w="6012" w:type="dxa"/>
            <w:noWrap w:val="0"/>
            <w:vAlign w:val="center"/>
          </w:tcPr>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b/>
                <w:bCs/>
                <w:i w:val="0"/>
                <w:iCs w:val="0"/>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2"/>
                <w:sz w:val="24"/>
                <w:szCs w:val="24"/>
                <w:highlight w:val="none"/>
                <w:lang w:val="en-US" w:eastAsia="zh-CN" w:bidi="ar-SA"/>
              </w:rPr>
              <w:t>（一）评分内容：</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投标人具有下列体系认证：</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1、具有有效的质量管理体系（ISO 9001:2015）认证证书；</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2、具有有效的职业健康安全管理体系（ISO 45001:2018）认证证书；</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3、具有有效的环境管理体系（ISO 14001:2015）认证证书；</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4、具有有效的信息安全管理体系（ISO/IEC 27001:2022）认证证书；</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5、具有有效的服务管理体系（ISO/IEC20000-1）认证证书。</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上述5个体系证书，每提供1个得0.6分，本项最高得3分。</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b/>
                <w:bCs/>
                <w:i w:val="0"/>
                <w:iCs w:val="0"/>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2"/>
                <w:sz w:val="24"/>
                <w:szCs w:val="24"/>
                <w:highlight w:val="none"/>
                <w:lang w:val="en-US" w:eastAsia="zh-CN" w:bidi="ar-SA"/>
              </w:rPr>
              <w:t>（二）评分依据：</w:t>
            </w:r>
          </w:p>
          <w:p>
            <w:pPr>
              <w:keepNext w:val="0"/>
              <w:keepLines w:val="0"/>
              <w:pageBreakBefore w:val="0"/>
              <w:widowControl/>
              <w:kinsoku/>
              <w:wordWrap w:val="0"/>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1、投标文件中提供有效期内的证书扫描件及全国认证认可信息公共服务平台网站（http://www.cnca.gov.cn/）查询页面截图并加盖投标人电子章，否则不得分。</w:t>
            </w:r>
          </w:p>
        </w:tc>
        <w:tc>
          <w:tcPr>
            <w:tcW w:w="684" w:type="dxa"/>
            <w:noWrap w:val="0"/>
            <w:vAlign w:val="center"/>
          </w:tcPr>
          <w:p>
            <w:pPr>
              <w:snapToGrid w:val="0"/>
              <w:spacing w:line="360" w:lineRule="auto"/>
              <w:jc w:val="center"/>
              <w:rPr>
                <w:rFonts w:hint="default"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3</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6012" w:type="dxa"/>
            <w:noWrap w:val="0"/>
            <w:vAlign w:val="center"/>
          </w:tcPr>
          <w:p>
            <w:pPr>
              <w:widowControl/>
              <w:spacing w:line="360" w:lineRule="auto"/>
              <w:jc w:val="left"/>
              <w:textAlignment w:val="center"/>
              <w:rPr>
                <w:rFonts w:hint="eastAsia" w:ascii="仿宋_GB2312" w:hAnsi="仿宋_GB2312" w:eastAsia="仿宋_GB2312" w:cs="仿宋_GB2312"/>
                <w:b/>
                <w:bCs/>
                <w:color w:val="auto"/>
                <w:sz w:val="24"/>
                <w:szCs w:val="24"/>
                <w:highlight w:val="none"/>
                <w:u w:val="none"/>
                <w:lang w:eastAsia="zh-CN"/>
              </w:rPr>
            </w:pPr>
            <w:r>
              <w:rPr>
                <w:rStyle w:val="946"/>
                <w:rFonts w:hint="eastAsia" w:ascii="仿宋_GB2312" w:hAnsi="仿宋_GB2312" w:eastAsia="仿宋_GB2312" w:cs="仿宋_GB2312"/>
                <w:b/>
                <w:bCs/>
                <w:color w:val="auto"/>
                <w:kern w:val="0"/>
                <w:sz w:val="24"/>
                <w:szCs w:val="24"/>
                <w:highlight w:val="none"/>
                <w:u w:val="none"/>
              </w:rPr>
              <w:t>（一）评分内容</w:t>
            </w:r>
            <w:r>
              <w:rPr>
                <w:rStyle w:val="946"/>
                <w:rFonts w:hint="eastAsia" w:ascii="仿宋_GB2312" w:hAnsi="仿宋_GB2312" w:eastAsia="仿宋_GB2312" w:cs="仿宋_GB2312"/>
                <w:b/>
                <w:bCs/>
                <w:color w:val="auto"/>
                <w:kern w:val="0"/>
                <w:sz w:val="24"/>
                <w:szCs w:val="24"/>
                <w:highlight w:val="none"/>
                <w:u w:val="none"/>
                <w:lang w:eastAsia="zh-CN"/>
              </w:rPr>
              <w:t>：</w:t>
            </w:r>
          </w:p>
          <w:p>
            <w:pPr>
              <w:spacing w:line="360" w:lineRule="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投标人自2022年1月1日起至今</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以合同签订时间为准）承接过的</w:t>
            </w:r>
            <w:r>
              <w:rPr>
                <w:rFonts w:hint="eastAsia" w:ascii="仿宋_GB2312" w:hAnsi="仿宋_GB2312" w:eastAsia="仿宋_GB2312" w:cs="仿宋_GB2312"/>
                <w:color w:val="auto"/>
                <w:kern w:val="0"/>
                <w:sz w:val="24"/>
                <w:szCs w:val="24"/>
                <w:highlight w:val="none"/>
                <w:lang w:val="en-US" w:eastAsia="zh-CN"/>
              </w:rPr>
              <w:t>公共部门（国家机关或事业单位或国有企业或工业园区）的</w:t>
            </w:r>
            <w:r>
              <w:rPr>
                <w:rFonts w:hint="eastAsia" w:ascii="仿宋_GB2312" w:hAnsi="仿宋_GB2312" w:eastAsia="仿宋_GB2312" w:cs="仿宋_GB2312"/>
                <w:color w:val="auto"/>
                <w:kern w:val="0"/>
                <w:sz w:val="24"/>
                <w:szCs w:val="24"/>
                <w:highlight w:val="none"/>
              </w:rPr>
              <w:t>智慧环卫类</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需包含智能驾驶环卫车辆或机具设备（具备自动驾驶或无人驾驶或智能驾驶功能）投入使用情况，且服务期限不少于12个月</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含</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项目</w:t>
            </w:r>
            <w:r>
              <w:rPr>
                <w:rFonts w:hint="eastAsia" w:ascii="仿宋_GB2312" w:hAnsi="仿宋_GB2312" w:eastAsia="仿宋_GB2312" w:cs="仿宋_GB2312"/>
                <w:color w:val="auto"/>
                <w:kern w:val="0"/>
                <w:sz w:val="24"/>
                <w:szCs w:val="24"/>
                <w:highlight w:val="none"/>
              </w:rPr>
              <w:t>业绩</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清扫保洁服务面积</w:t>
            </w:r>
            <w:r>
              <w:rPr>
                <w:rFonts w:hint="eastAsia" w:ascii="仿宋_GB2312" w:hAnsi="仿宋_GB2312" w:eastAsia="仿宋_GB2312" w:cs="仿宋_GB2312"/>
                <w:color w:val="auto"/>
                <w:kern w:val="0"/>
                <w:sz w:val="24"/>
                <w:szCs w:val="24"/>
                <w:highlight w:val="none"/>
                <w:lang w:val="en-US" w:eastAsia="zh-CN"/>
              </w:rPr>
              <w:t>3</w:t>
            </w:r>
            <w:r>
              <w:rPr>
                <w:rFonts w:hint="eastAsia" w:ascii="仿宋_GB2312" w:hAnsi="仿宋_GB2312" w:eastAsia="仿宋_GB2312" w:cs="仿宋_GB2312"/>
                <w:color w:val="auto"/>
                <w:kern w:val="0"/>
                <w:sz w:val="24"/>
                <w:szCs w:val="24"/>
                <w:highlight w:val="none"/>
              </w:rPr>
              <w:t>00万㎡以上</w:t>
            </w:r>
            <w:r>
              <w:rPr>
                <w:rFonts w:hint="eastAsia" w:ascii="仿宋_GB2312" w:hAnsi="仿宋_GB2312" w:eastAsia="仿宋_GB2312" w:cs="仿宋_GB2312"/>
                <w:color w:val="auto"/>
                <w:kern w:val="0"/>
                <w:sz w:val="24"/>
                <w:szCs w:val="24"/>
                <w:highlight w:val="none"/>
                <w:lang w:val="en-US" w:eastAsia="zh-CN"/>
              </w:rPr>
              <w:t>的，每提供</w:t>
            </w:r>
            <w:r>
              <w:rPr>
                <w:rFonts w:hint="eastAsia" w:ascii="仿宋_GB2312" w:hAnsi="仿宋_GB2312" w:eastAsia="仿宋_GB2312" w:cs="仿宋_GB2312"/>
                <w:color w:val="auto"/>
                <w:kern w:val="0"/>
                <w:sz w:val="24"/>
                <w:szCs w:val="24"/>
                <w:highlight w:val="none"/>
              </w:rPr>
              <w:t>一个业绩得</w:t>
            </w:r>
            <w:r>
              <w:rPr>
                <w:rFonts w:hint="eastAsia" w:ascii="仿宋_GB2312" w:hAnsi="仿宋_GB2312" w:eastAsia="仿宋_GB2312" w:cs="仿宋_GB2312"/>
                <w:color w:val="auto"/>
                <w:kern w:val="0"/>
                <w:sz w:val="24"/>
                <w:szCs w:val="24"/>
                <w:highlight w:val="none"/>
                <w:lang w:val="en-US" w:eastAsia="zh-CN"/>
              </w:rPr>
              <w:t>0.25</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300万㎡＞</w:t>
            </w:r>
            <w:r>
              <w:rPr>
                <w:rFonts w:hint="eastAsia" w:ascii="仿宋_GB2312" w:hAnsi="仿宋_GB2312" w:eastAsia="仿宋_GB2312" w:cs="仿宋_GB2312"/>
                <w:color w:val="auto"/>
                <w:kern w:val="0"/>
                <w:sz w:val="24"/>
                <w:szCs w:val="24"/>
                <w:highlight w:val="none"/>
              </w:rPr>
              <w:t>清扫保洁服务面积</w:t>
            </w:r>
            <w:r>
              <w:rPr>
                <w:rFonts w:hint="eastAsia" w:ascii="仿宋_GB2312" w:hAnsi="仿宋_GB2312" w:eastAsia="仿宋_GB2312" w:cs="仿宋_GB2312"/>
                <w:color w:val="auto"/>
                <w:kern w:val="0"/>
                <w:sz w:val="24"/>
                <w:szCs w:val="24"/>
                <w:highlight w:val="none"/>
                <w:lang w:val="en-US" w:eastAsia="zh-CN"/>
              </w:rPr>
              <w:t>≥100万㎡的，每提供</w:t>
            </w:r>
            <w:r>
              <w:rPr>
                <w:rFonts w:hint="eastAsia" w:ascii="仿宋_GB2312" w:hAnsi="仿宋_GB2312" w:eastAsia="仿宋_GB2312" w:cs="仿宋_GB2312"/>
                <w:color w:val="auto"/>
                <w:kern w:val="0"/>
                <w:sz w:val="24"/>
                <w:szCs w:val="24"/>
                <w:highlight w:val="none"/>
              </w:rPr>
              <w:t>一个业绩得</w:t>
            </w:r>
            <w:r>
              <w:rPr>
                <w:rFonts w:hint="eastAsia" w:ascii="仿宋_GB2312" w:hAnsi="仿宋_GB2312" w:eastAsia="仿宋_GB2312" w:cs="仿宋_GB2312"/>
                <w:color w:val="auto"/>
                <w:kern w:val="0"/>
                <w:sz w:val="24"/>
                <w:szCs w:val="24"/>
                <w:highlight w:val="none"/>
                <w:lang w:val="en-US" w:eastAsia="zh-CN"/>
              </w:rPr>
              <w:t>0.1</w:t>
            </w:r>
            <w:r>
              <w:rPr>
                <w:rFonts w:hint="eastAsia" w:ascii="仿宋_GB2312" w:hAnsi="仿宋_GB2312" w:eastAsia="仿宋_GB2312" w:cs="仿宋_GB2312"/>
                <w:color w:val="auto"/>
                <w:kern w:val="0"/>
                <w:sz w:val="24"/>
                <w:szCs w:val="24"/>
                <w:highlight w:val="none"/>
              </w:rPr>
              <w:t>分</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仅以投标人提供的得分最高的四个有效业绩为准；本项</w:t>
            </w:r>
            <w:r>
              <w:rPr>
                <w:rFonts w:hint="eastAsia" w:ascii="仿宋_GB2312" w:hAnsi="仿宋_GB2312" w:eastAsia="仿宋_GB2312" w:cs="仿宋_GB2312"/>
                <w:color w:val="auto"/>
                <w:kern w:val="0"/>
                <w:sz w:val="24"/>
                <w:szCs w:val="24"/>
                <w:highlight w:val="none"/>
              </w:rPr>
              <w:t>最高得</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分（同一个项目不重复得分）</w:t>
            </w:r>
          </w:p>
          <w:p>
            <w:pPr>
              <w:widowControl/>
              <w:spacing w:line="360" w:lineRule="auto"/>
              <w:jc w:val="left"/>
              <w:rPr>
                <w:rStyle w:val="946"/>
                <w:rFonts w:hint="eastAsia" w:ascii="仿宋_GB2312" w:hAnsi="仿宋_GB2312" w:eastAsia="仿宋_GB2312" w:cs="仿宋_GB2312"/>
                <w:b/>
                <w:bCs/>
                <w:color w:val="auto"/>
                <w:kern w:val="0"/>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（二）评分依据</w:t>
            </w:r>
          </w:p>
          <w:p>
            <w:pPr>
              <w:widowControl/>
              <w:spacing w:line="360" w:lineRule="auto"/>
              <w:jc w:val="left"/>
              <w:rPr>
                <w:rStyle w:val="946"/>
                <w:rFonts w:hint="eastAsia" w:ascii="仿宋_GB2312" w:hAnsi="仿宋_GB2312" w:eastAsia="仿宋_GB2312" w:cs="仿宋_GB2312"/>
                <w:b w:val="0"/>
                <w:bCs w:val="0"/>
                <w:color w:val="auto"/>
                <w:kern w:val="0"/>
                <w:sz w:val="24"/>
                <w:szCs w:val="24"/>
                <w:highlight w:val="none"/>
                <w:u w:val="none"/>
              </w:rPr>
            </w:pPr>
            <w:r>
              <w:rPr>
                <w:rStyle w:val="946"/>
                <w:rFonts w:hint="eastAsia" w:ascii="仿宋_GB2312" w:hAnsi="仿宋_GB2312" w:eastAsia="仿宋_GB2312" w:cs="仿宋_GB2312"/>
                <w:b w:val="0"/>
                <w:bCs w:val="0"/>
                <w:color w:val="auto"/>
                <w:kern w:val="0"/>
                <w:sz w:val="24"/>
                <w:szCs w:val="24"/>
                <w:highlight w:val="none"/>
                <w:u w:val="none"/>
              </w:rPr>
              <w:t>1、要求提供合同关键信息（包括但不限于合同甲乙双方名称、服务项目名称、涉及业绩的服务内容、服务期限、签订合同时间、甲乙双方公章等关键信息），并加盖电子章；</w:t>
            </w:r>
          </w:p>
          <w:p>
            <w:pPr>
              <w:widowControl/>
              <w:spacing w:line="360" w:lineRule="auto"/>
              <w:jc w:val="left"/>
              <w:rPr>
                <w:rStyle w:val="946"/>
                <w:rFonts w:hint="eastAsia" w:ascii="仿宋_GB2312" w:hAnsi="仿宋_GB2312" w:eastAsia="仿宋_GB2312" w:cs="仿宋_GB2312"/>
                <w:b w:val="0"/>
                <w:bCs w:val="0"/>
                <w:color w:val="auto"/>
                <w:kern w:val="0"/>
                <w:sz w:val="24"/>
                <w:szCs w:val="24"/>
                <w:highlight w:val="none"/>
                <w:u w:val="none"/>
              </w:rPr>
            </w:pPr>
            <w:r>
              <w:rPr>
                <w:rStyle w:val="946"/>
                <w:rFonts w:hint="eastAsia" w:ascii="仿宋_GB2312" w:hAnsi="仿宋_GB2312" w:eastAsia="仿宋_GB2312" w:cs="仿宋_GB2312"/>
                <w:b w:val="0"/>
                <w:bCs w:val="0"/>
                <w:color w:val="auto"/>
                <w:kern w:val="0"/>
                <w:sz w:val="24"/>
                <w:szCs w:val="24"/>
                <w:highlight w:val="none"/>
                <w:u w:val="none"/>
              </w:rPr>
              <w:t>2、同一项目的续签合同不重复得分，履约中或已完成的业绩均可得分；</w:t>
            </w:r>
          </w:p>
          <w:p>
            <w:pPr>
              <w:widowControl/>
              <w:spacing w:line="360" w:lineRule="auto"/>
              <w:jc w:val="left"/>
              <w:rPr>
                <w:rStyle w:val="946"/>
                <w:rFonts w:hint="eastAsia" w:ascii="仿宋_GB2312" w:hAnsi="仿宋_GB2312" w:eastAsia="仿宋_GB2312" w:cs="仿宋_GB2312"/>
                <w:b w:val="0"/>
                <w:bCs w:val="0"/>
                <w:color w:val="auto"/>
                <w:kern w:val="0"/>
                <w:sz w:val="24"/>
                <w:szCs w:val="24"/>
                <w:highlight w:val="none"/>
                <w:u w:val="none"/>
              </w:rPr>
            </w:pPr>
            <w:r>
              <w:rPr>
                <w:rStyle w:val="946"/>
                <w:rFonts w:hint="eastAsia" w:ascii="仿宋_GB2312" w:hAnsi="仿宋_GB2312" w:eastAsia="仿宋_GB2312" w:cs="仿宋_GB2312"/>
                <w:b w:val="0"/>
                <w:bCs w:val="0"/>
                <w:color w:val="auto"/>
                <w:kern w:val="0"/>
                <w:sz w:val="24"/>
                <w:szCs w:val="24"/>
                <w:highlight w:val="none"/>
                <w:u w:val="none"/>
              </w:rPr>
              <w:t>3、合同服务内容须体现配备具备自动驾驶或无人驾驶或智能驾驶功能的车辆或机具设备；</w:t>
            </w:r>
          </w:p>
          <w:p>
            <w:pPr>
              <w:widowControl/>
              <w:spacing w:line="360" w:lineRule="auto"/>
              <w:jc w:val="left"/>
              <w:rPr>
                <w:rFonts w:hint="eastAsia" w:ascii="仿宋_GB2312" w:hAnsi="仿宋_GB2312" w:eastAsia="仿宋_GB2312" w:cs="仿宋_GB2312"/>
                <w:color w:val="auto"/>
                <w:kern w:val="2"/>
                <w:sz w:val="24"/>
                <w:szCs w:val="24"/>
                <w:highlight w:val="none"/>
                <w:lang w:val="en-US" w:eastAsia="zh-CN" w:bidi="ar-SA"/>
              </w:rPr>
            </w:pPr>
            <w:r>
              <w:rPr>
                <w:rStyle w:val="946"/>
                <w:rFonts w:hint="eastAsia" w:ascii="仿宋_GB2312" w:hAnsi="仿宋_GB2312" w:eastAsia="仿宋_GB2312" w:cs="仿宋_GB2312"/>
                <w:b w:val="0"/>
                <w:bCs w:val="0"/>
                <w:color w:val="auto"/>
                <w:kern w:val="0"/>
                <w:sz w:val="24"/>
                <w:szCs w:val="24"/>
                <w:highlight w:val="none"/>
                <w:u w:val="none"/>
              </w:rPr>
              <w:t>4、未提供或未按要求提供或提供的资料不清晰导致专家无法判断的，不得分。</w:t>
            </w:r>
          </w:p>
        </w:tc>
        <w:tc>
          <w:tcPr>
            <w:tcW w:w="684" w:type="dxa"/>
            <w:noWrap w:val="0"/>
            <w:vAlign w:val="center"/>
          </w:tcPr>
          <w:p>
            <w:pPr>
              <w:snapToGrid w:val="0"/>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strike w:val="0"/>
                <w:color w:val="auto"/>
                <w:sz w:val="24"/>
                <w:szCs w:val="24"/>
                <w:highlight w:val="none"/>
                <w:lang w:val="en-US" w:eastAsia="zh-CN"/>
              </w:rPr>
            </w:pPr>
            <w:r>
              <w:rPr>
                <w:rFonts w:hint="eastAsia" w:ascii="仿宋_GB2312" w:hAnsi="仿宋_GB2312" w:eastAsia="仿宋_GB2312" w:cs="仿宋_GB2312"/>
                <w:strike w:val="0"/>
                <w:color w:val="auto"/>
                <w:sz w:val="24"/>
                <w:szCs w:val="24"/>
                <w:highlight w:val="none"/>
                <w:lang w:val="en-US" w:eastAsia="zh-CN"/>
              </w:rPr>
              <w:t>3</w:t>
            </w:r>
          </w:p>
        </w:tc>
        <w:tc>
          <w:tcPr>
            <w:tcW w:w="6012" w:type="dxa"/>
            <w:noWrap w:val="0"/>
            <w:vAlign w:val="center"/>
          </w:tcPr>
          <w:p>
            <w:pPr>
              <w:widowControl/>
              <w:spacing w:line="360" w:lineRule="auto"/>
              <w:jc w:val="left"/>
              <w:textAlignment w:val="center"/>
              <w:rPr>
                <w:rFonts w:hint="eastAsia" w:ascii="仿宋_GB2312" w:hAnsi="仿宋_GB2312" w:eastAsia="仿宋_GB2312" w:cs="仿宋_GB2312"/>
                <w:b/>
                <w:bCs/>
                <w:color w:val="auto"/>
                <w:sz w:val="24"/>
                <w:szCs w:val="24"/>
                <w:highlight w:val="none"/>
                <w:u w:val="none"/>
                <w:vertAlign w:val="subscript"/>
                <w:lang w:eastAsia="zh-CN"/>
              </w:rPr>
            </w:pPr>
            <w:r>
              <w:rPr>
                <w:rStyle w:val="946"/>
                <w:rFonts w:hint="eastAsia" w:ascii="仿宋_GB2312" w:hAnsi="仿宋_GB2312" w:eastAsia="仿宋_GB2312" w:cs="仿宋_GB2312"/>
                <w:b/>
                <w:bCs/>
                <w:color w:val="auto"/>
                <w:kern w:val="0"/>
                <w:sz w:val="24"/>
                <w:szCs w:val="24"/>
                <w:highlight w:val="none"/>
                <w:u w:val="none"/>
              </w:rPr>
              <w:t>（一）评分内容</w:t>
            </w:r>
            <w:r>
              <w:rPr>
                <w:rStyle w:val="946"/>
                <w:rFonts w:hint="eastAsia" w:ascii="仿宋_GB2312" w:hAnsi="仿宋_GB2312" w:eastAsia="仿宋_GB2312" w:cs="仿宋_GB2312"/>
                <w:b/>
                <w:bCs/>
                <w:color w:val="auto"/>
                <w:kern w:val="0"/>
                <w:sz w:val="24"/>
                <w:szCs w:val="24"/>
                <w:highlight w:val="none"/>
                <w:u w:val="none"/>
                <w:lang w:eastAsia="zh-CN"/>
              </w:rPr>
              <w:t>：</w:t>
            </w:r>
          </w:p>
          <w:p>
            <w:pPr>
              <w:spacing w:line="360" w:lineRule="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w:t>
            </w:r>
            <w:r>
              <w:rPr>
                <w:rFonts w:hint="eastAsia" w:ascii="仿宋_GB2312" w:hAnsi="仿宋_GB2312" w:eastAsia="仿宋_GB2312" w:cs="仿宋_GB2312"/>
                <w:color w:val="auto"/>
                <w:kern w:val="0"/>
                <w:sz w:val="24"/>
                <w:szCs w:val="24"/>
                <w:highlight w:val="none"/>
                <w:u w:val="none"/>
              </w:rPr>
              <w:t>投标人2022年1月1日以来</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获得省级及以上政府部门颁发的环卫保洁相关荣誉或奖项的，得</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分；获得地（市）级（含副省级城市）政府部门颁发的环卫保洁相关荣誉</w:t>
            </w:r>
            <w:r>
              <w:rPr>
                <w:rFonts w:hint="eastAsia" w:ascii="仿宋_GB2312" w:hAnsi="仿宋_GB2312" w:eastAsia="仿宋_GB2312" w:cs="仿宋_GB2312"/>
                <w:color w:val="auto"/>
                <w:kern w:val="0"/>
                <w:sz w:val="24"/>
                <w:szCs w:val="24"/>
                <w:highlight w:val="none"/>
                <w:u w:val="none"/>
                <w:lang w:val="en-US" w:eastAsia="zh-CN"/>
              </w:rPr>
              <w:t>或奖项的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获得</w:t>
            </w:r>
            <w:r>
              <w:rPr>
                <w:rFonts w:hint="eastAsia" w:ascii="仿宋_GB2312" w:hAnsi="仿宋_GB2312" w:eastAsia="仿宋_GB2312" w:cs="仿宋_GB2312"/>
                <w:color w:val="auto"/>
                <w:kern w:val="0"/>
                <w:sz w:val="24"/>
                <w:szCs w:val="24"/>
                <w:highlight w:val="none"/>
                <w:u w:val="none"/>
                <w:lang w:val="en-US" w:eastAsia="zh-CN"/>
              </w:rPr>
              <w:t>区（县）</w:t>
            </w:r>
            <w:r>
              <w:rPr>
                <w:rFonts w:hint="eastAsia" w:ascii="仿宋_GB2312" w:hAnsi="仿宋_GB2312" w:eastAsia="仿宋_GB2312" w:cs="仿宋_GB2312"/>
                <w:color w:val="auto"/>
                <w:kern w:val="0"/>
                <w:sz w:val="24"/>
                <w:szCs w:val="24"/>
                <w:highlight w:val="none"/>
                <w:u w:val="none"/>
              </w:rPr>
              <w:t>级政府部门颁发的环卫保洁相关荣誉</w:t>
            </w:r>
            <w:r>
              <w:rPr>
                <w:rFonts w:hint="eastAsia" w:ascii="仿宋_GB2312" w:hAnsi="仿宋_GB2312" w:eastAsia="仿宋_GB2312" w:cs="仿宋_GB2312"/>
                <w:color w:val="auto"/>
                <w:kern w:val="0"/>
                <w:sz w:val="24"/>
                <w:szCs w:val="24"/>
                <w:highlight w:val="none"/>
                <w:u w:val="none"/>
                <w:lang w:val="en-US" w:eastAsia="zh-CN"/>
              </w:rPr>
              <w:t>或奖项的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1</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仅以</w:t>
            </w:r>
            <w:r>
              <w:rPr>
                <w:rFonts w:hint="eastAsia" w:ascii="仿宋_GB2312" w:hAnsi="仿宋_GB2312" w:eastAsia="仿宋_GB2312" w:cs="仿宋_GB2312"/>
                <w:color w:val="auto"/>
                <w:kern w:val="0"/>
                <w:sz w:val="24"/>
                <w:szCs w:val="24"/>
                <w:highlight w:val="none"/>
                <w:u w:val="none"/>
                <w:lang w:val="en-US" w:eastAsia="zh-CN"/>
              </w:rPr>
              <w:t>提供的</w:t>
            </w:r>
            <w:r>
              <w:rPr>
                <w:rFonts w:hint="eastAsia" w:ascii="仿宋_GB2312" w:hAnsi="仿宋_GB2312" w:eastAsia="仿宋_GB2312" w:cs="仿宋_GB2312"/>
                <w:color w:val="auto"/>
                <w:kern w:val="0"/>
                <w:sz w:val="24"/>
                <w:szCs w:val="24"/>
                <w:highlight w:val="none"/>
                <w:u w:val="none"/>
              </w:rPr>
              <w:t>最高等级环卫保洁相关荣誉或奖项为准，本</w:t>
            </w:r>
            <w:r>
              <w:rPr>
                <w:rFonts w:hint="eastAsia" w:ascii="仿宋_GB2312" w:hAnsi="仿宋_GB2312" w:eastAsia="仿宋_GB2312" w:cs="仿宋_GB2312"/>
                <w:color w:val="auto"/>
                <w:kern w:val="0"/>
                <w:sz w:val="24"/>
                <w:szCs w:val="24"/>
                <w:highlight w:val="none"/>
                <w:u w:val="none"/>
                <w:lang w:val="en-US" w:eastAsia="zh-CN"/>
              </w:rPr>
              <w:t>小</w:t>
            </w:r>
            <w:r>
              <w:rPr>
                <w:rFonts w:hint="eastAsia" w:ascii="仿宋_GB2312" w:hAnsi="仿宋_GB2312" w:eastAsia="仿宋_GB2312" w:cs="仿宋_GB2312"/>
                <w:color w:val="auto"/>
                <w:kern w:val="0"/>
                <w:sz w:val="24"/>
                <w:szCs w:val="24"/>
                <w:highlight w:val="none"/>
                <w:u w:val="none"/>
              </w:rPr>
              <w:t>项最高得</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分。</w:t>
            </w:r>
          </w:p>
          <w:p>
            <w:pPr>
              <w:widowControl/>
              <w:numPr>
                <w:ilvl w:val="0"/>
                <w:numId w:val="0"/>
              </w:numPr>
              <w:spacing w:line="360" w:lineRule="auto"/>
              <w:jc w:val="left"/>
              <w:textAlignment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bidi="ar"/>
              </w:rPr>
              <w:t>2、投标人为业主提供的环卫相关项目解决方案，2022年1月1日以后被省级或以上政府部门列入智慧环卫、人工智能等相关应用典型案例或示范项目等相关荣誉的，得3分；被</w:t>
            </w:r>
            <w:r>
              <w:rPr>
                <w:rFonts w:hint="eastAsia" w:ascii="仿宋_GB2312" w:hAnsi="仿宋_GB2312" w:eastAsia="仿宋_GB2312" w:cs="仿宋_GB2312"/>
                <w:color w:val="auto"/>
                <w:kern w:val="0"/>
                <w:sz w:val="24"/>
                <w:szCs w:val="24"/>
                <w:highlight w:val="none"/>
                <w:u w:val="none"/>
              </w:rPr>
              <w:t>地（市）级（含副省级城市）政府</w:t>
            </w:r>
            <w:r>
              <w:rPr>
                <w:rFonts w:hint="eastAsia" w:ascii="仿宋_GB2312" w:hAnsi="仿宋_GB2312" w:eastAsia="仿宋_GB2312" w:cs="仿宋_GB2312"/>
                <w:color w:val="auto"/>
                <w:kern w:val="0"/>
                <w:sz w:val="24"/>
                <w:szCs w:val="24"/>
                <w:highlight w:val="none"/>
                <w:u w:val="none"/>
                <w:lang w:val="en-US" w:eastAsia="zh-CN"/>
              </w:rPr>
              <w:t>部门列入</w:t>
            </w:r>
            <w:r>
              <w:rPr>
                <w:rFonts w:hint="eastAsia" w:ascii="仿宋_GB2312" w:hAnsi="仿宋_GB2312" w:eastAsia="仿宋_GB2312" w:cs="仿宋_GB2312"/>
                <w:color w:val="auto"/>
                <w:kern w:val="0"/>
                <w:sz w:val="24"/>
                <w:szCs w:val="24"/>
                <w:highlight w:val="none"/>
                <w:u w:val="none"/>
                <w:lang w:val="en-US" w:eastAsia="zh-CN" w:bidi="ar"/>
              </w:rPr>
              <w:t>智慧环卫、人工智能等相关应用典型案例或示范项目等相关荣誉的，得2分；被</w:t>
            </w:r>
            <w:r>
              <w:rPr>
                <w:rFonts w:hint="eastAsia" w:ascii="仿宋_GB2312" w:hAnsi="仿宋_GB2312" w:eastAsia="仿宋_GB2312" w:cs="仿宋_GB2312"/>
                <w:color w:val="auto"/>
                <w:kern w:val="0"/>
                <w:sz w:val="24"/>
                <w:szCs w:val="24"/>
                <w:highlight w:val="none"/>
                <w:u w:val="none"/>
                <w:lang w:val="en-US" w:eastAsia="zh-CN"/>
              </w:rPr>
              <w:t>区（县）</w:t>
            </w:r>
            <w:r>
              <w:rPr>
                <w:rFonts w:hint="eastAsia" w:ascii="仿宋_GB2312" w:hAnsi="仿宋_GB2312" w:eastAsia="仿宋_GB2312" w:cs="仿宋_GB2312"/>
                <w:color w:val="auto"/>
                <w:kern w:val="0"/>
                <w:sz w:val="24"/>
                <w:szCs w:val="24"/>
                <w:highlight w:val="none"/>
                <w:u w:val="none"/>
              </w:rPr>
              <w:t>级政府</w:t>
            </w:r>
            <w:r>
              <w:rPr>
                <w:rFonts w:hint="eastAsia" w:ascii="仿宋_GB2312" w:hAnsi="仿宋_GB2312" w:eastAsia="仿宋_GB2312" w:cs="仿宋_GB2312"/>
                <w:color w:val="auto"/>
                <w:kern w:val="0"/>
                <w:sz w:val="24"/>
                <w:szCs w:val="24"/>
                <w:highlight w:val="none"/>
                <w:u w:val="none"/>
                <w:lang w:val="en-US" w:eastAsia="zh-CN"/>
              </w:rPr>
              <w:t>部门列入</w:t>
            </w:r>
            <w:r>
              <w:rPr>
                <w:rFonts w:hint="eastAsia" w:ascii="仿宋_GB2312" w:hAnsi="仿宋_GB2312" w:eastAsia="仿宋_GB2312" w:cs="仿宋_GB2312"/>
                <w:color w:val="auto"/>
                <w:kern w:val="0"/>
                <w:sz w:val="24"/>
                <w:szCs w:val="24"/>
                <w:highlight w:val="none"/>
                <w:u w:val="none"/>
                <w:lang w:val="en-US" w:eastAsia="zh-CN" w:bidi="ar"/>
              </w:rPr>
              <w:t>智慧环卫、人工智能等相关应用典型案例或示范项目等相关荣誉的，得1分；</w:t>
            </w:r>
            <w:r>
              <w:rPr>
                <w:rFonts w:hint="eastAsia" w:ascii="仿宋_GB2312" w:hAnsi="仿宋_GB2312" w:eastAsia="仿宋_GB2312" w:cs="仿宋_GB2312"/>
                <w:color w:val="auto"/>
                <w:kern w:val="0"/>
                <w:sz w:val="24"/>
                <w:szCs w:val="24"/>
                <w:highlight w:val="none"/>
                <w:u w:val="none"/>
              </w:rPr>
              <w:t>仅以</w:t>
            </w:r>
            <w:r>
              <w:rPr>
                <w:rFonts w:hint="eastAsia" w:ascii="仿宋_GB2312" w:hAnsi="仿宋_GB2312" w:eastAsia="仿宋_GB2312" w:cs="仿宋_GB2312"/>
                <w:color w:val="auto"/>
                <w:kern w:val="0"/>
                <w:sz w:val="24"/>
                <w:szCs w:val="24"/>
                <w:highlight w:val="none"/>
                <w:u w:val="none"/>
                <w:lang w:val="en-US" w:eastAsia="zh-CN"/>
              </w:rPr>
              <w:t>提供的</w:t>
            </w:r>
            <w:r>
              <w:rPr>
                <w:rFonts w:hint="eastAsia" w:ascii="仿宋_GB2312" w:hAnsi="仿宋_GB2312" w:eastAsia="仿宋_GB2312" w:cs="仿宋_GB2312"/>
                <w:color w:val="auto"/>
                <w:kern w:val="0"/>
                <w:sz w:val="24"/>
                <w:szCs w:val="24"/>
                <w:highlight w:val="none"/>
                <w:u w:val="none"/>
              </w:rPr>
              <w:t>最高等级荣誉或奖项为准，本</w:t>
            </w:r>
            <w:r>
              <w:rPr>
                <w:rFonts w:hint="eastAsia" w:ascii="仿宋_GB2312" w:hAnsi="仿宋_GB2312" w:eastAsia="仿宋_GB2312" w:cs="仿宋_GB2312"/>
                <w:color w:val="auto"/>
                <w:kern w:val="0"/>
                <w:sz w:val="24"/>
                <w:szCs w:val="24"/>
                <w:highlight w:val="none"/>
                <w:u w:val="none"/>
                <w:lang w:val="en-US" w:eastAsia="zh-CN"/>
              </w:rPr>
              <w:t>小</w:t>
            </w:r>
            <w:r>
              <w:rPr>
                <w:rFonts w:hint="eastAsia" w:ascii="仿宋_GB2312" w:hAnsi="仿宋_GB2312" w:eastAsia="仿宋_GB2312" w:cs="仿宋_GB2312"/>
                <w:color w:val="auto"/>
                <w:kern w:val="0"/>
                <w:sz w:val="24"/>
                <w:szCs w:val="24"/>
                <w:highlight w:val="none"/>
                <w:u w:val="none"/>
              </w:rPr>
              <w:t>项最高得</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分。</w:t>
            </w:r>
          </w:p>
          <w:p>
            <w:pPr>
              <w:widowControl/>
              <w:numPr>
                <w:ilvl w:val="-1"/>
                <w:numId w:val="0"/>
              </w:numPr>
              <w:spacing w:line="360" w:lineRule="auto"/>
              <w:jc w:val="left"/>
              <w:textAlignment w:val="center"/>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rPr>
              <w:t>以上</w:t>
            </w:r>
            <w:r>
              <w:rPr>
                <w:rFonts w:hint="eastAsia" w:ascii="仿宋_GB2312" w:hAnsi="仿宋_GB2312" w:eastAsia="仿宋_GB2312" w:cs="仿宋_GB2312"/>
                <w:color w:val="auto"/>
                <w:kern w:val="0"/>
                <w:sz w:val="24"/>
                <w:szCs w:val="24"/>
                <w:highlight w:val="none"/>
                <w:u w:val="none"/>
                <w:lang w:val="en-US" w:eastAsia="zh-CN"/>
              </w:rPr>
              <w:t>两</w:t>
            </w:r>
            <w:r>
              <w:rPr>
                <w:rFonts w:hint="eastAsia" w:ascii="仿宋_GB2312" w:hAnsi="仿宋_GB2312" w:eastAsia="仿宋_GB2312" w:cs="仿宋_GB2312"/>
                <w:color w:val="auto"/>
                <w:kern w:val="0"/>
                <w:sz w:val="24"/>
                <w:szCs w:val="24"/>
                <w:highlight w:val="none"/>
                <w:u w:val="none"/>
              </w:rPr>
              <w:t>项累计得分，</w:t>
            </w:r>
            <w:r>
              <w:rPr>
                <w:rFonts w:hint="eastAsia" w:ascii="仿宋_GB2312" w:hAnsi="仿宋_GB2312" w:eastAsia="仿宋_GB2312" w:cs="仿宋_GB2312"/>
                <w:color w:val="auto"/>
                <w:kern w:val="0"/>
                <w:sz w:val="24"/>
                <w:szCs w:val="24"/>
                <w:highlight w:val="none"/>
                <w:u w:val="none"/>
                <w:lang w:val="en-US" w:eastAsia="zh-CN"/>
              </w:rPr>
              <w:t>同一荣誉不重复得分，</w:t>
            </w:r>
            <w:r>
              <w:rPr>
                <w:rFonts w:hint="eastAsia" w:ascii="仿宋_GB2312" w:hAnsi="仿宋_GB2312" w:eastAsia="仿宋_GB2312" w:cs="仿宋_GB2312"/>
                <w:color w:val="auto"/>
                <w:kern w:val="0"/>
                <w:sz w:val="24"/>
                <w:szCs w:val="24"/>
                <w:highlight w:val="none"/>
                <w:u w:val="none"/>
              </w:rPr>
              <w:t>本项最高得</w:t>
            </w:r>
            <w:r>
              <w:rPr>
                <w:rFonts w:hint="eastAsia" w:ascii="仿宋_GB2312" w:hAnsi="仿宋_GB2312" w:eastAsia="仿宋_GB2312" w:cs="仿宋_GB2312"/>
                <w:color w:val="auto"/>
                <w:kern w:val="0"/>
                <w:sz w:val="24"/>
                <w:szCs w:val="24"/>
                <w:highlight w:val="none"/>
                <w:u w:val="none"/>
                <w:lang w:val="en-US" w:eastAsia="zh-CN"/>
              </w:rPr>
              <w:t>6</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b/>
                <w:bCs/>
                <w:color w:val="auto"/>
                <w:sz w:val="24"/>
                <w:szCs w:val="24"/>
                <w:highlight w:val="none"/>
                <w:u w:val="none"/>
                <w:lang w:eastAsia="zh-CN"/>
              </w:rPr>
            </w:pPr>
            <w:r>
              <w:rPr>
                <w:rStyle w:val="946"/>
                <w:rFonts w:hint="eastAsia" w:ascii="仿宋_GB2312" w:hAnsi="仿宋_GB2312" w:eastAsia="仿宋_GB2312" w:cs="仿宋_GB2312"/>
                <w:b/>
                <w:bCs/>
                <w:color w:val="auto"/>
                <w:kern w:val="0"/>
                <w:sz w:val="24"/>
                <w:szCs w:val="24"/>
                <w:highlight w:val="none"/>
                <w:u w:val="none"/>
              </w:rPr>
              <w:t>（二）评分依据</w:t>
            </w:r>
            <w:r>
              <w:rPr>
                <w:rStyle w:val="946"/>
                <w:rFonts w:hint="eastAsia" w:ascii="仿宋_GB2312" w:hAnsi="仿宋_GB2312" w:eastAsia="仿宋_GB2312" w:cs="仿宋_GB2312"/>
                <w:b/>
                <w:bCs/>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1、（评分内容1）</w:t>
            </w:r>
            <w:r>
              <w:rPr>
                <w:rFonts w:hint="eastAsia" w:ascii="仿宋_GB2312" w:hAnsi="仿宋_GB2312" w:eastAsia="仿宋_GB2312" w:cs="仿宋_GB2312"/>
                <w:color w:val="auto"/>
                <w:kern w:val="0"/>
                <w:sz w:val="24"/>
                <w:szCs w:val="24"/>
                <w:highlight w:val="none"/>
                <w:u w:val="none"/>
                <w:lang w:val="en-US" w:eastAsia="zh-CN"/>
              </w:rPr>
              <w:t>需</w:t>
            </w:r>
            <w:r>
              <w:rPr>
                <w:rFonts w:hint="eastAsia" w:ascii="仿宋_GB2312" w:hAnsi="仿宋_GB2312" w:eastAsia="仿宋_GB2312" w:cs="仿宋_GB2312"/>
                <w:color w:val="auto"/>
                <w:kern w:val="0"/>
                <w:sz w:val="24"/>
                <w:szCs w:val="24"/>
                <w:highlight w:val="none"/>
                <w:u w:val="none"/>
                <w:lang w:val="en-US" w:eastAsia="zh-CN" w:bidi="ar"/>
              </w:rPr>
              <w:t>提供颁发荣誉证书的正式文件（</w:t>
            </w:r>
            <w:r>
              <w:rPr>
                <w:rFonts w:hint="eastAsia" w:ascii="仿宋_GB2312" w:hAnsi="仿宋_GB2312" w:eastAsia="仿宋_GB2312" w:cs="仿宋_GB2312"/>
                <w:color w:val="auto"/>
                <w:kern w:val="0"/>
                <w:sz w:val="24"/>
                <w:szCs w:val="24"/>
                <w:highlight w:val="none"/>
                <w:u w:val="none"/>
                <w:lang w:bidi="ar"/>
              </w:rPr>
              <w:t>荣誉证书或牌匾照片或表彰文件扫描件或盖有行政机关公章的证明文件</w:t>
            </w:r>
            <w:r>
              <w:rPr>
                <w:rFonts w:hint="eastAsia" w:ascii="仿宋_GB2312" w:hAnsi="仿宋_GB2312" w:eastAsia="仿宋_GB2312" w:cs="仿宋_GB2312"/>
                <w:color w:val="auto"/>
                <w:kern w:val="0"/>
                <w:sz w:val="24"/>
                <w:szCs w:val="24"/>
                <w:highlight w:val="none"/>
                <w:u w:val="none"/>
                <w:lang w:val="en-US" w:eastAsia="zh-CN" w:bidi="ar"/>
              </w:rPr>
              <w:t>）、政府官网公示的截图，以及企业名单（名单中需包含投标人单位名称）并加盖投标人电子章，缺一不可</w:t>
            </w:r>
            <w:r>
              <w:rPr>
                <w:rFonts w:hint="eastAsia" w:ascii="仿宋_GB2312" w:hAnsi="仿宋_GB2312" w:eastAsia="仿宋_GB2312" w:cs="仿宋_GB2312"/>
                <w:color w:val="auto"/>
                <w:kern w:val="0"/>
                <w:sz w:val="24"/>
                <w:szCs w:val="24"/>
                <w:highlight w:val="none"/>
                <w:u w:val="none"/>
              </w:rPr>
              <w:t>；</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auto"/>
                <w:kern w:val="0"/>
                <w:sz w:val="24"/>
                <w:szCs w:val="24"/>
                <w:highlight w:val="none"/>
                <w:u w:val="none"/>
              </w:rPr>
              <w:t>2、（评分内容</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）需</w:t>
            </w:r>
            <w:r>
              <w:rPr>
                <w:rFonts w:hint="eastAsia" w:ascii="仿宋_GB2312" w:hAnsi="仿宋_GB2312" w:eastAsia="仿宋_GB2312" w:cs="仿宋_GB2312"/>
                <w:color w:val="auto"/>
                <w:kern w:val="0"/>
                <w:sz w:val="24"/>
                <w:szCs w:val="24"/>
                <w:highlight w:val="none"/>
                <w:u w:val="none"/>
                <w:lang w:val="en-US" w:eastAsia="zh-CN" w:bidi="ar"/>
              </w:rPr>
              <w:t>提供政颁发荣誉证书的正式文件（</w:t>
            </w:r>
            <w:r>
              <w:rPr>
                <w:rFonts w:hint="eastAsia" w:ascii="仿宋_GB2312" w:hAnsi="仿宋_GB2312" w:eastAsia="仿宋_GB2312" w:cs="仿宋_GB2312"/>
                <w:color w:val="auto"/>
                <w:kern w:val="0"/>
                <w:sz w:val="24"/>
                <w:szCs w:val="24"/>
                <w:highlight w:val="none"/>
                <w:u w:val="none"/>
                <w:lang w:bidi="ar"/>
              </w:rPr>
              <w:t>荣誉证书或牌匾照片或表彰文件扫描件或盖有行政机关公章的证明文件</w:t>
            </w:r>
            <w:r>
              <w:rPr>
                <w:rFonts w:hint="eastAsia" w:ascii="仿宋_GB2312" w:hAnsi="仿宋_GB2312" w:eastAsia="仿宋_GB2312" w:cs="仿宋_GB2312"/>
                <w:color w:val="auto"/>
                <w:kern w:val="0"/>
                <w:sz w:val="24"/>
                <w:szCs w:val="24"/>
                <w:highlight w:val="none"/>
                <w:u w:val="none"/>
                <w:lang w:val="en-US" w:eastAsia="zh-CN" w:bidi="ar"/>
              </w:rPr>
              <w:t>）、政府官网公示的应用典型案例公告截图，以及案例清单（清单中包含投标人单位名称及提供的解决方案）并加盖投标人电子章，缺一不可</w:t>
            </w:r>
            <w:r>
              <w:rPr>
                <w:rFonts w:hint="eastAsia" w:ascii="仿宋_GB2312" w:hAnsi="仿宋_GB2312" w:eastAsia="仿宋_GB2312" w:cs="仿宋_GB2312"/>
                <w:color w:val="auto"/>
                <w:kern w:val="0"/>
                <w:sz w:val="24"/>
                <w:szCs w:val="24"/>
                <w:highlight w:val="none"/>
                <w:u w:val="none"/>
              </w:rPr>
              <w:t>。</w:t>
            </w:r>
          </w:p>
        </w:tc>
        <w:tc>
          <w:tcPr>
            <w:tcW w:w="684" w:type="dxa"/>
            <w:noWrap w:val="0"/>
            <w:vAlign w:val="center"/>
          </w:tcPr>
          <w:p>
            <w:pPr>
              <w:snapToGrid w:val="0"/>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荣誉情况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strike w:val="0"/>
                <w:color w:val="auto"/>
                <w:sz w:val="24"/>
                <w:szCs w:val="24"/>
                <w:highlight w:val="none"/>
                <w:lang w:val="en-US" w:eastAsia="zh-CN"/>
              </w:rPr>
            </w:pPr>
            <w:r>
              <w:rPr>
                <w:rFonts w:hint="eastAsia" w:ascii="仿宋_GB2312" w:hAnsi="仿宋_GB2312" w:eastAsia="仿宋_GB2312" w:cs="仿宋_GB2312"/>
                <w:strike w:val="0"/>
                <w:color w:val="auto"/>
                <w:sz w:val="24"/>
                <w:szCs w:val="24"/>
                <w:highlight w:val="none"/>
                <w:lang w:val="en-US" w:eastAsia="zh-CN"/>
              </w:rPr>
              <w:t>4</w:t>
            </w:r>
          </w:p>
        </w:tc>
        <w:tc>
          <w:tcPr>
            <w:tcW w:w="6012" w:type="dxa"/>
            <w:noWrap w:val="0"/>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（一）评分内容：</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1、投标人具有国家版权局颁发的智慧环卫类或自动驾驶类计算机软件著作权证书的，如为自有，每提供一个得1分，如为租赁或购买（转让），得分减半，仅以提供的得分最高的三个为准，本小项最高得3分；同一软件不同版本仅计算一次得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2、投标人具有国家知识产权局颁发的自动驾驶或无人驾驶相关发明专利证书的，如为自有，每提供一个得1分，如为租赁或购买（转让），得分减半，仅以提供的得分最高的四个为准，每提供一个得1分，本小项最高得4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以上两项累计得分，本项最高得7分。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bCs/>
                <w:sz w:val="24"/>
                <w:szCs w:val="24"/>
                <w:highlight w:val="none"/>
                <w:lang w:val="en-US" w:eastAsia="zh-CN"/>
              </w:rPr>
              <w:t>（二）评分依据：</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1.如为自有：评分内容1须提供国家版权局颁发的计算机软件著作权登记证书（需体现著作权人为投标人）；评分内容2须提供国家知识产权局颁发的专利证书（需体现专利权人为投标人）；</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2.如为租赁：评分内容1须同时提供：①国家版权局颁发的计算机软件著作权登记证书（需体现著作权人为出租方）②租赁合同（协议）扫描件；评分内容2须同时提供：①国家知识产权局颁发的专利证书（需体现专利权人为出租方）②租赁合同（协议）扫描件。</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3.如为购买（或转让）：评分内容1须同时提供：①国家版权局颁发的计算机软件著作权登记证书（需体现著作权人为出售方或出让方）②购买（或转让）合同（协议）扫描件；评分内容2须同时提供：①国家知识产权局颁发的专利证书（需体现专利权人为出售方或出让方）②购买（或转让）合同（协议）扫描件；</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bCs/>
                <w:sz w:val="24"/>
                <w:szCs w:val="24"/>
                <w:highlight w:val="none"/>
                <w:lang w:val="en-US" w:eastAsia="zh-CN"/>
              </w:rPr>
            </w:pPr>
            <w:r>
              <w:rPr>
                <w:rFonts w:hint="default" w:ascii="仿宋_GB2312" w:hAnsi="仿宋_GB2312" w:eastAsia="仿宋_GB2312" w:cs="仿宋_GB2312"/>
                <w:b w:val="0"/>
                <w:bCs w:val="0"/>
                <w:sz w:val="24"/>
                <w:szCs w:val="24"/>
                <w:highlight w:val="none"/>
                <w:lang w:val="en-US" w:eastAsia="zh-CN"/>
              </w:rPr>
              <w:t>4.未按要求提供相关证明材料（或相关证明材料无法判断是否符合评分要求）的不计得分，原件备查。</w:t>
            </w:r>
          </w:p>
        </w:tc>
        <w:tc>
          <w:tcPr>
            <w:tcW w:w="684" w:type="dxa"/>
            <w:noWrap w:val="0"/>
            <w:vAlign w:val="center"/>
          </w:tcPr>
          <w:p>
            <w:pPr>
              <w:snapToGrid w:val="0"/>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w:t>
            </w:r>
          </w:p>
        </w:tc>
        <w:tc>
          <w:tcPr>
            <w:tcW w:w="1024" w:type="dxa"/>
            <w:noWrap w:val="0"/>
            <w:vAlign w:val="center"/>
          </w:tcPr>
          <w:p>
            <w:pPr>
              <w:wordWrap/>
              <w:snapToGrid/>
              <w:spacing w:line="360" w:lineRule="auto"/>
              <w:ind w:left="0" w:leftChars="0" w:firstLine="0" w:firstLineChars="0"/>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信息化能力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5</w:t>
            </w:r>
          </w:p>
        </w:tc>
        <w:tc>
          <w:tcPr>
            <w:tcW w:w="6012" w:type="dxa"/>
            <w:noWrap w:val="0"/>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bCs/>
                <w:i w:val="0"/>
                <w:iCs w:val="0"/>
                <w:color w:val="auto"/>
                <w:kern w:val="2"/>
                <w:sz w:val="24"/>
                <w:szCs w:val="24"/>
                <w:highlight w:val="none"/>
                <w:lang w:val="en-US" w:eastAsia="zh-CN" w:bidi="ar-SA"/>
              </w:rPr>
            </w:pPr>
            <w:r>
              <w:rPr>
                <w:rFonts w:hint="default" w:ascii="仿宋_GB2312" w:hAnsi="仿宋_GB2312" w:eastAsia="仿宋_GB2312" w:cs="仿宋_GB2312"/>
                <w:b/>
                <w:bCs/>
                <w:i w:val="0"/>
                <w:iCs w:val="0"/>
                <w:color w:val="auto"/>
                <w:kern w:val="2"/>
                <w:sz w:val="24"/>
                <w:szCs w:val="24"/>
                <w:highlight w:val="none"/>
                <w:lang w:val="en-US" w:eastAsia="zh-CN" w:bidi="ar-SA"/>
              </w:rPr>
              <w:t>（一）评分内容：</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b w:val="0"/>
                <w:bCs w:val="0"/>
                <w:i w:val="0"/>
                <w:iCs w:val="0"/>
                <w:color w:val="auto"/>
                <w:kern w:val="2"/>
                <w:sz w:val="24"/>
                <w:szCs w:val="24"/>
                <w:highlight w:val="none"/>
                <w:lang w:val="en-US" w:eastAsia="zh-CN" w:bidi="ar-SA"/>
              </w:rPr>
            </w:pPr>
            <w:r>
              <w:rPr>
                <w:rFonts w:hint="default" w:ascii="仿宋_GB2312" w:hAnsi="仿宋_GB2312" w:eastAsia="仿宋_GB2312" w:cs="仿宋_GB2312"/>
                <w:b w:val="0"/>
                <w:bCs w:val="0"/>
                <w:i w:val="0"/>
                <w:iCs w:val="0"/>
                <w:color w:val="auto"/>
                <w:kern w:val="2"/>
                <w:sz w:val="24"/>
                <w:szCs w:val="24"/>
                <w:highlight w:val="none"/>
                <w:lang w:val="en-US" w:eastAsia="zh-CN" w:bidi="ar-SA"/>
              </w:rPr>
              <w:t>1、投标人组建经政府部门登记的应急保障救援队伍的，得1分，本项最高得1分</w:t>
            </w:r>
            <w:r>
              <w:rPr>
                <w:rFonts w:hint="eastAsia" w:ascii="仿宋_GB2312" w:hAnsi="仿宋_GB2312" w:eastAsia="仿宋_GB2312" w:cs="仿宋_GB2312"/>
                <w:b w:val="0"/>
                <w:bCs w:val="0"/>
                <w:i w:val="0"/>
                <w:iCs w:val="0"/>
                <w:color w:val="auto"/>
                <w:kern w:val="2"/>
                <w:sz w:val="24"/>
                <w:szCs w:val="24"/>
                <w:highlight w:val="none"/>
                <w:lang w:val="en-US" w:eastAsia="zh-CN" w:bidi="ar-SA"/>
              </w:rPr>
              <w:t>。</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bCs/>
                <w:i w:val="0"/>
                <w:iCs w:val="0"/>
                <w:color w:val="auto"/>
                <w:kern w:val="2"/>
                <w:sz w:val="24"/>
                <w:szCs w:val="24"/>
                <w:highlight w:val="none"/>
                <w:lang w:val="en-US" w:eastAsia="zh-CN" w:bidi="ar-SA"/>
              </w:rPr>
            </w:pPr>
            <w:r>
              <w:rPr>
                <w:rFonts w:hint="default" w:ascii="仿宋_GB2312" w:hAnsi="仿宋_GB2312" w:eastAsia="仿宋_GB2312" w:cs="仿宋_GB2312"/>
                <w:b/>
                <w:bCs/>
                <w:i w:val="0"/>
                <w:iCs w:val="0"/>
                <w:color w:val="auto"/>
                <w:kern w:val="2"/>
                <w:sz w:val="24"/>
                <w:szCs w:val="24"/>
                <w:highlight w:val="none"/>
                <w:lang w:val="en-US" w:eastAsia="zh-CN" w:bidi="ar-SA"/>
              </w:rPr>
              <w:t>（二）评分依据</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i w:val="0"/>
                <w:iCs w:val="0"/>
                <w:color w:val="auto"/>
                <w:kern w:val="2"/>
                <w:sz w:val="24"/>
                <w:szCs w:val="24"/>
                <w:highlight w:val="none"/>
                <w:lang w:val="en-US" w:eastAsia="zh-CN" w:bidi="ar-SA"/>
              </w:rPr>
            </w:pPr>
            <w:r>
              <w:rPr>
                <w:rFonts w:hint="default" w:ascii="仿宋_GB2312" w:hAnsi="仿宋_GB2312" w:eastAsia="仿宋_GB2312" w:cs="仿宋_GB2312"/>
                <w:b w:val="0"/>
                <w:bCs w:val="0"/>
                <w:i w:val="0"/>
                <w:iCs w:val="0"/>
                <w:color w:val="auto"/>
                <w:kern w:val="2"/>
                <w:sz w:val="24"/>
                <w:szCs w:val="24"/>
                <w:highlight w:val="none"/>
                <w:lang w:val="en-US" w:eastAsia="zh-CN" w:bidi="ar-SA"/>
              </w:rPr>
              <w:t>1、需提供应急保障救援队伍的登记证书</w:t>
            </w:r>
            <w:r>
              <w:rPr>
                <w:rFonts w:hint="eastAsia" w:ascii="仿宋_GB2312" w:hAnsi="仿宋_GB2312" w:eastAsia="仿宋_GB2312" w:cs="仿宋_GB2312"/>
                <w:b w:val="0"/>
                <w:bCs w:val="0"/>
                <w:i w:val="0"/>
                <w:iCs w:val="0"/>
                <w:color w:val="auto"/>
                <w:kern w:val="2"/>
                <w:sz w:val="24"/>
                <w:szCs w:val="24"/>
                <w:highlight w:val="none"/>
                <w:lang w:val="en-US" w:eastAsia="zh-CN" w:bidi="ar-SA"/>
              </w:rPr>
              <w:t>（如登记证书无法直接体现</w:t>
            </w:r>
            <w:r>
              <w:rPr>
                <w:rFonts w:hint="default" w:ascii="仿宋_GB2312" w:hAnsi="仿宋_GB2312" w:eastAsia="仿宋_GB2312" w:cs="仿宋_GB2312"/>
                <w:b w:val="0"/>
                <w:bCs w:val="0"/>
                <w:i w:val="0"/>
                <w:iCs w:val="0"/>
                <w:color w:val="auto"/>
                <w:kern w:val="2"/>
                <w:sz w:val="24"/>
                <w:szCs w:val="24"/>
                <w:highlight w:val="none"/>
                <w:lang w:val="en-US" w:eastAsia="zh-CN" w:bidi="ar-SA"/>
              </w:rPr>
              <w:t>应急保障救援队伍归属</w:t>
            </w:r>
            <w:r>
              <w:rPr>
                <w:rFonts w:hint="eastAsia" w:ascii="仿宋_GB2312" w:hAnsi="仿宋_GB2312" w:eastAsia="仿宋_GB2312" w:cs="仿宋_GB2312"/>
                <w:b w:val="0"/>
                <w:bCs w:val="0"/>
                <w:i w:val="0"/>
                <w:iCs w:val="0"/>
                <w:color w:val="auto"/>
                <w:kern w:val="2"/>
                <w:sz w:val="24"/>
                <w:szCs w:val="24"/>
                <w:highlight w:val="none"/>
                <w:lang w:val="en-US" w:eastAsia="zh-CN" w:bidi="ar-SA"/>
              </w:rPr>
              <w:t>权，则需额外提供应急</w:t>
            </w:r>
            <w:r>
              <w:rPr>
                <w:rFonts w:hint="default" w:ascii="仿宋_GB2312" w:hAnsi="仿宋_GB2312" w:eastAsia="仿宋_GB2312" w:cs="仿宋_GB2312"/>
                <w:b w:val="0"/>
                <w:bCs w:val="0"/>
                <w:i w:val="0"/>
                <w:iCs w:val="0"/>
                <w:color w:val="auto"/>
                <w:kern w:val="2"/>
                <w:sz w:val="24"/>
                <w:szCs w:val="24"/>
                <w:highlight w:val="none"/>
                <w:lang w:val="en-US" w:eastAsia="zh-CN" w:bidi="ar-SA"/>
              </w:rPr>
              <w:t>主管部门</w:t>
            </w:r>
            <w:r>
              <w:rPr>
                <w:rFonts w:hint="eastAsia" w:ascii="仿宋_GB2312" w:hAnsi="仿宋_GB2312" w:eastAsia="仿宋_GB2312" w:cs="仿宋_GB2312"/>
                <w:b w:val="0"/>
                <w:bCs w:val="0"/>
                <w:i w:val="0"/>
                <w:iCs w:val="0"/>
                <w:color w:val="auto"/>
                <w:kern w:val="2"/>
                <w:sz w:val="24"/>
                <w:szCs w:val="24"/>
                <w:highlight w:val="none"/>
                <w:lang w:val="en-US" w:eastAsia="zh-CN" w:bidi="ar-SA"/>
              </w:rPr>
              <w:t>关于</w:t>
            </w:r>
            <w:r>
              <w:rPr>
                <w:rFonts w:hint="default" w:ascii="仿宋_GB2312" w:hAnsi="仿宋_GB2312" w:eastAsia="仿宋_GB2312" w:cs="仿宋_GB2312"/>
                <w:b w:val="0"/>
                <w:bCs w:val="0"/>
                <w:i w:val="0"/>
                <w:iCs w:val="0"/>
                <w:color w:val="auto"/>
                <w:kern w:val="2"/>
                <w:sz w:val="24"/>
                <w:szCs w:val="24"/>
                <w:highlight w:val="none"/>
                <w:lang w:val="en-US" w:eastAsia="zh-CN" w:bidi="ar-SA"/>
              </w:rPr>
              <w:t>应急保障救援队伍归属于投标人的证明文件</w:t>
            </w:r>
            <w:r>
              <w:rPr>
                <w:rFonts w:hint="eastAsia" w:ascii="仿宋_GB2312" w:hAnsi="仿宋_GB2312" w:eastAsia="仿宋_GB2312" w:cs="仿宋_GB2312"/>
                <w:b w:val="0"/>
                <w:bCs w:val="0"/>
                <w:i w:val="0"/>
                <w:iCs w:val="0"/>
                <w:color w:val="auto"/>
                <w:kern w:val="2"/>
                <w:sz w:val="24"/>
                <w:szCs w:val="24"/>
                <w:highlight w:val="none"/>
                <w:lang w:val="en-US" w:eastAsia="zh-CN" w:bidi="ar-SA"/>
              </w:rPr>
              <w:t>）</w:t>
            </w:r>
            <w:r>
              <w:rPr>
                <w:rFonts w:hint="default" w:ascii="仿宋_GB2312" w:hAnsi="仿宋_GB2312" w:eastAsia="仿宋_GB2312" w:cs="仿宋_GB2312"/>
                <w:b w:val="0"/>
                <w:bCs w:val="0"/>
                <w:i w:val="0"/>
                <w:iCs w:val="0"/>
                <w:color w:val="auto"/>
                <w:kern w:val="2"/>
                <w:sz w:val="24"/>
                <w:szCs w:val="24"/>
                <w:highlight w:val="none"/>
                <w:lang w:val="en-US" w:eastAsia="zh-CN" w:bidi="ar-SA"/>
              </w:rPr>
              <w:t>、同时提供投标截止日前投标人为应急保障救援队伍法定代表人缴纳的近3个月连续缴纳的社保缴纳证明（加盖电子章）。</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default" w:ascii="仿宋_GB2312" w:hAnsi="仿宋_GB2312" w:eastAsia="仿宋_GB2312" w:cs="仿宋_GB2312"/>
                <w:b w:val="0"/>
                <w:bCs w:val="0"/>
                <w:i w:val="0"/>
                <w:iCs w:val="0"/>
                <w:color w:val="auto"/>
                <w:kern w:val="2"/>
                <w:sz w:val="24"/>
                <w:szCs w:val="24"/>
                <w:highlight w:val="none"/>
                <w:lang w:val="en-US" w:eastAsia="zh-CN" w:bidi="ar-SA"/>
              </w:rPr>
            </w:pPr>
            <w:r>
              <w:rPr>
                <w:rFonts w:hint="eastAsia" w:ascii="仿宋_GB2312" w:hAnsi="仿宋_GB2312" w:eastAsia="仿宋_GB2312" w:cs="仿宋_GB2312"/>
                <w:b w:val="0"/>
                <w:bCs w:val="0"/>
                <w:i w:val="0"/>
                <w:iCs w:val="0"/>
                <w:color w:val="auto"/>
                <w:kern w:val="2"/>
                <w:sz w:val="24"/>
                <w:szCs w:val="24"/>
                <w:highlight w:val="none"/>
                <w:lang w:val="en-US" w:eastAsia="zh-CN" w:bidi="ar-SA"/>
              </w:rPr>
              <w:t>2、未按要求提供相关证明材料（或相关证明材料无法判断是否符合评分要求）的不计得分，原件备查。</w:t>
            </w:r>
          </w:p>
        </w:tc>
        <w:tc>
          <w:tcPr>
            <w:tcW w:w="684" w:type="dxa"/>
            <w:noWrap w:val="0"/>
            <w:vAlign w:val="center"/>
          </w:tcPr>
          <w:p>
            <w:pPr>
              <w:snapToGrid w:val="0"/>
              <w:spacing w:line="360" w:lineRule="auto"/>
              <w:jc w:val="center"/>
              <w:rPr>
                <w:rFonts w:hint="default"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1</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应急保障能力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6</w:t>
            </w:r>
          </w:p>
        </w:tc>
        <w:tc>
          <w:tcPr>
            <w:tcW w:w="6012" w:type="dxa"/>
            <w:noWrap w:val="0"/>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b/>
                <w:bCs/>
                <w:i w:val="0"/>
                <w:iCs w:val="0"/>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2"/>
                <w:sz w:val="24"/>
                <w:szCs w:val="24"/>
                <w:highlight w:val="none"/>
                <w:lang w:val="en-US" w:eastAsia="zh-CN" w:bidi="ar-SA"/>
              </w:rPr>
              <w:t>（一）评分内容：</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1、智慧环卫建设方案。评委根据供应商提供的针对采购文件“第三部分-采购需求”二、整体要求及四、智慧环卫建设需求的内容制定的智能化设备配置、智慧环卫管理系统建设、智慧环卫配套设施建设等方案进行综合评议。本小项最高得2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2、环卫保洁方案。评委根据供应商提供的针对采购文件“第三部分-采购需求”二、整体要求及五、环卫保洁、公厕养护、城管驿站需求的内容制定的道路保洁、公厕养护保洁、城管驿站保洁等相关保洁作业方案进行综合评议。本小项最高得2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3、河道养护方案。评委根据供应商提供的针对采购文件“第三部分-采购需求”二、整体要求及六、河道保洁、河道周边绿化、河道周边设施养护需求的内容制定的河道保洁、河道巡査及处置、净水设施养护、其他设施养护、河道除四害、河道淤积检测等相关保洁、养护及巡查方案进行综合评议。本小项最高得2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4、绿化养护方案。评委根据供应商提供的针对采购文件“第三部分-采购需求”二、整体要求及七、绿化养护需求的内容制定的公园绿地养化养护、行道树养护、道路绿化带(包括高架挂箱)养护、借地绿化养护等相关养护方案进行综合评议。本小项最高得2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5、市政设施养护。评委根据供应商提供的针对采购文件“第三部分-采购需求”二、整体要求及八、市政设施养护需求的内容制定的道案路养护、雨水管网养护、桥梁养护、桥梁称重系统养护、雨水泵站养护、管网清疏检测、道路空洞检测、桥梁检测、道路检测等相关养护检测方案进行综合评议。本小项最高得2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以上五项累计得分，本项最高得10分。</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b/>
                <w:bCs/>
                <w:i w:val="0"/>
                <w:iCs w:val="0"/>
                <w:color w:val="auto"/>
                <w:kern w:val="2"/>
                <w:sz w:val="24"/>
                <w:szCs w:val="24"/>
                <w:highlight w:val="none"/>
                <w:lang w:val="en-US" w:eastAsia="zh-CN" w:bidi="ar-SA"/>
              </w:rPr>
            </w:pPr>
            <w:r>
              <w:rPr>
                <w:rFonts w:hint="eastAsia" w:ascii="仿宋_GB2312" w:hAnsi="仿宋_GB2312" w:eastAsia="仿宋_GB2312" w:cs="仿宋_GB2312"/>
                <w:b/>
                <w:bCs/>
                <w:i w:val="0"/>
                <w:iCs w:val="0"/>
                <w:color w:val="auto"/>
                <w:kern w:val="2"/>
                <w:sz w:val="24"/>
                <w:szCs w:val="24"/>
                <w:highlight w:val="none"/>
                <w:lang w:val="en-US" w:eastAsia="zh-CN" w:bidi="ar-SA"/>
              </w:rPr>
              <w:t>(二)评分依据：</w:t>
            </w:r>
          </w:p>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评分内容1、2、3、4、5)方案内容深入、科学合理性好、可操作性强的得2分;方案内容符合项目开展需求，契合项目情况,具备操作性的得1.5分;方案内容与项目开展存在细微偏差、欠深入，可操作性较普通的，得0.5分；未提供的，不得分。</w:t>
            </w:r>
          </w:p>
        </w:tc>
        <w:tc>
          <w:tcPr>
            <w:tcW w:w="684" w:type="dxa"/>
            <w:noWrap w:val="0"/>
            <w:vAlign w:val="center"/>
          </w:tcPr>
          <w:p>
            <w:pPr>
              <w:snapToGrid w:val="0"/>
              <w:spacing w:line="360" w:lineRule="auto"/>
              <w:jc w:val="center"/>
              <w:rPr>
                <w:rFonts w:hint="default"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10</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主观</w:t>
            </w:r>
          </w:p>
        </w:tc>
        <w:tc>
          <w:tcPr>
            <w:tcW w:w="1456" w:type="dxa"/>
            <w:noWrap w:val="0"/>
            <w:vAlign w:val="center"/>
          </w:tcPr>
          <w:p>
            <w:pPr>
              <w:snapToGrid w:val="0"/>
              <w:spacing w:line="360" w:lineRule="auto"/>
              <w:jc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一体化实施方案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7</w:t>
            </w:r>
          </w:p>
        </w:tc>
        <w:tc>
          <w:tcPr>
            <w:tcW w:w="6012" w:type="dxa"/>
            <w:noWrap w:val="0"/>
            <w:vAlign w:val="center"/>
          </w:tcPr>
          <w:p>
            <w:pPr>
              <w:widowControl/>
              <w:spacing w:line="360" w:lineRule="auto"/>
              <w:jc w:val="left"/>
              <w:textAlignment w:val="center"/>
              <w:rPr>
                <w:rFonts w:hint="eastAsia" w:ascii="仿宋_GB2312" w:hAnsi="仿宋_GB2312" w:eastAsia="仿宋_GB2312" w:cs="仿宋_GB2312"/>
                <w:b/>
                <w:bCs/>
                <w:color w:val="auto"/>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（一）评分内容：</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投标人拟安排的项目</w:t>
            </w:r>
            <w:r>
              <w:rPr>
                <w:rFonts w:hint="eastAsia" w:ascii="仿宋_GB2312" w:hAnsi="仿宋_GB2312" w:eastAsia="仿宋_GB2312" w:cs="仿宋_GB2312"/>
                <w:color w:val="auto"/>
                <w:kern w:val="0"/>
                <w:sz w:val="24"/>
                <w:szCs w:val="24"/>
                <w:highlight w:val="none"/>
                <w:u w:val="none"/>
                <w:lang w:val="en-US" w:eastAsia="zh-CN"/>
              </w:rPr>
              <w:t>负责人</w:t>
            </w:r>
            <w:r>
              <w:rPr>
                <w:rFonts w:hint="eastAsia" w:ascii="仿宋_GB2312" w:hAnsi="仿宋_GB2312" w:eastAsia="仿宋_GB2312" w:cs="仿宋_GB2312"/>
                <w:color w:val="auto"/>
                <w:kern w:val="0"/>
                <w:sz w:val="24"/>
                <w:szCs w:val="24"/>
                <w:highlight w:val="none"/>
                <w:u w:val="none"/>
              </w:rPr>
              <w:t>必须为投标单位员工，否则不得分：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1、</w:t>
            </w:r>
            <w:r>
              <w:rPr>
                <w:rStyle w:val="946"/>
                <w:rFonts w:hint="eastAsia" w:ascii="仿宋_GB2312" w:hAnsi="仿宋_GB2312" w:eastAsia="仿宋_GB2312" w:cs="仿宋_GB2312"/>
                <w:color w:val="auto"/>
                <w:kern w:val="0"/>
                <w:sz w:val="24"/>
                <w:szCs w:val="24"/>
                <w:highlight w:val="none"/>
                <w:u w:val="none"/>
                <w:lang w:val="en-US" w:eastAsia="zh-CN"/>
              </w:rPr>
              <w:t>项目负责人1人</w:t>
            </w:r>
            <w:r>
              <w:rPr>
                <w:rStyle w:val="946"/>
                <w:rFonts w:hint="eastAsia" w:ascii="仿宋_GB2312" w:hAnsi="仿宋_GB2312" w:eastAsia="仿宋_GB2312" w:cs="仿宋_GB2312"/>
                <w:color w:val="auto"/>
                <w:kern w:val="0"/>
                <w:sz w:val="24"/>
                <w:szCs w:val="24"/>
                <w:highlight w:val="none"/>
                <w:u w:val="none"/>
              </w:rPr>
              <w:t>（</w:t>
            </w:r>
            <w:r>
              <w:rPr>
                <w:rStyle w:val="946"/>
                <w:rFonts w:hint="eastAsia" w:ascii="仿宋_GB2312" w:hAnsi="仿宋_GB2312" w:eastAsia="仿宋_GB2312" w:cs="仿宋_GB2312"/>
                <w:color w:val="auto"/>
                <w:kern w:val="0"/>
                <w:sz w:val="24"/>
                <w:szCs w:val="24"/>
                <w:highlight w:val="none"/>
                <w:u w:val="none"/>
                <w:lang w:val="en-US" w:eastAsia="zh-CN"/>
              </w:rPr>
              <w:t>5</w:t>
            </w:r>
            <w:r>
              <w:rPr>
                <w:rStyle w:val="946"/>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（1）具有</w:t>
            </w:r>
            <w:r>
              <w:rPr>
                <w:rFonts w:hint="eastAsia" w:ascii="仿宋_GB2312" w:hAnsi="仿宋_GB2312" w:eastAsia="仿宋_GB2312" w:cs="仿宋_GB2312"/>
                <w:color w:val="auto"/>
                <w:kern w:val="0"/>
                <w:sz w:val="24"/>
                <w:szCs w:val="24"/>
                <w:highlight w:val="none"/>
                <w:u w:val="none"/>
                <w:lang w:val="en-US" w:eastAsia="zh-CN"/>
              </w:rPr>
              <w:t>管理学类专业：</w:t>
            </w:r>
            <w:r>
              <w:rPr>
                <w:rFonts w:hint="eastAsia" w:ascii="仿宋_GB2312" w:hAnsi="仿宋_GB2312" w:eastAsia="仿宋_GB2312" w:cs="仿宋_GB2312"/>
                <w:color w:val="auto"/>
                <w:kern w:val="0"/>
                <w:sz w:val="24"/>
                <w:szCs w:val="24"/>
                <w:highlight w:val="none"/>
                <w:u w:val="none"/>
              </w:rPr>
              <w:t>硕士研究生或以上学历的，得</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分；本科</w:t>
            </w:r>
            <w:r>
              <w:rPr>
                <w:rFonts w:hint="eastAsia" w:ascii="仿宋_GB2312" w:hAnsi="仿宋_GB2312" w:eastAsia="仿宋_GB2312" w:cs="仿宋_GB2312"/>
                <w:sz w:val="24"/>
                <w:szCs w:val="24"/>
                <w:highlight w:val="none"/>
                <w:u w:val="none"/>
                <w:lang w:eastAsia="zh-CN"/>
              </w:rPr>
              <w:t>学历的</w:t>
            </w:r>
            <w:r>
              <w:rPr>
                <w:rFonts w:hint="eastAsia" w:ascii="仿宋_GB2312" w:hAnsi="仿宋_GB2312" w:eastAsia="仿宋_GB2312" w:cs="仿宋_GB2312"/>
                <w:color w:val="auto"/>
                <w:kern w:val="0"/>
                <w:sz w:val="24"/>
                <w:szCs w:val="24"/>
                <w:highlight w:val="none"/>
                <w:u w:val="none"/>
              </w:rPr>
              <w:t>，得1分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大专</w:t>
            </w:r>
            <w:r>
              <w:rPr>
                <w:rFonts w:hint="eastAsia" w:ascii="仿宋_GB2312" w:hAnsi="仿宋_GB2312" w:eastAsia="仿宋_GB2312" w:cs="仿宋_GB2312"/>
                <w:color w:val="auto"/>
                <w:kern w:val="0"/>
                <w:sz w:val="24"/>
                <w:szCs w:val="24"/>
                <w:highlight w:val="none"/>
                <w:u w:val="none"/>
              </w:rPr>
              <w:t>学历的</w:t>
            </w:r>
            <w:r>
              <w:rPr>
                <w:rFonts w:hint="eastAsia" w:ascii="仿宋_GB2312" w:hAnsi="仿宋_GB2312" w:eastAsia="仿宋_GB2312" w:cs="仿宋_GB2312"/>
                <w:color w:val="auto"/>
                <w:kern w:val="0"/>
                <w:sz w:val="24"/>
                <w:szCs w:val="24"/>
                <w:highlight w:val="none"/>
                <w:u w:val="none"/>
                <w:lang w:eastAsia="zh-CN"/>
              </w:rPr>
              <w:t>，得</w:t>
            </w:r>
            <w:r>
              <w:rPr>
                <w:rFonts w:hint="eastAsia" w:ascii="仿宋_GB2312" w:hAnsi="仿宋_GB2312" w:eastAsia="仿宋_GB2312" w:cs="仿宋_GB2312"/>
                <w:color w:val="auto"/>
                <w:kern w:val="0"/>
                <w:sz w:val="24"/>
                <w:szCs w:val="24"/>
                <w:highlight w:val="none"/>
                <w:u w:val="none"/>
                <w:lang w:val="en-US" w:eastAsia="zh-CN"/>
              </w:rPr>
              <w:t>0.5分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本小项最高得</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（2）</w:t>
            </w:r>
            <w:r>
              <w:rPr>
                <w:rFonts w:hint="eastAsia" w:ascii="仿宋_GB2312" w:hAnsi="仿宋_GB2312" w:eastAsia="仿宋_GB2312" w:cs="仿宋_GB2312"/>
                <w:color w:val="auto"/>
                <w:kern w:val="0"/>
                <w:sz w:val="24"/>
                <w:szCs w:val="24"/>
                <w:highlight w:val="none"/>
                <w:u w:val="none"/>
                <w:lang w:val="en-US" w:eastAsia="zh-CN"/>
              </w:rPr>
              <w:t>具有</w:t>
            </w:r>
            <w:r>
              <w:rPr>
                <w:rFonts w:hint="eastAsia" w:ascii="仿宋_GB2312" w:hAnsi="仿宋_GB2312" w:eastAsia="仿宋_GB2312" w:cs="仿宋_GB2312"/>
                <w:color w:val="auto"/>
                <w:kern w:val="0"/>
                <w:sz w:val="24"/>
                <w:szCs w:val="24"/>
                <w:highlight w:val="none"/>
                <w:u w:val="none"/>
              </w:rPr>
              <w:t>人社部门颁发的</w:t>
            </w:r>
            <w:r>
              <w:rPr>
                <w:rFonts w:hint="eastAsia" w:ascii="仿宋_GB2312" w:hAnsi="仿宋_GB2312" w:eastAsia="仿宋_GB2312" w:cs="仿宋_GB2312"/>
                <w:color w:val="auto"/>
                <w:kern w:val="0"/>
                <w:sz w:val="24"/>
                <w:szCs w:val="24"/>
                <w:highlight w:val="none"/>
                <w:u w:val="none"/>
                <w:lang w:val="en-US" w:eastAsia="zh-CN"/>
              </w:rPr>
              <w:t>市政或园林相关专业</w:t>
            </w:r>
            <w:r>
              <w:rPr>
                <w:rFonts w:hint="eastAsia" w:ascii="仿宋_GB2312" w:hAnsi="仿宋_GB2312" w:eastAsia="仿宋_GB2312" w:cs="仿宋_GB2312"/>
                <w:color w:val="auto"/>
                <w:kern w:val="0"/>
                <w:sz w:val="24"/>
                <w:szCs w:val="24"/>
                <w:highlight w:val="none"/>
                <w:u w:val="none"/>
              </w:rPr>
              <w:t>高级工程师职称证书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中级</w:t>
            </w:r>
            <w:r>
              <w:rPr>
                <w:rFonts w:hint="eastAsia" w:ascii="仿宋_GB2312" w:hAnsi="仿宋_GB2312" w:eastAsia="仿宋_GB2312" w:cs="仿宋_GB2312"/>
                <w:color w:val="auto"/>
                <w:kern w:val="0"/>
                <w:sz w:val="24"/>
                <w:szCs w:val="24"/>
                <w:highlight w:val="none"/>
                <w:u w:val="none"/>
              </w:rPr>
              <w:t>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初级工程师职称证书的，得1分；本小项最高得3分。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以上两项累计得分，本项最高得</w:t>
            </w:r>
            <w:r>
              <w:rPr>
                <w:rFonts w:hint="eastAsia" w:ascii="仿宋_GB2312" w:hAnsi="仿宋_GB2312" w:eastAsia="仿宋_GB2312" w:cs="仿宋_GB2312"/>
                <w:color w:val="auto"/>
                <w:kern w:val="0"/>
                <w:sz w:val="24"/>
                <w:szCs w:val="24"/>
                <w:highlight w:val="none"/>
                <w:u w:val="none"/>
                <w:lang w:val="en-US" w:eastAsia="zh-CN"/>
              </w:rPr>
              <w:t>5</w:t>
            </w:r>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b/>
                <w:bCs/>
                <w:color w:val="auto"/>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（二）评分依据：</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rPr>
              <w:t>1、提供证书扫描件作为得分依据</w:t>
            </w:r>
            <w:r>
              <w:rPr>
                <w:rFonts w:hint="eastAsia" w:ascii="仿宋_GB2312" w:hAnsi="仿宋_GB2312" w:eastAsia="仿宋_GB2312" w:cs="仿宋_GB2312"/>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2、参评学历需符合专业要求，</w:t>
            </w:r>
            <w:r>
              <w:rPr>
                <w:rFonts w:hint="eastAsia" w:ascii="仿宋_GB2312" w:hAnsi="仿宋_GB2312" w:eastAsia="仿宋_GB2312" w:cs="仿宋_GB2312"/>
                <w:color w:val="auto"/>
                <w:kern w:val="0"/>
                <w:sz w:val="24"/>
                <w:szCs w:val="24"/>
                <w:highlight w:val="none"/>
                <w:u w:val="none"/>
              </w:rPr>
              <w:t>学历证书还需提供学信网查询记录，对于较早颁发的学历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认证书扫描件【或教育部留学服务中心网站在线查询截图】也予以认可，扫描件需</w:t>
            </w:r>
            <w:r>
              <w:rPr>
                <w:rFonts w:hint="eastAsia" w:ascii="仿宋_GB2312" w:hAnsi="仿宋_GB2312" w:eastAsia="仿宋_GB2312" w:cs="仿宋_GB2312"/>
                <w:color w:val="auto"/>
                <w:kern w:val="0"/>
                <w:sz w:val="24"/>
                <w:szCs w:val="24"/>
                <w:highlight w:val="none"/>
                <w:u w:val="none"/>
                <w:lang w:eastAsia="zh-CN"/>
              </w:rPr>
              <w:t>加盖电子章</w:t>
            </w:r>
            <w:r>
              <w:rPr>
                <w:rFonts w:hint="eastAsia" w:ascii="仿宋_GB2312" w:hAnsi="仿宋_GB2312" w:eastAsia="仿宋_GB2312" w:cs="仿宋_GB2312"/>
                <w:color w:val="auto"/>
                <w:kern w:val="0"/>
                <w:sz w:val="24"/>
                <w:szCs w:val="24"/>
                <w:highlight w:val="none"/>
                <w:u w:val="none"/>
              </w:rPr>
              <w:t>，否则不得分；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、同时提供投标截止日前投标人</w:t>
            </w:r>
            <w:r>
              <w:rPr>
                <w:rFonts w:hint="eastAsia" w:ascii="仿宋_GB2312" w:hAnsi="仿宋_GB2312" w:eastAsia="仿宋_GB2312" w:cs="仿宋_GB2312"/>
                <w:color w:val="auto"/>
                <w:kern w:val="0"/>
                <w:sz w:val="24"/>
                <w:szCs w:val="24"/>
                <w:highlight w:val="none"/>
                <w:u w:val="none"/>
                <w:lang w:val="en-US" w:eastAsia="zh-CN"/>
              </w:rPr>
              <w:t>为以上员工</w:t>
            </w:r>
            <w:r>
              <w:rPr>
                <w:rFonts w:hint="eastAsia" w:ascii="仿宋_GB2312" w:hAnsi="仿宋_GB2312" w:eastAsia="仿宋_GB2312" w:cs="仿宋_GB2312"/>
                <w:color w:val="auto"/>
                <w:kern w:val="0"/>
                <w:sz w:val="24"/>
                <w:szCs w:val="24"/>
                <w:highlight w:val="none"/>
                <w:u w:val="none"/>
              </w:rPr>
              <w:t>缴纳的近</w:t>
            </w:r>
            <w:r>
              <w:rPr>
                <w:rFonts w:hint="eastAsia" w:ascii="仿宋_GB2312" w:hAnsi="仿宋_GB2312" w:eastAsia="仿宋_GB2312" w:cs="仿宋_GB2312"/>
                <w:color w:val="auto"/>
                <w:kern w:val="0"/>
                <w:sz w:val="24"/>
                <w:szCs w:val="24"/>
                <w:highlight w:val="none"/>
                <w:u w:val="none"/>
                <w:lang w:eastAsia="zh-CN"/>
              </w:rPr>
              <w:t>3个月连续</w:t>
            </w:r>
            <w:r>
              <w:rPr>
                <w:rFonts w:hint="eastAsia" w:ascii="仿宋_GB2312" w:hAnsi="仿宋_GB2312" w:eastAsia="仿宋_GB2312" w:cs="仿宋_GB2312"/>
                <w:color w:val="auto"/>
                <w:kern w:val="0"/>
                <w:sz w:val="24"/>
                <w:szCs w:val="24"/>
                <w:highlight w:val="none"/>
                <w:u w:val="none"/>
                <w:lang w:val="en-US" w:eastAsia="zh-CN"/>
              </w:rPr>
              <w:t>缴纳的社保缴纳证明</w:t>
            </w:r>
            <w:r>
              <w:rPr>
                <w:rFonts w:hint="eastAsia" w:ascii="仿宋_GB2312" w:hAnsi="仿宋_GB2312" w:eastAsia="仿宋_GB2312" w:cs="仿宋_GB2312"/>
                <w:kern w:val="0"/>
                <w:sz w:val="24"/>
                <w:szCs w:val="24"/>
                <w:highlight w:val="none"/>
                <w:u w:val="none"/>
                <w:lang w:eastAsia="zh-CN"/>
              </w:rPr>
              <w:t>（加盖电子章）</w:t>
            </w:r>
            <w:r>
              <w:rPr>
                <w:rFonts w:hint="eastAsia" w:ascii="仿宋_GB2312" w:hAnsi="仿宋_GB2312" w:eastAsia="仿宋_GB2312" w:cs="仿宋_GB2312"/>
                <w:color w:val="auto"/>
                <w:kern w:val="0"/>
                <w:sz w:val="24"/>
                <w:szCs w:val="24"/>
                <w:highlight w:val="none"/>
                <w:u w:val="none"/>
              </w:rPr>
              <w:t>，否则不得分；</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4</w:t>
            </w:r>
            <w:r>
              <w:rPr>
                <w:rFonts w:hint="eastAsia" w:ascii="仿宋_GB2312" w:hAnsi="仿宋_GB2312" w:eastAsia="仿宋_GB2312" w:cs="仿宋_GB2312"/>
                <w:color w:val="auto"/>
                <w:kern w:val="0"/>
                <w:sz w:val="24"/>
                <w:szCs w:val="24"/>
                <w:highlight w:val="none"/>
                <w:u w:val="none"/>
              </w:rPr>
              <w:t>、</w:t>
            </w:r>
            <w:r>
              <w:rPr>
                <w:rFonts w:hint="eastAsia" w:ascii="仿宋_GB2312" w:hAnsi="仿宋_GB2312" w:eastAsia="仿宋_GB2312" w:cs="仿宋_GB2312"/>
                <w:color w:val="auto"/>
                <w:kern w:val="0"/>
                <w:sz w:val="24"/>
                <w:szCs w:val="24"/>
                <w:highlight w:val="none"/>
                <w:u w:val="none"/>
                <w:lang w:val="en-US" w:eastAsia="zh-CN"/>
              </w:rPr>
              <w:t>本次招标所有评分项中，</w:t>
            </w:r>
            <w:r>
              <w:rPr>
                <w:rFonts w:hint="eastAsia" w:ascii="仿宋_GB2312" w:hAnsi="仿宋_GB2312" w:eastAsia="仿宋_GB2312" w:cs="仿宋_GB2312"/>
                <w:color w:val="auto"/>
                <w:kern w:val="0"/>
                <w:sz w:val="24"/>
                <w:szCs w:val="24"/>
                <w:highlight w:val="none"/>
                <w:u w:val="none"/>
              </w:rPr>
              <w:t>同一人员</w:t>
            </w:r>
            <w:r>
              <w:rPr>
                <w:rFonts w:hint="eastAsia" w:ascii="仿宋_GB2312" w:hAnsi="仿宋_GB2312" w:eastAsia="仿宋_GB2312" w:cs="仿宋_GB2312"/>
                <w:color w:val="auto"/>
                <w:kern w:val="0"/>
                <w:sz w:val="24"/>
                <w:szCs w:val="24"/>
                <w:highlight w:val="none"/>
                <w:u w:val="none"/>
                <w:lang w:val="en-US" w:eastAsia="zh-CN"/>
              </w:rPr>
              <w:t>不得兼任；</w:t>
            </w:r>
          </w:p>
          <w:p>
            <w:pPr>
              <w:widowControl/>
              <w:spacing w:line="360" w:lineRule="auto"/>
              <w:jc w:val="left"/>
              <w:textAlignment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5、</w:t>
            </w:r>
            <w:r>
              <w:rPr>
                <w:rFonts w:hint="eastAsia" w:ascii="仿宋_GB2312" w:hAnsi="仿宋_GB2312" w:eastAsia="仿宋_GB2312" w:cs="仿宋_GB2312"/>
                <w:color w:val="auto"/>
                <w:kern w:val="0"/>
                <w:sz w:val="24"/>
                <w:szCs w:val="24"/>
                <w:highlight w:val="none"/>
                <w:u w:val="none"/>
              </w:rPr>
              <w:t>评分中出现无证明资料或者专家无法凭所提供资料判断是否得分的情况，一律做不得分处理。</w:t>
            </w:r>
          </w:p>
        </w:tc>
        <w:tc>
          <w:tcPr>
            <w:tcW w:w="684" w:type="dxa"/>
            <w:noWrap w:val="0"/>
            <w:vAlign w:val="center"/>
          </w:tcPr>
          <w:p>
            <w:pPr>
              <w:snapToGrid w:val="0"/>
              <w:spacing w:line="360" w:lineRule="auto"/>
              <w:jc w:val="center"/>
              <w:rPr>
                <w:rFonts w:hint="default"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5</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i w:val="0"/>
                <w:iCs w:val="0"/>
                <w:color w:val="auto"/>
                <w:sz w:val="24"/>
                <w:szCs w:val="24"/>
                <w:highlight w:val="none"/>
                <w:lang w:val="en-US" w:eastAsia="zh-CN"/>
              </w:rPr>
            </w:pPr>
            <w:r>
              <w:rPr>
                <w:rFonts w:hint="eastAsia" w:ascii="仿宋_GB2312" w:hAnsi="仿宋_GB2312" w:eastAsia="仿宋_GB2312" w:cs="仿宋_GB2312"/>
                <w:i w:val="0"/>
                <w:iCs w:val="0"/>
                <w:color w:val="auto"/>
                <w:sz w:val="24"/>
                <w:szCs w:val="24"/>
                <w:highlight w:val="none"/>
                <w:lang w:val="en-US" w:eastAsia="zh-CN"/>
              </w:rPr>
              <w:t>8</w:t>
            </w:r>
          </w:p>
        </w:tc>
        <w:tc>
          <w:tcPr>
            <w:tcW w:w="6012" w:type="dxa"/>
            <w:noWrap w:val="0"/>
            <w:vAlign w:val="center"/>
          </w:tcPr>
          <w:p>
            <w:pPr>
              <w:widowControl/>
              <w:spacing w:line="360" w:lineRule="auto"/>
              <w:jc w:val="left"/>
              <w:textAlignment w:val="center"/>
              <w:rPr>
                <w:rFonts w:hint="eastAsia" w:ascii="仿宋_GB2312" w:hAnsi="仿宋_GB2312" w:eastAsia="仿宋_GB2312" w:cs="仿宋_GB2312"/>
                <w:b/>
                <w:bCs/>
                <w:color w:val="auto"/>
                <w:sz w:val="24"/>
                <w:szCs w:val="24"/>
                <w:highlight w:val="none"/>
                <w:u w:val="none"/>
                <w:lang w:eastAsia="zh-CN"/>
              </w:rPr>
            </w:pPr>
            <w:r>
              <w:rPr>
                <w:rStyle w:val="946"/>
                <w:rFonts w:hint="eastAsia" w:ascii="仿宋_GB2312" w:hAnsi="仿宋_GB2312" w:eastAsia="仿宋_GB2312" w:cs="仿宋_GB2312"/>
                <w:b/>
                <w:bCs/>
                <w:color w:val="auto"/>
                <w:kern w:val="0"/>
                <w:sz w:val="24"/>
                <w:szCs w:val="24"/>
                <w:highlight w:val="none"/>
                <w:u w:val="none"/>
              </w:rPr>
              <w:t>（一）评分内容</w:t>
            </w:r>
            <w:r>
              <w:rPr>
                <w:rStyle w:val="946"/>
                <w:rFonts w:hint="eastAsia" w:ascii="仿宋_GB2312" w:hAnsi="仿宋_GB2312" w:eastAsia="仿宋_GB2312" w:cs="仿宋_GB2312"/>
                <w:b/>
                <w:bCs/>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投标人拟安排的项目管理成员必须为投标单位员工，否则不得分：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1、项目</w:t>
            </w:r>
            <w:r>
              <w:rPr>
                <w:rStyle w:val="946"/>
                <w:rFonts w:hint="eastAsia" w:ascii="仿宋_GB2312" w:hAnsi="仿宋_GB2312" w:eastAsia="仿宋_GB2312" w:cs="仿宋_GB2312"/>
                <w:color w:val="auto"/>
                <w:kern w:val="0"/>
                <w:sz w:val="24"/>
                <w:szCs w:val="24"/>
                <w:highlight w:val="none"/>
                <w:u w:val="none"/>
                <w:lang w:val="en-US" w:eastAsia="zh-CN"/>
              </w:rPr>
              <w:t>总</w:t>
            </w:r>
            <w:r>
              <w:rPr>
                <w:rStyle w:val="946"/>
                <w:rFonts w:hint="eastAsia" w:ascii="仿宋_GB2312" w:hAnsi="仿宋_GB2312" w:eastAsia="仿宋_GB2312" w:cs="仿宋_GB2312"/>
                <w:color w:val="auto"/>
                <w:kern w:val="0"/>
                <w:sz w:val="24"/>
                <w:szCs w:val="24"/>
                <w:highlight w:val="none"/>
                <w:u w:val="none"/>
              </w:rPr>
              <w:t>技术负责人1人（</w:t>
            </w:r>
            <w:r>
              <w:rPr>
                <w:rStyle w:val="946"/>
                <w:rFonts w:hint="eastAsia" w:ascii="仿宋_GB2312" w:hAnsi="仿宋_GB2312" w:eastAsia="仿宋_GB2312" w:cs="仿宋_GB2312"/>
                <w:color w:val="auto"/>
                <w:kern w:val="0"/>
                <w:sz w:val="24"/>
                <w:szCs w:val="24"/>
                <w:highlight w:val="none"/>
                <w:u w:val="none"/>
                <w:lang w:val="en-US" w:eastAsia="zh-CN"/>
              </w:rPr>
              <w:t>7</w:t>
            </w:r>
            <w:r>
              <w:rPr>
                <w:rStyle w:val="946"/>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（1）具有</w:t>
            </w:r>
            <w:r>
              <w:rPr>
                <w:rFonts w:hint="eastAsia" w:ascii="仿宋_GB2312" w:hAnsi="仿宋_GB2312" w:eastAsia="仿宋_GB2312" w:cs="仿宋_GB2312"/>
                <w:color w:val="auto"/>
                <w:kern w:val="0"/>
                <w:sz w:val="24"/>
                <w:szCs w:val="24"/>
                <w:highlight w:val="none"/>
                <w:u w:val="none"/>
                <w:lang w:val="en-US" w:eastAsia="zh-CN"/>
              </w:rPr>
              <w:t>理工科类专业</w:t>
            </w:r>
            <w:r>
              <w:rPr>
                <w:rFonts w:hint="eastAsia" w:ascii="仿宋_GB2312" w:hAnsi="仿宋_GB2312" w:eastAsia="仿宋_GB2312" w:cs="仿宋_GB2312"/>
                <w:color w:val="auto"/>
                <w:kern w:val="0"/>
                <w:sz w:val="24"/>
                <w:szCs w:val="24"/>
                <w:highlight w:val="none"/>
                <w:u w:val="none"/>
              </w:rPr>
              <w:t>博士研究生学历的，得3分；硕士研究生学历的，得2分；本科</w:t>
            </w:r>
            <w:r>
              <w:rPr>
                <w:rFonts w:hint="eastAsia" w:ascii="仿宋_GB2312" w:hAnsi="仿宋_GB2312" w:eastAsia="仿宋_GB2312" w:cs="仿宋_GB2312"/>
                <w:color w:val="auto"/>
                <w:kern w:val="0"/>
                <w:sz w:val="24"/>
                <w:szCs w:val="24"/>
                <w:highlight w:val="none"/>
                <w:u w:val="none"/>
                <w:lang w:val="en-US" w:eastAsia="zh-CN"/>
              </w:rPr>
              <w:t>或大专</w:t>
            </w:r>
            <w:r>
              <w:rPr>
                <w:rFonts w:hint="eastAsia" w:ascii="仿宋_GB2312" w:hAnsi="仿宋_GB2312" w:eastAsia="仿宋_GB2312" w:cs="仿宋_GB2312"/>
                <w:color w:val="auto"/>
                <w:kern w:val="0"/>
                <w:sz w:val="24"/>
                <w:szCs w:val="24"/>
                <w:highlight w:val="none"/>
                <w:u w:val="none"/>
              </w:rPr>
              <w:t>学历的，得1分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本小项最高得3分；</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（2）具有人社部门颁发的电子信息</w:t>
            </w:r>
            <w:r>
              <w:rPr>
                <w:rFonts w:hint="eastAsia" w:ascii="仿宋_GB2312" w:hAnsi="仿宋_GB2312" w:eastAsia="仿宋_GB2312" w:cs="仿宋_GB2312"/>
                <w:color w:val="auto"/>
                <w:kern w:val="0"/>
                <w:sz w:val="24"/>
                <w:szCs w:val="24"/>
                <w:highlight w:val="none"/>
                <w:u w:val="none"/>
                <w:lang w:val="en-US" w:eastAsia="zh-CN"/>
              </w:rPr>
              <w:t>类</w:t>
            </w:r>
            <w:r>
              <w:rPr>
                <w:rFonts w:hint="eastAsia" w:ascii="仿宋_GB2312" w:hAnsi="仿宋_GB2312" w:eastAsia="仿宋_GB2312" w:cs="仿宋_GB2312"/>
                <w:color w:val="auto"/>
                <w:kern w:val="0"/>
                <w:sz w:val="24"/>
                <w:szCs w:val="24"/>
                <w:highlight w:val="none"/>
                <w:u w:val="none"/>
              </w:rPr>
              <w:t>专业高级工程师职称证书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中级</w:t>
            </w:r>
            <w:r>
              <w:rPr>
                <w:rFonts w:hint="eastAsia" w:ascii="仿宋_GB2312" w:hAnsi="仿宋_GB2312" w:eastAsia="仿宋_GB2312" w:cs="仿宋_GB2312"/>
                <w:color w:val="auto"/>
                <w:kern w:val="0"/>
                <w:sz w:val="24"/>
                <w:szCs w:val="24"/>
                <w:highlight w:val="none"/>
                <w:u w:val="none"/>
              </w:rPr>
              <w:t>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初级工程师职称证书的，得1分；本小项最高得3分。</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具有1年以上国家机关（或事业单位）委托的智慧环卫类项目【</w:t>
            </w:r>
            <w:r>
              <w:rPr>
                <w:rFonts w:hint="eastAsia" w:ascii="仿宋_GB2312" w:hAnsi="仿宋_GB2312" w:eastAsia="仿宋_GB2312" w:cs="仿宋_GB2312"/>
                <w:color w:val="auto"/>
                <w:kern w:val="0"/>
                <w:sz w:val="24"/>
                <w:szCs w:val="24"/>
                <w:highlight w:val="none"/>
                <w:u w:val="none"/>
              </w:rPr>
              <w:t>需包含智能驾驶环卫车辆或机具设备（具备自动驾驶或无人驾驶或智能驾驶功能）</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投入使用情况</w:t>
            </w:r>
            <w:r>
              <w:rPr>
                <w:rFonts w:hint="eastAsia" w:ascii="仿宋_GB2312" w:hAnsi="仿宋_GB2312" w:eastAsia="仿宋_GB2312" w:cs="仿宋_GB2312"/>
                <w:color w:val="auto"/>
                <w:kern w:val="0"/>
                <w:sz w:val="24"/>
                <w:szCs w:val="24"/>
                <w:highlight w:val="none"/>
                <w:u w:val="none"/>
                <w:lang w:val="en-US" w:eastAsia="zh-CN"/>
              </w:rPr>
              <w:t>】管理经验，项目清扫保洁服务面积≥300万㎡的得1分；300万㎡＞项目清扫保洁服务面积≥</w:t>
            </w:r>
            <w:r>
              <w:rPr>
                <w:rFonts w:hint="eastAsia" w:ascii="仿宋_GB2312" w:hAnsi="仿宋_GB2312" w:eastAsia="仿宋_GB2312" w:cs="仿宋_GB2312"/>
                <w:color w:val="auto"/>
                <w:kern w:val="0"/>
                <w:sz w:val="24"/>
                <w:szCs w:val="24"/>
                <w:highlight w:val="none"/>
                <w:u w:val="none"/>
                <w:lang w:eastAsia="zh-CN"/>
              </w:rPr>
              <w:t>2</w:t>
            </w:r>
            <w:r>
              <w:rPr>
                <w:rFonts w:hint="eastAsia" w:ascii="仿宋_GB2312" w:hAnsi="仿宋_GB2312" w:eastAsia="仿宋_GB2312" w:cs="仿宋_GB2312"/>
                <w:color w:val="auto"/>
                <w:kern w:val="0"/>
                <w:sz w:val="24"/>
                <w:szCs w:val="24"/>
                <w:highlight w:val="none"/>
                <w:u w:val="none"/>
                <w:lang w:val="en-US" w:eastAsia="zh-CN"/>
              </w:rPr>
              <w:t>00万㎡，得0.5分；</w:t>
            </w:r>
            <w:r>
              <w:rPr>
                <w:rFonts w:hint="eastAsia" w:ascii="仿宋_GB2312" w:hAnsi="仿宋_GB2312" w:eastAsia="仿宋_GB2312" w:cs="仿宋_GB2312"/>
                <w:color w:val="auto"/>
                <w:kern w:val="0"/>
                <w:sz w:val="24"/>
                <w:szCs w:val="24"/>
                <w:highlight w:val="none"/>
                <w:u w:val="none"/>
                <w:lang w:eastAsia="zh-CN"/>
              </w:rPr>
              <w:t>2</w:t>
            </w:r>
            <w:r>
              <w:rPr>
                <w:rFonts w:hint="eastAsia" w:ascii="仿宋_GB2312" w:hAnsi="仿宋_GB2312" w:eastAsia="仿宋_GB2312" w:cs="仿宋_GB2312"/>
                <w:color w:val="auto"/>
                <w:kern w:val="0"/>
                <w:sz w:val="24"/>
                <w:szCs w:val="24"/>
                <w:highlight w:val="none"/>
                <w:u w:val="none"/>
                <w:lang w:val="en-US" w:eastAsia="zh-CN"/>
              </w:rPr>
              <w:t>00万㎡＞项目清扫保洁服务面积≥</w:t>
            </w:r>
            <w:r>
              <w:rPr>
                <w:rFonts w:hint="eastAsia" w:ascii="仿宋_GB2312" w:hAnsi="仿宋_GB2312" w:eastAsia="仿宋_GB2312" w:cs="仿宋_GB2312"/>
                <w:color w:val="auto"/>
                <w:kern w:val="0"/>
                <w:sz w:val="24"/>
                <w:szCs w:val="24"/>
                <w:highlight w:val="none"/>
                <w:u w:val="none"/>
                <w:lang w:eastAsia="zh-CN"/>
              </w:rPr>
              <w:t>1</w:t>
            </w:r>
            <w:r>
              <w:rPr>
                <w:rFonts w:hint="eastAsia" w:ascii="仿宋_GB2312" w:hAnsi="仿宋_GB2312" w:eastAsia="仿宋_GB2312" w:cs="仿宋_GB2312"/>
                <w:color w:val="auto"/>
                <w:kern w:val="0"/>
                <w:sz w:val="24"/>
                <w:szCs w:val="24"/>
                <w:highlight w:val="none"/>
                <w:u w:val="none"/>
                <w:lang w:val="en-US" w:eastAsia="zh-CN"/>
              </w:rPr>
              <w:t>00万㎡，得0.</w:t>
            </w:r>
            <w:r>
              <w:rPr>
                <w:rFonts w:hint="eastAsia" w:ascii="仿宋_GB2312" w:hAnsi="仿宋_GB2312" w:eastAsia="仿宋_GB2312" w:cs="仿宋_GB2312"/>
                <w:color w:val="auto"/>
                <w:kern w:val="0"/>
                <w:sz w:val="24"/>
                <w:szCs w:val="24"/>
                <w:highlight w:val="none"/>
                <w:u w:val="none"/>
                <w:lang w:eastAsia="zh-CN"/>
              </w:rPr>
              <w:t>3</w:t>
            </w:r>
            <w:r>
              <w:rPr>
                <w:rFonts w:hint="eastAsia" w:ascii="仿宋_GB2312" w:hAnsi="仿宋_GB2312" w:eastAsia="仿宋_GB2312" w:cs="仿宋_GB2312"/>
                <w:color w:val="auto"/>
                <w:kern w:val="0"/>
                <w:sz w:val="24"/>
                <w:szCs w:val="24"/>
                <w:highlight w:val="none"/>
                <w:u w:val="none"/>
                <w:lang w:val="en-US" w:eastAsia="zh-CN"/>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人员管理经验不足1年但超过6个月的，得分减半，不足6个月的不得分。本小项最高得1分。</w:t>
            </w:r>
          </w:p>
          <w:p>
            <w:pPr>
              <w:widowControl/>
              <w:spacing w:line="360" w:lineRule="auto"/>
              <w:jc w:val="left"/>
              <w:textAlignment w:val="center"/>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color w:val="auto"/>
                <w:kern w:val="0"/>
                <w:sz w:val="24"/>
                <w:szCs w:val="24"/>
                <w:highlight w:val="none"/>
                <w:u w:val="none"/>
              </w:rPr>
              <w:t>以上</w:t>
            </w:r>
            <w:r>
              <w:rPr>
                <w:rFonts w:hint="eastAsia" w:ascii="仿宋_GB2312" w:hAnsi="仿宋_GB2312" w:eastAsia="仿宋_GB2312" w:cs="仿宋_GB2312"/>
                <w:color w:val="auto"/>
                <w:kern w:val="0"/>
                <w:sz w:val="24"/>
                <w:szCs w:val="24"/>
                <w:highlight w:val="none"/>
                <w:u w:val="none"/>
                <w:lang w:val="en-US" w:eastAsia="zh-CN"/>
              </w:rPr>
              <w:t>三小</w:t>
            </w:r>
            <w:r>
              <w:rPr>
                <w:rFonts w:hint="eastAsia" w:ascii="仿宋_GB2312" w:hAnsi="仿宋_GB2312" w:eastAsia="仿宋_GB2312" w:cs="仿宋_GB2312"/>
                <w:color w:val="auto"/>
                <w:kern w:val="0"/>
                <w:sz w:val="24"/>
                <w:szCs w:val="24"/>
                <w:highlight w:val="none"/>
                <w:u w:val="none"/>
              </w:rPr>
              <w:t>项累计得分，本小项最高得</w:t>
            </w:r>
            <w:r>
              <w:rPr>
                <w:rFonts w:hint="eastAsia" w:ascii="仿宋_GB2312" w:hAnsi="仿宋_GB2312" w:eastAsia="仿宋_GB2312" w:cs="仿宋_GB2312"/>
                <w:color w:val="auto"/>
                <w:kern w:val="0"/>
                <w:sz w:val="24"/>
                <w:szCs w:val="24"/>
                <w:highlight w:val="none"/>
                <w:u w:val="none"/>
                <w:lang w:val="en-US" w:eastAsia="zh-CN"/>
              </w:rPr>
              <w:t>7</w:t>
            </w:r>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Style w:val="946"/>
                <w:rFonts w:hint="eastAsia" w:ascii="仿宋_GB2312" w:hAnsi="仿宋_GB2312" w:eastAsia="仿宋_GB2312" w:cs="仿宋_GB2312"/>
                <w:color w:val="auto"/>
                <w:kern w:val="0"/>
                <w:sz w:val="24"/>
                <w:szCs w:val="24"/>
                <w:highlight w:val="none"/>
                <w:u w:val="none"/>
                <w:lang w:val="en-US" w:eastAsia="zh-CN"/>
              </w:rPr>
              <w:t>2</w:t>
            </w:r>
            <w:r>
              <w:rPr>
                <w:rStyle w:val="946"/>
                <w:rFonts w:hint="eastAsia" w:ascii="仿宋_GB2312" w:hAnsi="仿宋_GB2312" w:eastAsia="仿宋_GB2312" w:cs="仿宋_GB2312"/>
                <w:color w:val="auto"/>
                <w:kern w:val="0"/>
                <w:sz w:val="24"/>
                <w:szCs w:val="24"/>
                <w:highlight w:val="none"/>
                <w:u w:val="none"/>
              </w:rPr>
              <w:t>、</w:t>
            </w:r>
            <w:r>
              <w:rPr>
                <w:rStyle w:val="946"/>
                <w:rFonts w:hint="eastAsia" w:ascii="仿宋_GB2312" w:hAnsi="仿宋_GB2312" w:eastAsia="仿宋_GB2312" w:cs="仿宋_GB2312"/>
                <w:color w:val="auto"/>
                <w:kern w:val="0"/>
                <w:sz w:val="24"/>
                <w:szCs w:val="24"/>
                <w:highlight w:val="none"/>
                <w:u w:val="none"/>
                <w:lang w:val="en-US" w:eastAsia="zh-CN"/>
              </w:rPr>
              <w:t>项目智慧环卫负责人</w:t>
            </w:r>
            <w:r>
              <w:rPr>
                <w:rStyle w:val="946"/>
                <w:rFonts w:hint="eastAsia" w:ascii="仿宋_GB2312" w:hAnsi="仿宋_GB2312" w:eastAsia="仿宋_GB2312" w:cs="仿宋_GB2312"/>
                <w:color w:val="auto"/>
                <w:kern w:val="0"/>
                <w:sz w:val="24"/>
                <w:szCs w:val="24"/>
                <w:highlight w:val="none"/>
                <w:u w:val="none"/>
              </w:rPr>
              <w:t>1人（</w:t>
            </w:r>
            <w:r>
              <w:rPr>
                <w:rStyle w:val="946"/>
                <w:rFonts w:hint="eastAsia" w:ascii="仿宋_GB2312" w:hAnsi="仿宋_GB2312" w:eastAsia="仿宋_GB2312" w:cs="仿宋_GB2312"/>
                <w:color w:val="auto"/>
                <w:kern w:val="0"/>
                <w:sz w:val="24"/>
                <w:szCs w:val="24"/>
                <w:highlight w:val="none"/>
                <w:u w:val="none"/>
                <w:lang w:val="en-US" w:eastAsia="zh-CN"/>
              </w:rPr>
              <w:t>5</w:t>
            </w:r>
            <w:r>
              <w:rPr>
                <w:rStyle w:val="946"/>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（1）具有</w:t>
            </w:r>
            <w:r>
              <w:rPr>
                <w:rFonts w:hint="eastAsia" w:ascii="仿宋_GB2312" w:hAnsi="仿宋_GB2312" w:eastAsia="仿宋_GB2312" w:cs="仿宋_GB2312"/>
                <w:color w:val="auto"/>
                <w:kern w:val="0"/>
                <w:sz w:val="24"/>
                <w:szCs w:val="24"/>
                <w:highlight w:val="none"/>
                <w:u w:val="none"/>
                <w:lang w:val="en-US" w:eastAsia="zh-CN"/>
              </w:rPr>
              <w:t>电子信息类专业</w:t>
            </w:r>
            <w:r>
              <w:rPr>
                <w:rFonts w:hint="eastAsia" w:ascii="仿宋_GB2312" w:hAnsi="仿宋_GB2312" w:eastAsia="仿宋_GB2312" w:cs="仿宋_GB2312"/>
                <w:color w:val="auto"/>
                <w:kern w:val="0"/>
                <w:sz w:val="24"/>
                <w:szCs w:val="24"/>
                <w:highlight w:val="none"/>
                <w:u w:val="none"/>
              </w:rPr>
              <w:t>博士研究生学历的，得3分；硕士研究生学历的，得2分；本科</w:t>
            </w:r>
            <w:r>
              <w:rPr>
                <w:rFonts w:hint="eastAsia" w:ascii="仿宋_GB2312" w:hAnsi="仿宋_GB2312" w:eastAsia="仿宋_GB2312" w:cs="仿宋_GB2312"/>
                <w:color w:val="auto"/>
                <w:kern w:val="0"/>
                <w:sz w:val="24"/>
                <w:szCs w:val="24"/>
                <w:highlight w:val="none"/>
                <w:u w:val="none"/>
                <w:lang w:val="en-US" w:eastAsia="zh-CN"/>
              </w:rPr>
              <w:t>或大专</w:t>
            </w:r>
            <w:r>
              <w:rPr>
                <w:rFonts w:hint="eastAsia" w:ascii="仿宋_GB2312" w:hAnsi="仿宋_GB2312" w:eastAsia="仿宋_GB2312" w:cs="仿宋_GB2312"/>
                <w:color w:val="auto"/>
                <w:kern w:val="0"/>
                <w:sz w:val="24"/>
                <w:szCs w:val="24"/>
                <w:highlight w:val="none"/>
                <w:u w:val="none"/>
              </w:rPr>
              <w:t>学历的，得1分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本小项最高得3分；</w:t>
            </w:r>
          </w:p>
          <w:p>
            <w:pPr>
              <w:spacing w:line="360" w:lineRule="auto"/>
              <w:rPr>
                <w:rFonts w:hint="eastAsia" w:ascii="仿宋_GB2312" w:hAnsi="仿宋_GB2312" w:eastAsia="仿宋_GB2312" w:cs="仿宋_GB2312"/>
                <w:sz w:val="24"/>
                <w:szCs w:val="24"/>
                <w:highlight w:val="none"/>
                <w:u w:val="none"/>
                <w:lang w:val="en-US"/>
              </w:rPr>
            </w:pPr>
            <w:r>
              <w:rPr>
                <w:rFonts w:hint="eastAsia" w:ascii="仿宋_GB2312" w:hAnsi="仿宋_GB2312" w:eastAsia="仿宋_GB2312" w:cs="仿宋_GB2312"/>
                <w:color w:val="auto"/>
                <w:kern w:val="0"/>
                <w:sz w:val="24"/>
                <w:szCs w:val="24"/>
                <w:highlight w:val="none"/>
                <w:u w:val="none"/>
              </w:rPr>
              <w:t>（2）具有人社部门颁发</w:t>
            </w:r>
            <w:r>
              <w:rPr>
                <w:rFonts w:hint="eastAsia" w:ascii="仿宋_GB2312" w:hAnsi="仿宋_GB2312" w:eastAsia="仿宋_GB2312" w:cs="仿宋_GB2312"/>
                <w:color w:val="auto"/>
                <w:kern w:val="0"/>
                <w:sz w:val="24"/>
                <w:szCs w:val="24"/>
                <w:highlight w:val="none"/>
                <w:u w:val="none"/>
                <w:lang w:val="en-US" w:eastAsia="zh-CN"/>
              </w:rPr>
              <w:t>的测绘工程专业中级及以上</w:t>
            </w:r>
            <w:r>
              <w:rPr>
                <w:rFonts w:hint="eastAsia" w:ascii="仿宋_GB2312" w:hAnsi="仿宋_GB2312" w:eastAsia="仿宋_GB2312" w:cs="仿宋_GB2312"/>
                <w:color w:val="auto"/>
                <w:kern w:val="0"/>
                <w:sz w:val="24"/>
                <w:szCs w:val="24"/>
                <w:highlight w:val="none"/>
                <w:u w:val="none"/>
              </w:rPr>
              <w:t>工程师职称</w:t>
            </w:r>
            <w:r>
              <w:rPr>
                <w:rFonts w:hint="eastAsia" w:ascii="仿宋_GB2312" w:hAnsi="仿宋_GB2312" w:eastAsia="仿宋_GB2312" w:cs="仿宋_GB2312"/>
                <w:color w:val="auto"/>
                <w:kern w:val="0"/>
                <w:sz w:val="24"/>
                <w:szCs w:val="24"/>
                <w:highlight w:val="none"/>
                <w:u w:val="none"/>
                <w:lang w:val="en-US" w:eastAsia="zh-CN"/>
              </w:rPr>
              <w:t>证书</w:t>
            </w:r>
            <w:r>
              <w:rPr>
                <w:rFonts w:hint="eastAsia" w:ascii="仿宋_GB2312" w:hAnsi="仿宋_GB2312" w:eastAsia="仿宋_GB2312" w:cs="仿宋_GB2312"/>
                <w:color w:val="auto"/>
                <w:kern w:val="0"/>
                <w:sz w:val="24"/>
                <w:szCs w:val="24"/>
                <w:highlight w:val="none"/>
                <w:u w:val="none"/>
              </w:rPr>
              <w:t>的</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得2分；初级工程师职称证书的，得1分；本小项最高得2分。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以上</w:t>
            </w:r>
            <w:r>
              <w:rPr>
                <w:rFonts w:hint="eastAsia" w:ascii="仿宋_GB2312" w:hAnsi="仿宋_GB2312" w:eastAsia="仿宋_GB2312" w:cs="仿宋_GB2312"/>
                <w:color w:val="auto"/>
                <w:kern w:val="0"/>
                <w:sz w:val="24"/>
                <w:szCs w:val="24"/>
                <w:highlight w:val="none"/>
                <w:u w:val="none"/>
                <w:lang w:val="en-US" w:eastAsia="zh-CN"/>
              </w:rPr>
              <w:t>两小</w:t>
            </w:r>
            <w:r>
              <w:rPr>
                <w:rFonts w:hint="eastAsia" w:ascii="仿宋_GB2312" w:hAnsi="仿宋_GB2312" w:eastAsia="仿宋_GB2312" w:cs="仿宋_GB2312"/>
                <w:color w:val="auto"/>
                <w:kern w:val="0"/>
                <w:sz w:val="24"/>
                <w:szCs w:val="24"/>
                <w:highlight w:val="none"/>
                <w:u w:val="none"/>
              </w:rPr>
              <w:t>项累计得分，本小项最高得</w:t>
            </w:r>
            <w:r>
              <w:rPr>
                <w:rFonts w:hint="eastAsia" w:ascii="仿宋_GB2312" w:hAnsi="仿宋_GB2312" w:eastAsia="仿宋_GB2312" w:cs="仿宋_GB2312"/>
                <w:color w:val="auto"/>
                <w:kern w:val="0"/>
                <w:sz w:val="24"/>
                <w:szCs w:val="24"/>
                <w:highlight w:val="none"/>
                <w:u w:val="none"/>
                <w:lang w:val="en-US" w:eastAsia="zh-CN"/>
              </w:rPr>
              <w:t>5</w:t>
            </w:r>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Style w:val="946"/>
                <w:rFonts w:hint="eastAsia" w:ascii="仿宋_GB2312" w:hAnsi="仿宋_GB2312" w:eastAsia="仿宋_GB2312" w:cs="仿宋_GB2312"/>
                <w:color w:val="auto"/>
                <w:kern w:val="0"/>
                <w:sz w:val="24"/>
                <w:szCs w:val="24"/>
                <w:highlight w:val="none"/>
                <w:u w:val="none"/>
                <w:lang w:val="en-US" w:eastAsia="zh-CN"/>
              </w:rPr>
              <w:t>3</w:t>
            </w:r>
            <w:r>
              <w:rPr>
                <w:rStyle w:val="946"/>
                <w:rFonts w:hint="eastAsia" w:ascii="仿宋_GB2312" w:hAnsi="仿宋_GB2312" w:eastAsia="仿宋_GB2312" w:cs="仿宋_GB2312"/>
                <w:color w:val="auto"/>
                <w:kern w:val="0"/>
                <w:sz w:val="24"/>
                <w:szCs w:val="24"/>
                <w:highlight w:val="none"/>
                <w:u w:val="none"/>
              </w:rPr>
              <w:t>、</w:t>
            </w:r>
            <w:r>
              <w:rPr>
                <w:rStyle w:val="946"/>
                <w:rFonts w:hint="eastAsia" w:ascii="仿宋_GB2312" w:hAnsi="仿宋_GB2312" w:eastAsia="仿宋_GB2312" w:cs="仿宋_GB2312"/>
                <w:color w:val="auto"/>
                <w:kern w:val="0"/>
                <w:sz w:val="24"/>
                <w:szCs w:val="24"/>
                <w:highlight w:val="none"/>
                <w:u w:val="none"/>
                <w:lang w:val="en-US" w:eastAsia="zh-CN"/>
              </w:rPr>
              <w:t>项目园林养护技术负责人</w:t>
            </w:r>
            <w:r>
              <w:rPr>
                <w:rStyle w:val="946"/>
                <w:rFonts w:hint="eastAsia" w:ascii="仿宋_GB2312" w:hAnsi="仿宋_GB2312" w:eastAsia="仿宋_GB2312" w:cs="仿宋_GB2312"/>
                <w:color w:val="auto"/>
                <w:kern w:val="0"/>
                <w:sz w:val="24"/>
                <w:szCs w:val="24"/>
                <w:highlight w:val="none"/>
                <w:u w:val="none"/>
              </w:rPr>
              <w:t>1人（</w:t>
            </w:r>
            <w:r>
              <w:rPr>
                <w:rStyle w:val="946"/>
                <w:rFonts w:hint="eastAsia" w:ascii="仿宋_GB2312" w:hAnsi="仿宋_GB2312" w:eastAsia="仿宋_GB2312" w:cs="仿宋_GB2312"/>
                <w:color w:val="auto"/>
                <w:kern w:val="0"/>
                <w:sz w:val="24"/>
                <w:szCs w:val="24"/>
                <w:highlight w:val="none"/>
                <w:u w:val="none"/>
                <w:lang w:val="en-US" w:eastAsia="zh-CN"/>
              </w:rPr>
              <w:t>4</w:t>
            </w:r>
            <w:r>
              <w:rPr>
                <w:rStyle w:val="946"/>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（1）具有</w:t>
            </w:r>
            <w:r>
              <w:rPr>
                <w:rFonts w:hint="eastAsia" w:ascii="仿宋_GB2312" w:hAnsi="仿宋_GB2312" w:eastAsia="仿宋_GB2312" w:cs="仿宋_GB2312"/>
                <w:color w:val="auto"/>
                <w:kern w:val="0"/>
                <w:sz w:val="24"/>
                <w:szCs w:val="24"/>
                <w:highlight w:val="none"/>
                <w:u w:val="none"/>
                <w:lang w:val="en-US" w:eastAsia="zh-CN"/>
              </w:rPr>
              <w:t>林学类</w:t>
            </w:r>
            <w:r>
              <w:rPr>
                <w:rFonts w:hint="eastAsia" w:ascii="仿宋_GB2312" w:hAnsi="仿宋_GB2312" w:eastAsia="仿宋_GB2312" w:cs="仿宋_GB2312"/>
                <w:color w:val="auto"/>
                <w:kern w:val="0"/>
                <w:sz w:val="24"/>
                <w:szCs w:val="24"/>
                <w:highlight w:val="none"/>
                <w:u w:val="none"/>
              </w:rPr>
              <w:t>专业</w:t>
            </w:r>
            <w:r>
              <w:rPr>
                <w:rFonts w:hint="eastAsia" w:ascii="仿宋_GB2312" w:hAnsi="仿宋_GB2312" w:eastAsia="仿宋_GB2312" w:cs="仿宋_GB2312"/>
                <w:color w:val="auto"/>
                <w:kern w:val="0"/>
                <w:sz w:val="24"/>
                <w:szCs w:val="24"/>
                <w:highlight w:val="none"/>
                <w:u w:val="none"/>
                <w:lang w:val="en-US" w:eastAsia="zh-CN"/>
              </w:rPr>
              <w:t>本科及以上学历的，得1分；大专</w:t>
            </w:r>
            <w:r>
              <w:rPr>
                <w:rFonts w:hint="eastAsia" w:ascii="仿宋_GB2312" w:hAnsi="仿宋_GB2312" w:eastAsia="仿宋_GB2312" w:cs="仿宋_GB2312"/>
                <w:color w:val="auto"/>
                <w:kern w:val="0"/>
                <w:sz w:val="24"/>
                <w:szCs w:val="24"/>
                <w:highlight w:val="none"/>
                <w:u w:val="none"/>
              </w:rPr>
              <w:t>学历的，得</w:t>
            </w:r>
            <w:r>
              <w:rPr>
                <w:rFonts w:hint="eastAsia" w:ascii="仿宋_GB2312" w:hAnsi="仿宋_GB2312" w:eastAsia="仿宋_GB2312" w:cs="仿宋_GB2312"/>
                <w:color w:val="auto"/>
                <w:kern w:val="0"/>
                <w:sz w:val="24"/>
                <w:szCs w:val="24"/>
                <w:highlight w:val="none"/>
                <w:u w:val="none"/>
                <w:lang w:val="en-US" w:eastAsia="zh-CN"/>
              </w:rPr>
              <w:t>0.5</w:t>
            </w:r>
            <w:r>
              <w:rPr>
                <w:rFonts w:hint="eastAsia" w:ascii="仿宋_GB2312" w:hAnsi="仿宋_GB2312" w:eastAsia="仿宋_GB2312" w:cs="仿宋_GB2312"/>
                <w:color w:val="auto"/>
                <w:kern w:val="0"/>
                <w:sz w:val="24"/>
                <w:szCs w:val="24"/>
                <w:highlight w:val="none"/>
                <w:u w:val="none"/>
              </w:rPr>
              <w:t>分；</w:t>
            </w:r>
          </w:p>
          <w:p>
            <w:pPr>
              <w:spacing w:line="360" w:lineRule="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（2）</w:t>
            </w:r>
            <w:r>
              <w:rPr>
                <w:rFonts w:hint="eastAsia" w:ascii="仿宋_GB2312" w:hAnsi="仿宋_GB2312" w:eastAsia="仿宋_GB2312" w:cs="仿宋_GB2312"/>
                <w:color w:val="auto"/>
                <w:kern w:val="0"/>
                <w:sz w:val="24"/>
                <w:szCs w:val="24"/>
                <w:highlight w:val="none"/>
                <w:u w:val="none"/>
                <w:lang w:val="en-US" w:eastAsia="zh-CN"/>
              </w:rPr>
              <w:t>具有</w:t>
            </w:r>
            <w:r>
              <w:rPr>
                <w:rFonts w:hint="eastAsia" w:ascii="仿宋_GB2312" w:hAnsi="仿宋_GB2312" w:eastAsia="仿宋_GB2312" w:cs="仿宋_GB2312"/>
                <w:color w:val="auto"/>
                <w:kern w:val="0"/>
                <w:sz w:val="24"/>
                <w:szCs w:val="24"/>
                <w:highlight w:val="none"/>
                <w:u w:val="none"/>
              </w:rPr>
              <w:t>人社部门颁发的园林绿化</w:t>
            </w:r>
            <w:r>
              <w:rPr>
                <w:rFonts w:hint="eastAsia" w:ascii="仿宋_GB2312" w:hAnsi="仿宋_GB2312" w:eastAsia="仿宋_GB2312" w:cs="仿宋_GB2312"/>
                <w:color w:val="auto"/>
                <w:kern w:val="0"/>
                <w:sz w:val="24"/>
                <w:szCs w:val="24"/>
                <w:highlight w:val="none"/>
                <w:u w:val="none"/>
                <w:lang w:val="en-US" w:eastAsia="zh-CN"/>
              </w:rPr>
              <w:t>类</w:t>
            </w:r>
            <w:r>
              <w:rPr>
                <w:rFonts w:hint="eastAsia" w:ascii="仿宋_GB2312" w:hAnsi="仿宋_GB2312" w:eastAsia="仿宋_GB2312" w:cs="仿宋_GB2312"/>
                <w:color w:val="auto"/>
                <w:kern w:val="0"/>
                <w:sz w:val="24"/>
                <w:szCs w:val="24"/>
                <w:highlight w:val="none"/>
                <w:u w:val="none"/>
              </w:rPr>
              <w:t>专业</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高级工程师职称证书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中级工程师职称证书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val="en-US" w:eastAsia="zh-CN"/>
              </w:rPr>
              <w:t>初级工程师职称证书的，得1分；</w:t>
            </w:r>
            <w:r>
              <w:rPr>
                <w:rFonts w:hint="eastAsia" w:ascii="仿宋_GB2312" w:hAnsi="仿宋_GB2312" w:eastAsia="仿宋_GB2312" w:cs="仿宋_GB2312"/>
                <w:color w:val="auto"/>
                <w:kern w:val="0"/>
                <w:sz w:val="24"/>
                <w:szCs w:val="24"/>
                <w:highlight w:val="none"/>
                <w:u w:val="none"/>
              </w:rPr>
              <w:t>本小项最高得</w:t>
            </w:r>
            <w:r>
              <w:rPr>
                <w:rFonts w:hint="eastAsia" w:ascii="仿宋_GB2312" w:hAnsi="仿宋_GB2312" w:eastAsia="仿宋_GB2312" w:cs="仿宋_GB2312"/>
                <w:color w:val="auto"/>
                <w:kern w:val="0"/>
                <w:sz w:val="24"/>
                <w:szCs w:val="24"/>
                <w:highlight w:val="none"/>
                <w:u w:val="none"/>
                <w:lang w:val="en-US" w:eastAsia="zh-CN"/>
              </w:rPr>
              <w:t>3分</w:t>
            </w:r>
            <w:r>
              <w:rPr>
                <w:rFonts w:hint="eastAsia" w:ascii="仿宋_GB2312" w:hAnsi="仿宋_GB2312" w:eastAsia="仿宋_GB2312" w:cs="仿宋_GB2312"/>
                <w:color w:val="auto"/>
                <w:kern w:val="0"/>
                <w:sz w:val="24"/>
                <w:szCs w:val="24"/>
                <w:highlight w:val="none"/>
                <w:u w:val="none"/>
              </w:rPr>
              <w:t>；</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以上</w:t>
            </w:r>
            <w:r>
              <w:rPr>
                <w:rFonts w:hint="eastAsia" w:ascii="仿宋_GB2312" w:hAnsi="仿宋_GB2312" w:eastAsia="仿宋_GB2312" w:cs="仿宋_GB2312"/>
                <w:color w:val="auto"/>
                <w:kern w:val="0"/>
                <w:sz w:val="24"/>
                <w:szCs w:val="24"/>
                <w:highlight w:val="none"/>
                <w:u w:val="none"/>
                <w:lang w:val="en-US" w:eastAsia="zh-CN"/>
              </w:rPr>
              <w:t>两小</w:t>
            </w:r>
            <w:r>
              <w:rPr>
                <w:rFonts w:hint="eastAsia" w:ascii="仿宋_GB2312" w:hAnsi="仿宋_GB2312" w:eastAsia="仿宋_GB2312" w:cs="仿宋_GB2312"/>
                <w:color w:val="auto"/>
                <w:kern w:val="0"/>
                <w:sz w:val="24"/>
                <w:szCs w:val="24"/>
                <w:highlight w:val="none"/>
                <w:u w:val="none"/>
              </w:rPr>
              <w:t>项累计得分，本小项最高得</w:t>
            </w:r>
            <w:r>
              <w:rPr>
                <w:rFonts w:hint="eastAsia" w:ascii="仿宋_GB2312" w:hAnsi="仿宋_GB2312" w:eastAsia="仿宋_GB2312" w:cs="仿宋_GB2312"/>
                <w:color w:val="auto"/>
                <w:kern w:val="0"/>
                <w:sz w:val="24"/>
                <w:szCs w:val="24"/>
                <w:highlight w:val="none"/>
                <w:u w:val="none"/>
                <w:lang w:val="en-US" w:eastAsia="zh-CN"/>
              </w:rPr>
              <w:t>4</w:t>
            </w:r>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Style w:val="946"/>
                <w:rFonts w:hint="eastAsia" w:ascii="仿宋_GB2312" w:hAnsi="仿宋_GB2312" w:eastAsia="仿宋_GB2312" w:cs="仿宋_GB2312"/>
                <w:color w:val="auto"/>
                <w:kern w:val="0"/>
                <w:sz w:val="24"/>
                <w:szCs w:val="24"/>
                <w:highlight w:val="none"/>
                <w:u w:val="none"/>
                <w:lang w:val="en-US" w:eastAsia="zh-CN"/>
              </w:rPr>
              <w:t>4</w:t>
            </w:r>
            <w:r>
              <w:rPr>
                <w:rStyle w:val="946"/>
                <w:rFonts w:hint="eastAsia" w:ascii="仿宋_GB2312" w:hAnsi="仿宋_GB2312" w:eastAsia="仿宋_GB2312" w:cs="仿宋_GB2312"/>
                <w:color w:val="auto"/>
                <w:kern w:val="0"/>
                <w:sz w:val="24"/>
                <w:szCs w:val="24"/>
                <w:highlight w:val="none"/>
                <w:u w:val="none"/>
              </w:rPr>
              <w:t>、</w:t>
            </w:r>
            <w:r>
              <w:rPr>
                <w:rStyle w:val="946"/>
                <w:rFonts w:hint="eastAsia" w:ascii="仿宋_GB2312" w:hAnsi="仿宋_GB2312" w:eastAsia="仿宋_GB2312" w:cs="仿宋_GB2312"/>
                <w:color w:val="auto"/>
                <w:kern w:val="0"/>
                <w:sz w:val="24"/>
                <w:szCs w:val="24"/>
                <w:highlight w:val="none"/>
                <w:u w:val="none"/>
                <w:lang w:val="en-US" w:eastAsia="zh-CN"/>
              </w:rPr>
              <w:t>项目市政养护技术负责人</w:t>
            </w:r>
            <w:r>
              <w:rPr>
                <w:rStyle w:val="946"/>
                <w:rFonts w:hint="eastAsia" w:ascii="仿宋_GB2312" w:hAnsi="仿宋_GB2312" w:eastAsia="仿宋_GB2312" w:cs="仿宋_GB2312"/>
                <w:color w:val="auto"/>
                <w:kern w:val="0"/>
                <w:sz w:val="24"/>
                <w:szCs w:val="24"/>
                <w:highlight w:val="none"/>
                <w:u w:val="none"/>
              </w:rPr>
              <w:t>1人（</w:t>
            </w:r>
            <w:r>
              <w:rPr>
                <w:rStyle w:val="946"/>
                <w:rFonts w:hint="eastAsia" w:ascii="仿宋_GB2312" w:hAnsi="仿宋_GB2312" w:eastAsia="仿宋_GB2312" w:cs="仿宋_GB2312"/>
                <w:color w:val="auto"/>
                <w:kern w:val="0"/>
                <w:sz w:val="24"/>
                <w:szCs w:val="24"/>
                <w:highlight w:val="none"/>
                <w:u w:val="none"/>
                <w:lang w:val="en-US" w:eastAsia="zh-CN"/>
              </w:rPr>
              <w:t>4</w:t>
            </w:r>
            <w:r>
              <w:rPr>
                <w:rStyle w:val="946"/>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（1）具有</w:t>
            </w:r>
            <w:r>
              <w:rPr>
                <w:rFonts w:hint="eastAsia" w:ascii="仿宋_GB2312" w:hAnsi="仿宋_GB2312" w:eastAsia="仿宋_GB2312" w:cs="仿宋_GB2312"/>
                <w:color w:val="auto"/>
                <w:kern w:val="0"/>
                <w:sz w:val="24"/>
                <w:szCs w:val="24"/>
                <w:highlight w:val="none"/>
                <w:u w:val="none"/>
                <w:lang w:val="en-US" w:eastAsia="zh-CN"/>
              </w:rPr>
              <w:t>工学类</w:t>
            </w:r>
            <w:r>
              <w:rPr>
                <w:rFonts w:hint="eastAsia" w:ascii="仿宋_GB2312" w:hAnsi="仿宋_GB2312" w:eastAsia="仿宋_GB2312" w:cs="仿宋_GB2312"/>
                <w:color w:val="auto"/>
                <w:kern w:val="0"/>
                <w:sz w:val="24"/>
                <w:szCs w:val="24"/>
                <w:highlight w:val="none"/>
                <w:u w:val="none"/>
              </w:rPr>
              <w:t>专业</w:t>
            </w:r>
            <w:r>
              <w:rPr>
                <w:rFonts w:hint="eastAsia" w:ascii="仿宋_GB2312" w:hAnsi="仿宋_GB2312" w:eastAsia="仿宋_GB2312" w:cs="仿宋_GB2312"/>
                <w:color w:val="auto"/>
                <w:kern w:val="0"/>
                <w:sz w:val="24"/>
                <w:szCs w:val="24"/>
                <w:highlight w:val="none"/>
                <w:u w:val="none"/>
                <w:lang w:val="en-US" w:eastAsia="zh-CN"/>
              </w:rPr>
              <w:t>本科及以上学历的，得1分；大专</w:t>
            </w:r>
            <w:r>
              <w:rPr>
                <w:rFonts w:hint="eastAsia" w:ascii="仿宋_GB2312" w:hAnsi="仿宋_GB2312" w:eastAsia="仿宋_GB2312" w:cs="仿宋_GB2312"/>
                <w:color w:val="auto"/>
                <w:kern w:val="0"/>
                <w:sz w:val="24"/>
                <w:szCs w:val="24"/>
                <w:highlight w:val="none"/>
                <w:u w:val="none"/>
              </w:rPr>
              <w:t>学历的，得</w:t>
            </w:r>
            <w:r>
              <w:rPr>
                <w:rFonts w:hint="eastAsia" w:ascii="仿宋_GB2312" w:hAnsi="仿宋_GB2312" w:eastAsia="仿宋_GB2312" w:cs="仿宋_GB2312"/>
                <w:color w:val="auto"/>
                <w:kern w:val="0"/>
                <w:sz w:val="24"/>
                <w:szCs w:val="24"/>
                <w:highlight w:val="none"/>
                <w:u w:val="none"/>
                <w:lang w:val="en-US" w:eastAsia="zh-CN"/>
              </w:rPr>
              <w:t>0.5</w:t>
            </w:r>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auto"/>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（2）</w:t>
            </w:r>
            <w:r>
              <w:rPr>
                <w:rFonts w:hint="eastAsia" w:ascii="仿宋_GB2312" w:hAnsi="仿宋_GB2312" w:eastAsia="仿宋_GB2312" w:cs="仿宋_GB2312"/>
                <w:color w:val="auto"/>
                <w:kern w:val="0"/>
                <w:sz w:val="24"/>
                <w:szCs w:val="24"/>
                <w:highlight w:val="none"/>
                <w:u w:val="none"/>
                <w:lang w:val="en-US" w:eastAsia="zh-CN"/>
              </w:rPr>
              <w:t>具有</w:t>
            </w:r>
            <w:r>
              <w:rPr>
                <w:rFonts w:hint="eastAsia" w:ascii="仿宋_GB2312" w:hAnsi="仿宋_GB2312" w:eastAsia="仿宋_GB2312" w:cs="仿宋_GB2312"/>
                <w:color w:val="auto"/>
                <w:kern w:val="0"/>
                <w:sz w:val="24"/>
                <w:szCs w:val="24"/>
                <w:highlight w:val="none"/>
                <w:u w:val="none"/>
              </w:rPr>
              <w:t>人社部门颁发</w:t>
            </w:r>
            <w:r>
              <w:rPr>
                <w:rFonts w:hint="eastAsia" w:ascii="仿宋_GB2312" w:hAnsi="仿宋_GB2312" w:eastAsia="仿宋_GB2312" w:cs="仿宋_GB2312"/>
                <w:color w:val="auto"/>
                <w:kern w:val="0"/>
                <w:sz w:val="24"/>
                <w:szCs w:val="24"/>
                <w:highlight w:val="none"/>
                <w:u w:val="none"/>
                <w:lang w:val="en-US" w:eastAsia="zh-CN"/>
              </w:rPr>
              <w:t>的市政类</w:t>
            </w:r>
            <w:r>
              <w:rPr>
                <w:rFonts w:hint="eastAsia" w:ascii="仿宋_GB2312" w:hAnsi="仿宋_GB2312" w:eastAsia="仿宋_GB2312" w:cs="仿宋_GB2312"/>
                <w:color w:val="auto"/>
                <w:kern w:val="0"/>
                <w:sz w:val="24"/>
                <w:szCs w:val="24"/>
                <w:highlight w:val="none"/>
                <w:u w:val="none"/>
              </w:rPr>
              <w:t>专业</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高级工程师职称证书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中级工程师职称证书</w:t>
            </w:r>
            <w:r>
              <w:rPr>
                <w:rFonts w:hint="eastAsia" w:ascii="仿宋_GB2312" w:hAnsi="仿宋_GB2312" w:eastAsia="仿宋_GB2312" w:cs="仿宋_GB2312"/>
                <w:color w:val="auto"/>
                <w:kern w:val="0"/>
                <w:sz w:val="24"/>
                <w:szCs w:val="24"/>
                <w:highlight w:val="none"/>
                <w:u w:val="none"/>
                <w:lang w:val="en-US" w:eastAsia="zh-CN"/>
              </w:rPr>
              <w:t>的</w:t>
            </w:r>
            <w:r>
              <w:rPr>
                <w:rFonts w:hint="eastAsia" w:ascii="仿宋_GB2312" w:hAnsi="仿宋_GB2312" w:eastAsia="仿宋_GB2312" w:cs="仿宋_GB2312"/>
                <w:color w:val="auto"/>
                <w:kern w:val="0"/>
                <w:sz w:val="24"/>
                <w:szCs w:val="24"/>
                <w:highlight w:val="none"/>
                <w:u w:val="none"/>
              </w:rPr>
              <w:t>，</w:t>
            </w:r>
            <w:r>
              <w:rPr>
                <w:rFonts w:hint="eastAsia" w:ascii="仿宋_GB2312" w:hAnsi="仿宋_GB2312" w:eastAsia="仿宋_GB2312" w:cs="仿宋_GB2312"/>
                <w:color w:val="auto"/>
                <w:kern w:val="0"/>
                <w:sz w:val="24"/>
                <w:szCs w:val="24"/>
                <w:highlight w:val="none"/>
                <w:u w:val="none"/>
                <w:lang w:val="en-US" w:eastAsia="zh-CN"/>
              </w:rPr>
              <w:t>得2</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val="en-US" w:eastAsia="zh-CN"/>
              </w:rPr>
              <w:t>初级工程师职称证书的，得1分；</w:t>
            </w:r>
            <w:r>
              <w:rPr>
                <w:rFonts w:hint="eastAsia" w:ascii="仿宋_GB2312" w:hAnsi="仿宋_GB2312" w:eastAsia="仿宋_GB2312" w:cs="仿宋_GB2312"/>
                <w:color w:val="auto"/>
                <w:kern w:val="0"/>
                <w:sz w:val="24"/>
                <w:szCs w:val="24"/>
                <w:highlight w:val="none"/>
                <w:u w:val="none"/>
              </w:rPr>
              <w:t>本小项最高得</w:t>
            </w:r>
            <w:r>
              <w:rPr>
                <w:rFonts w:hint="eastAsia" w:ascii="仿宋_GB2312" w:hAnsi="仿宋_GB2312" w:eastAsia="仿宋_GB2312" w:cs="仿宋_GB2312"/>
                <w:color w:val="auto"/>
                <w:kern w:val="0"/>
                <w:sz w:val="24"/>
                <w:szCs w:val="24"/>
                <w:highlight w:val="none"/>
                <w:u w:val="none"/>
                <w:lang w:val="en-US" w:eastAsia="zh-CN"/>
              </w:rPr>
              <w:t>3分</w:t>
            </w:r>
            <w:r>
              <w:rPr>
                <w:rFonts w:hint="eastAsia" w:ascii="仿宋_GB2312" w:hAnsi="仿宋_GB2312" w:eastAsia="仿宋_GB2312" w:cs="仿宋_GB2312"/>
                <w:color w:val="auto"/>
                <w:kern w:val="0"/>
                <w:sz w:val="24"/>
                <w:szCs w:val="24"/>
                <w:highlight w:val="none"/>
                <w:u w:val="none"/>
              </w:rPr>
              <w:t>；</w:t>
            </w:r>
          </w:p>
          <w:p>
            <w:pPr>
              <w:widowControl/>
              <w:spacing w:line="360" w:lineRule="auto"/>
              <w:jc w:val="left"/>
              <w:textAlignment w:val="center"/>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color w:val="auto"/>
                <w:kern w:val="0"/>
                <w:sz w:val="24"/>
                <w:szCs w:val="24"/>
                <w:highlight w:val="none"/>
                <w:u w:val="none"/>
              </w:rPr>
              <w:t>以上</w:t>
            </w:r>
            <w:r>
              <w:rPr>
                <w:rFonts w:hint="eastAsia" w:ascii="仿宋_GB2312" w:hAnsi="仿宋_GB2312" w:eastAsia="仿宋_GB2312" w:cs="仿宋_GB2312"/>
                <w:color w:val="auto"/>
                <w:kern w:val="0"/>
                <w:sz w:val="24"/>
                <w:szCs w:val="24"/>
                <w:highlight w:val="none"/>
                <w:u w:val="none"/>
                <w:lang w:val="en-US" w:eastAsia="zh-CN"/>
              </w:rPr>
              <w:t>两小</w:t>
            </w:r>
            <w:r>
              <w:rPr>
                <w:rFonts w:hint="eastAsia" w:ascii="仿宋_GB2312" w:hAnsi="仿宋_GB2312" w:eastAsia="仿宋_GB2312" w:cs="仿宋_GB2312"/>
                <w:color w:val="auto"/>
                <w:kern w:val="0"/>
                <w:sz w:val="24"/>
                <w:szCs w:val="24"/>
                <w:highlight w:val="none"/>
                <w:u w:val="none"/>
              </w:rPr>
              <w:t>项累计得分，本小项最高得</w:t>
            </w:r>
            <w:r>
              <w:rPr>
                <w:rFonts w:hint="eastAsia" w:ascii="仿宋_GB2312" w:hAnsi="仿宋_GB2312" w:eastAsia="仿宋_GB2312" w:cs="仿宋_GB2312"/>
                <w:color w:val="auto"/>
                <w:kern w:val="0"/>
                <w:sz w:val="24"/>
                <w:szCs w:val="24"/>
                <w:highlight w:val="none"/>
                <w:u w:val="none"/>
                <w:lang w:val="en-US" w:eastAsia="zh-CN"/>
              </w:rPr>
              <w:t>4</w:t>
            </w:r>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rPr>
              <w:t>上述</w:t>
            </w:r>
            <w:r>
              <w:rPr>
                <w:rFonts w:hint="eastAsia" w:ascii="仿宋_GB2312" w:hAnsi="仿宋_GB2312" w:eastAsia="仿宋_GB2312" w:cs="仿宋_GB2312"/>
                <w:color w:val="auto"/>
                <w:kern w:val="0"/>
                <w:sz w:val="24"/>
                <w:szCs w:val="24"/>
                <w:highlight w:val="none"/>
                <w:u w:val="none"/>
                <w:lang w:val="en-US" w:eastAsia="zh-CN"/>
              </w:rPr>
              <w:t>四</w:t>
            </w:r>
            <w:r>
              <w:rPr>
                <w:rFonts w:hint="eastAsia" w:ascii="仿宋_GB2312" w:hAnsi="仿宋_GB2312" w:eastAsia="仿宋_GB2312" w:cs="仿宋_GB2312"/>
                <w:color w:val="auto"/>
                <w:kern w:val="0"/>
                <w:sz w:val="24"/>
                <w:szCs w:val="24"/>
                <w:highlight w:val="none"/>
                <w:u w:val="none"/>
              </w:rPr>
              <w:t>项累计得分，本项最高得</w:t>
            </w:r>
            <w:r>
              <w:rPr>
                <w:rFonts w:hint="eastAsia" w:ascii="仿宋_GB2312" w:hAnsi="仿宋_GB2312" w:eastAsia="仿宋_GB2312" w:cs="仿宋_GB2312"/>
                <w:color w:val="auto"/>
                <w:kern w:val="0"/>
                <w:sz w:val="24"/>
                <w:szCs w:val="24"/>
                <w:highlight w:val="none"/>
                <w:u w:val="none"/>
                <w:lang w:val="en-US" w:eastAsia="zh-CN"/>
              </w:rPr>
              <w:t>20</w:t>
            </w:r>
            <w:bookmarkStart w:id="176" w:name="_GoBack"/>
            <w:bookmarkEnd w:id="176"/>
            <w:r>
              <w:rPr>
                <w:rFonts w:hint="eastAsia" w:ascii="仿宋_GB2312" w:hAnsi="仿宋_GB2312" w:eastAsia="仿宋_GB2312" w:cs="仿宋_GB2312"/>
                <w:color w:val="auto"/>
                <w:kern w:val="0"/>
                <w:sz w:val="24"/>
                <w:szCs w:val="24"/>
                <w:highlight w:val="none"/>
                <w:u w:val="none"/>
              </w:rPr>
              <w:t>分。</w:t>
            </w:r>
          </w:p>
          <w:p>
            <w:pPr>
              <w:widowControl/>
              <w:spacing w:line="360" w:lineRule="auto"/>
              <w:jc w:val="left"/>
              <w:textAlignment w:val="center"/>
              <w:rPr>
                <w:rFonts w:hint="eastAsia" w:ascii="仿宋_GB2312" w:hAnsi="仿宋_GB2312" w:eastAsia="仿宋_GB2312" w:cs="仿宋_GB2312"/>
                <w:b/>
                <w:bCs/>
                <w:color w:val="auto"/>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（二）评分依据：</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rPr>
              <w:t>1、提供证书扫描件作为得分依据</w:t>
            </w:r>
            <w:r>
              <w:rPr>
                <w:rFonts w:hint="eastAsia" w:ascii="仿宋_GB2312" w:hAnsi="仿宋_GB2312" w:eastAsia="仿宋_GB2312" w:cs="仿宋_GB2312"/>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2、参评学历需符合专业要求，</w:t>
            </w:r>
            <w:r>
              <w:rPr>
                <w:rFonts w:hint="eastAsia" w:ascii="仿宋_GB2312" w:hAnsi="仿宋_GB2312" w:eastAsia="仿宋_GB2312" w:cs="仿宋_GB2312"/>
                <w:color w:val="auto"/>
                <w:kern w:val="0"/>
                <w:sz w:val="24"/>
                <w:szCs w:val="24"/>
                <w:highlight w:val="none"/>
                <w:u w:val="none"/>
              </w:rPr>
              <w:t>学历证书还需提供学信网查询记录，对于较早颁发的学历证书，学信网无法查询的，除提供证书扫描件、注明原件备查外，可提供其他佐证材料（如毕业院校、人社部门等颁发机构或监管机构等单位出具的证明）作为得分依据；留学归国人员如无法提供学信网查询记录截图，提供国（境）外学历证书扫描件（以及中文翻译件）和教育部留学服务中心出具的国外学历认证书扫描件【或教育部留学服务中心网站在线查询截图】也予以认可，扫描件需</w:t>
            </w:r>
            <w:r>
              <w:rPr>
                <w:rFonts w:hint="eastAsia" w:ascii="仿宋_GB2312" w:hAnsi="仿宋_GB2312" w:eastAsia="仿宋_GB2312" w:cs="仿宋_GB2312"/>
                <w:color w:val="auto"/>
                <w:kern w:val="0"/>
                <w:sz w:val="24"/>
                <w:szCs w:val="24"/>
                <w:highlight w:val="none"/>
                <w:u w:val="none"/>
                <w:lang w:eastAsia="zh-CN"/>
              </w:rPr>
              <w:t>加盖电子章</w:t>
            </w:r>
            <w:r>
              <w:rPr>
                <w:rFonts w:hint="eastAsia" w:ascii="仿宋_GB2312" w:hAnsi="仿宋_GB2312" w:eastAsia="仿宋_GB2312" w:cs="仿宋_GB2312"/>
                <w:color w:val="auto"/>
                <w:kern w:val="0"/>
                <w:sz w:val="24"/>
                <w:szCs w:val="24"/>
                <w:highlight w:val="none"/>
                <w:u w:val="none"/>
              </w:rPr>
              <w:t>，否则不得分；</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3</w:t>
            </w:r>
            <w:r>
              <w:rPr>
                <w:rFonts w:hint="eastAsia" w:ascii="仿宋_GB2312" w:hAnsi="仿宋_GB2312" w:eastAsia="仿宋_GB2312" w:cs="仿宋_GB2312"/>
                <w:color w:val="auto"/>
                <w:kern w:val="0"/>
                <w:sz w:val="24"/>
                <w:szCs w:val="24"/>
                <w:highlight w:val="none"/>
                <w:u w:val="none"/>
              </w:rPr>
              <w:t>、</w:t>
            </w:r>
            <w:r>
              <w:rPr>
                <w:rFonts w:hint="eastAsia" w:ascii="仿宋_GB2312" w:hAnsi="仿宋_GB2312" w:eastAsia="仿宋_GB2312" w:cs="仿宋_GB2312"/>
                <w:color w:val="auto"/>
                <w:kern w:val="0"/>
                <w:sz w:val="24"/>
                <w:szCs w:val="24"/>
                <w:highlight w:val="none"/>
                <w:u w:val="none"/>
                <w:lang w:val="en-US" w:eastAsia="zh-CN"/>
              </w:rPr>
              <w:t>智慧环卫类项目管理经验，需提供：</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①项目</w:t>
            </w:r>
            <w:r>
              <w:rPr>
                <w:rFonts w:hint="eastAsia" w:ascii="仿宋_GB2312" w:hAnsi="仿宋_GB2312" w:eastAsia="仿宋_GB2312" w:cs="仿宋_GB2312"/>
                <w:color w:val="auto"/>
                <w:kern w:val="0"/>
                <w:sz w:val="24"/>
                <w:szCs w:val="24"/>
                <w:highlight w:val="none"/>
                <w:u w:val="none"/>
              </w:rPr>
              <w:t>合同关键信息（包括但不限于合同甲乙双方名称、服务项目名称、涉及业绩的服务内容、服务期限、签订合同时间、甲乙双方公章等关键信息）以及招标文件和中标通知书扫描件，并</w:t>
            </w:r>
            <w:r>
              <w:rPr>
                <w:rFonts w:hint="eastAsia" w:ascii="仿宋_GB2312" w:hAnsi="仿宋_GB2312" w:eastAsia="仿宋_GB2312" w:cs="仿宋_GB2312"/>
                <w:color w:val="auto"/>
                <w:kern w:val="0"/>
                <w:sz w:val="24"/>
                <w:szCs w:val="24"/>
                <w:highlight w:val="none"/>
                <w:u w:val="none"/>
                <w:lang w:eastAsia="zh-CN"/>
              </w:rPr>
              <w:t>加盖电子章，</w:t>
            </w:r>
            <w:r>
              <w:rPr>
                <w:rFonts w:hint="eastAsia" w:ascii="仿宋_GB2312" w:hAnsi="仿宋_GB2312" w:eastAsia="仿宋_GB2312" w:cs="仿宋_GB2312"/>
                <w:color w:val="auto"/>
                <w:kern w:val="0"/>
                <w:sz w:val="24"/>
                <w:szCs w:val="24"/>
                <w:highlight w:val="none"/>
                <w:u w:val="none"/>
              </w:rPr>
              <w:t>招标文件或中标通知书或合同服务内容须体现配备具备自动驾驶或无人驾驶或智能驾驶功能的车辆或机具设备；</w:t>
            </w:r>
          </w:p>
          <w:p>
            <w:pPr>
              <w:spacing w:line="360" w:lineRule="auto"/>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②该人员在项目履约期间，在该项目中标单位的社保缴纳证明；</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4、</w:t>
            </w:r>
            <w:r>
              <w:rPr>
                <w:rFonts w:hint="eastAsia" w:ascii="仿宋_GB2312" w:hAnsi="仿宋_GB2312" w:eastAsia="仿宋_GB2312" w:cs="仿宋_GB2312"/>
                <w:color w:val="auto"/>
                <w:kern w:val="0"/>
                <w:sz w:val="24"/>
                <w:szCs w:val="24"/>
                <w:highlight w:val="none"/>
                <w:u w:val="none"/>
              </w:rPr>
              <w:t>同时提供投标截止日前投标人</w:t>
            </w:r>
            <w:r>
              <w:rPr>
                <w:rFonts w:hint="eastAsia" w:ascii="仿宋_GB2312" w:hAnsi="仿宋_GB2312" w:eastAsia="仿宋_GB2312" w:cs="仿宋_GB2312"/>
                <w:color w:val="auto"/>
                <w:kern w:val="0"/>
                <w:sz w:val="24"/>
                <w:szCs w:val="24"/>
                <w:highlight w:val="none"/>
                <w:u w:val="none"/>
                <w:lang w:val="en-US" w:eastAsia="zh-CN"/>
              </w:rPr>
              <w:t>为以上员工</w:t>
            </w:r>
            <w:r>
              <w:rPr>
                <w:rFonts w:hint="eastAsia" w:ascii="仿宋_GB2312" w:hAnsi="仿宋_GB2312" w:eastAsia="仿宋_GB2312" w:cs="仿宋_GB2312"/>
                <w:color w:val="auto"/>
                <w:kern w:val="0"/>
                <w:sz w:val="24"/>
                <w:szCs w:val="24"/>
                <w:highlight w:val="none"/>
                <w:u w:val="none"/>
              </w:rPr>
              <w:t>缴纳的近</w:t>
            </w:r>
            <w:r>
              <w:rPr>
                <w:rFonts w:hint="eastAsia" w:ascii="仿宋_GB2312" w:hAnsi="仿宋_GB2312" w:eastAsia="仿宋_GB2312" w:cs="仿宋_GB2312"/>
                <w:color w:val="auto"/>
                <w:kern w:val="0"/>
                <w:sz w:val="24"/>
                <w:szCs w:val="24"/>
                <w:highlight w:val="none"/>
                <w:u w:val="none"/>
                <w:lang w:eastAsia="zh-CN"/>
              </w:rPr>
              <w:t>3个月连续</w:t>
            </w:r>
            <w:r>
              <w:rPr>
                <w:rFonts w:hint="eastAsia" w:ascii="仿宋_GB2312" w:hAnsi="仿宋_GB2312" w:eastAsia="仿宋_GB2312" w:cs="仿宋_GB2312"/>
                <w:color w:val="auto"/>
                <w:kern w:val="0"/>
                <w:sz w:val="24"/>
                <w:szCs w:val="24"/>
                <w:highlight w:val="none"/>
                <w:u w:val="none"/>
                <w:lang w:val="en-US" w:eastAsia="zh-CN"/>
              </w:rPr>
              <w:t>缴纳的社保缴纳证明</w:t>
            </w:r>
            <w:r>
              <w:rPr>
                <w:rFonts w:hint="eastAsia" w:ascii="仿宋_GB2312" w:hAnsi="仿宋_GB2312" w:eastAsia="仿宋_GB2312" w:cs="仿宋_GB2312"/>
                <w:kern w:val="0"/>
                <w:sz w:val="24"/>
                <w:szCs w:val="24"/>
                <w:highlight w:val="none"/>
                <w:u w:val="none"/>
                <w:lang w:eastAsia="zh-CN"/>
              </w:rPr>
              <w:t>（加盖电子章）</w:t>
            </w:r>
            <w:r>
              <w:rPr>
                <w:rFonts w:hint="eastAsia" w:ascii="仿宋_GB2312" w:hAnsi="仿宋_GB2312" w:eastAsia="仿宋_GB2312" w:cs="仿宋_GB2312"/>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val="en-US"/>
              </w:rPr>
            </w:pPr>
            <w:r>
              <w:rPr>
                <w:rFonts w:hint="eastAsia" w:ascii="仿宋_GB2312" w:hAnsi="仿宋_GB2312" w:eastAsia="仿宋_GB2312" w:cs="仿宋_GB2312"/>
                <w:color w:val="auto"/>
                <w:kern w:val="0"/>
                <w:sz w:val="24"/>
                <w:szCs w:val="24"/>
                <w:highlight w:val="none"/>
                <w:u w:val="none"/>
                <w:lang w:val="en-US" w:eastAsia="zh-CN"/>
              </w:rPr>
              <w:t>5、本次招标所有评分项中，</w:t>
            </w:r>
            <w:r>
              <w:rPr>
                <w:rFonts w:hint="eastAsia" w:ascii="仿宋_GB2312" w:hAnsi="仿宋_GB2312" w:eastAsia="仿宋_GB2312" w:cs="仿宋_GB2312"/>
                <w:color w:val="auto"/>
                <w:kern w:val="0"/>
                <w:sz w:val="24"/>
                <w:szCs w:val="24"/>
                <w:highlight w:val="none"/>
                <w:u w:val="none"/>
              </w:rPr>
              <w:t>同一人员</w:t>
            </w:r>
            <w:r>
              <w:rPr>
                <w:rFonts w:hint="eastAsia" w:ascii="仿宋_GB2312" w:hAnsi="仿宋_GB2312" w:eastAsia="仿宋_GB2312" w:cs="仿宋_GB2312"/>
                <w:color w:val="auto"/>
                <w:kern w:val="0"/>
                <w:sz w:val="24"/>
                <w:szCs w:val="24"/>
                <w:highlight w:val="none"/>
                <w:u w:val="none"/>
                <w:lang w:val="en-US" w:eastAsia="zh-CN"/>
              </w:rPr>
              <w:t>不得兼任；</w:t>
            </w:r>
          </w:p>
          <w:p>
            <w:pPr>
              <w:widowControl/>
              <w:spacing w:line="360" w:lineRule="auto"/>
              <w:jc w:val="left"/>
              <w:textAlignment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lang w:val="en-US" w:eastAsia="zh-CN"/>
              </w:rPr>
              <w:t>6、</w:t>
            </w:r>
            <w:r>
              <w:rPr>
                <w:rFonts w:hint="eastAsia" w:ascii="仿宋_GB2312" w:hAnsi="仿宋_GB2312" w:eastAsia="仿宋_GB2312" w:cs="仿宋_GB2312"/>
                <w:color w:val="auto"/>
                <w:kern w:val="0"/>
                <w:sz w:val="24"/>
                <w:szCs w:val="24"/>
                <w:highlight w:val="none"/>
                <w:u w:val="none"/>
              </w:rPr>
              <w:t>评分中出现无证明资料或者专家无法凭所提供资料判断是否得分的情况，一律做不得分处理。</w:t>
            </w:r>
          </w:p>
        </w:tc>
        <w:tc>
          <w:tcPr>
            <w:tcW w:w="684" w:type="dxa"/>
            <w:noWrap w:val="0"/>
            <w:vAlign w:val="center"/>
          </w:tcPr>
          <w:p>
            <w:pPr>
              <w:snapToGrid w:val="0"/>
              <w:spacing w:line="360" w:lineRule="auto"/>
              <w:jc w:val="center"/>
              <w:rPr>
                <w:rFonts w:hint="default"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20</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i w:val="0"/>
                <w:iCs w:val="0"/>
                <w:color w:val="auto"/>
                <w:kern w:val="2"/>
                <w:sz w:val="24"/>
                <w:szCs w:val="24"/>
                <w:highlight w:val="none"/>
                <w:lang w:val="en-US" w:eastAsia="zh-CN" w:bidi="ar-SA"/>
              </w:rPr>
            </w:pPr>
            <w:r>
              <w:rPr>
                <w:rFonts w:hint="eastAsia" w:ascii="仿宋_GB2312" w:hAnsi="仿宋_GB2312" w:eastAsia="仿宋_GB2312" w:cs="仿宋_GB2312"/>
                <w:i w:val="0"/>
                <w:iCs w:val="0"/>
                <w:color w:val="auto"/>
                <w:kern w:val="2"/>
                <w:sz w:val="24"/>
                <w:szCs w:val="24"/>
                <w:highlight w:val="none"/>
                <w:lang w:val="en-US" w:eastAsia="zh-CN" w:bidi="ar-SA"/>
              </w:rPr>
              <w:t>管理团队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w:t>
            </w:r>
          </w:p>
        </w:tc>
        <w:tc>
          <w:tcPr>
            <w:tcW w:w="6012" w:type="dxa"/>
            <w:noWrap w:val="0"/>
            <w:vAlign w:val="center"/>
          </w:tcPr>
          <w:p>
            <w:pPr>
              <w:widowControl/>
              <w:spacing w:line="360" w:lineRule="auto"/>
              <w:jc w:val="left"/>
              <w:textAlignment w:val="center"/>
              <w:rPr>
                <w:rStyle w:val="946"/>
                <w:rFonts w:hint="eastAsia" w:ascii="仿宋_GB2312" w:hAnsi="仿宋_GB2312" w:eastAsia="仿宋_GB2312" w:cs="仿宋_GB2312"/>
                <w:b/>
                <w:bCs/>
                <w:color w:val="auto"/>
                <w:kern w:val="0"/>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（一）评分内容</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投标人拟安排的项目技术团队成员必须为投标单位员工，否则不得分：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1、绿化养护技术人员配置（2分）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具有人社部门颁发的</w:t>
            </w:r>
            <w:r>
              <w:rPr>
                <w:rStyle w:val="946"/>
                <w:rFonts w:hint="eastAsia" w:ascii="仿宋_GB2312" w:hAnsi="仿宋_GB2312" w:eastAsia="仿宋_GB2312" w:cs="仿宋_GB2312"/>
                <w:color w:val="auto"/>
                <w:kern w:val="0"/>
                <w:sz w:val="24"/>
                <w:szCs w:val="24"/>
                <w:highlight w:val="none"/>
                <w:u w:val="none"/>
                <w:lang w:eastAsia="zh-CN"/>
              </w:rPr>
              <w:t>园林</w:t>
            </w:r>
            <w:r>
              <w:rPr>
                <w:rStyle w:val="946"/>
                <w:rFonts w:hint="eastAsia" w:ascii="仿宋_GB2312" w:hAnsi="仿宋_GB2312" w:eastAsia="仿宋_GB2312" w:cs="仿宋_GB2312"/>
                <w:color w:val="auto"/>
                <w:kern w:val="0"/>
                <w:sz w:val="24"/>
                <w:szCs w:val="24"/>
                <w:highlight w:val="none"/>
                <w:u w:val="none"/>
              </w:rPr>
              <w:t>绿化</w:t>
            </w:r>
            <w:r>
              <w:rPr>
                <w:rStyle w:val="946"/>
                <w:rFonts w:hint="eastAsia" w:ascii="仿宋_GB2312" w:hAnsi="仿宋_GB2312" w:eastAsia="仿宋_GB2312" w:cs="仿宋_GB2312"/>
                <w:color w:val="auto"/>
                <w:kern w:val="0"/>
                <w:sz w:val="24"/>
                <w:szCs w:val="24"/>
                <w:highlight w:val="none"/>
                <w:u w:val="none"/>
                <w:lang w:val="en-US" w:eastAsia="zh-CN"/>
              </w:rPr>
              <w:t>类专业工程师职称的，</w:t>
            </w:r>
            <w:r>
              <w:rPr>
                <w:rStyle w:val="946"/>
                <w:rFonts w:hint="eastAsia" w:ascii="仿宋_GB2312" w:hAnsi="仿宋_GB2312" w:eastAsia="仿宋_GB2312" w:cs="仿宋_GB2312"/>
                <w:color w:val="auto"/>
                <w:kern w:val="0"/>
                <w:sz w:val="24"/>
                <w:szCs w:val="24"/>
                <w:highlight w:val="none"/>
                <w:u w:val="none"/>
              </w:rPr>
              <w:t>在4人（含）及以上的得2分，本小项最高得2分。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2、河道养护技术人员配置（2分）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具有政府海事管理机构颁发的中华人民共和国内河船舶船员适任证书的，在4人（含）及以上的得2分，本小项最高得2分。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3、市政养护技术人员配置（2分）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具有人社部门颁发的</w:t>
            </w:r>
            <w:r>
              <w:rPr>
                <w:rStyle w:val="946"/>
                <w:rFonts w:hint="eastAsia" w:ascii="仿宋_GB2312" w:hAnsi="仿宋_GB2312" w:eastAsia="仿宋_GB2312" w:cs="仿宋_GB2312"/>
                <w:color w:val="auto"/>
                <w:kern w:val="0"/>
                <w:sz w:val="24"/>
                <w:szCs w:val="24"/>
                <w:highlight w:val="none"/>
                <w:u w:val="none"/>
                <w:lang w:val="en-US" w:eastAsia="zh-CN"/>
              </w:rPr>
              <w:t>市政类专业工程师职称的，</w:t>
            </w:r>
            <w:r>
              <w:rPr>
                <w:rStyle w:val="946"/>
                <w:rFonts w:hint="eastAsia" w:ascii="仿宋_GB2312" w:hAnsi="仿宋_GB2312" w:eastAsia="仿宋_GB2312" w:cs="仿宋_GB2312"/>
                <w:color w:val="auto"/>
                <w:kern w:val="0"/>
                <w:sz w:val="24"/>
                <w:szCs w:val="24"/>
                <w:highlight w:val="none"/>
                <w:u w:val="none"/>
              </w:rPr>
              <w:t>在4人（含）及以上的得2分，本小项最高得2分。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4、其他技术人员配置（2分）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具有政府应急管理部门颁发的高处作业操作证的，每提供1人得1分，本小项最高得2分。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上述四项累计得分，本项最高得8分。</w:t>
            </w:r>
          </w:p>
          <w:p>
            <w:pPr>
              <w:widowControl/>
              <w:spacing w:line="360" w:lineRule="auto"/>
              <w:jc w:val="left"/>
              <w:textAlignment w:val="center"/>
              <w:rPr>
                <w:rStyle w:val="946"/>
                <w:rFonts w:hint="eastAsia" w:ascii="仿宋_GB2312" w:hAnsi="仿宋_GB2312" w:eastAsia="仿宋_GB2312" w:cs="仿宋_GB2312"/>
                <w:b/>
                <w:bCs/>
                <w:color w:val="auto"/>
                <w:kern w:val="0"/>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（二）评分依据</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1、提供证书扫描件并加盖电子章作为得分依据，缺一不可，否则不得分；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2、同时提供投标截止日前投标人为以上员工缴纳的近3个月连续缴纳的社保缴纳证明（加盖电子章），否则不得分；</w:t>
            </w:r>
          </w:p>
          <w:p>
            <w:pPr>
              <w:widowControl/>
              <w:spacing w:line="360" w:lineRule="auto"/>
              <w:jc w:val="left"/>
              <w:textAlignment w:val="center"/>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3、本次招标所有评分项中，同一人员不得兼任；</w:t>
            </w:r>
          </w:p>
          <w:p>
            <w:pPr>
              <w:widowControl/>
              <w:spacing w:line="360" w:lineRule="auto"/>
              <w:jc w:val="left"/>
              <w:textAlignment w:val="center"/>
              <w:rPr>
                <w:rFonts w:hint="eastAsia" w:ascii="仿宋_GB2312" w:hAnsi="仿宋_GB2312" w:eastAsia="仿宋_GB2312" w:cs="仿宋_GB2312"/>
                <w:color w:val="auto"/>
                <w:kern w:val="2"/>
                <w:sz w:val="24"/>
                <w:szCs w:val="24"/>
                <w:highlight w:val="none"/>
                <w:u w:val="none"/>
                <w:lang w:val="en-US" w:eastAsia="zh-CN" w:bidi="ar-SA"/>
              </w:rPr>
            </w:pPr>
            <w:r>
              <w:rPr>
                <w:rStyle w:val="946"/>
                <w:rFonts w:hint="eastAsia" w:ascii="仿宋_GB2312" w:hAnsi="仿宋_GB2312" w:eastAsia="仿宋_GB2312" w:cs="仿宋_GB2312"/>
                <w:color w:val="auto"/>
                <w:kern w:val="0"/>
                <w:sz w:val="24"/>
                <w:szCs w:val="24"/>
                <w:highlight w:val="none"/>
                <w:u w:val="none"/>
              </w:rPr>
              <w:t>4、评分中出现无证明资料或者专家无法凭所提供资料判断是否得分的情况，一律做不得分处理。</w:t>
            </w:r>
          </w:p>
        </w:tc>
        <w:tc>
          <w:tcPr>
            <w:tcW w:w="684" w:type="dxa"/>
            <w:noWrap w:val="0"/>
            <w:vAlign w:val="center"/>
          </w:tcPr>
          <w:p>
            <w:pPr>
              <w:snapToGrid w:val="0"/>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w:t>
            </w:r>
          </w:p>
        </w:tc>
        <w:tc>
          <w:tcPr>
            <w:tcW w:w="1024" w:type="dxa"/>
            <w:noWrap w:val="0"/>
            <w:vAlign w:val="center"/>
          </w:tcPr>
          <w:p>
            <w:pPr>
              <w:wordWrap/>
              <w:snapToGrid/>
              <w:spacing w:line="360" w:lineRule="auto"/>
              <w:ind w:left="0" w:leftChars="0" w:firstLine="0" w:firstLineChars="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技术团队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6012" w:type="dxa"/>
            <w:noWrap w:val="0"/>
            <w:vAlign w:val="center"/>
          </w:tcPr>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（一）评分内容</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1、投标人</w:t>
            </w:r>
            <w:r>
              <w:rPr>
                <w:rFonts w:hint="eastAsia" w:ascii="仿宋_GB2312" w:hAnsi="仿宋_GB2312" w:eastAsia="仿宋_GB2312" w:cs="仿宋_GB2312"/>
                <w:color w:val="auto"/>
                <w:kern w:val="0"/>
                <w:sz w:val="24"/>
                <w:szCs w:val="24"/>
                <w:highlight w:val="none"/>
                <w:u w:val="none"/>
              </w:rPr>
              <w:t>拟投入</w:t>
            </w:r>
            <w:r>
              <w:rPr>
                <w:rFonts w:hint="eastAsia" w:ascii="仿宋_GB2312" w:hAnsi="仿宋_GB2312" w:eastAsia="仿宋_GB2312" w:cs="仿宋_GB2312"/>
                <w:color w:val="auto"/>
                <w:kern w:val="0"/>
                <w:sz w:val="24"/>
                <w:szCs w:val="24"/>
                <w:highlight w:val="none"/>
                <w:u w:val="none"/>
                <w:lang w:val="en-US" w:eastAsia="zh-CN"/>
              </w:rPr>
              <w:t>本项目的</w:t>
            </w:r>
            <w:r>
              <w:rPr>
                <w:rFonts w:hint="eastAsia" w:ascii="仿宋_GB2312" w:hAnsi="仿宋_GB2312" w:eastAsia="仿宋_GB2312" w:cs="仿宋_GB2312"/>
                <w:color w:val="auto"/>
                <w:kern w:val="0"/>
                <w:sz w:val="24"/>
                <w:szCs w:val="24"/>
                <w:highlight w:val="none"/>
                <w:u w:val="none"/>
              </w:rPr>
              <w:t>总质量≥18吨的“清扫保洁类”车辆（含洗扫车、洒水车</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高压冲洗车</w:t>
            </w:r>
            <w:r>
              <w:rPr>
                <w:rFonts w:hint="eastAsia" w:ascii="仿宋_GB2312" w:hAnsi="仿宋_GB2312" w:eastAsia="仿宋_GB2312" w:cs="仿宋_GB2312"/>
                <w:color w:val="auto"/>
                <w:kern w:val="0"/>
                <w:sz w:val="24"/>
                <w:szCs w:val="24"/>
                <w:highlight w:val="none"/>
                <w:u w:val="none"/>
              </w:rPr>
              <w:t>）中</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新能源车辆数量≥</w:t>
            </w:r>
            <w:r>
              <w:rPr>
                <w:rFonts w:hint="eastAsia" w:ascii="仿宋_GB2312" w:hAnsi="仿宋_GB2312" w:eastAsia="仿宋_GB2312" w:cs="仿宋_GB2312"/>
                <w:color w:val="auto"/>
                <w:kern w:val="0"/>
                <w:sz w:val="24"/>
                <w:szCs w:val="24"/>
                <w:highlight w:val="none"/>
                <w:u w:val="none"/>
                <w:lang w:val="en-US" w:eastAsia="zh-CN"/>
              </w:rPr>
              <w:t>11台</w:t>
            </w:r>
            <w:r>
              <w:rPr>
                <w:rFonts w:hint="eastAsia" w:ascii="仿宋_GB2312" w:hAnsi="仿宋_GB2312" w:eastAsia="仿宋_GB2312" w:cs="仿宋_GB2312"/>
                <w:color w:val="auto"/>
                <w:kern w:val="0"/>
                <w:sz w:val="24"/>
                <w:szCs w:val="24"/>
                <w:highlight w:val="none"/>
                <w:u w:val="none"/>
              </w:rPr>
              <w:t>，得</w:t>
            </w:r>
            <w:r>
              <w:rPr>
                <w:rFonts w:hint="eastAsia" w:ascii="仿宋_GB2312" w:hAnsi="仿宋_GB2312" w:eastAsia="仿宋_GB2312" w:cs="仿宋_GB2312"/>
                <w:color w:val="auto"/>
                <w:kern w:val="0"/>
                <w:sz w:val="24"/>
                <w:szCs w:val="24"/>
                <w:highlight w:val="none"/>
                <w:u w:val="none"/>
                <w:lang w:val="en-US" w:eastAsia="zh-CN"/>
              </w:rPr>
              <w:t>6</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val="en-US" w:eastAsia="zh-CN"/>
              </w:rPr>
              <w:t>8台≤</w:t>
            </w:r>
            <w:r>
              <w:rPr>
                <w:rFonts w:hint="eastAsia" w:ascii="仿宋_GB2312" w:hAnsi="仿宋_GB2312" w:eastAsia="仿宋_GB2312" w:cs="仿宋_GB2312"/>
                <w:color w:val="auto"/>
                <w:kern w:val="0"/>
                <w:sz w:val="24"/>
                <w:szCs w:val="24"/>
                <w:highlight w:val="none"/>
                <w:u w:val="none"/>
              </w:rPr>
              <w:t>新能源车辆数量</w:t>
            </w:r>
            <w:r>
              <w:rPr>
                <w:rFonts w:hint="eastAsia" w:ascii="仿宋_GB2312" w:hAnsi="仿宋_GB2312" w:eastAsia="仿宋_GB2312" w:cs="仿宋_GB2312"/>
                <w:color w:val="auto"/>
                <w:kern w:val="0"/>
                <w:sz w:val="24"/>
                <w:szCs w:val="24"/>
                <w:highlight w:val="none"/>
                <w:u w:val="none"/>
                <w:lang w:val="en-US" w:eastAsia="zh-CN"/>
              </w:rPr>
              <w:t>＜11台，得3分；</w:t>
            </w:r>
            <w:r>
              <w:rPr>
                <w:rFonts w:hint="eastAsia" w:ascii="仿宋_GB2312" w:hAnsi="仿宋_GB2312" w:eastAsia="仿宋_GB2312" w:cs="仿宋_GB2312"/>
                <w:color w:val="auto"/>
                <w:kern w:val="0"/>
                <w:sz w:val="24"/>
                <w:szCs w:val="24"/>
                <w:highlight w:val="none"/>
                <w:u w:val="none"/>
              </w:rPr>
              <w:t>新能源车辆数量＜</w:t>
            </w:r>
            <w:r>
              <w:rPr>
                <w:rFonts w:hint="eastAsia" w:ascii="仿宋_GB2312" w:hAnsi="仿宋_GB2312" w:eastAsia="仿宋_GB2312" w:cs="仿宋_GB2312"/>
                <w:color w:val="auto"/>
                <w:kern w:val="0"/>
                <w:sz w:val="24"/>
                <w:szCs w:val="24"/>
                <w:highlight w:val="none"/>
                <w:u w:val="none"/>
                <w:lang w:val="en-US" w:eastAsia="zh-CN"/>
              </w:rPr>
              <w:t>8台</w:t>
            </w:r>
            <w:r>
              <w:rPr>
                <w:rFonts w:hint="eastAsia" w:ascii="仿宋_GB2312" w:hAnsi="仿宋_GB2312" w:eastAsia="仿宋_GB2312" w:cs="仿宋_GB2312"/>
                <w:color w:val="auto"/>
                <w:kern w:val="0"/>
                <w:sz w:val="24"/>
                <w:szCs w:val="24"/>
                <w:highlight w:val="none"/>
                <w:u w:val="none"/>
              </w:rPr>
              <w:t>，不得分</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rPr>
              <w:t>本小项</w:t>
            </w:r>
            <w:r>
              <w:rPr>
                <w:rFonts w:hint="eastAsia" w:ascii="仿宋_GB2312" w:hAnsi="仿宋_GB2312" w:eastAsia="仿宋_GB2312" w:cs="仿宋_GB2312"/>
                <w:color w:val="auto"/>
                <w:kern w:val="0"/>
                <w:sz w:val="24"/>
                <w:szCs w:val="24"/>
                <w:highlight w:val="none"/>
                <w:u w:val="none"/>
                <w:lang w:val="en-US" w:eastAsia="zh-CN"/>
              </w:rPr>
              <w:t>最高得6</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2、投标人拟投入本项目的无人驾驶环卫装备，符合以下条件的：</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lang w:val="en-US" w:eastAsia="zh-CN"/>
              </w:rPr>
              <w:t>（1）拟投入的纯电动无人驾驶环卫装备</w:t>
            </w:r>
            <w:r>
              <w:rPr>
                <w:rFonts w:hint="eastAsia" w:ascii="仿宋_GB2312" w:hAnsi="仿宋_GB2312" w:eastAsia="仿宋_GB2312" w:cs="仿宋_GB2312"/>
                <w:color w:val="auto"/>
                <w:kern w:val="0"/>
                <w:sz w:val="24"/>
                <w:szCs w:val="24"/>
                <w:highlight w:val="none"/>
                <w:u w:val="none"/>
              </w:rPr>
              <w:t>（扫路机）</w:t>
            </w:r>
            <w:r>
              <w:rPr>
                <w:rFonts w:hint="eastAsia" w:ascii="仿宋_GB2312" w:hAnsi="仿宋_GB2312" w:eastAsia="仿宋_GB2312" w:cs="仿宋_GB2312"/>
                <w:color w:val="auto"/>
                <w:kern w:val="0"/>
                <w:sz w:val="24"/>
                <w:szCs w:val="24"/>
                <w:highlight w:val="none"/>
                <w:u w:val="none"/>
                <w:lang w:val="en-US" w:eastAsia="zh-CN"/>
              </w:rPr>
              <w:t>符合长度≤4100mm、宽度≤1300mm、高度≤2200mm的设备尺寸要求且取得</w:t>
            </w:r>
            <w:r>
              <w:rPr>
                <w:rFonts w:hint="eastAsia" w:ascii="仿宋_GB2312" w:hAnsi="仿宋_GB2312" w:eastAsia="仿宋_GB2312" w:cs="仿宋_GB2312"/>
                <w:color w:val="auto"/>
                <w:kern w:val="0"/>
                <w:sz w:val="24"/>
                <w:szCs w:val="24"/>
                <w:highlight w:val="none"/>
                <w:u w:val="none"/>
              </w:rPr>
              <w:t>国内自动驾驶或智能网联汽车封闭测试区</w:t>
            </w:r>
            <w:r>
              <w:rPr>
                <w:rFonts w:hint="eastAsia" w:ascii="仿宋_GB2312" w:hAnsi="仿宋_GB2312" w:eastAsia="仿宋_GB2312" w:cs="仿宋_GB2312"/>
                <w:color w:val="auto"/>
                <w:kern w:val="0"/>
                <w:sz w:val="24"/>
                <w:szCs w:val="24"/>
                <w:highlight w:val="none"/>
                <w:u w:val="none"/>
                <w:lang w:val="en-US" w:eastAsia="zh-CN"/>
              </w:rPr>
              <w:t>测试报告</w:t>
            </w:r>
            <w:r>
              <w:rPr>
                <w:rFonts w:hint="eastAsia" w:ascii="仿宋_GB2312" w:hAnsi="仿宋_GB2312" w:eastAsia="仿宋_GB2312" w:cs="仿宋_GB2312"/>
                <w:color w:val="auto"/>
                <w:kern w:val="0"/>
                <w:sz w:val="24"/>
                <w:szCs w:val="24"/>
                <w:highlight w:val="none"/>
                <w:u w:val="none"/>
              </w:rPr>
              <w:t>的，每台得</w:t>
            </w:r>
            <w:r>
              <w:rPr>
                <w:rFonts w:hint="eastAsia" w:ascii="仿宋_GB2312" w:hAnsi="仿宋_GB2312" w:eastAsia="仿宋_GB2312" w:cs="仿宋_GB2312"/>
                <w:color w:val="auto"/>
                <w:kern w:val="0"/>
                <w:sz w:val="24"/>
                <w:szCs w:val="24"/>
                <w:highlight w:val="none"/>
                <w:u w:val="none"/>
                <w:lang w:val="en-US" w:eastAsia="zh-CN"/>
              </w:rPr>
              <w:t>0.5</w:t>
            </w:r>
            <w:r>
              <w:rPr>
                <w:rFonts w:hint="eastAsia" w:ascii="仿宋_GB2312" w:hAnsi="仿宋_GB2312" w:eastAsia="仿宋_GB2312" w:cs="仿宋_GB2312"/>
                <w:color w:val="auto"/>
                <w:kern w:val="0"/>
                <w:sz w:val="24"/>
                <w:szCs w:val="24"/>
                <w:highlight w:val="none"/>
                <w:u w:val="none"/>
              </w:rPr>
              <w:t>分，本小项最高得</w:t>
            </w:r>
            <w:r>
              <w:rPr>
                <w:rFonts w:hint="eastAsia" w:ascii="仿宋_GB2312" w:hAnsi="仿宋_GB2312" w:eastAsia="仿宋_GB2312" w:cs="仿宋_GB2312"/>
                <w:color w:val="auto"/>
                <w:kern w:val="0"/>
                <w:sz w:val="24"/>
                <w:szCs w:val="24"/>
                <w:highlight w:val="none"/>
                <w:u w:val="none"/>
                <w:lang w:val="en-US" w:eastAsia="zh-CN"/>
              </w:rPr>
              <w:t>8</w:t>
            </w:r>
            <w:r>
              <w:rPr>
                <w:rFonts w:hint="eastAsia" w:ascii="仿宋_GB2312" w:hAnsi="仿宋_GB2312" w:eastAsia="仿宋_GB2312" w:cs="仿宋_GB2312"/>
                <w:color w:val="auto"/>
                <w:kern w:val="0"/>
                <w:sz w:val="24"/>
                <w:szCs w:val="24"/>
                <w:highlight w:val="none"/>
                <w:u w:val="none"/>
              </w:rPr>
              <w:t>分；</w:t>
            </w:r>
          </w:p>
          <w:p>
            <w:pPr>
              <w:spacing w:line="360" w:lineRule="auto"/>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w:t>
            </w:r>
            <w:r>
              <w:rPr>
                <w:rFonts w:hint="eastAsia" w:ascii="仿宋_GB2312" w:hAnsi="仿宋_GB2312" w:eastAsia="仿宋_GB2312" w:cs="仿宋_GB2312"/>
                <w:color w:val="auto"/>
                <w:kern w:val="0"/>
                <w:sz w:val="24"/>
                <w:szCs w:val="24"/>
                <w:highlight w:val="none"/>
                <w:u w:val="none"/>
                <w:lang w:val="en-US" w:eastAsia="zh-CN"/>
              </w:rPr>
              <w:t>2</w:t>
            </w:r>
            <w:r>
              <w:rPr>
                <w:rFonts w:hint="eastAsia" w:ascii="仿宋_GB2312" w:hAnsi="仿宋_GB2312" w:eastAsia="仿宋_GB2312" w:cs="仿宋_GB2312"/>
                <w:color w:val="auto"/>
                <w:kern w:val="0"/>
                <w:sz w:val="24"/>
                <w:szCs w:val="24"/>
                <w:highlight w:val="none"/>
                <w:u w:val="none"/>
              </w:rPr>
              <w:t>）</w:t>
            </w:r>
            <w:r>
              <w:rPr>
                <w:rFonts w:hint="eastAsia" w:ascii="仿宋_GB2312" w:hAnsi="仿宋_GB2312" w:eastAsia="仿宋_GB2312" w:cs="仿宋_GB2312"/>
                <w:color w:val="auto"/>
                <w:kern w:val="0"/>
                <w:sz w:val="24"/>
                <w:szCs w:val="24"/>
                <w:highlight w:val="none"/>
                <w:u w:val="none"/>
                <w:lang w:val="en-US" w:eastAsia="zh-CN"/>
              </w:rPr>
              <w:t>拟投入的</w:t>
            </w:r>
            <w:r>
              <w:rPr>
                <w:rFonts w:hint="eastAsia" w:ascii="仿宋_GB2312" w:hAnsi="仿宋_GB2312" w:eastAsia="仿宋_GB2312" w:cs="仿宋_GB2312"/>
                <w:color w:val="auto"/>
                <w:kern w:val="0"/>
                <w:sz w:val="24"/>
                <w:szCs w:val="24"/>
                <w:highlight w:val="none"/>
                <w:u w:val="none"/>
              </w:rPr>
              <w:t>纯电动</w:t>
            </w:r>
            <w:r>
              <w:rPr>
                <w:rFonts w:hint="eastAsia" w:ascii="仿宋_GB2312" w:hAnsi="仿宋_GB2312" w:eastAsia="仿宋_GB2312" w:cs="仿宋_GB2312"/>
                <w:color w:val="auto"/>
                <w:kern w:val="0"/>
                <w:sz w:val="24"/>
                <w:szCs w:val="24"/>
                <w:highlight w:val="none"/>
                <w:u w:val="none"/>
                <w:lang w:val="en-US" w:eastAsia="zh-CN"/>
              </w:rPr>
              <w:t>无人驾驶环卫装备</w:t>
            </w:r>
            <w:r>
              <w:rPr>
                <w:rFonts w:hint="eastAsia" w:ascii="仿宋_GB2312" w:hAnsi="仿宋_GB2312" w:eastAsia="仿宋_GB2312" w:cs="仿宋_GB2312"/>
                <w:color w:val="auto"/>
                <w:kern w:val="0"/>
                <w:sz w:val="24"/>
                <w:szCs w:val="24"/>
                <w:highlight w:val="none"/>
                <w:u w:val="none"/>
              </w:rPr>
              <w:t>（清扫机）</w:t>
            </w:r>
            <w:r>
              <w:rPr>
                <w:rFonts w:hint="eastAsia" w:ascii="仿宋_GB2312" w:hAnsi="仿宋_GB2312" w:eastAsia="仿宋_GB2312" w:cs="仿宋_GB2312"/>
                <w:color w:val="auto"/>
                <w:kern w:val="0"/>
                <w:sz w:val="24"/>
                <w:szCs w:val="24"/>
                <w:highlight w:val="none"/>
                <w:u w:val="none"/>
                <w:lang w:val="en-US" w:eastAsia="zh-CN"/>
              </w:rPr>
              <w:t>符合800mm≤宽度≤900mm的设备尺寸要求且取得</w:t>
            </w:r>
            <w:r>
              <w:rPr>
                <w:rFonts w:hint="eastAsia" w:ascii="仿宋_GB2312" w:hAnsi="仿宋_GB2312" w:eastAsia="仿宋_GB2312" w:cs="仿宋_GB2312"/>
                <w:color w:val="auto"/>
                <w:kern w:val="0"/>
                <w:sz w:val="24"/>
                <w:szCs w:val="24"/>
                <w:highlight w:val="none"/>
                <w:u w:val="none"/>
              </w:rPr>
              <w:t>国内自动驾驶或智能网联汽车封闭测试区</w:t>
            </w:r>
            <w:r>
              <w:rPr>
                <w:rFonts w:hint="eastAsia" w:ascii="仿宋_GB2312" w:hAnsi="仿宋_GB2312" w:eastAsia="仿宋_GB2312" w:cs="仿宋_GB2312"/>
                <w:color w:val="auto"/>
                <w:kern w:val="0"/>
                <w:sz w:val="24"/>
                <w:szCs w:val="24"/>
                <w:highlight w:val="none"/>
                <w:u w:val="none"/>
                <w:lang w:val="en-US" w:eastAsia="zh-CN"/>
              </w:rPr>
              <w:t>测试报告</w:t>
            </w:r>
            <w:r>
              <w:rPr>
                <w:rFonts w:hint="eastAsia" w:ascii="仿宋_GB2312" w:hAnsi="仿宋_GB2312" w:eastAsia="仿宋_GB2312" w:cs="仿宋_GB2312"/>
                <w:color w:val="auto"/>
                <w:kern w:val="0"/>
                <w:sz w:val="24"/>
                <w:szCs w:val="24"/>
                <w:highlight w:val="none"/>
                <w:u w:val="none"/>
              </w:rPr>
              <w:t>的，每台得</w:t>
            </w:r>
            <w:r>
              <w:rPr>
                <w:rFonts w:hint="eastAsia" w:ascii="仿宋_GB2312" w:hAnsi="仿宋_GB2312" w:eastAsia="仿宋_GB2312" w:cs="仿宋_GB2312"/>
                <w:color w:val="auto"/>
                <w:kern w:val="0"/>
                <w:sz w:val="24"/>
                <w:szCs w:val="24"/>
                <w:highlight w:val="none"/>
                <w:u w:val="none"/>
                <w:lang w:val="en-US" w:eastAsia="zh-CN"/>
              </w:rPr>
              <w:t>0.5</w:t>
            </w:r>
            <w:r>
              <w:rPr>
                <w:rFonts w:hint="eastAsia" w:ascii="仿宋_GB2312" w:hAnsi="仿宋_GB2312" w:eastAsia="仿宋_GB2312" w:cs="仿宋_GB2312"/>
                <w:color w:val="auto"/>
                <w:kern w:val="0"/>
                <w:sz w:val="24"/>
                <w:szCs w:val="24"/>
                <w:highlight w:val="none"/>
                <w:u w:val="none"/>
              </w:rPr>
              <w:t>分，本小项最高得</w:t>
            </w:r>
            <w:r>
              <w:rPr>
                <w:rFonts w:hint="eastAsia" w:ascii="仿宋_GB2312" w:hAnsi="仿宋_GB2312" w:eastAsia="仿宋_GB2312" w:cs="仿宋_GB2312"/>
                <w:color w:val="auto"/>
                <w:kern w:val="0"/>
                <w:sz w:val="24"/>
                <w:szCs w:val="24"/>
                <w:highlight w:val="none"/>
                <w:u w:val="none"/>
                <w:lang w:val="en-US" w:eastAsia="zh-CN"/>
              </w:rPr>
              <w:t>10</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kern w:val="0"/>
                <w:sz w:val="24"/>
                <w:szCs w:val="24"/>
                <w:highlight w:val="none"/>
                <w:u w:val="none"/>
              </w:rPr>
              <w:t>以上</w:t>
            </w:r>
            <w:r>
              <w:rPr>
                <w:rFonts w:hint="eastAsia" w:ascii="仿宋_GB2312" w:hAnsi="仿宋_GB2312" w:eastAsia="仿宋_GB2312" w:cs="仿宋_GB2312"/>
                <w:color w:val="auto"/>
                <w:kern w:val="0"/>
                <w:sz w:val="24"/>
                <w:szCs w:val="24"/>
                <w:highlight w:val="none"/>
                <w:u w:val="none"/>
                <w:lang w:val="en-US" w:eastAsia="zh-CN"/>
              </w:rPr>
              <w:t>两</w:t>
            </w:r>
            <w:r>
              <w:rPr>
                <w:rFonts w:hint="eastAsia" w:ascii="仿宋_GB2312" w:hAnsi="仿宋_GB2312" w:eastAsia="仿宋_GB2312" w:cs="仿宋_GB2312"/>
                <w:color w:val="auto"/>
                <w:kern w:val="0"/>
                <w:sz w:val="24"/>
                <w:szCs w:val="24"/>
                <w:highlight w:val="none"/>
                <w:u w:val="none"/>
              </w:rPr>
              <w:t>项累计得分，本项最高得</w:t>
            </w:r>
            <w:r>
              <w:rPr>
                <w:rFonts w:hint="eastAsia" w:ascii="仿宋_GB2312" w:hAnsi="仿宋_GB2312" w:eastAsia="仿宋_GB2312" w:cs="仿宋_GB2312"/>
                <w:color w:val="auto"/>
                <w:kern w:val="0"/>
                <w:sz w:val="24"/>
                <w:szCs w:val="24"/>
                <w:highlight w:val="none"/>
                <w:u w:val="none"/>
                <w:lang w:val="en-US" w:eastAsia="zh-CN"/>
              </w:rPr>
              <w:t>24</w:t>
            </w:r>
            <w:r>
              <w:rPr>
                <w:rFonts w:hint="eastAsia" w:ascii="仿宋_GB2312" w:hAnsi="仿宋_GB2312" w:eastAsia="仿宋_GB2312" w:cs="仿宋_GB2312"/>
                <w:color w:val="auto"/>
                <w:kern w:val="0"/>
                <w:sz w:val="24"/>
                <w:szCs w:val="24"/>
                <w:highlight w:val="none"/>
                <w:u w:val="none"/>
              </w:rPr>
              <w:t>分</w:t>
            </w:r>
            <w:r>
              <w:rPr>
                <w:rFonts w:hint="eastAsia" w:ascii="仿宋_GB2312" w:hAnsi="仿宋_GB2312" w:eastAsia="仿宋_GB2312" w:cs="仿宋_GB2312"/>
                <w:color w:val="auto"/>
                <w:kern w:val="0"/>
                <w:sz w:val="24"/>
                <w:szCs w:val="24"/>
                <w:highlight w:val="none"/>
                <w:u w:val="none"/>
                <w:lang w:eastAsia="zh-CN"/>
              </w:rPr>
              <w:t>。</w:t>
            </w:r>
          </w:p>
          <w:p>
            <w:pPr>
              <w:widowControl/>
              <w:spacing w:line="360" w:lineRule="auto"/>
              <w:jc w:val="left"/>
              <w:textAlignment w:val="center"/>
              <w:rPr>
                <w:rFonts w:hint="eastAsia" w:ascii="仿宋_GB2312" w:hAnsi="仿宋_GB2312" w:eastAsia="仿宋_GB2312" w:cs="仿宋_GB2312"/>
                <w:color w:val="auto"/>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（二）评分依据</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1、（评分内容1）</w:t>
            </w:r>
            <w:r>
              <w:rPr>
                <w:rFonts w:hint="eastAsia" w:ascii="仿宋_GB2312" w:hAnsi="仿宋_GB2312" w:eastAsia="仿宋_GB2312" w:cs="仿宋_GB2312"/>
                <w:color w:val="auto"/>
                <w:kern w:val="0"/>
                <w:sz w:val="24"/>
                <w:szCs w:val="24"/>
                <w:highlight w:val="none"/>
                <w:u w:val="none"/>
              </w:rPr>
              <w:t>投标</w:t>
            </w:r>
            <w:r>
              <w:rPr>
                <w:rFonts w:hint="eastAsia" w:ascii="仿宋_GB2312" w:hAnsi="仿宋_GB2312" w:eastAsia="仿宋_GB2312" w:cs="仿宋_GB2312"/>
                <w:color w:val="auto"/>
                <w:kern w:val="0"/>
                <w:sz w:val="24"/>
                <w:szCs w:val="24"/>
                <w:highlight w:val="none"/>
                <w:u w:val="none"/>
                <w:lang w:eastAsia="zh-CN"/>
              </w:rPr>
              <w:t>人</w:t>
            </w:r>
            <w:r>
              <w:rPr>
                <w:rFonts w:hint="eastAsia" w:ascii="仿宋_GB2312" w:hAnsi="仿宋_GB2312" w:eastAsia="仿宋_GB2312" w:cs="仿宋_GB2312"/>
                <w:color w:val="auto"/>
                <w:kern w:val="0"/>
                <w:sz w:val="24"/>
                <w:szCs w:val="24"/>
                <w:highlight w:val="none"/>
                <w:u w:val="none"/>
                <w:lang w:val="en-US" w:eastAsia="zh-CN"/>
              </w:rPr>
              <w:t>拟</w:t>
            </w:r>
            <w:r>
              <w:rPr>
                <w:rFonts w:hint="eastAsia" w:ascii="仿宋_GB2312" w:hAnsi="仿宋_GB2312" w:eastAsia="仿宋_GB2312" w:cs="仿宋_GB2312"/>
                <w:color w:val="auto"/>
                <w:kern w:val="0"/>
                <w:sz w:val="24"/>
                <w:szCs w:val="24"/>
                <w:highlight w:val="none"/>
                <w:u w:val="none"/>
              </w:rPr>
              <w:t>提供的符合以上要求的新能源车辆</w:t>
            </w:r>
            <w:r>
              <w:rPr>
                <w:rFonts w:hint="eastAsia" w:ascii="仿宋_GB2312" w:hAnsi="仿宋_GB2312" w:eastAsia="仿宋_GB2312" w:cs="仿宋_GB2312"/>
                <w:color w:val="auto"/>
                <w:kern w:val="0"/>
                <w:sz w:val="24"/>
                <w:szCs w:val="24"/>
                <w:highlight w:val="none"/>
                <w:u w:val="none"/>
                <w:lang w:val="en-US" w:eastAsia="zh-CN"/>
              </w:rPr>
              <w:t>可自有或租赁，若为自有车辆，需</w:t>
            </w:r>
            <w:r>
              <w:rPr>
                <w:rFonts w:hint="eastAsia" w:ascii="仿宋_GB2312" w:hAnsi="仿宋_GB2312" w:eastAsia="仿宋_GB2312" w:cs="仿宋_GB2312"/>
                <w:color w:val="auto"/>
                <w:kern w:val="0"/>
                <w:sz w:val="24"/>
                <w:szCs w:val="24"/>
                <w:highlight w:val="none"/>
                <w:u w:val="none"/>
                <w:shd w:val="clear" w:color="auto" w:fill="auto"/>
              </w:rPr>
              <w:t>提供车辆行驶证、购车发票</w:t>
            </w:r>
            <w:r>
              <w:rPr>
                <w:rFonts w:hint="eastAsia" w:ascii="仿宋_GB2312" w:hAnsi="仿宋_GB2312" w:eastAsia="仿宋_GB2312" w:cs="仿宋_GB2312"/>
                <w:color w:val="auto"/>
                <w:kern w:val="0"/>
                <w:sz w:val="24"/>
                <w:szCs w:val="24"/>
                <w:highlight w:val="none"/>
                <w:u w:val="none"/>
                <w:shd w:val="clear" w:color="auto" w:fill="auto"/>
                <w:lang w:eastAsia="zh-CN"/>
              </w:rPr>
              <w:t>（如设备为投标人自主生产需提供注明生产厂家的出厂合格凭证，无需提供购车发票）</w:t>
            </w:r>
            <w:r>
              <w:rPr>
                <w:rFonts w:hint="eastAsia" w:ascii="仿宋_GB2312" w:hAnsi="仿宋_GB2312" w:eastAsia="仿宋_GB2312" w:cs="仿宋_GB2312"/>
                <w:color w:val="auto"/>
                <w:kern w:val="0"/>
                <w:sz w:val="24"/>
                <w:szCs w:val="24"/>
                <w:highlight w:val="none"/>
                <w:u w:val="none"/>
                <w:shd w:val="clear" w:color="auto" w:fill="auto"/>
              </w:rPr>
              <w:t>、车辆登记证扫描件</w:t>
            </w:r>
            <w:r>
              <w:rPr>
                <w:rFonts w:hint="eastAsia" w:ascii="仿宋_GB2312" w:hAnsi="仿宋_GB2312" w:eastAsia="仿宋_GB2312" w:cs="仿宋_GB2312"/>
                <w:color w:val="auto"/>
                <w:kern w:val="0"/>
                <w:sz w:val="24"/>
                <w:szCs w:val="24"/>
                <w:highlight w:val="none"/>
                <w:u w:val="none"/>
                <w:shd w:val="clear" w:color="auto" w:fill="auto"/>
                <w:lang w:val="en-US" w:eastAsia="zh-CN"/>
              </w:rPr>
              <w:t>以及</w:t>
            </w:r>
            <w:r>
              <w:rPr>
                <w:rFonts w:hint="eastAsia" w:ascii="仿宋_GB2312" w:hAnsi="仿宋_GB2312" w:eastAsia="仿宋_GB2312" w:cs="仿宋_GB2312"/>
                <w:color w:val="auto"/>
                <w:kern w:val="0"/>
                <w:sz w:val="24"/>
                <w:szCs w:val="24"/>
                <w:highlight w:val="none"/>
                <w:u w:val="none"/>
                <w:shd w:val="clear" w:color="auto" w:fill="auto"/>
              </w:rPr>
              <w:t>清晰</w:t>
            </w:r>
            <w:r>
              <w:rPr>
                <w:rFonts w:hint="eastAsia" w:ascii="仿宋_GB2312" w:hAnsi="仿宋_GB2312" w:eastAsia="仿宋_GB2312" w:cs="仿宋_GB2312"/>
                <w:color w:val="auto"/>
                <w:kern w:val="0"/>
                <w:sz w:val="24"/>
                <w:szCs w:val="24"/>
                <w:highlight w:val="none"/>
                <w:u w:val="none"/>
                <w:shd w:val="clear" w:color="auto" w:fill="auto"/>
                <w:lang w:val="en-US" w:eastAsia="zh-CN"/>
              </w:rPr>
              <w:t>体现</w:t>
            </w:r>
            <w:r>
              <w:rPr>
                <w:rFonts w:hint="eastAsia" w:ascii="仿宋_GB2312" w:hAnsi="仿宋_GB2312" w:eastAsia="仿宋_GB2312" w:cs="仿宋_GB2312"/>
                <w:color w:val="auto"/>
                <w:kern w:val="0"/>
                <w:sz w:val="24"/>
                <w:szCs w:val="24"/>
                <w:highlight w:val="none"/>
                <w:u w:val="none"/>
                <w:shd w:val="clear" w:color="auto" w:fill="auto"/>
              </w:rPr>
              <w:t>车牌号的外观</w:t>
            </w:r>
            <w:r>
              <w:rPr>
                <w:rFonts w:hint="eastAsia" w:ascii="仿宋_GB2312" w:hAnsi="仿宋_GB2312" w:eastAsia="仿宋_GB2312" w:cs="仿宋_GB2312"/>
                <w:color w:val="auto"/>
                <w:kern w:val="0"/>
                <w:sz w:val="24"/>
                <w:szCs w:val="24"/>
                <w:highlight w:val="none"/>
                <w:u w:val="none"/>
                <w:shd w:val="clear" w:color="auto" w:fill="auto"/>
                <w:lang w:val="en-US" w:eastAsia="zh-CN"/>
              </w:rPr>
              <w:t>彩色</w:t>
            </w:r>
            <w:r>
              <w:rPr>
                <w:rFonts w:hint="eastAsia" w:ascii="仿宋_GB2312" w:hAnsi="仿宋_GB2312" w:eastAsia="仿宋_GB2312" w:cs="仿宋_GB2312"/>
                <w:color w:val="auto"/>
                <w:kern w:val="0"/>
                <w:sz w:val="24"/>
                <w:szCs w:val="24"/>
                <w:highlight w:val="none"/>
                <w:u w:val="none"/>
                <w:shd w:val="clear" w:color="auto" w:fill="auto"/>
              </w:rPr>
              <w:t>照片</w:t>
            </w:r>
            <w:r>
              <w:rPr>
                <w:rFonts w:hint="eastAsia" w:ascii="仿宋_GB2312" w:hAnsi="仿宋_GB2312" w:eastAsia="仿宋_GB2312" w:cs="仿宋_GB2312"/>
                <w:color w:val="auto"/>
                <w:kern w:val="0"/>
                <w:sz w:val="24"/>
                <w:szCs w:val="24"/>
                <w:highlight w:val="none"/>
                <w:u w:val="none"/>
                <w:shd w:val="clear" w:color="auto" w:fill="auto"/>
                <w:lang w:eastAsia="zh-CN"/>
              </w:rPr>
              <w:t>；</w:t>
            </w:r>
            <w:r>
              <w:rPr>
                <w:rFonts w:hint="eastAsia" w:ascii="仿宋_GB2312" w:hAnsi="仿宋_GB2312" w:eastAsia="仿宋_GB2312" w:cs="仿宋_GB2312"/>
                <w:color w:val="auto"/>
                <w:kern w:val="0"/>
                <w:sz w:val="24"/>
                <w:szCs w:val="24"/>
                <w:highlight w:val="none"/>
                <w:u w:val="none"/>
                <w:lang w:val="en-US" w:eastAsia="zh-CN"/>
              </w:rPr>
              <w:t>若为租赁车辆，</w:t>
            </w:r>
            <w:r>
              <w:rPr>
                <w:rFonts w:hint="eastAsia" w:ascii="仿宋_GB2312" w:hAnsi="仿宋_GB2312" w:eastAsia="仿宋_GB2312" w:cs="仿宋_GB2312"/>
                <w:color w:val="auto"/>
                <w:kern w:val="0"/>
                <w:sz w:val="24"/>
                <w:szCs w:val="24"/>
                <w:highlight w:val="none"/>
                <w:u w:val="none"/>
                <w:shd w:val="clear" w:color="auto" w:fill="auto"/>
              </w:rPr>
              <w:t>需提供覆盖服务期的租赁合同及发票</w:t>
            </w:r>
            <w:r>
              <w:rPr>
                <w:rFonts w:hint="eastAsia" w:ascii="仿宋_GB2312" w:hAnsi="仿宋_GB2312" w:eastAsia="仿宋_GB2312" w:cs="仿宋_GB2312"/>
                <w:color w:val="auto"/>
                <w:kern w:val="0"/>
                <w:sz w:val="24"/>
                <w:szCs w:val="24"/>
                <w:highlight w:val="none"/>
                <w:u w:val="none"/>
                <w:shd w:val="clear" w:color="auto" w:fill="auto"/>
                <w:lang w:eastAsia="zh-CN"/>
              </w:rPr>
              <w:t>、</w:t>
            </w:r>
            <w:r>
              <w:rPr>
                <w:rFonts w:hint="eastAsia" w:ascii="仿宋_GB2312" w:hAnsi="仿宋_GB2312" w:eastAsia="仿宋_GB2312" w:cs="仿宋_GB2312"/>
                <w:color w:val="auto"/>
                <w:kern w:val="0"/>
                <w:sz w:val="24"/>
                <w:szCs w:val="24"/>
                <w:highlight w:val="none"/>
                <w:u w:val="none"/>
                <w:shd w:val="clear" w:color="auto" w:fill="auto"/>
              </w:rPr>
              <w:t>出租方持有的车辆行驶证与登记证扫描件（证明权属）、清晰</w:t>
            </w:r>
            <w:r>
              <w:rPr>
                <w:rFonts w:hint="eastAsia" w:ascii="仿宋_GB2312" w:hAnsi="仿宋_GB2312" w:eastAsia="仿宋_GB2312" w:cs="仿宋_GB2312"/>
                <w:color w:val="auto"/>
                <w:kern w:val="0"/>
                <w:sz w:val="24"/>
                <w:szCs w:val="24"/>
                <w:highlight w:val="none"/>
                <w:u w:val="none"/>
                <w:shd w:val="clear" w:color="auto" w:fill="auto"/>
                <w:lang w:val="en-US" w:eastAsia="zh-CN"/>
              </w:rPr>
              <w:t>体现</w:t>
            </w:r>
            <w:r>
              <w:rPr>
                <w:rFonts w:hint="eastAsia" w:ascii="仿宋_GB2312" w:hAnsi="仿宋_GB2312" w:eastAsia="仿宋_GB2312" w:cs="仿宋_GB2312"/>
                <w:color w:val="auto"/>
                <w:kern w:val="0"/>
                <w:sz w:val="24"/>
                <w:szCs w:val="24"/>
                <w:highlight w:val="none"/>
                <w:u w:val="none"/>
                <w:shd w:val="clear" w:color="auto" w:fill="auto"/>
              </w:rPr>
              <w:t>车牌号的外观</w:t>
            </w:r>
            <w:r>
              <w:rPr>
                <w:rFonts w:hint="eastAsia" w:ascii="仿宋_GB2312" w:hAnsi="仿宋_GB2312" w:eastAsia="仿宋_GB2312" w:cs="仿宋_GB2312"/>
                <w:color w:val="auto"/>
                <w:kern w:val="0"/>
                <w:sz w:val="24"/>
                <w:szCs w:val="24"/>
                <w:highlight w:val="none"/>
                <w:u w:val="none"/>
                <w:shd w:val="clear" w:color="auto" w:fill="auto"/>
                <w:lang w:val="en-US" w:eastAsia="zh-CN"/>
              </w:rPr>
              <w:t>彩色</w:t>
            </w:r>
            <w:r>
              <w:rPr>
                <w:rFonts w:hint="eastAsia" w:ascii="仿宋_GB2312" w:hAnsi="仿宋_GB2312" w:eastAsia="仿宋_GB2312" w:cs="仿宋_GB2312"/>
                <w:color w:val="auto"/>
                <w:kern w:val="0"/>
                <w:sz w:val="24"/>
                <w:szCs w:val="24"/>
                <w:highlight w:val="none"/>
                <w:u w:val="none"/>
                <w:shd w:val="clear" w:color="auto" w:fill="auto"/>
              </w:rPr>
              <w:t>照片，以及双方盖章的承诺函（确保车辆服务期内持续可用）</w:t>
            </w:r>
            <w:r>
              <w:rPr>
                <w:rFonts w:hint="eastAsia" w:ascii="仿宋_GB2312" w:hAnsi="仿宋_GB2312" w:eastAsia="仿宋_GB2312" w:cs="仿宋_GB2312"/>
                <w:color w:val="auto"/>
                <w:kern w:val="0"/>
                <w:sz w:val="24"/>
                <w:szCs w:val="24"/>
                <w:highlight w:val="none"/>
                <w:u w:val="none"/>
                <w:shd w:val="clear" w:color="auto" w:fill="auto"/>
                <w:lang w:eastAsia="zh-CN"/>
              </w:rPr>
              <w:t>；</w:t>
            </w:r>
            <w:r>
              <w:rPr>
                <w:rFonts w:hint="eastAsia" w:ascii="仿宋_GB2312" w:hAnsi="仿宋_GB2312" w:eastAsia="仿宋_GB2312" w:cs="仿宋_GB2312"/>
                <w:color w:val="auto"/>
                <w:kern w:val="0"/>
                <w:sz w:val="24"/>
                <w:szCs w:val="24"/>
                <w:highlight w:val="none"/>
                <w:u w:val="none"/>
                <w:shd w:val="clear" w:color="auto" w:fill="auto"/>
                <w:lang w:val="en-US" w:eastAsia="zh-CN"/>
              </w:rPr>
              <w:t>未</w:t>
            </w:r>
            <w:r>
              <w:rPr>
                <w:rFonts w:hint="eastAsia" w:ascii="仿宋_GB2312" w:hAnsi="仿宋_GB2312" w:eastAsia="仿宋_GB2312" w:cs="仿宋_GB2312"/>
                <w:color w:val="auto"/>
                <w:kern w:val="0"/>
                <w:sz w:val="24"/>
                <w:szCs w:val="24"/>
                <w:highlight w:val="none"/>
                <w:u w:val="none"/>
              </w:rPr>
              <w:t>提供或未按要求提供或提供的资料不清晰导致专家无法判断的，不得分。</w:t>
            </w:r>
          </w:p>
          <w:p>
            <w:pPr>
              <w:widowControl/>
              <w:spacing w:line="360" w:lineRule="auto"/>
              <w:jc w:val="left"/>
              <w:textAlignment w:val="center"/>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2、（评分内容2）</w:t>
            </w:r>
          </w:p>
          <w:p>
            <w:pPr>
              <w:spacing w:line="360" w:lineRule="auto"/>
              <w:rPr>
                <w:rFonts w:hint="eastAsia" w:ascii="仿宋_GB2312" w:hAnsi="仿宋_GB2312" w:eastAsia="仿宋_GB2312" w:cs="仿宋_GB2312"/>
                <w:color w:val="auto"/>
                <w:kern w:val="0"/>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lang w:val="en-US" w:eastAsia="zh-CN"/>
              </w:rPr>
              <w:t>（1）投标人拟提供的无人驾驶环卫装备可自有或租赁</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若为自有设备，需</w:t>
            </w:r>
            <w:r>
              <w:rPr>
                <w:rFonts w:hint="eastAsia" w:ascii="仿宋_GB2312" w:hAnsi="仿宋_GB2312" w:eastAsia="仿宋_GB2312" w:cs="仿宋_GB2312"/>
                <w:color w:val="auto"/>
                <w:kern w:val="0"/>
                <w:sz w:val="24"/>
                <w:szCs w:val="24"/>
                <w:highlight w:val="none"/>
                <w:u w:val="none"/>
              </w:rPr>
              <w:t>提供购买发票</w:t>
            </w:r>
            <w:r>
              <w:rPr>
                <w:rFonts w:hint="eastAsia" w:ascii="仿宋_GB2312" w:hAnsi="仿宋_GB2312" w:eastAsia="仿宋_GB2312" w:cs="仿宋_GB2312"/>
                <w:color w:val="auto"/>
                <w:kern w:val="0"/>
                <w:sz w:val="24"/>
                <w:szCs w:val="24"/>
                <w:highlight w:val="none"/>
                <w:u w:val="none"/>
                <w:shd w:val="clear" w:color="auto" w:fill="auto"/>
                <w:lang w:eastAsia="zh-CN"/>
              </w:rPr>
              <w:t>（如设备为投标人自主生产需提供注明生产厂家的出厂合格凭证，无需提供购车发票）</w:t>
            </w:r>
            <w:r>
              <w:rPr>
                <w:rFonts w:hint="eastAsia" w:ascii="仿宋_GB2312" w:hAnsi="仿宋_GB2312" w:eastAsia="仿宋_GB2312" w:cs="仿宋_GB2312"/>
                <w:color w:val="auto"/>
                <w:kern w:val="0"/>
                <w:sz w:val="24"/>
                <w:szCs w:val="24"/>
                <w:highlight w:val="none"/>
                <w:u w:val="none"/>
              </w:rPr>
              <w:t>、设备照片及仅用于本项目的书面</w:t>
            </w:r>
            <w:r>
              <w:rPr>
                <w:rFonts w:hint="eastAsia" w:ascii="仿宋_GB2312" w:hAnsi="仿宋_GB2312" w:eastAsia="仿宋_GB2312" w:cs="仿宋_GB2312"/>
                <w:color w:val="auto"/>
                <w:kern w:val="0"/>
                <w:sz w:val="24"/>
                <w:szCs w:val="24"/>
                <w:highlight w:val="none"/>
                <w:u w:val="none"/>
                <w:lang w:eastAsia="zh-CN"/>
              </w:rPr>
              <w:t>承诺函</w:t>
            </w:r>
            <w:r>
              <w:rPr>
                <w:rFonts w:hint="eastAsia" w:ascii="仿宋_GB2312" w:hAnsi="仿宋_GB2312" w:eastAsia="仿宋_GB2312" w:cs="仿宋_GB2312"/>
                <w:color w:val="auto"/>
                <w:kern w:val="0"/>
                <w:sz w:val="24"/>
                <w:szCs w:val="24"/>
                <w:highlight w:val="none"/>
                <w:u w:val="none"/>
              </w:rPr>
              <w:t>（格式自拟）</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若为租赁设备，需提供</w:t>
            </w:r>
            <w:r>
              <w:rPr>
                <w:rFonts w:hint="eastAsia" w:ascii="仿宋_GB2312" w:hAnsi="仿宋_GB2312" w:eastAsia="仿宋_GB2312" w:cs="仿宋_GB2312"/>
                <w:color w:val="auto"/>
                <w:kern w:val="0"/>
                <w:sz w:val="24"/>
                <w:szCs w:val="24"/>
                <w:highlight w:val="none"/>
                <w:u w:val="none"/>
                <w:shd w:val="clear" w:color="auto" w:fill="auto"/>
              </w:rPr>
              <w:t>覆盖服务期的租赁合同及发票</w:t>
            </w:r>
            <w:r>
              <w:rPr>
                <w:rFonts w:hint="eastAsia" w:ascii="仿宋_GB2312" w:hAnsi="仿宋_GB2312" w:eastAsia="仿宋_GB2312" w:cs="仿宋_GB2312"/>
                <w:color w:val="auto"/>
                <w:kern w:val="0"/>
                <w:sz w:val="24"/>
                <w:szCs w:val="24"/>
                <w:highlight w:val="none"/>
                <w:u w:val="none"/>
                <w:shd w:val="clear" w:color="auto" w:fill="auto"/>
                <w:lang w:eastAsia="zh-CN"/>
              </w:rPr>
              <w:t>、</w:t>
            </w:r>
            <w:r>
              <w:rPr>
                <w:rFonts w:hint="eastAsia" w:ascii="仿宋_GB2312" w:hAnsi="仿宋_GB2312" w:eastAsia="仿宋_GB2312" w:cs="仿宋_GB2312"/>
                <w:color w:val="auto"/>
                <w:kern w:val="0"/>
                <w:sz w:val="24"/>
                <w:szCs w:val="24"/>
                <w:highlight w:val="none"/>
                <w:u w:val="none"/>
                <w:shd w:val="clear" w:color="auto" w:fill="auto"/>
                <w:lang w:val="en-US" w:eastAsia="zh-CN"/>
              </w:rPr>
              <w:t>设备照片，</w:t>
            </w:r>
            <w:r>
              <w:rPr>
                <w:rFonts w:hint="eastAsia" w:ascii="仿宋_GB2312" w:hAnsi="仿宋_GB2312" w:eastAsia="仿宋_GB2312" w:cs="仿宋_GB2312"/>
                <w:color w:val="auto"/>
                <w:kern w:val="0"/>
                <w:sz w:val="24"/>
                <w:szCs w:val="24"/>
                <w:highlight w:val="none"/>
                <w:u w:val="none"/>
                <w:shd w:val="clear" w:color="auto" w:fill="auto"/>
              </w:rPr>
              <w:t>以及双方盖章的承诺函（确保</w:t>
            </w:r>
            <w:r>
              <w:rPr>
                <w:rFonts w:hint="eastAsia" w:ascii="仿宋_GB2312" w:hAnsi="仿宋_GB2312" w:eastAsia="仿宋_GB2312" w:cs="仿宋_GB2312"/>
                <w:color w:val="auto"/>
                <w:kern w:val="0"/>
                <w:sz w:val="24"/>
                <w:szCs w:val="24"/>
                <w:highlight w:val="none"/>
                <w:u w:val="none"/>
                <w:shd w:val="clear" w:color="auto" w:fill="auto"/>
                <w:lang w:val="en-US" w:eastAsia="zh-CN"/>
              </w:rPr>
              <w:t>设备</w:t>
            </w:r>
            <w:r>
              <w:rPr>
                <w:rFonts w:hint="eastAsia" w:ascii="仿宋_GB2312" w:hAnsi="仿宋_GB2312" w:eastAsia="仿宋_GB2312" w:cs="仿宋_GB2312"/>
                <w:color w:val="auto"/>
                <w:kern w:val="0"/>
                <w:sz w:val="24"/>
                <w:szCs w:val="24"/>
                <w:highlight w:val="none"/>
                <w:u w:val="none"/>
                <w:shd w:val="clear" w:color="auto" w:fill="auto"/>
              </w:rPr>
              <w:t>服务期内持续可用）</w:t>
            </w:r>
            <w:r>
              <w:rPr>
                <w:rFonts w:hint="eastAsia" w:ascii="仿宋_GB2312" w:hAnsi="仿宋_GB2312" w:eastAsia="仿宋_GB2312" w:cs="仿宋_GB2312"/>
                <w:color w:val="auto"/>
                <w:kern w:val="0"/>
                <w:sz w:val="24"/>
                <w:szCs w:val="24"/>
                <w:highlight w:val="none"/>
                <w:u w:val="none"/>
                <w:lang w:eastAsia="zh-CN"/>
              </w:rPr>
              <w:t>；</w:t>
            </w:r>
          </w:p>
          <w:p>
            <w:pPr>
              <w:spacing w:line="360" w:lineRule="auto"/>
              <w:rPr>
                <w:rFonts w:hint="eastAsia" w:ascii="仿宋_GB2312" w:hAnsi="仿宋_GB2312" w:eastAsia="仿宋_GB2312" w:cs="仿宋_GB2312"/>
                <w:color w:val="auto"/>
                <w:kern w:val="0"/>
                <w:sz w:val="24"/>
                <w:szCs w:val="24"/>
                <w:highlight w:val="none"/>
                <w:u w:val="none"/>
                <w:lang w:eastAsia="zh-CN"/>
              </w:rPr>
            </w:pPr>
            <w:r>
              <w:rPr>
                <w:rFonts w:hint="eastAsia" w:ascii="仿宋_GB2312" w:hAnsi="仿宋_GB2312" w:eastAsia="仿宋_GB2312" w:cs="仿宋_GB2312"/>
                <w:color w:val="auto"/>
                <w:kern w:val="0"/>
                <w:sz w:val="24"/>
                <w:szCs w:val="24"/>
                <w:highlight w:val="none"/>
                <w:u w:val="none"/>
                <w:lang w:val="en-US" w:eastAsia="zh-CN"/>
              </w:rPr>
              <w:t>（2）投标人拟提供的无人驾驶环卫装备同时</w:t>
            </w:r>
            <w:r>
              <w:rPr>
                <w:rFonts w:hint="eastAsia" w:ascii="仿宋_GB2312" w:hAnsi="仿宋_GB2312" w:eastAsia="仿宋_GB2312" w:cs="仿宋_GB2312"/>
                <w:color w:val="auto"/>
                <w:kern w:val="0"/>
                <w:sz w:val="24"/>
                <w:szCs w:val="24"/>
                <w:highlight w:val="none"/>
                <w:u w:val="none"/>
              </w:rPr>
              <w:t>需提供出厂合格证明文件</w:t>
            </w:r>
            <w:r>
              <w:rPr>
                <w:rFonts w:hint="eastAsia" w:ascii="仿宋_GB2312" w:hAnsi="仿宋_GB2312" w:eastAsia="仿宋_GB2312" w:cs="仿宋_GB2312"/>
                <w:color w:val="auto"/>
                <w:kern w:val="0"/>
                <w:sz w:val="24"/>
                <w:szCs w:val="24"/>
                <w:highlight w:val="none"/>
                <w:u w:val="none"/>
                <w:lang w:val="en-US" w:eastAsia="zh-CN"/>
              </w:rPr>
              <w:t>，以及</w:t>
            </w:r>
            <w:r>
              <w:rPr>
                <w:rFonts w:hint="eastAsia" w:ascii="仿宋_GB2312" w:hAnsi="仿宋_GB2312" w:eastAsia="仿宋_GB2312" w:cs="仿宋_GB2312"/>
                <w:color w:val="auto"/>
                <w:kern w:val="0"/>
                <w:sz w:val="24"/>
                <w:szCs w:val="24"/>
                <w:highlight w:val="none"/>
                <w:u w:val="none"/>
              </w:rPr>
              <w:t>国内自动驾驶或智能网联汽车封闭测试区</w:t>
            </w:r>
            <w:r>
              <w:rPr>
                <w:rFonts w:hint="eastAsia" w:ascii="仿宋_GB2312" w:hAnsi="仿宋_GB2312" w:eastAsia="仿宋_GB2312" w:cs="仿宋_GB2312"/>
                <w:color w:val="auto"/>
                <w:kern w:val="0"/>
                <w:sz w:val="24"/>
                <w:szCs w:val="24"/>
                <w:highlight w:val="none"/>
                <w:u w:val="none"/>
                <w:lang w:val="en-US" w:eastAsia="zh-CN"/>
              </w:rPr>
              <w:t>测试报告（由具备</w:t>
            </w:r>
            <w:r>
              <w:rPr>
                <w:rFonts w:hint="eastAsia" w:ascii="仿宋_GB2312" w:hAnsi="仿宋_GB2312" w:eastAsia="仿宋_GB2312" w:cs="仿宋_GB2312"/>
                <w:color w:val="auto"/>
                <w:kern w:val="0"/>
                <w:sz w:val="24"/>
                <w:szCs w:val="24"/>
                <w:highlight w:val="none"/>
                <w:u w:val="none"/>
              </w:rPr>
              <w:t>检验检测机构资质</w:t>
            </w:r>
            <w:r>
              <w:rPr>
                <w:rFonts w:hint="eastAsia" w:ascii="仿宋_GB2312" w:hAnsi="仿宋_GB2312" w:eastAsia="仿宋_GB2312" w:cs="仿宋_GB2312"/>
                <w:color w:val="auto"/>
                <w:kern w:val="0"/>
                <w:sz w:val="24"/>
                <w:szCs w:val="24"/>
                <w:highlight w:val="none"/>
                <w:u w:val="none"/>
                <w:lang w:val="en-US" w:eastAsia="zh-CN"/>
              </w:rPr>
              <w:t>的第三方机构出具，需明确设备型号和尺寸参数）</w:t>
            </w:r>
            <w:r>
              <w:rPr>
                <w:rFonts w:hint="eastAsia" w:ascii="仿宋_GB2312" w:hAnsi="仿宋_GB2312" w:eastAsia="仿宋_GB2312" w:cs="仿宋_GB2312"/>
                <w:color w:val="auto"/>
                <w:kern w:val="0"/>
                <w:sz w:val="24"/>
                <w:szCs w:val="24"/>
                <w:highlight w:val="none"/>
                <w:u w:val="none"/>
                <w:lang w:eastAsia="zh-CN"/>
              </w:rPr>
              <w:t>；</w:t>
            </w:r>
          </w:p>
          <w:p>
            <w:pPr>
              <w:spacing w:line="360" w:lineRule="auto"/>
              <w:rPr>
                <w:rFonts w:hint="eastAsia" w:ascii="仿宋_GB2312" w:hAnsi="仿宋_GB2312" w:eastAsia="仿宋_GB2312" w:cs="仿宋_GB2312"/>
                <w:color w:val="auto"/>
                <w:kern w:val="0"/>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u w:val="none"/>
                <w:shd w:val="clear" w:color="auto" w:fill="auto"/>
                <w:lang w:val="en-US" w:eastAsia="zh-CN"/>
              </w:rPr>
              <w:t>（3）未</w:t>
            </w:r>
            <w:r>
              <w:rPr>
                <w:rFonts w:hint="eastAsia" w:ascii="仿宋_GB2312" w:hAnsi="仿宋_GB2312" w:eastAsia="仿宋_GB2312" w:cs="仿宋_GB2312"/>
                <w:color w:val="auto"/>
                <w:kern w:val="0"/>
                <w:sz w:val="24"/>
                <w:szCs w:val="24"/>
                <w:highlight w:val="none"/>
                <w:u w:val="none"/>
              </w:rPr>
              <w:t>提供或未按要求提供或提供的资料不清晰导致专家无法判断的，不得分。</w:t>
            </w:r>
          </w:p>
        </w:tc>
        <w:tc>
          <w:tcPr>
            <w:tcW w:w="684" w:type="dxa"/>
            <w:noWrap w:val="0"/>
            <w:vAlign w:val="center"/>
          </w:tcPr>
          <w:p>
            <w:pPr>
              <w:snapToGrid w:val="0"/>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24</w:t>
            </w:r>
          </w:p>
        </w:tc>
        <w:tc>
          <w:tcPr>
            <w:tcW w:w="1024" w:type="dxa"/>
            <w:noWrap w:val="0"/>
            <w:vAlign w:val="center"/>
          </w:tcPr>
          <w:p>
            <w:pPr>
              <w:widowControl/>
              <w:wordWrap/>
              <w:snapToGrid/>
              <w:spacing w:line="360" w:lineRule="auto"/>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客观</w:t>
            </w:r>
          </w:p>
        </w:tc>
        <w:tc>
          <w:tcPr>
            <w:tcW w:w="1456" w:type="dxa"/>
            <w:noWrap w:val="0"/>
            <w:vAlign w:val="center"/>
          </w:tcPr>
          <w:p>
            <w:pPr>
              <w:snapToGrid w:val="0"/>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设备投入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rPr>
                <w:rFonts w:hint="default" w:ascii="仿宋_GB2312" w:hAnsi="仿宋_GB2312" w:eastAsia="仿宋_GB2312" w:cs="仿宋_GB2312"/>
                <w:strike w:val="0"/>
                <w:color w:val="auto"/>
                <w:sz w:val="24"/>
                <w:szCs w:val="24"/>
                <w:highlight w:val="none"/>
                <w:lang w:val="en-US" w:eastAsia="zh-CN"/>
              </w:rPr>
            </w:pPr>
            <w:r>
              <w:rPr>
                <w:rFonts w:hint="eastAsia" w:ascii="仿宋_GB2312" w:hAnsi="仿宋_GB2312" w:eastAsia="仿宋_GB2312" w:cs="仿宋_GB2312"/>
                <w:strike w:val="0"/>
                <w:color w:val="auto"/>
                <w:sz w:val="24"/>
                <w:szCs w:val="24"/>
                <w:highlight w:val="none"/>
                <w:lang w:val="en-US" w:eastAsia="zh-CN"/>
              </w:rPr>
              <w:t>11</w:t>
            </w:r>
          </w:p>
        </w:tc>
        <w:tc>
          <w:tcPr>
            <w:tcW w:w="6012" w:type="dxa"/>
            <w:shd w:val="clear" w:color="auto" w:fill="auto"/>
            <w:noWrap w:val="0"/>
            <w:vAlign w:val="center"/>
          </w:tcPr>
          <w:p>
            <w:pPr>
              <w:spacing w:line="360" w:lineRule="auto"/>
              <w:rPr>
                <w:rStyle w:val="946"/>
                <w:rFonts w:hint="eastAsia" w:ascii="仿宋_GB2312" w:hAnsi="仿宋_GB2312" w:eastAsia="仿宋_GB2312" w:cs="仿宋_GB2312"/>
                <w:b/>
                <w:bCs/>
                <w:color w:val="auto"/>
                <w:kern w:val="0"/>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（一）评分内容</w:t>
            </w:r>
          </w:p>
          <w:p>
            <w:pPr>
              <w:spacing w:line="360" w:lineRule="auto"/>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投标人建设的智慧环卫管理平台，符合以下条件的：</w:t>
            </w:r>
          </w:p>
          <w:p>
            <w:pPr>
              <w:spacing w:line="360" w:lineRule="auto"/>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lang w:val="en-US" w:eastAsia="zh-CN"/>
              </w:rPr>
              <w:t>1、（评分内容1）</w:t>
            </w:r>
            <w:r>
              <w:rPr>
                <w:rStyle w:val="946"/>
                <w:rFonts w:hint="eastAsia" w:ascii="仿宋_GB2312" w:hAnsi="仿宋_GB2312" w:eastAsia="仿宋_GB2312" w:cs="仿宋_GB2312"/>
                <w:color w:val="auto"/>
                <w:kern w:val="0"/>
                <w:sz w:val="24"/>
                <w:szCs w:val="24"/>
                <w:highlight w:val="none"/>
                <w:u w:val="none"/>
              </w:rPr>
              <w:t>具备设备作业实时监控（实时视频、位置、速度、电量、作业模式等）、作业质量评估（历史轨迹、历史图片、作业质量问题AI识别等）功能，同时平台数据接入钱塘区综合行政执法局总平台进行统一管理的，得2分，本小项最高得2分；</w:t>
            </w:r>
          </w:p>
          <w:p>
            <w:pPr>
              <w:spacing w:line="360" w:lineRule="auto"/>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2、</w:t>
            </w:r>
            <w:r>
              <w:rPr>
                <w:rStyle w:val="946"/>
                <w:rFonts w:hint="eastAsia" w:ascii="仿宋_GB2312" w:hAnsi="仿宋_GB2312" w:eastAsia="仿宋_GB2312" w:cs="仿宋_GB2312"/>
                <w:color w:val="auto"/>
                <w:kern w:val="0"/>
                <w:sz w:val="24"/>
                <w:szCs w:val="24"/>
                <w:highlight w:val="none"/>
                <w:u w:val="none"/>
                <w:lang w:eastAsia="zh-CN"/>
              </w:rPr>
              <w:t>（</w:t>
            </w:r>
            <w:r>
              <w:rPr>
                <w:rStyle w:val="946"/>
                <w:rFonts w:hint="eastAsia" w:ascii="仿宋_GB2312" w:hAnsi="仿宋_GB2312" w:eastAsia="仿宋_GB2312" w:cs="仿宋_GB2312"/>
                <w:color w:val="auto"/>
                <w:kern w:val="0"/>
                <w:sz w:val="24"/>
                <w:szCs w:val="24"/>
                <w:highlight w:val="none"/>
                <w:u w:val="none"/>
                <w:lang w:val="en-US" w:eastAsia="zh-CN"/>
              </w:rPr>
              <w:t>评分内容2</w:t>
            </w:r>
            <w:r>
              <w:rPr>
                <w:rStyle w:val="946"/>
                <w:rFonts w:hint="eastAsia" w:ascii="仿宋_GB2312" w:hAnsi="仿宋_GB2312" w:eastAsia="仿宋_GB2312" w:cs="仿宋_GB2312"/>
                <w:color w:val="auto"/>
                <w:kern w:val="0"/>
                <w:sz w:val="24"/>
                <w:szCs w:val="24"/>
                <w:highlight w:val="none"/>
                <w:u w:val="none"/>
                <w:lang w:eastAsia="zh-CN"/>
              </w:rPr>
              <w:t>）</w:t>
            </w:r>
            <w:r>
              <w:rPr>
                <w:rStyle w:val="946"/>
                <w:rFonts w:hint="eastAsia" w:ascii="仿宋_GB2312" w:hAnsi="仿宋_GB2312" w:eastAsia="仿宋_GB2312" w:cs="仿宋_GB2312"/>
                <w:color w:val="auto"/>
                <w:kern w:val="0"/>
                <w:sz w:val="24"/>
                <w:szCs w:val="24"/>
                <w:highlight w:val="none"/>
                <w:u w:val="none"/>
              </w:rPr>
              <w:t>智慧管理平台取得国家公安部认证</w:t>
            </w:r>
            <w:r>
              <w:rPr>
                <w:rStyle w:val="946"/>
                <w:rFonts w:hint="eastAsia" w:ascii="仿宋_GB2312" w:hAnsi="仿宋_GB2312" w:eastAsia="仿宋_GB2312" w:cs="仿宋_GB2312"/>
                <w:color w:val="auto"/>
                <w:kern w:val="0"/>
                <w:sz w:val="24"/>
                <w:szCs w:val="24"/>
                <w:highlight w:val="none"/>
                <w:u w:val="none"/>
                <w:lang w:val="en-US" w:eastAsia="zh-CN"/>
              </w:rPr>
              <w:t>或监制</w:t>
            </w:r>
            <w:r>
              <w:rPr>
                <w:rStyle w:val="946"/>
                <w:rFonts w:hint="eastAsia" w:ascii="仿宋_GB2312" w:hAnsi="仿宋_GB2312" w:eastAsia="仿宋_GB2312" w:cs="仿宋_GB2312"/>
                <w:color w:val="auto"/>
                <w:kern w:val="0"/>
                <w:sz w:val="24"/>
                <w:szCs w:val="24"/>
                <w:highlight w:val="none"/>
                <w:u w:val="none"/>
              </w:rPr>
              <w:t>的三级及以上信息系统安全等级保护备案证明的，得3分，本小项最高得3分；</w:t>
            </w:r>
          </w:p>
          <w:p>
            <w:pPr>
              <w:spacing w:line="360" w:lineRule="auto"/>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以上两项累计得分，本项最高得5分。</w:t>
            </w:r>
          </w:p>
          <w:p>
            <w:pPr>
              <w:spacing w:line="360" w:lineRule="auto"/>
              <w:rPr>
                <w:rStyle w:val="946"/>
                <w:rFonts w:hint="eastAsia" w:ascii="仿宋_GB2312" w:hAnsi="仿宋_GB2312" w:eastAsia="仿宋_GB2312" w:cs="仿宋_GB2312"/>
                <w:b/>
                <w:bCs/>
                <w:color w:val="auto"/>
                <w:kern w:val="0"/>
                <w:sz w:val="24"/>
                <w:szCs w:val="24"/>
                <w:highlight w:val="none"/>
                <w:u w:val="none"/>
              </w:rPr>
            </w:pPr>
            <w:r>
              <w:rPr>
                <w:rStyle w:val="946"/>
                <w:rFonts w:hint="eastAsia" w:ascii="仿宋_GB2312" w:hAnsi="仿宋_GB2312" w:eastAsia="仿宋_GB2312" w:cs="仿宋_GB2312"/>
                <w:b/>
                <w:bCs/>
                <w:color w:val="auto"/>
                <w:kern w:val="0"/>
                <w:sz w:val="24"/>
                <w:szCs w:val="24"/>
                <w:highlight w:val="none"/>
                <w:u w:val="none"/>
              </w:rPr>
              <w:t>（二）评分依据</w:t>
            </w:r>
          </w:p>
          <w:p>
            <w:pPr>
              <w:spacing w:line="360" w:lineRule="auto"/>
              <w:rPr>
                <w:rStyle w:val="946"/>
                <w:rFonts w:hint="eastAsia" w:ascii="仿宋_GB2312" w:hAnsi="仿宋_GB2312" w:eastAsia="仿宋_GB2312" w:cs="仿宋_GB2312"/>
                <w:color w:val="auto"/>
                <w:kern w:val="0"/>
                <w:sz w:val="24"/>
                <w:szCs w:val="24"/>
                <w:highlight w:val="none"/>
                <w:u w:val="none"/>
              </w:rPr>
            </w:pPr>
            <w:r>
              <w:rPr>
                <w:rStyle w:val="946"/>
                <w:rFonts w:hint="eastAsia" w:ascii="仿宋_GB2312" w:hAnsi="仿宋_GB2312" w:eastAsia="仿宋_GB2312" w:cs="仿宋_GB2312"/>
                <w:color w:val="auto"/>
                <w:kern w:val="0"/>
                <w:sz w:val="24"/>
                <w:szCs w:val="24"/>
                <w:highlight w:val="none"/>
                <w:u w:val="none"/>
              </w:rPr>
              <w:t>1、</w:t>
            </w:r>
            <w:r>
              <w:rPr>
                <w:rStyle w:val="946"/>
                <w:rFonts w:hint="eastAsia" w:ascii="仿宋_GB2312" w:hAnsi="仿宋_GB2312" w:eastAsia="仿宋_GB2312" w:cs="仿宋_GB2312"/>
                <w:color w:val="auto"/>
                <w:kern w:val="0"/>
                <w:sz w:val="24"/>
                <w:szCs w:val="24"/>
                <w:highlight w:val="none"/>
                <w:u w:val="none"/>
                <w:lang w:val="en-US" w:eastAsia="zh-CN"/>
              </w:rPr>
              <w:t>（评分内容1）</w:t>
            </w:r>
            <w:r>
              <w:rPr>
                <w:rStyle w:val="946"/>
                <w:rFonts w:hint="eastAsia" w:ascii="仿宋_GB2312" w:hAnsi="仿宋_GB2312" w:eastAsia="仿宋_GB2312" w:cs="仿宋_GB2312"/>
                <w:color w:val="auto"/>
                <w:kern w:val="0"/>
                <w:sz w:val="24"/>
                <w:szCs w:val="24"/>
                <w:highlight w:val="none"/>
                <w:u w:val="none"/>
              </w:rPr>
              <w:t>需提供承诺函加盖电子章，明确承诺投标人建设的智慧环卫管理平台：（1）具备评分内容要求的全部功能且在服务期内持续可用；（2）自合同签订后30日内完成与钱塘区综合行政执法局总平台对接；</w:t>
            </w:r>
          </w:p>
          <w:p>
            <w:pPr>
              <w:spacing w:line="360" w:lineRule="auto"/>
              <w:rPr>
                <w:rStyle w:val="946"/>
                <w:rFonts w:hint="default" w:ascii="仿宋_GB2312" w:hAnsi="仿宋_GB2312" w:eastAsia="仿宋_GB2312" w:cs="仿宋_GB2312"/>
                <w:color w:val="auto"/>
                <w:kern w:val="0"/>
                <w:sz w:val="24"/>
                <w:szCs w:val="24"/>
                <w:highlight w:val="none"/>
                <w:u w:val="none"/>
                <w:lang w:val="en-US"/>
              </w:rPr>
            </w:pPr>
            <w:r>
              <w:rPr>
                <w:rStyle w:val="946"/>
                <w:rFonts w:hint="eastAsia" w:ascii="仿宋_GB2312" w:hAnsi="仿宋_GB2312" w:eastAsia="仿宋_GB2312" w:cs="仿宋_GB2312"/>
                <w:color w:val="auto"/>
                <w:kern w:val="0"/>
                <w:sz w:val="24"/>
                <w:szCs w:val="24"/>
                <w:highlight w:val="none"/>
                <w:u w:val="none"/>
              </w:rPr>
              <w:t>2、</w:t>
            </w:r>
            <w:r>
              <w:rPr>
                <w:rStyle w:val="946"/>
                <w:rFonts w:hint="eastAsia" w:ascii="仿宋_GB2312" w:hAnsi="仿宋_GB2312" w:eastAsia="仿宋_GB2312" w:cs="仿宋_GB2312"/>
                <w:color w:val="auto"/>
                <w:kern w:val="0"/>
                <w:sz w:val="24"/>
                <w:szCs w:val="24"/>
                <w:highlight w:val="none"/>
                <w:u w:val="none"/>
                <w:lang w:eastAsia="zh-CN"/>
              </w:rPr>
              <w:t>（</w:t>
            </w:r>
            <w:r>
              <w:rPr>
                <w:rStyle w:val="946"/>
                <w:rFonts w:hint="eastAsia" w:ascii="仿宋_GB2312" w:hAnsi="仿宋_GB2312" w:eastAsia="仿宋_GB2312" w:cs="仿宋_GB2312"/>
                <w:color w:val="auto"/>
                <w:kern w:val="0"/>
                <w:sz w:val="24"/>
                <w:szCs w:val="24"/>
                <w:highlight w:val="none"/>
                <w:u w:val="none"/>
                <w:lang w:val="en-US" w:eastAsia="zh-CN"/>
              </w:rPr>
              <w:t>评分内容2</w:t>
            </w:r>
            <w:r>
              <w:rPr>
                <w:rStyle w:val="946"/>
                <w:rFonts w:hint="eastAsia" w:ascii="仿宋_GB2312" w:hAnsi="仿宋_GB2312" w:eastAsia="仿宋_GB2312" w:cs="仿宋_GB2312"/>
                <w:color w:val="auto"/>
                <w:kern w:val="0"/>
                <w:sz w:val="24"/>
                <w:szCs w:val="24"/>
                <w:highlight w:val="none"/>
                <w:u w:val="none"/>
                <w:lang w:eastAsia="zh-CN"/>
              </w:rPr>
              <w:t>）</w:t>
            </w:r>
            <w:r>
              <w:rPr>
                <w:rStyle w:val="946"/>
                <w:rFonts w:hint="eastAsia" w:ascii="仿宋_GB2312" w:hAnsi="仿宋_GB2312" w:eastAsia="仿宋_GB2312" w:cs="仿宋_GB2312"/>
                <w:color w:val="auto"/>
                <w:kern w:val="0"/>
                <w:sz w:val="24"/>
                <w:szCs w:val="24"/>
                <w:highlight w:val="none"/>
                <w:u w:val="none"/>
                <w:lang w:val="en-US" w:eastAsia="zh-CN"/>
              </w:rPr>
              <w:t>需提供信息系统安全等级保护备案证明扫描件，扫描件需加盖电子章；</w:t>
            </w:r>
          </w:p>
          <w:p>
            <w:pPr>
              <w:spacing w:line="360" w:lineRule="auto"/>
              <w:rPr>
                <w:rFonts w:hint="eastAsia" w:ascii="仿宋_GB2312" w:hAnsi="仿宋_GB2312" w:eastAsia="仿宋_GB2312" w:cs="仿宋_GB2312"/>
                <w:color w:val="auto"/>
                <w:kern w:val="0"/>
                <w:sz w:val="24"/>
                <w:szCs w:val="24"/>
                <w:highlight w:val="none"/>
                <w:u w:val="none"/>
                <w:lang w:val="en-US" w:eastAsia="zh-CN" w:bidi="ar-SA"/>
              </w:rPr>
            </w:pPr>
            <w:r>
              <w:rPr>
                <w:rStyle w:val="946"/>
                <w:rFonts w:hint="eastAsia" w:ascii="仿宋_GB2312" w:hAnsi="仿宋_GB2312" w:eastAsia="仿宋_GB2312" w:cs="仿宋_GB2312"/>
                <w:color w:val="auto"/>
                <w:kern w:val="0"/>
                <w:sz w:val="24"/>
                <w:szCs w:val="24"/>
                <w:highlight w:val="none"/>
                <w:u w:val="none"/>
                <w:lang w:val="en-US" w:eastAsia="zh-CN"/>
              </w:rPr>
              <w:t>3、</w:t>
            </w:r>
            <w:r>
              <w:rPr>
                <w:rStyle w:val="946"/>
                <w:rFonts w:hint="eastAsia" w:ascii="仿宋_GB2312" w:hAnsi="仿宋_GB2312" w:eastAsia="仿宋_GB2312" w:cs="仿宋_GB2312"/>
                <w:color w:val="auto"/>
                <w:kern w:val="0"/>
                <w:sz w:val="24"/>
                <w:szCs w:val="24"/>
                <w:highlight w:val="none"/>
                <w:u w:val="none"/>
              </w:rPr>
              <w:t>未提供或未按要求提供或提供的资料不清晰导致专家无法判断的，不得分。</w:t>
            </w:r>
          </w:p>
        </w:tc>
        <w:tc>
          <w:tcPr>
            <w:tcW w:w="684" w:type="dxa"/>
            <w:shd w:val="clear" w:color="auto" w:fill="auto"/>
            <w:noWrap w:val="0"/>
            <w:vAlign w:val="center"/>
          </w:tcPr>
          <w:p>
            <w:pPr>
              <w:snapToGrid w:val="0"/>
              <w:spacing w:line="360" w:lineRule="auto"/>
              <w:jc w:val="center"/>
              <w:rPr>
                <w:rFonts w:hint="default" w:ascii="仿宋_GB2312" w:hAnsi="仿宋_GB2312" w:eastAsia="仿宋_GB2312" w:cs="仿宋_GB2312"/>
                <w:strike w:val="0"/>
                <w:kern w:val="2"/>
                <w:sz w:val="24"/>
                <w:szCs w:val="24"/>
                <w:highlight w:val="none"/>
                <w:lang w:val="en-US" w:eastAsia="zh-CN" w:bidi="ar-SA"/>
              </w:rPr>
            </w:pPr>
            <w:r>
              <w:rPr>
                <w:rFonts w:hint="eastAsia" w:ascii="仿宋_GB2312" w:hAnsi="仿宋_GB2312" w:eastAsia="仿宋_GB2312" w:cs="仿宋_GB2312"/>
                <w:strike w:val="0"/>
                <w:kern w:val="2"/>
                <w:sz w:val="24"/>
                <w:szCs w:val="24"/>
                <w:highlight w:val="none"/>
                <w:lang w:val="en-US" w:eastAsia="zh-CN" w:bidi="ar-SA"/>
              </w:rPr>
              <w:t>5</w:t>
            </w:r>
          </w:p>
        </w:tc>
        <w:tc>
          <w:tcPr>
            <w:tcW w:w="1024" w:type="dxa"/>
            <w:shd w:val="clear" w:color="auto" w:fill="auto"/>
            <w:noWrap w:val="0"/>
            <w:vAlign w:val="center"/>
          </w:tcPr>
          <w:p>
            <w:pPr>
              <w:wordWrap/>
              <w:snapToGrid/>
              <w:spacing w:line="360" w:lineRule="auto"/>
              <w:jc w:val="center"/>
              <w:textAlignment w:val="auto"/>
              <w:outlineLvl w:val="0"/>
              <w:rPr>
                <w:rFonts w:hint="eastAsia" w:ascii="仿宋_GB2312" w:hAnsi="仿宋_GB2312" w:eastAsia="仿宋_GB2312" w:cs="仿宋_GB2312"/>
                <w:strike w:val="0"/>
                <w:kern w:val="2"/>
                <w:sz w:val="24"/>
                <w:szCs w:val="24"/>
                <w:highlight w:val="none"/>
                <w:lang w:val="en-US" w:eastAsia="zh-CN" w:bidi="ar-SA"/>
              </w:rPr>
            </w:pPr>
            <w:r>
              <w:rPr>
                <w:rFonts w:hint="eastAsia" w:ascii="仿宋_GB2312" w:hAnsi="仿宋_GB2312" w:eastAsia="仿宋_GB2312" w:cs="仿宋_GB2312"/>
                <w:strike w:val="0"/>
                <w:kern w:val="2"/>
                <w:sz w:val="24"/>
                <w:szCs w:val="24"/>
                <w:highlight w:val="none"/>
                <w:lang w:val="en-US" w:eastAsia="zh-CN" w:bidi="ar-SA"/>
              </w:rPr>
              <w:t>客观</w:t>
            </w:r>
          </w:p>
        </w:tc>
        <w:tc>
          <w:tcPr>
            <w:tcW w:w="1456" w:type="dxa"/>
            <w:shd w:val="clear" w:color="auto" w:fill="auto"/>
            <w:noWrap w:val="0"/>
            <w:vAlign w:val="center"/>
          </w:tcPr>
          <w:p>
            <w:pPr>
              <w:keepNext w:val="0"/>
              <w:keepLines w:val="0"/>
              <w:pageBreakBefore w:val="0"/>
              <w:widowControl/>
              <w:kinsoku/>
              <w:wordWrap/>
              <w:overflowPunct/>
              <w:topLinePunct w:val="0"/>
              <w:bidi w:val="0"/>
              <w:snapToGrid/>
              <w:spacing w:line="360" w:lineRule="auto"/>
              <w:jc w:val="center"/>
              <w:textAlignment w:val="auto"/>
              <w:rPr>
                <w:rFonts w:hint="eastAsia" w:ascii="仿宋_GB2312" w:hAnsi="仿宋_GB2312" w:eastAsia="仿宋_GB2312" w:cs="仿宋_GB2312"/>
                <w:strike w:val="0"/>
                <w:color w:val="auto"/>
                <w:sz w:val="24"/>
                <w:szCs w:val="24"/>
                <w:highlight w:val="none"/>
                <w:lang w:eastAsia="zh-CN"/>
              </w:rPr>
            </w:pPr>
            <w:r>
              <w:rPr>
                <w:rFonts w:hint="eastAsia" w:ascii="仿宋_GB2312" w:hAnsi="仿宋_GB2312" w:eastAsia="仿宋_GB2312" w:cs="仿宋_GB2312"/>
                <w:strike w:val="0"/>
                <w:color w:val="auto"/>
                <w:sz w:val="24"/>
                <w:szCs w:val="24"/>
                <w:highlight w:val="none"/>
                <w:lang w:eastAsia="zh-CN"/>
              </w:rPr>
              <w:t>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11" w:type="dxa"/>
            <w:noWrap w:val="0"/>
            <w:vAlign w:val="center"/>
          </w:tcPr>
          <w:p>
            <w:pPr>
              <w:keepNext w:val="0"/>
              <w:keepLines w:val="0"/>
              <w:pageBreakBefore w:val="0"/>
              <w:kinsoku/>
              <w:wordWrap/>
              <w:overflowPunct/>
              <w:topLinePunct w:val="0"/>
              <w:bidi w:val="0"/>
              <w:snapToGrid/>
              <w:spacing w:line="360" w:lineRule="auto"/>
              <w:jc w:val="center"/>
              <w:textAlignment w:val="auto"/>
              <w:outlineLvl w:val="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12</w:t>
            </w:r>
          </w:p>
        </w:tc>
        <w:tc>
          <w:tcPr>
            <w:tcW w:w="6012" w:type="dxa"/>
            <w:noWrap w:val="0"/>
            <w:vAlign w:val="top"/>
          </w:tcPr>
          <w:p>
            <w:pPr>
              <w:spacing w:line="360" w:lineRule="auto"/>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有效投标报价的最低价作为评标基准价，其最低报价为满分；按［投标报价得分=（评标基准价/投标报价）*</w:t>
            </w: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］的计算公式计算。</w:t>
            </w:r>
          </w:p>
          <w:p>
            <w:pPr>
              <w:spacing w:line="360" w:lineRule="auto"/>
              <w:outlineLvl w:val="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sz w:val="24"/>
                <w:szCs w:val="24"/>
                <w:highlight w:val="none"/>
              </w:rPr>
              <w:t>评标过程中，不得去掉报价中的最高报价和最低报价。</w:t>
            </w:r>
          </w:p>
          <w:p>
            <w:pPr>
              <w:keepNext w:val="0"/>
              <w:keepLines w:val="0"/>
              <w:pageBreakBefore w:val="0"/>
              <w:widowControl/>
              <w:shd w:val="clear" w:color="auto" w:fill="FFFFFF"/>
              <w:kinsoku/>
              <w:wordWrap/>
              <w:overflowPunct/>
              <w:topLinePunct w:val="0"/>
              <w:bidi w:val="0"/>
              <w:adjustRightInd/>
              <w:snapToGrid/>
              <w:spacing w:line="360" w:lineRule="auto"/>
              <w:ind w:firstLine="42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eastAsia="zh-CN"/>
              </w:rPr>
              <w:t>对于未预留份额专门面向中小企业的政府采购货物项目，以及预留份额政府采购服务项目中的非预留部分标项，对小型和微型企业的投标报价给予</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lang w:eastAsia="zh-CN"/>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684" w:type="dxa"/>
            <w:noWrap w:val="0"/>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val="en-US" w:eastAsia="zh-CN"/>
              </w:rPr>
              <w:t>10</w:t>
            </w:r>
          </w:p>
        </w:tc>
        <w:tc>
          <w:tcPr>
            <w:tcW w:w="1024" w:type="dxa"/>
            <w:noWrap w:val="0"/>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客观</w:t>
            </w:r>
          </w:p>
        </w:tc>
        <w:tc>
          <w:tcPr>
            <w:tcW w:w="1456" w:type="dxa"/>
            <w:noWrap w:val="0"/>
            <w:vAlign w:val="center"/>
          </w:tcPr>
          <w:p>
            <w:pPr>
              <w:keepNext w:val="0"/>
              <w:keepLines w:val="0"/>
              <w:pageBreakBefore w:val="0"/>
              <w:kinsoku/>
              <w:wordWrap/>
              <w:overflowPunct/>
              <w:topLinePunct w:val="0"/>
              <w:bidi w:val="0"/>
              <w:snapToGrid/>
              <w:spacing w:line="360" w:lineRule="auto"/>
              <w:jc w:val="center"/>
              <w:textAlignment w:val="auto"/>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w:t>
            </w:r>
          </w:p>
        </w:tc>
      </w:tr>
    </w:tbl>
    <w:p>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shd w:val="clear" w:color="auto" w:fill="FFFFFF"/>
        </w:rPr>
        <w:t>*</w:t>
      </w:r>
      <w:r>
        <w:rPr>
          <w:rFonts w:hint="eastAsia" w:ascii="仿宋_GB2312" w:hAnsi="仿宋_GB2312" w:eastAsia="仿宋_GB2312" w:cs="仿宋_GB2312"/>
          <w:b/>
          <w:color w:val="auto"/>
          <w:sz w:val="24"/>
          <w:highlight w:val="none"/>
        </w:rPr>
        <w:t>备注：</w:t>
      </w:r>
      <w:r>
        <w:rPr>
          <w:rFonts w:hint="eastAsia" w:ascii="仿宋_GB2312" w:hAnsi="仿宋_GB2312" w:eastAsia="仿宋_GB2312" w:cs="仿宋_GB2312"/>
          <w:color w:val="auto"/>
          <w:sz w:val="24"/>
          <w:highlight w:val="none"/>
        </w:rPr>
        <w:t>投标人编制投标文件（商务技术文件部分）时，建议按此目录（序号和内容）提供评标标准相应的商务技术资料。 </w:t>
      </w:r>
    </w:p>
    <w:p>
      <w:pPr>
        <w:snapToGrid w:val="0"/>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 </w:t>
      </w:r>
      <w:bookmarkEnd w:id="12"/>
      <w:bookmarkStart w:id="51" w:name="第五部分"/>
      <w:bookmarkStart w:id="52" w:name="_Toc86217003"/>
      <w:r>
        <w:rPr>
          <w:rFonts w:hint="eastAsia" w:ascii="仿宋_GB2312" w:hAnsi="仿宋_GB2312" w:eastAsia="仿宋_GB2312" w:cs="仿宋_GB2312"/>
          <w:b/>
          <w:color w:val="auto"/>
          <w:sz w:val="24"/>
          <w:highlight w:val="none"/>
        </w:rPr>
        <w:t>一、评标方法</w:t>
      </w:r>
    </w:p>
    <w:p>
      <w:pPr>
        <w:adjustRightInd/>
        <w:spacing w:line="360" w:lineRule="auto"/>
        <w:ind w:firstLine="472" w:firstLineChars="196"/>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1.本项目采用综合评分法。</w:t>
      </w:r>
      <w:r>
        <w:rPr>
          <w:rFonts w:hint="eastAsia" w:ascii="仿宋_GB2312" w:hAnsi="仿宋_GB2312" w:eastAsia="仿宋_GB2312" w:cs="仿宋_GB2312"/>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sz w:val="24"/>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w:t>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_GB2312" w:eastAsia="仿宋_GB2312" w:cs="仿宋_GB2312"/>
          <w:color w:val="auto"/>
          <w:kern w:val="0"/>
          <w:sz w:val="24"/>
          <w:highlight w:val="none"/>
        </w:rPr>
        <w:t>见评标办法前附表。</w:t>
      </w:r>
    </w:p>
    <w:p>
      <w:pPr>
        <w:adjustRightInd/>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三、评标原则</w:t>
      </w:r>
    </w:p>
    <w:p>
      <w:pPr>
        <w:spacing w:line="360" w:lineRule="auto"/>
        <w:ind w:firstLine="480" w:firstLineChars="200"/>
        <w:outlineLvl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
        </w:rPr>
        <w:t>3.</w:t>
      </w:r>
      <w:r>
        <w:rPr>
          <w:rFonts w:hint="eastAsia" w:ascii="仿宋_GB2312" w:hAnsi="仿宋_GB2312" w:eastAsia="仿宋_GB2312" w:cs="仿宋_GB2312"/>
          <w:color w:val="auto"/>
          <w:sz w:val="24"/>
          <w:highlight w:val="none"/>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5"/>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5"/>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5"/>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方推荐资格；评审得分相同的，由采购人或者采购人委托评标委员会按照招标文件规定的方式确定一个投标人获得中标方推荐资格，招标文件未规定的采取随机抽取方式确定，其他同品牌投标人不作为中标候选人。</w:t>
      </w:r>
    </w:p>
    <w:p>
      <w:pPr>
        <w:pStyle w:val="35"/>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非单一产品采购项目，采购人应当根据采购项目技术构成、产品价格比重等合理确定核心产品，并在招标文件中载明。多家投标人提供的核心产品品牌相同的，按前款规定处理。</w:t>
      </w:r>
    </w:p>
    <w:p>
      <w:pPr>
        <w:pStyle w:val="35"/>
        <w:snapToGrid w:val="0"/>
        <w:spacing w:line="360" w:lineRule="auto"/>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rPr>
        <w:t>3.</w:t>
      </w:r>
      <w:r>
        <w:rPr>
          <w:rFonts w:hint="eastAsia" w:ascii="仿宋_GB2312" w:hAnsi="仿宋_GB2312" w:eastAsia="仿宋_GB2312" w:cs="仿宋_GB2312"/>
          <w:color w:val="auto"/>
          <w:sz w:val="24"/>
          <w:szCs w:val="24"/>
          <w:highlight w:val="none"/>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outlineLvl w:val="0"/>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sz w:val="24"/>
          <w:highlight w:val="none"/>
        </w:rPr>
        <w:t>四、评标程序</w:t>
      </w:r>
    </w:p>
    <w:p>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4.1开启开标场地录音录像采集设备，并确保正常运行。</w:t>
      </w:r>
    </w:p>
    <w:p>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4.2按规定统一收缴、保存评标现场相关人员通讯工具。</w:t>
      </w:r>
    </w:p>
    <w:p>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4.3介绍评审现场的人员情况，宣布评审工作纪律，告知评审人员应当回避情形；组织推选评标委员会组长。</w:t>
      </w:r>
    </w:p>
    <w:p>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4.4采购代理机构组织评标委员会各位成员签订纸质形式的《政府采购评审人员廉洁自律承诺书》。</w:t>
      </w:r>
    </w:p>
    <w:p>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4.5采购人可以在评标前说明项目背景和采购需求，说明内容不得含有歧视性、倾向性意见，不得超出招标文件所述范围。说明应当提交书面材料，并随采购文件一并存档。</w:t>
      </w:r>
    </w:p>
    <w:p>
      <w:pPr>
        <w:pStyle w:val="24"/>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24"/>
        <w:ind w:firstLine="480" w:firstLineChars="200"/>
        <w:rPr>
          <w:rFonts w:hint="eastAsia"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4.7采购人代表根据采购文件的规定，对资格文件进行审查，以确定供应商是否具有响应资格。资格审查内容如下：</w:t>
      </w:r>
    </w:p>
    <w:tbl>
      <w:tblPr>
        <w:tblStyle w:val="6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176"/>
        <w:gridCol w:w="4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序号</w:t>
            </w:r>
          </w:p>
        </w:tc>
        <w:tc>
          <w:tcPr>
            <w:tcW w:w="4176" w:type="dxa"/>
            <w:vAlign w:val="center"/>
          </w:tcPr>
          <w:p>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审查因素</w:t>
            </w:r>
          </w:p>
        </w:tc>
        <w:tc>
          <w:tcPr>
            <w:tcW w:w="4176" w:type="dxa"/>
            <w:vAlign w:val="center"/>
          </w:tcPr>
          <w:p>
            <w:pPr>
              <w:spacing w:line="360" w:lineRule="auto"/>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176" w:type="dxa"/>
            <w:vAlign w:val="center"/>
          </w:tcPr>
          <w:p>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合格供应商的资格要求：</w:t>
            </w:r>
          </w:p>
          <w:p>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2.落实政府采购政策需满足的资格要求：</w:t>
            </w:r>
            <w:r>
              <w:rPr>
                <w:rFonts w:hint="eastAsia" w:ascii="仿宋_GB2312" w:hAnsi="仿宋_GB2312" w:eastAsia="仿宋_GB2312" w:cs="仿宋_GB2312"/>
                <w:color w:val="auto"/>
                <w:kern w:val="0"/>
                <w:sz w:val="24"/>
                <w:highlight w:val="none"/>
                <w:lang w:eastAsia="zh-CN"/>
              </w:rPr>
              <w:t>无</w:t>
            </w:r>
            <w:r>
              <w:rPr>
                <w:rFonts w:hint="eastAsia" w:ascii="仿宋_GB2312" w:hAnsi="仿宋_GB2312" w:eastAsia="仿宋_GB2312" w:cs="仿宋_GB2312"/>
                <w:color w:val="auto"/>
                <w:sz w:val="24"/>
                <w:highlight w:val="none"/>
              </w:rPr>
              <w:t>。</w:t>
            </w:r>
          </w:p>
          <w:p>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3.本项目的特定资格要求：无。</w:t>
            </w:r>
          </w:p>
        </w:tc>
        <w:tc>
          <w:tcPr>
            <w:tcW w:w="4176" w:type="dxa"/>
            <w:vAlign w:val="center"/>
          </w:tcPr>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.符合参加政府采购活动应当具备的一般条件的承诺函。</w:t>
            </w:r>
          </w:p>
          <w:p>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.信用信息查询</w:t>
            </w:r>
          </w:p>
          <w:p>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.1采购人代表在进行供应商资格审查环节时在“信用中国”（www.creditchina.gov.cn）、中国政府采购网（www.ccgp.gov.cn）进行查询。在评审过程中因不可抗力无法进行查询的，则在评审结束后进行查询。</w:t>
            </w:r>
          </w:p>
          <w:p>
            <w:pPr>
              <w:wordWrap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kern w:val="0"/>
                <w:sz w:val="24"/>
                <w:highlight w:val="none"/>
              </w:rPr>
              <w:t>信用信息查询记录和证据留存的具体方式：现场查询的投标人的信用记录、查询结果经确认后将与采购文件一起存档。</w:t>
            </w:r>
          </w:p>
          <w:p>
            <w:pPr>
              <w:wordWrap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.3信用信息的使用规则：经查询列入失信被执行人名单、重大税收违法案件当事人名单、政府采购严重违法失信行为记录名单的投标人将被拒绝参与政府采购活动。</w:t>
            </w:r>
          </w:p>
          <w:p>
            <w:pPr>
              <w:wordWrap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176" w:type="dxa"/>
            <w:vAlign w:val="center"/>
          </w:tcPr>
          <w:p>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合格供应商的其他要求：</w:t>
            </w:r>
          </w:p>
          <w:p>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1.单位负责人为同一人或者存在直接控股、管理关系的不同供应商，不得参加同一合同项下的政府采购活动。</w:t>
            </w:r>
          </w:p>
          <w:p>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2.除单一来源采购项目外，为采购项目提供整体设计、规范编制或者项目管理、监理、检测等服务的供应商，不得再参加该采购项目的其他采购活动。</w:t>
            </w:r>
          </w:p>
          <w:p>
            <w:pPr>
              <w:spacing w:line="360" w:lineRule="auto"/>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3.本项目接受联合体投标。</w:t>
            </w:r>
          </w:p>
        </w:tc>
        <w:tc>
          <w:tcPr>
            <w:tcW w:w="4176" w:type="dxa"/>
            <w:vAlign w:val="center"/>
          </w:tcPr>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2.供应商为联合体的，提供《联合体协议书》。</w:t>
            </w:r>
          </w:p>
        </w:tc>
      </w:tr>
    </w:tbl>
    <w:p>
      <w:pPr>
        <w:pStyle w:val="24"/>
        <w:snapToGrid w:val="0"/>
        <w:ind w:firstLine="480" w:firstLineChars="200"/>
        <w:rPr>
          <w:rFonts w:ascii="仿宋_GB2312" w:hAnsi="仿宋_GB2312" w:eastAsia="仿宋_GB2312" w:cs="仿宋_GB2312"/>
          <w:bCs/>
          <w:color w:val="auto"/>
          <w:szCs w:val="24"/>
          <w:highlight w:val="none"/>
          <w:lang w:val="en-US"/>
        </w:rPr>
      </w:pPr>
      <w:r>
        <w:rPr>
          <w:rFonts w:hint="eastAsia" w:ascii="仿宋_GB2312" w:hAnsi="仿宋_GB2312" w:eastAsia="仿宋_GB2312" w:cs="仿宋_GB2312"/>
          <w:bCs/>
          <w:color w:val="auto"/>
          <w:szCs w:val="24"/>
          <w:highlight w:val="none"/>
          <w:lang w:val="en-US"/>
        </w:rPr>
        <w:t>资格不符合的，采购代理机构或采购人代表将通过电子交易平台告知投标人不通过的原因。</w:t>
      </w:r>
    </w:p>
    <w:p>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评标委员会组长组织评审人员独立评审。评标委员会对拟认定为投标文件无效，应组织相关投标人代表进行陈述、澄清或申辩；招标方可协助评标委员会组长对打分结果进行校对、核对并汇总统计；对明显畸高、畸低的评分，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4.8.1</w:t>
      </w:r>
      <w:r>
        <w:rPr>
          <w:rFonts w:hint="eastAsia" w:ascii="仿宋_GB2312" w:hAnsi="仿宋_GB2312" w:eastAsia="仿宋_GB2312" w:cs="仿宋_GB2312"/>
          <w:b/>
          <w:color w:val="auto"/>
          <w:kern w:val="0"/>
          <w:sz w:val="24"/>
          <w:highlight w:val="none"/>
        </w:rPr>
        <w:t>符合性审查。</w:t>
      </w:r>
      <w:r>
        <w:rPr>
          <w:rFonts w:hint="eastAsia" w:ascii="仿宋_GB2312" w:hAnsi="仿宋_GB2312" w:eastAsia="仿宋_GB2312" w:cs="仿宋_GB2312"/>
          <w:color w:val="auto"/>
          <w:kern w:val="0"/>
          <w:sz w:val="24"/>
          <w:highlight w:val="none"/>
        </w:rPr>
        <w:t>评标委员会应当对符合资格的投标人的投标文件进行符合性审查，以确定其是否满足招标文件的实质性要求。不满足招标文件的实质性要求的，投标无效。符合性审查内容如下：</w:t>
      </w:r>
    </w:p>
    <w:tbl>
      <w:tblPr>
        <w:tblStyle w:val="6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179"/>
        <w:gridCol w:w="4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序号</w:t>
            </w:r>
          </w:p>
        </w:tc>
        <w:tc>
          <w:tcPr>
            <w:tcW w:w="4179" w:type="dxa"/>
            <w:vAlign w:val="center"/>
          </w:tcPr>
          <w:p>
            <w:pPr>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审查因素</w:t>
            </w:r>
          </w:p>
        </w:tc>
        <w:tc>
          <w:tcPr>
            <w:tcW w:w="4179" w:type="dxa"/>
            <w:vAlign w:val="center"/>
          </w:tcPr>
          <w:p>
            <w:pPr>
              <w:jc w:val="center"/>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4179" w:type="dxa"/>
            <w:vAlign w:val="center"/>
          </w:tcPr>
          <w:p>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供应商或联合体牵头人或联合体成员名称</w:t>
            </w:r>
          </w:p>
        </w:tc>
        <w:tc>
          <w:tcPr>
            <w:tcW w:w="4179" w:type="dxa"/>
            <w:vAlign w:val="center"/>
          </w:tcPr>
          <w:p>
            <w:pP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与电子交易平台中一致。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4179"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w:t>
            </w:r>
          </w:p>
        </w:tc>
        <w:tc>
          <w:tcPr>
            <w:tcW w:w="4179"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授权委托书或法定代表人（单位负责人、自然人本人）身份证明有效，盖章齐全。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4179" w:type="dxa"/>
            <w:vAlign w:val="center"/>
          </w:tcPr>
          <w:p>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投标有效期</w:t>
            </w:r>
          </w:p>
        </w:tc>
        <w:tc>
          <w:tcPr>
            <w:tcW w:w="4179"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符合采购文件</w:t>
            </w:r>
            <w:r>
              <w:rPr>
                <w:rFonts w:hint="eastAsia" w:ascii="仿宋_GB2312" w:hAnsi="仿宋_GB2312" w:eastAsia="仿宋_GB2312" w:cs="仿宋_GB2312"/>
                <w:color w:val="auto"/>
                <w:sz w:val="24"/>
                <w:highlight w:val="none"/>
                <w:lang w:val="zh-CN"/>
              </w:rPr>
              <w:t>规定。投标有效期为从提交投标文件的截止之日起90天。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w:t>
            </w:r>
          </w:p>
        </w:tc>
        <w:tc>
          <w:tcPr>
            <w:tcW w:w="4179" w:type="dxa"/>
            <w:vAlign w:val="center"/>
          </w:tcPr>
          <w:p>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投标文件签署、盖章</w:t>
            </w:r>
          </w:p>
        </w:tc>
        <w:tc>
          <w:tcPr>
            <w:tcW w:w="4179"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投标文件由供应商在规定位置盖章，投标文件必须由法定代表人或授权代表签署。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4179" w:type="dxa"/>
            <w:vAlign w:val="center"/>
          </w:tcPr>
          <w:p>
            <w:pPr>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投标文件内容</w:t>
            </w:r>
          </w:p>
        </w:tc>
        <w:tc>
          <w:tcPr>
            <w:tcW w:w="4179" w:type="dxa"/>
            <w:vAlign w:val="center"/>
          </w:tcPr>
          <w:p>
            <w:pP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对采购文件作出实质性响应。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jc w:val="center"/>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lang w:val="en-US" w:eastAsia="zh-CN"/>
              </w:rPr>
              <w:t>6</w:t>
            </w:r>
          </w:p>
        </w:tc>
        <w:tc>
          <w:tcPr>
            <w:tcW w:w="4179" w:type="dxa"/>
            <w:vAlign w:val="center"/>
          </w:tcPr>
          <w:p>
            <w:pPr>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其他</w:t>
            </w:r>
          </w:p>
        </w:tc>
        <w:tc>
          <w:tcPr>
            <w:tcW w:w="4179" w:type="dxa"/>
            <w:vAlign w:val="center"/>
          </w:tcPr>
          <w:p>
            <w:pPr>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未出现本评标办法“</w:t>
            </w:r>
            <w:r>
              <w:rPr>
                <w:rFonts w:hint="eastAsia" w:ascii="仿宋_GB2312" w:hAnsi="仿宋_GB2312" w:eastAsia="仿宋_GB2312" w:cs="仿宋_GB2312"/>
                <w:color w:val="auto"/>
                <w:sz w:val="24"/>
                <w:highlight w:val="none"/>
              </w:rPr>
              <w:t>5.1投标无效的情况</w:t>
            </w:r>
            <w:r>
              <w:rPr>
                <w:rFonts w:hint="eastAsia" w:ascii="仿宋_GB2312" w:hAnsi="仿宋_GB2312" w:eastAsia="仿宋_GB2312" w:cs="仿宋_GB2312"/>
                <w:color w:val="auto"/>
                <w:sz w:val="24"/>
                <w:highlight w:val="none"/>
                <w:lang w:val="zh-CN"/>
              </w:rPr>
              <w:t>”中的情况。</w:t>
            </w:r>
          </w:p>
        </w:tc>
      </w:tr>
    </w:tbl>
    <w:p>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sz w:val="24"/>
          <w:highlight w:val="none"/>
        </w:rPr>
        <w:t>4.8.2</w:t>
      </w:r>
      <w:r>
        <w:rPr>
          <w:rFonts w:hint="eastAsia" w:ascii="仿宋_GB2312" w:hAnsi="仿宋_GB2312" w:eastAsia="仿宋_GB2312" w:cs="仿宋_GB2312"/>
          <w:b/>
          <w:color w:val="auto"/>
          <w:kern w:val="0"/>
          <w:sz w:val="24"/>
          <w:highlight w:val="none"/>
        </w:rPr>
        <w:t>比较与评价。</w:t>
      </w:r>
      <w:r>
        <w:rPr>
          <w:rFonts w:hint="eastAsia" w:ascii="仿宋_GB2312" w:hAnsi="仿宋_GB2312" w:eastAsia="仿宋_GB2312" w:cs="仿宋_GB2312"/>
          <w:color w:val="auto"/>
          <w:kern w:val="0"/>
          <w:sz w:val="24"/>
          <w:highlight w:val="none"/>
        </w:rPr>
        <w:t>评标委员会应当按照招标文件中规定的评标方法和标准，依法独立对符合性审查合格的投标文件进行评估，综合比较并给与评价或打分，不受任何单位和个人的干预。</w:t>
      </w:r>
    </w:p>
    <w:p>
      <w:pPr>
        <w:snapToGrid w:val="0"/>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4.8.3</w:t>
      </w:r>
      <w:r>
        <w:rPr>
          <w:rFonts w:hint="eastAsia" w:ascii="仿宋_GB2312" w:hAnsi="仿宋_GB2312" w:eastAsia="仿宋_GB2312" w:cs="仿宋_GB2312"/>
          <w:b/>
          <w:color w:val="auto"/>
          <w:kern w:val="0"/>
          <w:sz w:val="24"/>
          <w:highlight w:val="none"/>
        </w:rPr>
        <w:t>汇总商务技术得分。</w:t>
      </w:r>
      <w:r>
        <w:rPr>
          <w:rFonts w:hint="eastAsia" w:ascii="仿宋_GB2312" w:hAnsi="仿宋_GB2312" w:eastAsia="仿宋_GB2312" w:cs="仿宋_GB2312"/>
          <w:color w:val="auto"/>
          <w:kern w:val="0"/>
          <w:sz w:val="24"/>
          <w:highlight w:val="none"/>
        </w:rPr>
        <w:t>评标委员会各成员应当独立对每个投标人的商务和技术文件进行评价，并汇总商务技术得分情况。</w:t>
      </w:r>
      <w:r>
        <w:rPr>
          <w:rFonts w:hint="eastAsia" w:ascii="仿宋_GB2312" w:hAnsi="仿宋_GB2312" w:eastAsia="仿宋_GB2312" w:cs="仿宋_GB2312"/>
          <w:color w:val="auto"/>
          <w:sz w:val="24"/>
          <w:highlight w:val="none"/>
        </w:rPr>
        <w:t>对明显畸高、畸低的评分（</w:t>
      </w:r>
      <w:r>
        <w:rPr>
          <w:rFonts w:hint="eastAsia" w:ascii="仿宋_GB2312" w:hAnsi="仿宋_GB2312" w:eastAsia="仿宋_GB2312" w:cs="仿宋_GB2312"/>
          <w:color w:val="auto"/>
          <w:kern w:val="0"/>
          <w:sz w:val="24"/>
          <w:highlight w:val="none"/>
        </w:rPr>
        <w:t>评标委员会成员个人</w:t>
      </w:r>
      <w:r>
        <w:rPr>
          <w:rFonts w:hint="eastAsia" w:ascii="仿宋_GB2312" w:hAnsi="仿宋_GB2312" w:eastAsia="仿宋_GB2312" w:cs="仿宋_GB2312"/>
          <w:color w:val="auto"/>
          <w:sz w:val="24"/>
          <w:highlight w:val="none"/>
        </w:rPr>
        <w:t>其商务技术主观分总评分偏离平均分30%以上的），评标委员会组长应提醒相关评审人员进行复核或书面说明理由，评审人员拒绝说明的，由现场监督员据实记录。</w:t>
      </w:r>
    </w:p>
    <w:p>
      <w:pPr>
        <w:spacing w:line="360" w:lineRule="auto"/>
        <w:ind w:firstLine="482" w:firstLineChars="200"/>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4.8.4报价评审。</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4.8.4.1投标文件报价出现前后不一致的，按照下列规定修正：</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A.投标文件中开标一览表（报价表）内容与投标文件中相应内容不一致的，以开标一览表（报价表）为准;</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B.大写金额和小写金额不一致的，以大写金额为准;</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C.单价金额小数点或者百分比有明显错位的，以开标一览表（报价表）的总价为准，并修改单价;</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D.总价金额与按单价汇总金额不一致的，以单价金额计算结果为准。</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E.同时出现两种以上不一致的，按照4.8.4.1规定的顺序修正。修正后的报价按照财政部第87号令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4.8.4.2投标文件出现不是唯一的、有选择性投标报价的，投标无效。</w:t>
      </w:r>
    </w:p>
    <w:p>
      <w:pPr>
        <w:snapToGrid w:val="0"/>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4.8.4.3投标报价超过招标文件中规定的预算金额或者最高限价的，投标无效。</w:t>
      </w:r>
    </w:p>
    <w:p>
      <w:pPr>
        <w:pStyle w:val="155"/>
        <w:spacing w:before="0"/>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5"/>
        <w:ind w:firstLine="480"/>
        <w:rPr>
          <w:rFonts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4.8.4.5对于未预留份额专门面向中小企业的政府采购货物或服务项目，以及预留份额政府采购货物或服务项目中的非预留部分标项，对小型和微型企业的投标报价给予10%-20%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kern w:val="0"/>
          <w:sz w:val="24"/>
          <w:highlight w:val="none"/>
        </w:rPr>
        <w:t>4.9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评标委员会和投标人通过电子交易平台交换数据电文，投标人提交使用电子签名的相关数据电文或通过平台上传加盖公章的扫描件。给予投标人不少于半小时的时间提交澄清、说明，投标人已经明确表示澄清说明完毕的除外。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4.10评审人员需对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480" w:firstLineChars="200"/>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4.11评标委员会根据评审汇总情况和招标文件规定确定中标候选供应商排序名单。</w:t>
      </w:r>
      <w:r>
        <w:rPr>
          <w:rFonts w:hint="eastAsia" w:ascii="仿宋_GB2312" w:hAnsi="仿宋_GB2312" w:eastAsia="仿宋_GB2312" w:cs="仿宋_GB2312"/>
          <w:color w:val="auto"/>
          <w:kern w:val="0"/>
          <w:sz w:val="24"/>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u w:val="single"/>
        </w:rPr>
        <w:t>1名</w:t>
      </w:r>
      <w:r>
        <w:rPr>
          <w:rFonts w:hint="eastAsia" w:ascii="仿宋_GB2312" w:hAnsi="仿宋_GB2312" w:eastAsia="仿宋_GB2312" w:cs="仿宋_GB2312"/>
          <w:color w:val="auto"/>
          <w:kern w:val="0"/>
          <w:sz w:val="24"/>
          <w:highlight w:val="none"/>
          <w:u w:val="single"/>
          <w:lang w:val="en-US" w:eastAsia="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eastAsia="zh-CN"/>
        </w:rPr>
        <w:t>。</w:t>
      </w:r>
    </w:p>
    <w:p>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4.12</w:t>
      </w:r>
      <w:r>
        <w:rPr>
          <w:rFonts w:hint="eastAsia" w:ascii="仿宋_GB2312" w:hAnsi="仿宋_GB2312" w:eastAsia="仿宋_GB2312" w:cs="仿宋_GB2312"/>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采购代理机构</w:t>
      </w:r>
      <w:r>
        <w:rPr>
          <w:rFonts w:hint="eastAsia" w:ascii="仿宋_GB2312" w:hAnsi="仿宋_GB2312" w:eastAsia="仿宋_GB2312" w:cs="仿宋_GB2312"/>
          <w:bCs/>
          <w:color w:val="auto"/>
          <w:sz w:val="24"/>
          <w:highlight w:val="none"/>
        </w:rPr>
        <w:t>做好评审现场相关记录，协助评标委员会组长做好评审报告起草、有关内容电脑文字录入等工作，并要求评标委员会各成员签字确认。</w:t>
      </w:r>
    </w:p>
    <w:p>
      <w:pPr>
        <w:snapToGrid w:val="0"/>
        <w:spacing w:line="360" w:lineRule="auto"/>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4.13评审结束后，采购代理机构按规定向评审专家发放评审费，并交还评审人员及其他现场相关人员的通讯工具。</w:t>
      </w:r>
    </w:p>
    <w:p>
      <w:pPr>
        <w:spacing w:line="360" w:lineRule="auto"/>
        <w:ind w:firstLine="470" w:firstLineChars="196"/>
        <w:rPr>
          <w:rFonts w:ascii="仿宋_GB2312" w:hAnsi="仿宋_GB2312" w:eastAsia="仿宋_GB2312" w:cs="仿宋_GB2312"/>
          <w:b/>
          <w:color w:val="auto"/>
          <w:kern w:val="0"/>
          <w:sz w:val="24"/>
          <w:highlight w:val="none"/>
        </w:rPr>
      </w:pPr>
      <w:r>
        <w:rPr>
          <w:rFonts w:hint="eastAsia" w:ascii="仿宋_GB2312" w:hAnsi="仿宋_GB2312" w:eastAsia="仿宋_GB2312" w:cs="仿宋_GB2312"/>
          <w:bCs/>
          <w:color w:val="auto"/>
          <w:sz w:val="24"/>
          <w:highlight w:val="none"/>
        </w:rPr>
        <w:t>4.14采购代理机构将在《中标(成交)结果公告》中，公开评标委员会对每个投标人的《评分明细》以及《得分汇总表》情况。</w:t>
      </w:r>
    </w:p>
    <w:p>
      <w:pPr>
        <w:pStyle w:val="155"/>
        <w:spacing w:before="0"/>
        <w:ind w:firstLine="0" w:firstLineChars="0"/>
        <w:rPr>
          <w:rFonts w:ascii="仿宋_GB2312" w:hAnsi="仿宋_GB2312" w:eastAsia="仿宋_GB2312" w:cs="仿宋_GB2312"/>
          <w:b/>
          <w:color w:val="auto"/>
          <w:kern w:val="0"/>
          <w:szCs w:val="24"/>
          <w:highlight w:val="none"/>
        </w:rPr>
      </w:pPr>
      <w:r>
        <w:rPr>
          <w:rFonts w:hint="eastAsia" w:ascii="仿宋_GB2312" w:hAnsi="仿宋_GB2312" w:eastAsia="仿宋_GB2312" w:cs="仿宋_GB2312"/>
          <w:b/>
          <w:color w:val="auto"/>
          <w:kern w:val="0"/>
          <w:szCs w:val="24"/>
          <w:highlight w:val="none"/>
        </w:rPr>
        <w:t>五、评标中的其他事项</w:t>
      </w:r>
    </w:p>
    <w:p>
      <w:pPr>
        <w:pStyle w:val="27"/>
        <w:spacing w:line="360" w:lineRule="auto"/>
        <w:ind w:left="954" w:leftChars="226" w:hanging="479" w:firstLineChars="0"/>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5.1投标无效的情况。</w:t>
      </w:r>
      <w:r>
        <w:rPr>
          <w:rFonts w:hint="eastAsia" w:ascii="仿宋_GB2312" w:hAnsi="仿宋_GB2312" w:eastAsia="仿宋_GB2312" w:cs="仿宋_GB2312"/>
          <w:color w:val="auto"/>
          <w:highlight w:val="none"/>
        </w:rPr>
        <w:t>有下列情况之一的，投标无效：</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5.1.1投标人不具备招标文件中规定的资格要求的（投标人未提供有效的资格文件的，未按照招标文件要求提供与资格条件相应的有效资格证明材料的，均视为投标人不具备招标文件中规定的资格要求）；</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5.1.2投标文件未按照招标文件要求签署、盖章的；</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5.1.4投标文件含有采购人不能接受的附加条件的（</w:t>
      </w:r>
      <w:r>
        <w:rPr>
          <w:rFonts w:hint="eastAsia" w:ascii="仿宋_GB2312" w:hAnsi="仿宋_GB2312" w:eastAsia="仿宋_GB2312" w:cs="仿宋_GB2312"/>
          <w:color w:val="auto"/>
          <w:kern w:val="0"/>
          <w:sz w:val="24"/>
          <w:highlight w:val="none"/>
          <w:lang w:val="zh-CN"/>
        </w:rPr>
        <w:t>投标人未按开标一览表（报价表）格式填写的，采购内容未包含在《开标一览表（报价表）》名称栏中</w:t>
      </w:r>
      <w:r>
        <w:rPr>
          <w:rFonts w:hint="eastAsia" w:ascii="仿宋_GB2312" w:hAnsi="仿宋_GB2312" w:eastAsia="仿宋_GB2312" w:cs="仿宋_GB2312"/>
          <w:color w:val="auto"/>
          <w:kern w:val="0"/>
          <w:sz w:val="24"/>
          <w:highlight w:val="none"/>
        </w:rPr>
        <w:t>或数量少于采购需求的</w:t>
      </w:r>
      <w:r>
        <w:rPr>
          <w:rFonts w:hint="eastAsia" w:ascii="仿宋_GB2312" w:hAnsi="仿宋_GB2312" w:eastAsia="仿宋_GB2312" w:cs="仿宋_GB2312"/>
          <w:color w:val="auto"/>
          <w:kern w:val="0"/>
          <w:sz w:val="24"/>
          <w:highlight w:val="none"/>
          <w:lang w:val="zh-CN"/>
        </w:rPr>
        <w:t>，投标人不能作出合理解释的，均视为投标文件含有采购人不能接受的附加条件</w:t>
      </w:r>
      <w:r>
        <w:rPr>
          <w:rFonts w:hint="eastAsia" w:ascii="仿宋_GB2312" w:hAnsi="仿宋_GB2312" w:eastAsia="仿宋_GB2312" w:cs="仿宋_GB2312"/>
          <w:color w:val="auto"/>
          <w:kern w:val="0"/>
          <w:sz w:val="24"/>
          <w:highlight w:val="none"/>
        </w:rPr>
        <w:t>）；</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5.1.5投标文件中承诺的投标有效期少于招标文件中载明的投标有效期的；</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5.1.6在原定投标有效期满之前，如果出现特殊情况，采购代理机构以书面形式通知投标人延长投标有效期，投标人拒绝延长的；</w:t>
      </w:r>
    </w:p>
    <w:p>
      <w:pPr>
        <w:snapToGrid w:val="0"/>
        <w:spacing w:line="360" w:lineRule="auto"/>
        <w:ind w:firstLine="120" w:firstLineChars="5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5.1.7投标文件出现不是唯一的、有选择性投标报价的;</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5.1.8投标报价超过招标文件中规定的预算金额或者最高限价的;</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5.1.9报价明显低于其他通过符合性审查投标人的报价，有可能影响产品质量或者不能诚信履约的，未能按要求提供书面说明或者提交相关证明材料，不能证明其报价合理性的;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5.1.10投标人对根据修正原则修正后的报价不确认的；</w:t>
      </w:r>
    </w:p>
    <w:p>
      <w:pPr>
        <w:spacing w:line="336"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w:t>
      </w:r>
      <w:r>
        <w:rPr>
          <w:rFonts w:hint="eastAsia" w:ascii="仿宋_GB2312" w:hAnsi="仿宋_GB2312" w:eastAsia="仿宋_GB2312" w:cs="仿宋_GB2312"/>
          <w:color w:val="auto"/>
          <w:kern w:val="0"/>
          <w:sz w:val="24"/>
          <w:highlight w:val="none"/>
          <w:lang w:val="en-US" w:eastAsia="zh-CN"/>
        </w:rPr>
        <w:t>1</w:t>
      </w:r>
      <w:r>
        <w:rPr>
          <w:rFonts w:hint="eastAsia" w:ascii="仿宋_GB2312" w:hAnsi="仿宋_GB2312" w:eastAsia="仿宋_GB2312" w:cs="仿宋_GB2312"/>
          <w:color w:val="auto"/>
          <w:kern w:val="0"/>
          <w:sz w:val="24"/>
          <w:highlight w:val="none"/>
        </w:rPr>
        <w:t>投标人提供虚假材料投标的；</w:t>
      </w:r>
    </w:p>
    <w:p>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w:t>
      </w:r>
      <w:r>
        <w:rPr>
          <w:rFonts w:hint="eastAsia" w:ascii="仿宋_GB2312" w:hAnsi="仿宋_GB2312" w:eastAsia="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rPr>
        <w:t>参与同一个采购包（标段）的供应商存在下列情形之一且无法合理解释的，其投标（响应）文件无效：</w:t>
      </w:r>
      <w:r>
        <w:rPr>
          <w:rFonts w:hint="eastAsia" w:ascii="仿宋_GB2312" w:hAnsi="仿宋_GB2312" w:eastAsia="仿宋_GB2312" w:cs="仿宋_GB2312"/>
          <w:color w:val="auto"/>
          <w:kern w:val="0"/>
          <w:sz w:val="24"/>
          <w:highlight w:val="none"/>
          <w:lang w:eastAsia="zh-CN"/>
        </w:rPr>
        <w:t>①</w:t>
      </w:r>
      <w:r>
        <w:rPr>
          <w:rFonts w:hint="eastAsia" w:ascii="仿宋_GB2312" w:hAnsi="仿宋_GB2312" w:eastAsia="仿宋_GB2312" w:cs="仿宋_GB2312"/>
          <w:color w:val="auto"/>
          <w:kern w:val="0"/>
          <w:sz w:val="24"/>
          <w:highlight w:val="none"/>
        </w:rPr>
        <w:t>不同供应商的电子投标（响应）文件上传计算机的网卡MAC地址或硬盘序列号等硬件信息相同的；</w:t>
      </w:r>
      <w:r>
        <w:rPr>
          <w:rFonts w:hint="eastAsia" w:ascii="仿宋_GB2312" w:hAnsi="仿宋_GB2312" w:eastAsia="仿宋_GB2312" w:cs="仿宋_GB2312"/>
          <w:color w:val="auto"/>
          <w:kern w:val="0"/>
          <w:sz w:val="24"/>
          <w:highlight w:val="none"/>
          <w:lang w:eastAsia="zh-CN"/>
        </w:rPr>
        <w:t>②</w:t>
      </w:r>
      <w:r>
        <w:rPr>
          <w:rFonts w:hint="eastAsia" w:ascii="仿宋_GB2312" w:hAnsi="仿宋_GB2312" w:eastAsia="仿宋_GB2312" w:cs="仿宋_GB2312"/>
          <w:color w:val="auto"/>
          <w:kern w:val="0"/>
          <w:sz w:val="24"/>
          <w:highlight w:val="none"/>
        </w:rPr>
        <w:t>上传的电子投标（响应）文件若出现使用本项目其他投标（响应）供应商的数字证书加密的，或者加盖本项目其他投标（响应）供应商的电子印章的；</w:t>
      </w:r>
      <w:r>
        <w:rPr>
          <w:rFonts w:hint="eastAsia" w:ascii="仿宋_GB2312" w:hAnsi="仿宋_GB2312" w:eastAsia="仿宋_GB2312" w:cs="仿宋_GB2312"/>
          <w:color w:val="auto"/>
          <w:kern w:val="0"/>
          <w:sz w:val="24"/>
          <w:highlight w:val="none"/>
          <w:lang w:eastAsia="zh-CN"/>
        </w:rPr>
        <w:t>③</w:t>
      </w:r>
      <w:r>
        <w:rPr>
          <w:rFonts w:hint="eastAsia" w:ascii="仿宋_GB2312" w:hAnsi="仿宋_GB2312" w:eastAsia="仿宋_GB2312" w:cs="仿宋_GB2312"/>
          <w:color w:val="auto"/>
          <w:kern w:val="0"/>
          <w:sz w:val="24"/>
          <w:highlight w:val="none"/>
        </w:rPr>
        <w:t>不同供应商的投标（响应）文件的内容存在3处（含）以上错误一致的；</w:t>
      </w:r>
      <w:r>
        <w:rPr>
          <w:rFonts w:hint="eastAsia" w:ascii="仿宋_GB2312" w:hAnsi="仿宋_GB2312" w:eastAsia="仿宋_GB2312" w:cs="仿宋_GB2312"/>
          <w:color w:val="auto"/>
          <w:kern w:val="0"/>
          <w:sz w:val="24"/>
          <w:highlight w:val="none"/>
          <w:lang w:eastAsia="zh-CN"/>
        </w:rPr>
        <w:t>④</w:t>
      </w:r>
      <w:r>
        <w:rPr>
          <w:rFonts w:hint="eastAsia" w:ascii="仿宋_GB2312" w:hAnsi="仿宋_GB2312" w:eastAsia="仿宋_GB2312" w:cs="仿宋_GB2312"/>
          <w:color w:val="auto"/>
          <w:kern w:val="0"/>
          <w:sz w:val="24"/>
          <w:highlight w:val="none"/>
        </w:rPr>
        <w:t>不同供应商联系人为同一人或不同联系人的联系电话一致的；</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w:t>
      </w: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投标人有恶意串通、妨碍其他投标人的竞争行为、损害采购人或者其他投标人的合法权益情形的；</w:t>
      </w:r>
    </w:p>
    <w:p>
      <w:pPr>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5.1.14投标文件不满足招标文件的其它实质性要求的；</w:t>
      </w:r>
    </w:p>
    <w:p>
      <w:pPr>
        <w:spacing w:line="336"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5.1.15法律、法规、规章（适用本市的）及省级以上规范性文件（适用本市的）规定的其他无效情形。</w:t>
      </w:r>
    </w:p>
    <w:p>
      <w:pPr>
        <w:pStyle w:val="27"/>
        <w:snapToGrid w:val="0"/>
        <w:spacing w:line="336" w:lineRule="auto"/>
        <w:ind w:firstLine="472" w:firstLineChars="196"/>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5.2废标。</w:t>
      </w:r>
      <w:r>
        <w:rPr>
          <w:rFonts w:hint="eastAsia" w:ascii="仿宋_GB2312" w:hAnsi="仿宋_GB2312" w:eastAsia="仿宋_GB2312" w:cs="仿宋_GB2312"/>
          <w:color w:val="auto"/>
          <w:highlight w:val="none"/>
        </w:rPr>
        <w:t>根据《中华人民共和国政府采购法》第三十六条之规定，在采购中，出现下列情形之一的，应予废标：</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5.2.1符合专业条件的供应商或者对招标文件作实质响应的供应商不足3家的；</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5.2.2出现影响采购公正的违法、违规行为的；</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5.2.3投标人的报价均超过了采购预算，采购人不能支付的；</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5.2.4因重大变故，采购任务取消的。</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废标后，采购代理机构应当将废标理由通知所有投标人。</w:t>
      </w:r>
    </w:p>
    <w:p>
      <w:pPr>
        <w:pStyle w:val="27"/>
        <w:snapToGrid w:val="0"/>
        <w:spacing w:line="336"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highlight w:val="none"/>
        </w:rPr>
        <w:t>5.3修改招标文件，重新组织采购活动。</w:t>
      </w:r>
      <w:r>
        <w:rPr>
          <w:rFonts w:hint="eastAsia" w:ascii="仿宋_GB2312" w:hAnsi="仿宋_GB2312" w:eastAsia="仿宋_GB2312"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7"/>
        <w:snapToGrid w:val="0"/>
        <w:spacing w:line="336" w:lineRule="auto"/>
        <w:ind w:firstLine="590" w:firstLineChars="245"/>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highlight w:val="none"/>
        </w:rPr>
        <w:t>5.4重新开展采购。</w:t>
      </w:r>
      <w:r>
        <w:rPr>
          <w:rFonts w:hint="eastAsia" w:ascii="仿宋_GB2312" w:hAnsi="仿宋_GB2312" w:eastAsia="仿宋_GB2312" w:cs="仿宋_GB2312"/>
          <w:color w:val="auto"/>
          <w:highlight w:val="none"/>
        </w:rPr>
        <w:t>有政府采购法第七十一条、第七十二条规定的违法行为之一，影响或者可能影响中标结果的，依照下列规定处理：</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5.4.1未确定中标供应商的，终止本次政府采购活动，重新开展政府采购活动。</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5.4.2已确定中标供应商但尚未签订政府采购合同的，中标结果无效，从合格的中标候选人中另行确定中标人；没有合格的中标候选人的，重新开展政府采购活动。</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5.4.3政府采购合同已签订但尚未履行的，撤销合同，从合格的中标候选人中另行确定中标人；没有合格的中标候选人的，重新开展政府采购活动。</w:t>
      </w:r>
    </w:p>
    <w:p>
      <w:pPr>
        <w:pStyle w:val="27"/>
        <w:snapToGrid w:val="0"/>
        <w:spacing w:line="336" w:lineRule="auto"/>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5.4.4政府采购合同已经履行，给采购人、供应商造成损失的，由责任人承担赔偿责任。</w:t>
      </w:r>
    </w:p>
    <w:p>
      <w:pPr>
        <w:pStyle w:val="27"/>
        <w:snapToGrid w:val="0"/>
        <w:spacing w:line="336" w:lineRule="auto"/>
        <w:rPr>
          <w:rFonts w:ascii="仿宋_GB2312" w:hAnsi="仿宋_GB2312" w:eastAsia="仿宋_GB2312" w:cs="仿宋_GB2312"/>
          <w:color w:val="auto"/>
          <w:highlight w:val="none"/>
        </w:rPr>
        <w:sectPr>
          <w:pgSz w:w="11907" w:h="16840"/>
          <w:pgMar w:top="680" w:right="1417" w:bottom="471" w:left="1417" w:header="851" w:footer="851"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color w:val="auto"/>
          <w:highlight w:val="none"/>
        </w:rPr>
        <w:t>5.4.5政府采购当事人有其他违反政府采购法</w:t>
      </w:r>
      <w:r>
        <w:rPr>
          <w:rFonts w:hint="eastAsia" w:ascii="仿宋_GB2312" w:hAnsi="仿宋_GB2312" w:eastAsia="仿宋_GB2312" w:cs="仿宋_GB2312"/>
          <w:color w:val="auto"/>
          <w:kern w:val="0"/>
          <w:highlight w:val="none"/>
        </w:rPr>
        <w:t>或者政府采购法实施条例等法律法规规定</w:t>
      </w:r>
      <w:r>
        <w:rPr>
          <w:rFonts w:hint="eastAsia" w:ascii="仿宋_GB2312" w:hAnsi="仿宋_GB2312" w:eastAsia="仿宋_GB2312" w:cs="仿宋_GB2312"/>
          <w:color w:val="auto"/>
          <w:highlight w:val="none"/>
        </w:rPr>
        <w:t>的行为，经改正后仍然影响或者可能影响中标结果或者依法被认定为中标无效的，依照5.4.1-5.4.4规定处理。</w:t>
      </w:r>
    </w:p>
    <w:p>
      <w:pPr>
        <w:spacing w:line="360" w:lineRule="auto"/>
        <w:jc w:val="center"/>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36"/>
          <w:szCs w:val="36"/>
          <w:highlight w:val="none"/>
        </w:rPr>
        <w:t>第五部分 拟签订的合同文本</w:t>
      </w:r>
    </w:p>
    <w:p>
      <w:pPr>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合同编号：</w:t>
      </w:r>
      <w:r>
        <w:rPr>
          <w:rFonts w:hint="eastAsia" w:ascii="仿宋_GB2312" w:hAnsi="仿宋_GB2312" w:eastAsia="仿宋_GB2312" w:cs="仿宋_GB2312"/>
          <w:color w:val="auto"/>
          <w:sz w:val="24"/>
          <w:highlight w:val="none"/>
          <w:u w:val="single"/>
        </w:rPr>
        <w:t xml:space="preserve">           </w:t>
      </w:r>
    </w:p>
    <w:p>
      <w:pPr>
        <w:spacing w:line="480" w:lineRule="auto"/>
        <w:jc w:val="center"/>
        <w:rPr>
          <w:rFonts w:ascii="仿宋_GB2312" w:hAnsi="仿宋_GB2312" w:eastAsia="仿宋_GB2312" w:cs="仿宋_GB2312"/>
          <w:b/>
          <w:color w:val="auto"/>
          <w:sz w:val="24"/>
          <w:highlight w:val="none"/>
        </w:rPr>
      </w:pPr>
    </w:p>
    <w:p>
      <w:pPr>
        <w:spacing w:line="480" w:lineRule="auto"/>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政府采购合同参考范本</w:t>
      </w:r>
    </w:p>
    <w:p>
      <w:pPr>
        <w:spacing w:line="480" w:lineRule="auto"/>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（服务类）</w:t>
      </w:r>
    </w:p>
    <w:p>
      <w:pPr>
        <w:pStyle w:val="86"/>
        <w:ind w:firstLine="2843" w:firstLineChars="1180"/>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第一部分 合同书</w:t>
      </w:r>
    </w:p>
    <w:p>
      <w:pPr>
        <w:pStyle w:val="86"/>
        <w:rPr>
          <w:rFonts w:ascii="仿宋_GB2312" w:hAnsi="仿宋_GB2312" w:eastAsia="仿宋_GB2312" w:cs="仿宋_GB2312"/>
          <w:color w:val="auto"/>
          <w:szCs w:val="24"/>
          <w:highlight w:val="none"/>
        </w:rPr>
      </w:pPr>
    </w:p>
    <w:p>
      <w:pPr>
        <w:pStyle w:val="86"/>
        <w:rPr>
          <w:rFonts w:ascii="仿宋_GB2312" w:hAnsi="仿宋_GB2312" w:eastAsia="仿宋_GB2312" w:cs="仿宋_GB2312"/>
          <w:color w:val="auto"/>
          <w:szCs w:val="24"/>
          <w:highlight w:val="none"/>
        </w:rPr>
      </w:pPr>
    </w:p>
    <w:p>
      <w:pPr>
        <w:spacing w:before="120" w:line="22" w:lineRule="atLeast"/>
        <w:rPr>
          <w:rFonts w:ascii="仿宋_GB2312" w:hAnsi="仿宋_GB2312" w:eastAsia="仿宋_GB2312" w:cs="仿宋_GB2312"/>
          <w:color w:val="auto"/>
          <w:sz w:val="24"/>
          <w:highlight w:val="none"/>
        </w:rPr>
      </w:pPr>
    </w:p>
    <w:p>
      <w:pPr>
        <w:spacing w:before="120" w:line="22" w:lineRule="atLeast"/>
        <w:ind w:left="96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r>
        <w:rPr>
          <w:rFonts w:hint="eastAsia" w:ascii="仿宋_GB2312" w:hAnsi="仿宋_GB2312" w:eastAsia="仿宋_GB2312" w:cs="仿宋_GB2312"/>
          <w:color w:val="auto"/>
          <w:sz w:val="24"/>
          <w:highlight w:val="none"/>
          <w:u w:val="single"/>
        </w:rPr>
        <w:t xml:space="preserve">                                   </w:t>
      </w:r>
    </w:p>
    <w:p>
      <w:pPr>
        <w:pStyle w:val="614"/>
        <w:spacing w:before="120" w:line="22" w:lineRule="atLeast"/>
        <w:ind w:firstLine="960" w:firstLineChars="400"/>
        <w:rPr>
          <w:rFonts w:hAnsi="仿宋_GB2312" w:cs="仿宋_GB2312"/>
          <w:color w:val="auto"/>
          <w:szCs w:val="24"/>
          <w:highlight w:val="none"/>
        </w:rPr>
      </w:pPr>
    </w:p>
    <w:p>
      <w:pPr>
        <w:pStyle w:val="614"/>
        <w:spacing w:before="120" w:line="22" w:lineRule="atLeast"/>
        <w:rPr>
          <w:rFonts w:hAnsi="仿宋_GB2312" w:cs="仿宋_GB2312"/>
          <w:color w:val="auto"/>
          <w:szCs w:val="24"/>
          <w:highlight w:val="none"/>
        </w:rPr>
      </w:pPr>
    </w:p>
    <w:p>
      <w:pPr>
        <w:rPr>
          <w:rFonts w:ascii="仿宋_GB2312" w:hAnsi="仿宋_GB2312" w:eastAsia="仿宋_GB2312" w:cs="仿宋_GB2312"/>
          <w:color w:val="auto"/>
          <w:sz w:val="24"/>
          <w:highlight w:val="none"/>
        </w:rPr>
      </w:pPr>
    </w:p>
    <w:p>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甲方：</w:t>
      </w:r>
      <w:r>
        <w:rPr>
          <w:rFonts w:hint="eastAsia" w:ascii="仿宋_GB2312" w:hAnsi="仿宋_GB2312" w:eastAsia="仿宋_GB2312" w:cs="仿宋_GB2312"/>
          <w:color w:val="auto"/>
          <w:sz w:val="24"/>
          <w:highlight w:val="none"/>
          <w:u w:val="single"/>
        </w:rPr>
        <w:t xml:space="preserve">                                       </w:t>
      </w:r>
    </w:p>
    <w:p>
      <w:pPr>
        <w:spacing w:before="120" w:line="22" w:lineRule="atLeast"/>
        <w:rPr>
          <w:rFonts w:ascii="仿宋_GB2312" w:hAnsi="仿宋_GB2312" w:eastAsia="仿宋_GB2312" w:cs="仿宋_GB2312"/>
          <w:color w:val="auto"/>
          <w:sz w:val="24"/>
          <w:highlight w:val="none"/>
        </w:rPr>
      </w:pPr>
    </w:p>
    <w:p>
      <w:pPr>
        <w:spacing w:before="120" w:line="22" w:lineRule="atLeast"/>
        <w:ind w:left="96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乙方：</w:t>
      </w:r>
      <w:r>
        <w:rPr>
          <w:rFonts w:hint="eastAsia" w:ascii="仿宋_GB2312" w:hAnsi="仿宋_GB2312" w:eastAsia="仿宋_GB2312" w:cs="仿宋_GB2312"/>
          <w:color w:val="auto"/>
          <w:sz w:val="24"/>
          <w:highlight w:val="none"/>
          <w:u w:val="single"/>
        </w:rPr>
        <w:t xml:space="preserve">                                       </w:t>
      </w:r>
    </w:p>
    <w:p>
      <w:pPr>
        <w:spacing w:before="120" w:line="22" w:lineRule="atLeast"/>
        <w:rPr>
          <w:rFonts w:ascii="仿宋_GB2312" w:hAnsi="仿宋_GB2312" w:eastAsia="仿宋_GB2312" w:cs="仿宋_GB2312"/>
          <w:color w:val="auto"/>
          <w:sz w:val="24"/>
          <w:highlight w:val="none"/>
        </w:rPr>
      </w:pPr>
    </w:p>
    <w:p>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0000FF"/>
          <w:sz w:val="24"/>
          <w:highlight w:val="none"/>
          <w:u w:val="single"/>
          <w:lang w:val="en-US" w:eastAsia="zh-CN"/>
        </w:rPr>
        <w:t>杭州市钱塘区</w:t>
      </w:r>
      <w:r>
        <w:rPr>
          <w:rFonts w:hint="eastAsia" w:ascii="仿宋_GB2312" w:hAnsi="仿宋_GB2312" w:eastAsia="仿宋_GB2312" w:cs="仿宋_GB2312"/>
          <w:color w:val="auto"/>
          <w:sz w:val="24"/>
          <w:highlight w:val="none"/>
          <w:u w:val="single"/>
        </w:rPr>
        <w:t xml:space="preserve">                     </w:t>
      </w:r>
    </w:p>
    <w:p>
      <w:pPr>
        <w:spacing w:before="120" w:line="22" w:lineRule="atLeast"/>
        <w:rPr>
          <w:rFonts w:ascii="仿宋_GB2312" w:hAnsi="仿宋_GB2312" w:eastAsia="仿宋_GB2312" w:cs="仿宋_GB2312"/>
          <w:color w:val="auto"/>
          <w:sz w:val="24"/>
          <w:highlight w:val="none"/>
        </w:rPr>
      </w:pPr>
    </w:p>
    <w:p>
      <w:pPr>
        <w:spacing w:before="120" w:line="22" w:lineRule="atLeast"/>
        <w:ind w:firstLine="960" w:firstLineChars="4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签订日期：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w:t>
      </w:r>
    </w:p>
    <w:p>
      <w:pPr>
        <w:widowControl/>
        <w:jc w:val="left"/>
        <w:rPr>
          <w:rFonts w:ascii="仿宋_GB2312" w:hAnsi="仿宋_GB2312" w:eastAsia="仿宋_GB2312" w:cs="仿宋_GB2312"/>
          <w:color w:val="auto"/>
          <w:kern w:val="0"/>
          <w:sz w:val="24"/>
          <w:highlight w:val="none"/>
        </w:rPr>
        <w:sectPr>
          <w:headerReference r:id="rId17" w:type="default"/>
          <w:footerReference r:id="rId18" w:type="default"/>
          <w:pgSz w:w="11907" w:h="16840"/>
          <w:pgMar w:top="680" w:right="1417" w:bottom="471" w:left="1417" w:header="851" w:footer="851" w:gutter="0"/>
          <w:pgBorders>
            <w:top w:val="none" w:sz="0" w:space="0"/>
            <w:left w:val="none" w:sz="0" w:space="0"/>
            <w:bottom w:val="none" w:sz="0" w:space="0"/>
            <w:right w:val="none" w:sz="0" w:space="0"/>
          </w:pgBorders>
          <w:cols w:space="720" w:num="1"/>
        </w:sectPr>
      </w:pP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年</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月</w:t>
      </w:r>
      <w:r>
        <w:rPr>
          <w:rFonts w:hint="eastAsia" w:ascii="仿宋_GB2312" w:hAnsi="仿宋_GB2312" w:eastAsia="仿宋_GB2312" w:cs="仿宋_GB2312"/>
          <w:color w:val="auto"/>
          <w:sz w:val="24"/>
          <w:highlight w:val="none"/>
          <w:u w:val="single"/>
          <w:lang w:val="zh-CN"/>
        </w:rPr>
        <w:t xml:space="preserve">    </w:t>
      </w:r>
      <w:r>
        <w:rPr>
          <w:rFonts w:hint="eastAsia" w:ascii="仿宋_GB2312" w:hAnsi="仿宋_GB2312" w:eastAsia="仿宋_GB2312" w:cs="仿宋_GB2312"/>
          <w:color w:val="auto"/>
          <w:sz w:val="24"/>
          <w:highlight w:val="none"/>
          <w:lang w:val="zh-CN"/>
        </w:rPr>
        <w:t>日</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u w:val="single"/>
          <w:lang w:eastAsia="zh-CN"/>
        </w:rPr>
        <w:t>杭州市钱塘区人民政府白杨街道办事处</w:t>
      </w:r>
      <w:r>
        <w:rPr>
          <w:rFonts w:hint="eastAsia" w:ascii="仿宋_GB2312" w:hAnsi="仿宋_GB2312" w:eastAsia="仿宋_GB2312" w:cs="仿宋_GB2312"/>
          <w:color w:val="auto"/>
          <w:sz w:val="24"/>
          <w:highlight w:val="none"/>
        </w:rPr>
        <w:t>以</w:t>
      </w:r>
      <w:r>
        <w:rPr>
          <w:rFonts w:hint="eastAsia" w:ascii="仿宋_GB2312" w:hAnsi="仿宋_GB2312" w:eastAsia="仿宋_GB2312" w:cs="仿宋_GB2312"/>
          <w:color w:val="auto"/>
          <w:sz w:val="24"/>
          <w:highlight w:val="none"/>
          <w:u w:val="single"/>
        </w:rPr>
        <w:t xml:space="preserve">公开招标 </w:t>
      </w:r>
      <w:r>
        <w:rPr>
          <w:rFonts w:hint="eastAsia" w:ascii="仿宋_GB2312" w:hAnsi="仿宋_GB2312" w:eastAsia="仿宋_GB2312" w:cs="仿宋_GB2312"/>
          <w:color w:val="auto"/>
          <w:sz w:val="24"/>
          <w:highlight w:val="none"/>
        </w:rPr>
        <w:t>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u w:val="single"/>
        </w:rPr>
        <w:t>（编号：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项目进行了采购。经</w:t>
      </w:r>
      <w:r>
        <w:rPr>
          <w:rFonts w:hint="eastAsia" w:ascii="仿宋_GB2312" w:hAnsi="仿宋_GB2312" w:eastAsia="仿宋_GB2312" w:cs="仿宋_GB2312"/>
          <w:color w:val="auto"/>
          <w:sz w:val="24"/>
          <w:highlight w:val="none"/>
          <w:u w:val="single"/>
        </w:rPr>
        <w:t xml:space="preserve"> （相关评定主体名称） </w:t>
      </w:r>
      <w:r>
        <w:rPr>
          <w:rFonts w:hint="eastAsia" w:ascii="仿宋_GB2312" w:hAnsi="仿宋_GB2312" w:eastAsia="仿宋_GB2312" w:cs="仿宋_GB2312"/>
          <w:color w:val="auto"/>
          <w:sz w:val="24"/>
          <w:highlight w:val="none"/>
        </w:rPr>
        <w:t>评定，</w:t>
      </w:r>
      <w:r>
        <w:rPr>
          <w:rFonts w:hint="eastAsia" w:ascii="仿宋_GB2312" w:hAnsi="仿宋_GB2312" w:eastAsia="仿宋_GB2312" w:cs="仿宋_GB2312"/>
          <w:color w:val="auto"/>
          <w:sz w:val="24"/>
          <w:highlight w:val="none"/>
          <w:u w:val="single"/>
        </w:rPr>
        <w:t xml:space="preserve"> （中标供应商名称） </w:t>
      </w:r>
      <w:r>
        <w:rPr>
          <w:rFonts w:hint="eastAsia" w:ascii="仿宋_GB2312" w:hAnsi="仿宋_GB2312" w:eastAsia="仿宋_GB2312" w:cs="仿宋_GB2312"/>
          <w:color w:val="auto"/>
          <w:sz w:val="24"/>
          <w:highlight w:val="none"/>
        </w:rPr>
        <w:t>为该项目中标供应商。现于中标通知书发出之日起十个工作日内，按照采购文件确定的事项签订本合同。</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根据《中华人民共和国民法典》、《中华人民共和国政府采购法》等相关法律法规之规定，按照平等、自愿、公平、诚实信用和绿色的原则，经</w:t>
      </w:r>
      <w:r>
        <w:rPr>
          <w:rFonts w:hint="eastAsia" w:ascii="仿宋_GB2312" w:hAnsi="仿宋_GB2312" w:eastAsia="仿宋_GB2312" w:cs="仿宋_GB2312"/>
          <w:color w:val="auto"/>
          <w:sz w:val="24"/>
          <w:highlight w:val="none"/>
          <w:u w:val="single"/>
          <w:lang w:eastAsia="zh-CN"/>
        </w:rPr>
        <w:t>杭州市钱塘区人民政府白杨街道办事处</w:t>
      </w:r>
      <w:r>
        <w:rPr>
          <w:rFonts w:hint="eastAsia" w:ascii="仿宋_GB2312" w:hAnsi="仿宋_GB2312" w:eastAsia="仿宋_GB2312" w:cs="仿宋_GB2312"/>
          <w:color w:val="auto"/>
          <w:sz w:val="24"/>
          <w:highlight w:val="none"/>
          <w:lang w:val="zh-CN"/>
        </w:rPr>
        <w:t>(以下简称：甲方)和</w:t>
      </w:r>
      <w:r>
        <w:rPr>
          <w:rFonts w:hint="eastAsia" w:ascii="仿宋_GB2312" w:hAnsi="仿宋_GB2312" w:eastAsia="仿宋_GB2312" w:cs="仿宋_GB2312"/>
          <w:color w:val="auto"/>
          <w:sz w:val="24"/>
          <w:highlight w:val="none"/>
          <w:u w:val="single"/>
        </w:rPr>
        <w:t xml:space="preserve"> （中标供应商名称） </w:t>
      </w:r>
      <w:r>
        <w:rPr>
          <w:rFonts w:hint="eastAsia" w:ascii="仿宋_GB2312" w:hAnsi="仿宋_GB2312" w:eastAsia="仿宋_GB2312" w:cs="仿宋_GB2312"/>
          <w:color w:val="auto"/>
          <w:sz w:val="24"/>
          <w:highlight w:val="none"/>
          <w:lang w:val="zh-CN"/>
        </w:rPr>
        <w:t>(以下简称：乙方)协商一致，约定以下合同</w:t>
      </w:r>
      <w:r>
        <w:rPr>
          <w:rFonts w:hint="eastAsia" w:ascii="仿宋_GB2312" w:hAnsi="仿宋_GB2312" w:eastAsia="仿宋_GB2312" w:cs="仿宋_GB2312"/>
          <w:color w:val="auto"/>
          <w:sz w:val="24"/>
          <w:highlight w:val="none"/>
        </w:rPr>
        <w:t>条款，以兹共同遵守、全面履行。</w:t>
      </w:r>
    </w:p>
    <w:p>
      <w:pPr>
        <w:spacing w:line="560" w:lineRule="exact"/>
        <w:ind w:firstLine="482" w:firstLineChars="200"/>
        <w:outlineLvl w:val="0"/>
        <w:rPr>
          <w:rFonts w:ascii="仿宋_GB2312" w:hAnsi="仿宋_GB2312" w:eastAsia="仿宋_GB2312" w:cs="仿宋_GB2312"/>
          <w:color w:val="auto"/>
          <w:sz w:val="24"/>
          <w:highlight w:val="none"/>
        </w:rPr>
      </w:pPr>
      <w:bookmarkStart w:id="53" w:name="_Toc28855"/>
      <w:bookmarkStart w:id="54" w:name="_Toc19273"/>
      <w:bookmarkStart w:id="55" w:name="_Toc15367"/>
      <w:bookmarkStart w:id="56" w:name="_Toc20421"/>
      <w:bookmarkStart w:id="57" w:name="_Toc22967"/>
      <w:r>
        <w:rPr>
          <w:rFonts w:hint="eastAsia" w:ascii="仿宋_GB2312" w:hAnsi="仿宋_GB2312" w:eastAsia="仿宋_GB2312" w:cs="仿宋_GB2312"/>
          <w:b/>
          <w:color w:val="auto"/>
          <w:sz w:val="24"/>
          <w:highlight w:val="none"/>
        </w:rPr>
        <w:t>1.1 合同组成部分</w:t>
      </w:r>
      <w:bookmarkEnd w:id="53"/>
      <w:bookmarkEnd w:id="54"/>
      <w:bookmarkEnd w:id="55"/>
      <w:bookmarkEnd w:id="56"/>
      <w:bookmarkEnd w:id="57"/>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 本合同及其补充合同、变更协议；</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 中标或者成交通知书；</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 投标或者响应文件（含澄清或者说明文件）；</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1.1.4 采购文件（含澄清或者修改文件）；</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1.1.5 其他相关采购文件。</w:t>
      </w:r>
    </w:p>
    <w:p>
      <w:pPr>
        <w:spacing w:line="560" w:lineRule="exact"/>
        <w:ind w:firstLine="482" w:firstLineChars="200"/>
        <w:outlineLvl w:val="0"/>
        <w:rPr>
          <w:rFonts w:ascii="仿宋_GB2312" w:hAnsi="仿宋_GB2312" w:eastAsia="仿宋_GB2312" w:cs="仿宋_GB2312"/>
          <w:b/>
          <w:color w:val="auto"/>
          <w:sz w:val="24"/>
          <w:highlight w:val="none"/>
        </w:rPr>
      </w:pPr>
      <w:bookmarkStart w:id="58" w:name="_Toc6773"/>
      <w:bookmarkStart w:id="59" w:name="_Toc2918"/>
      <w:bookmarkStart w:id="60" w:name="_Toc6311"/>
      <w:bookmarkStart w:id="61" w:name="_Toc18585"/>
      <w:bookmarkStart w:id="62" w:name="_Toc22185"/>
      <w:r>
        <w:rPr>
          <w:rFonts w:hint="eastAsia" w:ascii="仿宋_GB2312" w:hAnsi="仿宋_GB2312" w:eastAsia="仿宋_GB2312" w:cs="仿宋_GB2312"/>
          <w:b/>
          <w:color w:val="auto"/>
          <w:sz w:val="24"/>
          <w:highlight w:val="none"/>
        </w:rPr>
        <w:t>1.2 标的</w:t>
      </w:r>
      <w:bookmarkEnd w:id="58"/>
      <w:bookmarkEnd w:id="59"/>
      <w:bookmarkEnd w:id="60"/>
      <w:bookmarkEnd w:id="61"/>
      <w:bookmarkEnd w:id="62"/>
    </w:p>
    <w:p>
      <w:pPr>
        <w:spacing w:line="560" w:lineRule="atLeas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1.2.1 服务内容：</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560" w:lineRule="atLeas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1.2.2 服务标准：</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560" w:lineRule="atLeas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1.2.3 技术保障：</w:t>
      </w:r>
      <w:r>
        <w:rPr>
          <w:rFonts w:hint="eastAsia" w:ascii="仿宋_GB2312" w:hAnsi="仿宋_GB2312" w:eastAsia="仿宋_GB2312" w:cs="仿宋_GB2312"/>
          <w:color w:val="auto"/>
          <w:sz w:val="24"/>
          <w:highlight w:val="none"/>
          <w:u w:val="single"/>
        </w:rPr>
        <w:t>　　　　　　　　　                      　      ；</w:t>
      </w:r>
    </w:p>
    <w:p>
      <w:pPr>
        <w:spacing w:line="560" w:lineRule="atLeas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1.2.4 服务人员组成：</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pStyle w:val="968"/>
        <w:spacing w:before="0" w:beforeAutospacing="0" w:after="0" w:afterAutospacing="0" w:line="560" w:lineRule="atLeast"/>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1.2.5合同</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（是/否）涉及货物。若涉及货物的的，则：</w:t>
      </w:r>
    </w:p>
    <w:p>
      <w:pPr>
        <w:spacing w:line="560" w:lineRule="atLeast"/>
        <w:ind w:firstLine="480" w:firstLineChars="200"/>
        <w:rPr>
          <w:rFonts w:ascii="仿宋_GB2312" w:hAnsi="仿宋_GB2312" w:eastAsia="仿宋_GB2312" w:cs="仿宋_GB2312"/>
          <w:color w:val="auto"/>
          <w:sz w:val="24"/>
          <w:highlight w:val="none"/>
          <w:u w:val="single"/>
        </w:rPr>
      </w:pPr>
      <w:bookmarkStart w:id="63" w:name="_Toc5635"/>
      <w:bookmarkStart w:id="64" w:name="_Toc4929"/>
      <w:bookmarkStart w:id="65" w:name="_Toc21124"/>
      <w:bookmarkStart w:id="66" w:name="_Toc1386"/>
      <w:bookmarkStart w:id="67" w:name="_Toc13918"/>
      <w:r>
        <w:rPr>
          <w:rFonts w:hint="eastAsia" w:ascii="仿宋_GB2312" w:hAnsi="仿宋_GB2312" w:eastAsia="仿宋_GB2312" w:cs="仿宋_GB2312"/>
          <w:color w:val="auto"/>
          <w:sz w:val="24"/>
          <w:highlight w:val="none"/>
        </w:rPr>
        <w:t>1.2.5.1 货物名称、品牌、规格型号、花色：</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1.2.5.2 货物数量：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1.2.5.3 货物质量：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560" w:lineRule="exact"/>
        <w:ind w:firstLine="482" w:firstLineChars="200"/>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 价款</w:t>
      </w:r>
      <w:bookmarkEnd w:id="63"/>
      <w:bookmarkEnd w:id="64"/>
      <w:bookmarkEnd w:id="65"/>
      <w:bookmarkEnd w:id="66"/>
      <w:bookmarkEnd w:id="67"/>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本项目采用以下第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条款规定的计价方式计价。</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1.3.1总价合同，本合同总价（含税）为：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元人民币）。</w:t>
      </w:r>
      <w:r>
        <w:rPr>
          <w:rFonts w:hint="eastAsia" w:ascii="宋体" w:hAnsi="宋体"/>
          <w:color w:val="auto"/>
          <w:sz w:val="24"/>
          <w:lang w:val="en-US" w:eastAsia="zh-CN"/>
        </w:rPr>
        <w:t>包含租赁费、税费等全部费用。</w:t>
      </w:r>
    </w:p>
    <w:p>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2"/>
              <w:spacing w:line="56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340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分项名称</w:t>
            </w:r>
          </w:p>
        </w:tc>
        <w:tc>
          <w:tcPr>
            <w:tcW w:w="2552" w:type="dxa"/>
            <w:vAlign w:val="center"/>
          </w:tcPr>
          <w:p>
            <w:pPr>
              <w:pStyle w:val="342"/>
              <w:spacing w:line="560" w:lineRule="exact"/>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340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c>
          <w:tcPr>
            <w:tcW w:w="255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总价</w:t>
            </w:r>
          </w:p>
        </w:tc>
        <w:tc>
          <w:tcPr>
            <w:tcW w:w="2552" w:type="dxa"/>
            <w:vAlign w:val="center"/>
          </w:tcPr>
          <w:p>
            <w:pPr>
              <w:pStyle w:val="342"/>
              <w:spacing w:line="560" w:lineRule="exact"/>
              <w:ind w:firstLine="200"/>
              <w:jc w:val="center"/>
              <w:rPr>
                <w:rFonts w:ascii="仿宋_GB2312" w:hAnsi="仿宋_GB2312" w:eastAsia="仿宋_GB2312" w:cs="仿宋_GB2312"/>
                <w:color w:val="auto"/>
                <w:sz w:val="24"/>
                <w:szCs w:val="24"/>
                <w:highlight w:val="none"/>
              </w:rPr>
            </w:pPr>
          </w:p>
        </w:tc>
      </w:tr>
    </w:tbl>
    <w:p>
      <w:pPr>
        <w:spacing w:line="560" w:lineRule="exact"/>
        <w:ind w:firstLine="480" w:firstLineChars="200"/>
        <w:rPr>
          <w:rFonts w:ascii="仿宋_GB2312" w:hAnsi="仿宋_GB2312" w:eastAsia="仿宋_GB2312" w:cs="仿宋_GB2312"/>
          <w:color w:val="auto"/>
          <w:sz w:val="24"/>
          <w:highlight w:val="none"/>
        </w:rPr>
      </w:pPr>
      <w:bookmarkStart w:id="68" w:name="_Toc30506"/>
      <w:bookmarkStart w:id="69" w:name="_Toc30158"/>
      <w:bookmarkStart w:id="70" w:name="_Toc26916"/>
      <w:bookmarkStart w:id="71" w:name="_Toc3654"/>
      <w:bookmarkStart w:id="72" w:name="_Toc14993"/>
      <w:r>
        <w:rPr>
          <w:rFonts w:hint="eastAsia" w:ascii="仿宋_GB2312" w:hAnsi="仿宋_GB2312" w:eastAsia="仿宋_GB2312" w:cs="仿宋_GB2312"/>
          <w:bCs/>
          <w:color w:val="auto"/>
          <w:sz w:val="24"/>
          <w:highlight w:val="none"/>
        </w:rPr>
        <w:t>1.3.2单价合同，本合同单价（含税）标准为：</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color w:val="auto"/>
          <w:sz w:val="24"/>
          <w:highlight w:val="none"/>
        </w:rPr>
        <w:t>。服务工作量的计量方式为：</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bCs/>
          <w:color w:val="auto"/>
          <w:sz w:val="24"/>
          <w:highlight w:val="none"/>
          <w:u w:val="single"/>
        </w:rPr>
        <w:t xml:space="preserve">     </w:t>
      </w:r>
      <w:r>
        <w:rPr>
          <w:rFonts w:hint="eastAsia" w:ascii="仿宋_GB2312" w:hAnsi="仿宋_GB2312" w:eastAsia="仿宋_GB2312" w:cs="仿宋_GB2312"/>
          <w:color w:val="auto"/>
          <w:sz w:val="24"/>
          <w:highlight w:val="none"/>
        </w:rPr>
        <w:t>。单价合同，在合同履行期间内，根据实际完成的工作量据实结算，但结算总价上限不得超过预算金额或者双方确定的金额</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元（大写：</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元人民币）。</w:t>
      </w:r>
    </w:p>
    <w:p>
      <w:pPr>
        <w:pStyle w:val="3"/>
        <w:rPr>
          <w:rFonts w:hAnsi="仿宋_GB2312" w:cs="仿宋_GB2312"/>
          <w:color w:val="auto"/>
          <w:highlight w:val="none"/>
          <w:lang w:val="en-US"/>
        </w:rPr>
      </w:pPr>
      <w:r>
        <w:rPr>
          <w:rFonts w:hint="eastAsia" w:hAnsi="仿宋_GB2312" w:cs="仿宋_GB2312"/>
          <w:color w:val="auto"/>
          <w:sz w:val="24"/>
          <w:highlight w:val="none"/>
          <w:lang w:val="en-US"/>
        </w:rPr>
        <w:t xml:space="preserve">    </w:t>
      </w:r>
      <w:r>
        <w:rPr>
          <w:rFonts w:hint="eastAsia" w:hAnsi="仿宋_GB2312" w:cs="仿宋_GB2312"/>
          <w:b w:val="0"/>
          <w:bCs w:val="0"/>
          <w:color w:val="auto"/>
          <w:sz w:val="24"/>
          <w:highlight w:val="none"/>
          <w:lang w:val="en-US"/>
        </w:rPr>
        <w:t>1.3.3其他计价方式：</w:t>
      </w:r>
      <w:r>
        <w:rPr>
          <w:rFonts w:hint="eastAsia" w:hAnsi="仿宋_GB2312" w:cs="仿宋_GB2312"/>
          <w:b w:val="0"/>
          <w:bCs w:val="0"/>
          <w:color w:val="auto"/>
          <w:sz w:val="24"/>
          <w:highlight w:val="none"/>
          <w:u w:val="single"/>
          <w:lang w:val="en-US"/>
        </w:rPr>
        <w:t xml:space="preserve">                   </w:t>
      </w:r>
      <w:r>
        <w:rPr>
          <w:rFonts w:hint="eastAsia" w:hAnsi="仿宋_GB2312" w:cs="仿宋_GB2312"/>
          <w:b w:val="0"/>
          <w:bCs w:val="0"/>
          <w:color w:val="auto"/>
          <w:sz w:val="24"/>
          <w:highlight w:val="none"/>
        </w:rPr>
        <w:t>。</w:t>
      </w:r>
    </w:p>
    <w:bookmarkEnd w:id="68"/>
    <w:bookmarkEnd w:id="69"/>
    <w:bookmarkEnd w:id="70"/>
    <w:bookmarkEnd w:id="71"/>
    <w:bookmarkEnd w:id="72"/>
    <w:p>
      <w:pPr>
        <w:pStyle w:val="968"/>
        <w:spacing w:before="0" w:beforeAutospacing="0" w:after="0" w:afterAutospacing="0" w:line="360" w:lineRule="auto"/>
        <w:ind w:firstLine="480"/>
        <w:rPr>
          <w:rFonts w:ascii="仿宋_GB2312" w:hAnsi="仿宋_GB2312" w:eastAsia="仿宋_GB2312" w:cs="仿宋_GB2312"/>
          <w:b/>
          <w:color w:val="auto"/>
          <w:highlight w:val="none"/>
        </w:rPr>
      </w:pPr>
      <w:bookmarkStart w:id="73" w:name="_Toc22618"/>
      <w:bookmarkStart w:id="74" w:name="_Toc10340"/>
      <w:bookmarkStart w:id="75" w:name="_Toc1814"/>
      <w:bookmarkStart w:id="76" w:name="_Toc31421"/>
      <w:bookmarkStart w:id="77" w:name="_Toc11108"/>
      <w:bookmarkStart w:id="78" w:name="_Toc8772"/>
      <w:bookmarkStart w:id="79" w:name="_Toc3625"/>
      <w:bookmarkStart w:id="80" w:name="_Toc4760"/>
      <w:r>
        <w:rPr>
          <w:rFonts w:hint="eastAsia" w:ascii="仿宋_GB2312" w:hAnsi="仿宋_GB2312" w:eastAsia="仿宋_GB2312" w:cs="仿宋_GB2312"/>
          <w:b/>
          <w:color w:val="auto"/>
          <w:highlight w:val="none"/>
        </w:rPr>
        <w:t>1.4履约保证金</w:t>
      </w:r>
    </w:p>
    <w:p>
      <w:pPr>
        <w:pStyle w:val="968"/>
        <w:spacing w:before="0" w:beforeAutospacing="0" w:after="0" w:afterAutospacing="0" w:line="360" w:lineRule="auto"/>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乙方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（是/否）需要支付履约保证金。若需要支付履约保证金的，则：</w:t>
      </w:r>
    </w:p>
    <w:p>
      <w:pPr>
        <w:spacing w:line="560" w:lineRule="exact"/>
        <w:ind w:firstLine="480" w:firstLineChars="200"/>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1.4.1履约保证金的比例为合同金额的</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pPr>
        <w:spacing w:line="560" w:lineRule="exact"/>
        <w:ind w:firstLine="480" w:firstLineChars="200"/>
        <w:outlineLvl w:val="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1.4.2履约保证金支付方式详见</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pPr>
        <w:pStyle w:val="3"/>
        <w:numPr>
          <w:ilvl w:val="0"/>
          <w:numId w:val="0"/>
        </w:numPr>
        <w:tabs>
          <w:tab w:val="left" w:pos="0"/>
          <w:tab w:val="clear" w:pos="432"/>
        </w:tabs>
        <w:spacing w:line="560" w:lineRule="exact"/>
        <w:ind w:firstLine="480" w:firstLineChars="200"/>
        <w:rPr>
          <w:rFonts w:hAnsi="仿宋_GB2312" w:cs="仿宋_GB2312"/>
          <w:color w:val="auto"/>
          <w:highlight w:val="none"/>
          <w:lang w:val="en-US"/>
        </w:rPr>
      </w:pPr>
      <w:r>
        <w:rPr>
          <w:rFonts w:hint="eastAsia" w:hAnsi="仿宋_GB2312" w:cs="仿宋_GB2312"/>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r>
        <w:rPr>
          <w:rFonts w:hint="eastAsia" w:ascii="仿宋_GB2312" w:hAnsi="仿宋_GB2312" w:eastAsia="仿宋_GB2312" w:cs="仿宋_GB2312"/>
          <w:b w:val="0"/>
          <w:bCs w:val="0"/>
          <w:color w:val="auto"/>
          <w:kern w:val="0"/>
          <w:sz w:val="24"/>
          <w:szCs w:val="24"/>
          <w:highlight w:val="none"/>
          <w:lang w:val="en-US"/>
        </w:rPr>
        <w:t>；</w:t>
      </w:r>
      <w:r>
        <w:rPr>
          <w:rFonts w:hint="eastAsia" w:ascii="仿宋_GB2312" w:hAnsi="仿宋_GB2312" w:eastAsia="仿宋_GB2312" w:cs="仿宋_GB2312"/>
          <w:b w:val="0"/>
          <w:bCs w:val="0"/>
          <w:color w:val="auto"/>
          <w:kern w:val="0"/>
          <w:sz w:val="24"/>
          <w:szCs w:val="24"/>
          <w:lang w:val="en-US"/>
        </w:rPr>
        <w:t>乙方每延迟一日缴纳履约保证金，违约金则按应缴纳的履约保证金金额的0.0</w:t>
      </w:r>
      <w:r>
        <w:rPr>
          <w:rFonts w:hint="eastAsia" w:ascii="仿宋_GB2312" w:hAnsi="仿宋_GB2312" w:eastAsia="仿宋_GB2312" w:cs="仿宋_GB2312"/>
          <w:b w:val="0"/>
          <w:bCs w:val="0"/>
          <w:color w:val="auto"/>
          <w:kern w:val="0"/>
          <w:sz w:val="24"/>
          <w:szCs w:val="24"/>
          <w:lang w:val="en-US" w:eastAsia="zh-CN"/>
        </w:rPr>
        <w:t>3</w:t>
      </w:r>
      <w:r>
        <w:rPr>
          <w:rFonts w:hint="eastAsia" w:ascii="仿宋_GB2312" w:hAnsi="仿宋_GB2312" w:eastAsia="仿宋_GB2312" w:cs="仿宋_GB2312"/>
          <w:b w:val="0"/>
          <w:bCs w:val="0"/>
          <w:color w:val="auto"/>
          <w:kern w:val="0"/>
          <w:sz w:val="24"/>
          <w:szCs w:val="24"/>
          <w:lang w:val="en-US"/>
        </w:rPr>
        <w:t>%计算，最高限额为本合同履约保证金的</w:t>
      </w:r>
      <w:r>
        <w:rPr>
          <w:rFonts w:hint="eastAsia" w:ascii="仿宋_GB2312" w:hAnsi="仿宋_GB2312" w:eastAsia="仿宋_GB2312" w:cs="仿宋_GB2312"/>
          <w:b w:val="0"/>
          <w:bCs w:val="0"/>
          <w:color w:val="auto"/>
          <w:kern w:val="0"/>
          <w:sz w:val="24"/>
          <w:szCs w:val="24"/>
          <w:lang w:val="en-US" w:eastAsia="zh-CN"/>
        </w:rPr>
        <w:t>3</w:t>
      </w:r>
      <w:r>
        <w:rPr>
          <w:rFonts w:hint="eastAsia" w:ascii="仿宋_GB2312" w:hAnsi="仿宋_GB2312" w:eastAsia="仿宋_GB2312" w:cs="仿宋_GB2312"/>
          <w:b w:val="0"/>
          <w:bCs w:val="0"/>
          <w:color w:val="auto"/>
          <w:kern w:val="0"/>
          <w:sz w:val="24"/>
          <w:szCs w:val="24"/>
          <w:lang w:val="en-US"/>
        </w:rPr>
        <w:t>0%；乙方逾期10日，未按要求缴纳履约保证金的，甲方有权在要求乙方支付违约金的同时，单方面解除合同，并就由此造成的一切损失均由乙方负责赔偿；</w:t>
      </w:r>
    </w:p>
    <w:p>
      <w:pPr>
        <w:spacing w:line="560" w:lineRule="exact"/>
        <w:ind w:firstLine="480" w:firstLineChars="200"/>
        <w:outlineLvl w:val="0"/>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1.4.4甲方在项目验收结束后及时退还履约保证金。甲方在项目通过验收之日起</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个工作日内将履约保证金及银行同期利息退还乙方</w:t>
      </w:r>
      <w:r>
        <w:rPr>
          <w:rFonts w:hint="eastAsia" w:ascii="仿宋_GB2312" w:hAnsi="仿宋_GB2312" w:eastAsia="仿宋_GB2312" w:cs="仿宋_GB2312"/>
          <w:color w:val="auto"/>
          <w:kern w:val="0"/>
          <w:sz w:val="24"/>
          <w:highlight w:val="none"/>
          <w:lang w:eastAsia="zh-CN"/>
        </w:rPr>
        <w:t>。</w:t>
      </w:r>
    </w:p>
    <w:p>
      <w:pPr>
        <w:spacing w:line="560" w:lineRule="exact"/>
        <w:ind w:firstLine="482" w:firstLineChars="200"/>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1.5</w:t>
      </w:r>
      <w:bookmarkEnd w:id="73"/>
      <w:bookmarkEnd w:id="74"/>
      <w:bookmarkEnd w:id="75"/>
      <w:r>
        <w:rPr>
          <w:rFonts w:hint="eastAsia" w:ascii="仿宋_GB2312" w:hAnsi="仿宋_GB2312" w:eastAsia="仿宋_GB2312" w:cs="仿宋_GB2312"/>
          <w:b/>
          <w:color w:val="auto"/>
          <w:sz w:val="24"/>
          <w:highlight w:val="none"/>
        </w:rPr>
        <w:t>预付款</w:t>
      </w:r>
    </w:p>
    <w:p>
      <w:pPr>
        <w:pStyle w:val="968"/>
        <w:spacing w:before="0" w:beforeAutospacing="0" w:after="0" w:afterAutospacing="0" w:line="360" w:lineRule="auto"/>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甲方</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（是/否）需要支付预付款。若需要支付预付款的，则：</w:t>
      </w:r>
    </w:p>
    <w:p>
      <w:pPr>
        <w:spacing w:line="560" w:lineRule="exact"/>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1.5.1预付款比例、支付方式、时间详见</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w:t>
      </w:r>
    </w:p>
    <w:p>
      <w:pPr>
        <w:pStyle w:val="968"/>
        <w:spacing w:before="0" w:beforeAutospacing="0" w:after="0" w:afterAutospacing="0" w:line="360" w:lineRule="auto"/>
        <w:ind w:firstLine="48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1.5.2预付款的扣回方式详见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pPr>
        <w:pStyle w:val="968"/>
        <w:spacing w:before="0" w:beforeAutospacing="0" w:after="0" w:afterAutospacing="0" w:line="360" w:lineRule="auto"/>
        <w:ind w:firstLine="480"/>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1.5.3预付款的担保措施详见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b/>
          <w:i/>
          <w:color w:val="auto"/>
          <w:highlight w:val="none"/>
          <w:u w:val="single"/>
        </w:rPr>
        <w:t>合同专用条款</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pPr>
        <w:pStyle w:val="968"/>
        <w:spacing w:before="0" w:beforeAutospacing="0" w:after="0" w:afterAutospacing="0" w:line="360" w:lineRule="auto"/>
        <w:ind w:firstLine="48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1.6资金支付</w:t>
      </w:r>
    </w:p>
    <w:p>
      <w:pPr>
        <w:pStyle w:val="968"/>
        <w:spacing w:before="0" w:beforeAutospacing="0" w:after="0" w:afterAutospacing="0" w:line="360" w:lineRule="auto"/>
        <w:ind w:firstLine="48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w:t>
      </w:r>
      <w:r>
        <w:rPr>
          <w:rFonts w:hint="eastAsia" w:ascii="仿宋_GB2312" w:hAnsi="仿宋_GB2312" w:eastAsia="仿宋_GB2312" w:cs="仿宋_GB2312"/>
          <w:color w:val="auto"/>
          <w:highlight w:val="none"/>
          <w:lang w:eastAsia="zh-CN"/>
        </w:rPr>
        <w:t>。</w:t>
      </w:r>
    </w:p>
    <w:p>
      <w:pPr>
        <w:spacing w:line="560" w:lineRule="exact"/>
        <w:ind w:firstLine="480" w:firstLineChars="200"/>
        <w:outlineLvl w:val="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1.6.2资金支付的方式、时间和条件详见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2" w:firstLineChars="200"/>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1.7 履行期限、地点和方式</w:t>
      </w:r>
      <w:bookmarkEnd w:id="76"/>
      <w:bookmarkEnd w:id="77"/>
      <w:bookmarkEnd w:id="78"/>
      <w:bookmarkEnd w:id="79"/>
      <w:bookmarkEnd w:id="80"/>
    </w:p>
    <w:p>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1.7.1 服务交付（实施）的时间（期限）：</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 服务交付（实施）的地点（地域范围）：</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 服务交付（实施）的方式：</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0" w:firstLineChars="200"/>
        <w:outlineLvl w:val="0"/>
        <w:rPr>
          <w:rFonts w:ascii="仿宋_GB2312" w:hAnsi="仿宋_GB2312" w:eastAsia="仿宋_GB2312" w:cs="仿宋_GB2312"/>
          <w:bCs/>
          <w:color w:val="auto"/>
          <w:sz w:val="24"/>
          <w:highlight w:val="none"/>
        </w:rPr>
      </w:pPr>
      <w:bookmarkStart w:id="81" w:name="_Toc2375"/>
      <w:bookmarkStart w:id="82" w:name="_Toc3079"/>
      <w:bookmarkStart w:id="83" w:name="_Toc24662"/>
      <w:bookmarkStart w:id="84" w:name="_Toc5698"/>
      <w:bookmarkStart w:id="85" w:name="_Toc8586"/>
      <w:r>
        <w:rPr>
          <w:rFonts w:hint="eastAsia" w:ascii="仿宋_GB2312" w:hAnsi="仿宋_GB2312" w:eastAsia="仿宋_GB2312" w:cs="仿宋_GB2312"/>
          <w:bCs/>
          <w:color w:val="auto"/>
          <w:sz w:val="24"/>
          <w:highlight w:val="none"/>
        </w:rPr>
        <w:t>1.7.4若服务涉及货物的，则货物的：</w:t>
      </w:r>
    </w:p>
    <w:p>
      <w:pPr>
        <w:spacing w:line="560" w:lineRule="exact"/>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1.7.4.1 交付期限：详见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1.7.4.2 交付地点：</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1.7.4.3 交付方式：</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2" w:firstLineChars="200"/>
        <w:outlineLvl w:val="0"/>
        <w:rPr>
          <w:rFonts w:ascii="仿宋_GB2312" w:hAnsi="仿宋_GB2312" w:eastAsia="仿宋_GB2312" w:cs="仿宋_GB2312"/>
          <w:color w:val="auto"/>
          <w:sz w:val="24"/>
          <w:highlight w:val="none"/>
          <w:u w:val="single"/>
        </w:rPr>
      </w:pPr>
      <w:r>
        <w:rPr>
          <w:rFonts w:hint="eastAsia" w:ascii="仿宋_GB2312" w:hAnsi="仿宋_GB2312" w:eastAsia="仿宋_GB2312" w:cs="仿宋_GB2312"/>
          <w:b/>
          <w:color w:val="auto"/>
          <w:sz w:val="24"/>
          <w:highlight w:val="none"/>
        </w:rPr>
        <w:t>1.8违约责任</w:t>
      </w:r>
      <w:bookmarkEnd w:id="81"/>
      <w:bookmarkEnd w:id="82"/>
      <w:bookmarkEnd w:id="83"/>
      <w:bookmarkEnd w:id="84"/>
      <w:bookmarkEnd w:id="85"/>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 除不可抗力外，如果乙方没有按照本合同约定的期限、地点和方式交付服务成果或者实施服务，或者出现交付车辆不符合要求等违约情形的，那么甲方可要求乙方支付违约金，迟延履行违约金按每迟延履行一日的应提供而未提供服务价格的</w:t>
      </w:r>
      <w:r>
        <w:rPr>
          <w:rFonts w:hint="eastAsia" w:ascii="仿宋_GB2312" w:hAnsi="仿宋_GB2312" w:eastAsia="仿宋_GB2312" w:cs="仿宋_GB2312"/>
          <w:color w:val="auto"/>
          <w:sz w:val="24"/>
          <w:highlight w:val="none"/>
          <w:u w:val="single"/>
          <w:lang w:val="en-US" w:eastAsia="zh-CN"/>
        </w:rPr>
        <w:t>万分之三</w:t>
      </w:r>
      <w:r>
        <w:rPr>
          <w:rFonts w:hint="eastAsia" w:ascii="仿宋_GB2312" w:hAnsi="仿宋_GB2312" w:eastAsia="仿宋_GB2312" w:cs="仿宋_GB2312"/>
          <w:color w:val="auto"/>
          <w:sz w:val="24"/>
          <w:highlight w:val="none"/>
        </w:rPr>
        <w:t>计算，最高限额为本合同总价的</w:t>
      </w:r>
      <w:r>
        <w:rPr>
          <w:rFonts w:hint="eastAsia" w:ascii="仿宋_GB2312" w:hAnsi="仿宋_GB2312" w:eastAsia="仿宋_GB2312" w:cs="仿宋_GB2312"/>
          <w:color w:val="auto"/>
          <w:sz w:val="24"/>
          <w:highlight w:val="none"/>
          <w:u w:val="single"/>
        </w:rPr>
        <w:t xml:space="preserve">  20   </w:t>
      </w:r>
      <w:r>
        <w:rPr>
          <w:rFonts w:hint="eastAsia" w:ascii="仿宋_GB2312" w:hAnsi="仿宋_GB2312" w:eastAsia="仿宋_GB2312" w:cs="仿宋_GB2312"/>
          <w:color w:val="auto"/>
          <w:sz w:val="24"/>
          <w:highlight w:val="none"/>
        </w:rPr>
        <w:t>%；迟延履行的违约金计算数额达到前述最高限额之日起，甲方有权在要求乙方支付违约金的同时，书面通知乙方解除本合同，甲方无需再支付任何费用；</w:t>
      </w:r>
    </w:p>
    <w:p>
      <w:pPr>
        <w:pStyle w:val="3"/>
        <w:ind w:left="0" w:firstLine="480" w:firstLineChars="200"/>
        <w:rPr>
          <w:rFonts w:hAnsi="仿宋_GB2312" w:cs="仿宋_GB2312"/>
          <w:b w:val="0"/>
          <w:bCs w:val="0"/>
          <w:color w:val="auto"/>
          <w:sz w:val="24"/>
          <w:szCs w:val="24"/>
          <w:highlight w:val="none"/>
          <w:lang w:val="en-US"/>
        </w:rPr>
      </w:pPr>
      <w:r>
        <w:rPr>
          <w:rFonts w:hint="eastAsia" w:hAnsi="仿宋_GB2312" w:cs="仿宋_GB2312"/>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hAnsi="仿宋_GB2312" w:cs="仿宋_GB2312"/>
          <w:b w:val="0"/>
          <w:bCs w:val="0"/>
          <w:color w:val="auto"/>
          <w:sz w:val="24"/>
          <w:szCs w:val="24"/>
          <w:highlight w:val="none"/>
          <w:lang w:val="en-US" w:eastAsia="zh-CN"/>
        </w:rPr>
        <w:t>万分之三</w:t>
      </w:r>
      <w:r>
        <w:rPr>
          <w:rFonts w:hint="eastAsia" w:hAnsi="仿宋_GB2312" w:cs="仿宋_GB2312"/>
          <w:b w:val="0"/>
          <w:bCs w:val="0"/>
          <w:color w:val="auto"/>
          <w:sz w:val="24"/>
          <w:szCs w:val="24"/>
          <w:highlight w:val="none"/>
          <w:lang w:val="en-US"/>
        </w:rPr>
        <w:t>计算，最高限额为本合同总价的</w:t>
      </w:r>
      <w:r>
        <w:rPr>
          <w:rFonts w:hint="eastAsia" w:hAnsi="仿宋_GB2312" w:cs="仿宋_GB2312"/>
          <w:b w:val="0"/>
          <w:bCs w:val="0"/>
          <w:color w:val="auto"/>
          <w:sz w:val="24"/>
          <w:szCs w:val="24"/>
          <w:highlight w:val="none"/>
          <w:u w:val="single"/>
          <w:lang w:val="en-US"/>
        </w:rPr>
        <w:t xml:space="preserve">  20  </w:t>
      </w:r>
      <w:r>
        <w:rPr>
          <w:rFonts w:hint="eastAsia" w:hAnsi="仿宋_GB2312" w:cs="仿宋_GB2312"/>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_GB2312" w:hAnsi="仿宋_GB2312" w:eastAsia="仿宋_GB2312" w:cs="仿宋_GB2312"/>
          <w:color w:val="auto"/>
          <w:sz w:val="24"/>
          <w:highlight w:val="none"/>
          <w:lang w:val="en-US" w:eastAsia="zh-CN"/>
        </w:rPr>
        <w:t>万分之一</w:t>
      </w:r>
      <w:r>
        <w:rPr>
          <w:rFonts w:hint="eastAsia" w:ascii="仿宋_GB2312" w:hAnsi="仿宋_GB2312" w:eastAsia="仿宋_GB2312" w:cs="仿宋_GB2312"/>
          <w:color w:val="auto"/>
          <w:sz w:val="24"/>
          <w:highlight w:val="none"/>
        </w:rPr>
        <w:t>计算，最高限额为本合同总价的</w:t>
      </w:r>
      <w:r>
        <w:rPr>
          <w:rFonts w:hint="eastAsia" w:ascii="仿宋_GB2312" w:hAnsi="仿宋_GB2312" w:eastAsia="仿宋_GB2312" w:cs="仿宋_GB2312"/>
          <w:color w:val="auto"/>
          <w:sz w:val="24"/>
          <w:highlight w:val="none"/>
          <w:u w:val="single"/>
        </w:rPr>
        <w:t xml:space="preserve">   20   </w:t>
      </w:r>
      <w:r>
        <w:rPr>
          <w:rFonts w:hint="eastAsia" w:ascii="仿宋_GB2312" w:hAnsi="仿宋_GB2312" w:eastAsia="仿宋_GB2312" w:cs="仿宋_GB2312"/>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_GB2312" w:hAnsi="仿宋_GB2312" w:eastAsia="仿宋_GB2312" w:cs="仿宋_GB2312"/>
          <w:color w:val="auto"/>
          <w:sz w:val="24"/>
          <w:highlight w:val="none"/>
        </w:rPr>
      </w:pPr>
      <w:bookmarkStart w:id="86" w:name="_Toc30329"/>
      <w:bookmarkStart w:id="87" w:name="_Toc18683"/>
      <w:bookmarkStart w:id="88" w:name="_Toc9497"/>
      <w:bookmarkStart w:id="89" w:name="_Toc32454"/>
      <w:bookmarkStart w:id="90" w:name="_Toc26807"/>
      <w:r>
        <w:rPr>
          <w:rFonts w:hint="eastAsia" w:ascii="仿宋_GB2312" w:hAnsi="仿宋_GB2312" w:eastAsia="仿宋_GB2312" w:cs="仿宋_GB2312"/>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要求违约方承担本合同总价【20】%的违约金；</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1.8.7合同期间，如果因车辆故障或发生车辆丢失、被盗等情况不能提供服务的，乙方须安排同等条件的车辆供甲方使用；如果乙方不能安排出代用车辆而无法履行服务的， 甲方有权解除本合同并要求乙方赔偿由此给甲方造成的损失。</w:t>
      </w:r>
    </w:p>
    <w:p>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1.8.8车辆发生交通事故，或者在使用过程中出现非甲方责任产生的其他风险，保险公司不予理赔部分，由乙方承担所有责任，并均由乙方自行处理，甲方予以协助。</w:t>
      </w:r>
    </w:p>
    <w:p>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1.8.9出租期间，乙方不得将所租车辆予以转让、转租、抵押、质押、或者以其他方式设定担保，乙方应保证出租车辆不存在抵押、查封等影响甲方正常使用的情形，如有以上情形并影响甲方使用时，甲方有权解除协议，要求乙方承担损失，并要求乙方支付租金数额30%的违约金。</w:t>
      </w:r>
    </w:p>
    <w:p>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1.8.10乙方未能按照合同约定向甲方提供维修服务的，甲方可自行委托第三方，因此产生的费用全部由乙方承担。</w:t>
      </w:r>
    </w:p>
    <w:p>
      <w:pPr>
        <w:spacing w:line="560" w:lineRule="exact"/>
        <w:ind w:right="-420" w:rightChars="-2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1.8.11乙方所有服务人员的工伤事故、劳资纠纷等，由乙方自行全权负责，与甲方无关。</w:t>
      </w:r>
    </w:p>
    <w:p>
      <w:pPr>
        <w:spacing w:line="560" w:lineRule="exact"/>
        <w:ind w:right="-420" w:righ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1.8.12违约责任</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另有约定的，从其约定。</w:t>
      </w:r>
    </w:p>
    <w:bookmarkEnd w:id="86"/>
    <w:bookmarkEnd w:id="87"/>
    <w:bookmarkEnd w:id="88"/>
    <w:bookmarkEnd w:id="89"/>
    <w:bookmarkEnd w:id="90"/>
    <w:p>
      <w:pPr>
        <w:spacing w:line="560" w:lineRule="exact"/>
        <w:ind w:firstLine="482" w:firstLineChars="200"/>
        <w:outlineLvl w:val="0"/>
        <w:rPr>
          <w:rFonts w:ascii="仿宋_GB2312" w:hAnsi="仿宋_GB2312" w:eastAsia="仿宋_GB2312" w:cs="仿宋_GB2312"/>
          <w:b/>
          <w:color w:val="auto"/>
          <w:sz w:val="24"/>
          <w:highlight w:val="none"/>
        </w:rPr>
      </w:pPr>
      <w:bookmarkStart w:id="91" w:name="_Toc15583"/>
      <w:bookmarkStart w:id="92" w:name="_Toc16021"/>
      <w:bookmarkStart w:id="93" w:name="_Toc28375"/>
      <w:r>
        <w:rPr>
          <w:rFonts w:hint="eastAsia" w:ascii="仿宋_GB2312" w:hAnsi="仿宋_GB2312" w:eastAsia="仿宋_GB2312" w:cs="仿宋_GB2312"/>
          <w:b/>
          <w:color w:val="auto"/>
          <w:sz w:val="24"/>
          <w:highlight w:val="none"/>
        </w:rPr>
        <w:t>1.9合同争议的解决</w:t>
      </w:r>
      <w:bookmarkEnd w:id="91"/>
      <w:bookmarkEnd w:id="92"/>
      <w:bookmarkEnd w:id="93"/>
    </w:p>
    <w:p>
      <w:pPr>
        <w:spacing w:line="560" w:lineRule="exact"/>
        <w:ind w:left="-61" w:leftChars="-29" w:right="-420" w:rightChars="-200" w:firstLine="240" w:firstLineChars="1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_GB2312" w:hAnsi="仿宋_GB2312" w:eastAsia="仿宋_GB2312" w:cs="仿宋_GB2312"/>
          <w:b/>
          <w:i/>
          <w:color w:val="auto"/>
          <w:sz w:val="24"/>
          <w:highlight w:val="none"/>
          <w:u w:val="single"/>
        </w:rPr>
        <w:t xml:space="preserve"> 1.9.2 </w:t>
      </w:r>
      <w:r>
        <w:rPr>
          <w:rFonts w:hint="eastAsia" w:ascii="仿宋_GB2312" w:hAnsi="仿宋_GB2312" w:eastAsia="仿宋_GB2312" w:cs="仿宋_GB2312"/>
          <w:color w:val="auto"/>
          <w:sz w:val="24"/>
          <w:highlight w:val="none"/>
        </w:rPr>
        <w:t>条款规定的方式解决：</w:t>
      </w:r>
    </w:p>
    <w:p>
      <w:pPr>
        <w:spacing w:line="560" w:lineRule="exact"/>
        <w:ind w:left="-420" w:leftChars="-200" w:right="-420" w:rightChars="-200" w:firstLine="600" w:firstLineChars="2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 将争议提交</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1.9.2 向</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人民法院起诉。违约方需承担守约方因主张权利而产生的律师费、诉讼费、保全费等全部费用。</w:t>
      </w:r>
    </w:p>
    <w:p>
      <w:pPr>
        <w:spacing w:line="560" w:lineRule="exact"/>
        <w:ind w:firstLine="482" w:firstLineChars="200"/>
        <w:outlineLvl w:val="0"/>
        <w:rPr>
          <w:rFonts w:ascii="仿宋_GB2312" w:hAnsi="仿宋_GB2312" w:eastAsia="仿宋_GB2312" w:cs="仿宋_GB2312"/>
          <w:b/>
          <w:color w:val="auto"/>
          <w:sz w:val="24"/>
          <w:highlight w:val="none"/>
        </w:rPr>
      </w:pPr>
      <w:bookmarkStart w:id="94" w:name="_Toc11173"/>
      <w:bookmarkStart w:id="95" w:name="_Toc15322"/>
      <w:bookmarkStart w:id="96" w:name="_Toc7245"/>
      <w:r>
        <w:rPr>
          <w:rFonts w:hint="eastAsia" w:ascii="仿宋_GB2312" w:hAnsi="仿宋_GB2312" w:eastAsia="仿宋_GB2312" w:cs="仿宋_GB2312"/>
          <w:b/>
          <w:color w:val="auto"/>
          <w:sz w:val="24"/>
          <w:highlight w:val="none"/>
        </w:rPr>
        <w:t>1.10 合同生效</w:t>
      </w:r>
      <w:bookmarkEnd w:id="94"/>
      <w:bookmarkEnd w:id="95"/>
      <w:bookmarkEnd w:id="96"/>
    </w:p>
    <w:p>
      <w:pPr>
        <w:spacing w:line="560" w:lineRule="exact"/>
        <w:ind w:firstLine="480"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本合同自双方当事人盖章签字时生效。</w:t>
      </w:r>
    </w:p>
    <w:p>
      <w:pPr>
        <w:autoSpaceDE w:val="0"/>
        <w:autoSpaceDN w:val="0"/>
        <w:spacing w:line="560" w:lineRule="exact"/>
        <w:rPr>
          <w:rFonts w:ascii="仿宋_GB2312" w:hAnsi="仿宋_GB2312" w:eastAsia="仿宋_GB2312" w:cs="仿宋_GB2312"/>
          <w:color w:val="auto"/>
          <w:sz w:val="24"/>
          <w:highlight w:val="none"/>
          <w:lang w:val="zh-CN"/>
        </w:rPr>
      </w:pP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b/>
          <w:color w:val="auto"/>
          <w:sz w:val="24"/>
          <w:highlight w:val="none"/>
          <w:lang w:val="zh-CN"/>
        </w:rPr>
        <w:t>甲方</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b/>
          <w:color w:val="auto"/>
          <w:sz w:val="24"/>
          <w:highlight w:val="none"/>
          <w:lang w:val="zh-CN"/>
        </w:rPr>
        <w:t xml:space="preserve">      乙方</w:t>
      </w:r>
      <w:r>
        <w:rPr>
          <w:rFonts w:hint="eastAsia" w:ascii="仿宋_GB2312" w:hAnsi="仿宋_GB2312" w:eastAsia="仿宋_GB2312" w:cs="仿宋_GB2312"/>
          <w:color w:val="auto"/>
          <w:sz w:val="24"/>
          <w:highlight w:val="none"/>
          <w:lang w:val="zh-CN"/>
        </w:rPr>
        <w:t>：</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统一社会信用代码：                        统一社会信用代码或身份证号码：</w:t>
      </w:r>
    </w:p>
    <w:p>
      <w:pPr>
        <w:autoSpaceDE w:val="0"/>
        <w:autoSpaceDN w:val="0"/>
        <w:spacing w:line="560" w:lineRule="exact"/>
        <w:rPr>
          <w:rFonts w:ascii="仿宋_GB2312" w:hAnsi="仿宋_GB2312" w:eastAsia="仿宋_GB2312" w:cs="仿宋_GB2312"/>
          <w:color w:val="auto"/>
          <w:sz w:val="24"/>
          <w:highlight w:val="none"/>
          <w:lang w:val="zh-CN"/>
        </w:rPr>
      </w:pP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住所：                                   住所：</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法定代表人或                             法定代表人或</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授权代表（签字）：                       授权代表（签字）: </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联系人：                                 联系人：</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约定送达地址：                           约定送达地址：</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邮政编码：                               邮政编码：</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 xml:space="preserve">电话:                                    电话: </w:t>
      </w:r>
    </w:p>
    <w:p>
      <w:pPr>
        <w:autoSpaceDE w:val="0"/>
        <w:autoSpaceDN w:val="0"/>
        <w:spacing w:line="560" w:lineRule="exact"/>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lang w:val="zh-CN"/>
        </w:rPr>
        <w:t>传真:                                    传真:</w:t>
      </w:r>
    </w:p>
    <w:p>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zh-CN"/>
        </w:rPr>
        <w:t>电子邮箱：                               电子邮箱：</w:t>
      </w:r>
    </w:p>
    <w:p>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开户银行：                               开户银行： </w:t>
      </w:r>
    </w:p>
    <w:p>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开户名称：                               开户名称： </w:t>
      </w:r>
    </w:p>
    <w:p>
      <w:pPr>
        <w:autoSpaceDE w:val="0"/>
        <w:autoSpaceDN w:val="0"/>
        <w:spacing w:line="5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开户账号：</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rPr>
        <w:t>开户账号：</w:t>
      </w:r>
    </w:p>
    <w:p>
      <w:pPr>
        <w:widowControl/>
        <w:adjustRightInd/>
        <w:jc w:val="left"/>
        <w:rPr>
          <w:rFonts w:ascii="仿宋_GB2312" w:hAnsi="仿宋_GB2312" w:eastAsia="仿宋_GB2312" w:cs="仿宋_GB2312"/>
          <w:b/>
          <w:color w:val="auto"/>
          <w:sz w:val="24"/>
          <w:highlight w:val="none"/>
        </w:rPr>
      </w:pPr>
    </w:p>
    <w:p>
      <w:pPr>
        <w:pStyle w:val="86"/>
        <w:spacing w:line="560" w:lineRule="exact"/>
        <w:ind w:firstLine="482"/>
        <w:jc w:val="center"/>
        <w:rPr>
          <w:rFonts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第二部分 合同一般条款</w:t>
      </w:r>
    </w:p>
    <w:p>
      <w:pPr>
        <w:spacing w:line="560" w:lineRule="exact"/>
        <w:ind w:firstLine="482" w:firstLineChars="200"/>
        <w:outlineLvl w:val="0"/>
        <w:rPr>
          <w:rFonts w:ascii="仿宋_GB2312" w:hAnsi="仿宋_GB2312" w:eastAsia="仿宋_GB2312" w:cs="仿宋_GB2312"/>
          <w:b/>
          <w:color w:val="auto"/>
          <w:sz w:val="24"/>
          <w:highlight w:val="none"/>
        </w:rPr>
      </w:pPr>
      <w:bookmarkStart w:id="97" w:name="_Toc19680"/>
      <w:bookmarkStart w:id="98" w:name="_Toc31297"/>
      <w:bookmarkStart w:id="99" w:name="_Toc25079"/>
      <w:bookmarkStart w:id="100" w:name="_Toc14021"/>
      <w:bookmarkStart w:id="101" w:name="_Toc5228"/>
      <w:r>
        <w:rPr>
          <w:rFonts w:hint="eastAsia" w:ascii="仿宋_GB2312" w:hAnsi="仿宋_GB2312" w:eastAsia="仿宋_GB2312" w:cs="仿宋_GB2312"/>
          <w:b/>
          <w:color w:val="auto"/>
          <w:sz w:val="24"/>
          <w:highlight w:val="none"/>
        </w:rPr>
        <w:t>2.1 定义</w:t>
      </w:r>
      <w:bookmarkEnd w:id="97"/>
      <w:bookmarkEnd w:id="98"/>
      <w:bookmarkEnd w:id="99"/>
      <w:bookmarkEnd w:id="100"/>
      <w:bookmarkEnd w:id="101"/>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本合同中的下列词语应按以下内容进行解释：</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2.1.6 “现场”系指合同约定提供服务的地点。</w:t>
      </w:r>
    </w:p>
    <w:p>
      <w:pPr>
        <w:spacing w:line="560" w:lineRule="exact"/>
        <w:ind w:firstLine="482" w:firstLineChars="200"/>
        <w:outlineLvl w:val="0"/>
        <w:rPr>
          <w:rFonts w:ascii="仿宋_GB2312" w:hAnsi="仿宋_GB2312" w:eastAsia="仿宋_GB2312" w:cs="仿宋_GB2312"/>
          <w:b/>
          <w:color w:val="auto"/>
          <w:sz w:val="24"/>
          <w:highlight w:val="none"/>
        </w:rPr>
      </w:pPr>
      <w:bookmarkStart w:id="102" w:name="_Toc23289"/>
      <w:bookmarkStart w:id="103" w:name="_Toc3769"/>
      <w:bookmarkStart w:id="104" w:name="_Toc31402"/>
      <w:bookmarkStart w:id="105" w:name="_Toc16752"/>
      <w:bookmarkStart w:id="106" w:name="_Toc19539"/>
      <w:r>
        <w:rPr>
          <w:rFonts w:hint="eastAsia" w:ascii="仿宋_GB2312" w:hAnsi="仿宋_GB2312" w:eastAsia="仿宋_GB2312" w:cs="仿宋_GB2312"/>
          <w:b/>
          <w:color w:val="auto"/>
          <w:sz w:val="24"/>
          <w:highlight w:val="none"/>
        </w:rPr>
        <w:t>2.2 技术规范</w:t>
      </w:r>
      <w:bookmarkEnd w:id="102"/>
      <w:bookmarkEnd w:id="103"/>
      <w:bookmarkEnd w:id="104"/>
      <w:bookmarkEnd w:id="105"/>
      <w:bookmarkEnd w:id="106"/>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_GB2312" w:hAnsi="仿宋_GB2312" w:eastAsia="仿宋_GB2312" w:cs="仿宋_GB2312"/>
          <w:b/>
          <w:color w:val="auto"/>
          <w:sz w:val="24"/>
          <w:highlight w:val="none"/>
        </w:rPr>
      </w:pPr>
      <w:bookmarkStart w:id="107" w:name="_Toc4133"/>
      <w:bookmarkStart w:id="108" w:name="_Toc12412"/>
      <w:bookmarkStart w:id="109" w:name="_Toc13673"/>
      <w:bookmarkStart w:id="110" w:name="_Toc27945"/>
      <w:bookmarkStart w:id="111" w:name="_Toc9161"/>
      <w:r>
        <w:rPr>
          <w:rFonts w:hint="eastAsia" w:ascii="仿宋_GB2312" w:hAnsi="仿宋_GB2312" w:eastAsia="仿宋_GB2312" w:cs="仿宋_GB2312"/>
          <w:b/>
          <w:color w:val="auto"/>
          <w:sz w:val="24"/>
          <w:highlight w:val="none"/>
        </w:rPr>
        <w:t>2.3 知识产权</w:t>
      </w:r>
      <w:bookmarkEnd w:id="107"/>
      <w:bookmarkEnd w:id="108"/>
      <w:bookmarkEnd w:id="109"/>
      <w:bookmarkEnd w:id="110"/>
      <w:bookmarkEnd w:id="111"/>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 合同涉及技术成果的归属和收益的分成办法的，详见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2.4 履约检查和问题反馈</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_GB2312" w:hAnsi="仿宋_GB2312" w:eastAsia="仿宋_GB2312" w:cs="仿宋_GB2312"/>
          <w:b/>
          <w:color w:val="auto"/>
          <w:sz w:val="24"/>
          <w:highlight w:val="none"/>
        </w:rPr>
      </w:pPr>
      <w:bookmarkStart w:id="112" w:name="_Toc31233"/>
      <w:bookmarkStart w:id="113" w:name="_Toc32670"/>
      <w:bookmarkStart w:id="114" w:name="_Toc22011"/>
      <w:bookmarkStart w:id="115" w:name="_Toc15447"/>
      <w:bookmarkStart w:id="116" w:name="_Toc26555"/>
      <w:r>
        <w:rPr>
          <w:rFonts w:hint="eastAsia" w:ascii="仿宋_GB2312" w:hAnsi="仿宋_GB2312" w:eastAsia="仿宋_GB2312" w:cs="仿宋_GB2312"/>
          <w:b/>
          <w:color w:val="auto"/>
          <w:sz w:val="24"/>
          <w:highlight w:val="none"/>
        </w:rPr>
        <w:t>2.5 结算方式和付款条件</w:t>
      </w:r>
      <w:bookmarkEnd w:id="112"/>
      <w:bookmarkEnd w:id="113"/>
      <w:bookmarkEnd w:id="114"/>
      <w:bookmarkEnd w:id="115"/>
      <w:bookmarkEnd w:id="116"/>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w:t>
      </w:r>
    </w:p>
    <w:p>
      <w:pPr>
        <w:spacing w:line="560" w:lineRule="exact"/>
        <w:ind w:firstLine="482" w:firstLineChars="200"/>
        <w:outlineLvl w:val="0"/>
        <w:rPr>
          <w:rFonts w:ascii="仿宋_GB2312" w:hAnsi="仿宋_GB2312" w:eastAsia="仿宋_GB2312" w:cs="仿宋_GB2312"/>
          <w:b/>
          <w:color w:val="auto"/>
          <w:sz w:val="24"/>
          <w:highlight w:val="none"/>
        </w:rPr>
      </w:pPr>
      <w:bookmarkStart w:id="117" w:name="_Toc13467"/>
      <w:bookmarkStart w:id="118" w:name="_Toc13154"/>
      <w:bookmarkStart w:id="119" w:name="_Toc30507"/>
      <w:bookmarkStart w:id="120" w:name="_Toc16163"/>
      <w:bookmarkStart w:id="121" w:name="_Toc18990"/>
      <w:r>
        <w:rPr>
          <w:rFonts w:hint="eastAsia" w:ascii="仿宋_GB2312" w:hAnsi="仿宋_GB2312" w:eastAsia="仿宋_GB2312" w:cs="仿宋_GB2312"/>
          <w:b/>
          <w:color w:val="auto"/>
          <w:sz w:val="24"/>
          <w:highlight w:val="none"/>
        </w:rPr>
        <w:t>2.6 技术资料和保密义务</w:t>
      </w:r>
      <w:bookmarkEnd w:id="117"/>
      <w:bookmarkEnd w:id="118"/>
      <w:bookmarkEnd w:id="119"/>
      <w:bookmarkEnd w:id="120"/>
      <w:bookmarkEnd w:id="121"/>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2.6.2 乙方有义务妥善保管和保护由甲方提供的前款信息和资料等；</w:t>
      </w:r>
    </w:p>
    <w:p>
      <w:pPr>
        <w:spacing w:line="560" w:lineRule="exact"/>
        <w:ind w:firstLine="480" w:firstLineChars="200"/>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不论本合同是否变更、解除、终止，本条款均有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保密义务长期有效，不因本合同的终止而终止。</w:t>
      </w:r>
    </w:p>
    <w:p>
      <w:pPr>
        <w:spacing w:line="560" w:lineRule="exact"/>
        <w:ind w:firstLine="482" w:firstLineChars="200"/>
        <w:outlineLvl w:val="0"/>
        <w:rPr>
          <w:rFonts w:ascii="仿宋_GB2312" w:hAnsi="仿宋_GB2312" w:eastAsia="仿宋_GB2312" w:cs="仿宋_GB2312"/>
          <w:b/>
          <w:color w:val="auto"/>
          <w:sz w:val="24"/>
          <w:highlight w:val="none"/>
        </w:rPr>
      </w:pPr>
      <w:bookmarkStart w:id="122" w:name="_Toc19069"/>
      <w:r>
        <w:rPr>
          <w:rFonts w:hint="eastAsia" w:ascii="仿宋_GB2312" w:hAnsi="仿宋_GB2312" w:eastAsia="仿宋_GB2312" w:cs="仿宋_GB2312"/>
          <w:b/>
          <w:color w:val="auto"/>
          <w:sz w:val="24"/>
          <w:highlight w:val="none"/>
        </w:rPr>
        <w:t>2.7 质量保证</w:t>
      </w:r>
      <w:bookmarkEnd w:id="122"/>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_GB2312" w:hAnsi="仿宋_GB2312" w:eastAsia="仿宋_GB2312" w:cs="仿宋_GB2312"/>
          <w:b/>
          <w:color w:val="auto"/>
          <w:sz w:val="24"/>
          <w:highlight w:val="none"/>
        </w:rPr>
      </w:pPr>
      <w:bookmarkStart w:id="123" w:name="_Toc22267"/>
      <w:r>
        <w:rPr>
          <w:rFonts w:hint="eastAsia" w:ascii="仿宋_GB2312" w:hAnsi="仿宋_GB2312" w:eastAsia="仿宋_GB2312" w:cs="仿宋_GB2312"/>
          <w:b/>
          <w:color w:val="auto"/>
          <w:sz w:val="24"/>
          <w:highlight w:val="none"/>
        </w:rPr>
        <w:t>2.8 延迟履行</w:t>
      </w:r>
      <w:bookmarkEnd w:id="123"/>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书面</w:t>
      </w:r>
      <w:r>
        <w:rPr>
          <w:rFonts w:hint="eastAsia" w:ascii="仿宋_GB2312" w:hAnsi="仿宋_GB2312" w:eastAsia="仿宋_GB2312" w:cs="仿宋_GB2312"/>
          <w:color w:val="auto"/>
          <w:sz w:val="24"/>
          <w:highlight w:val="none"/>
        </w:rPr>
        <w:t>通知甲方；甲方收到乙方通知后，认为其理由正当的，可以书面形式酌情同意乙方可以延长履行的具体时间。</w:t>
      </w:r>
    </w:p>
    <w:p>
      <w:pPr>
        <w:spacing w:line="560" w:lineRule="exact"/>
        <w:ind w:firstLine="482" w:firstLineChars="200"/>
        <w:outlineLvl w:val="0"/>
        <w:rPr>
          <w:rFonts w:ascii="仿宋_GB2312" w:hAnsi="仿宋_GB2312" w:eastAsia="仿宋_GB2312" w:cs="仿宋_GB2312"/>
          <w:b/>
          <w:color w:val="auto"/>
          <w:sz w:val="24"/>
          <w:highlight w:val="none"/>
        </w:rPr>
      </w:pPr>
      <w:bookmarkStart w:id="124" w:name="_Toc10611"/>
      <w:r>
        <w:rPr>
          <w:rFonts w:hint="eastAsia" w:ascii="仿宋_GB2312" w:hAnsi="仿宋_GB2312" w:eastAsia="仿宋_GB2312" w:cs="仿宋_GB2312"/>
          <w:b/>
          <w:color w:val="auto"/>
          <w:sz w:val="24"/>
          <w:highlight w:val="none"/>
        </w:rPr>
        <w:t>2.9 合同变更</w:t>
      </w:r>
      <w:bookmarkEnd w:id="124"/>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_GB2312" w:hAnsi="仿宋_GB2312" w:eastAsia="仿宋_GB2312" w:cs="仿宋_GB2312"/>
          <w:b/>
          <w:color w:val="auto"/>
          <w:sz w:val="24"/>
          <w:highlight w:val="none"/>
        </w:rPr>
      </w:pPr>
      <w:bookmarkStart w:id="125" w:name="_Toc10663"/>
      <w:bookmarkStart w:id="126" w:name="_Toc21830"/>
      <w:bookmarkStart w:id="127" w:name="_Toc23368"/>
      <w:bookmarkStart w:id="128" w:name="_Toc26689"/>
      <w:bookmarkStart w:id="129" w:name="_Toc42"/>
      <w:r>
        <w:rPr>
          <w:rFonts w:hint="eastAsia" w:ascii="仿宋_GB2312" w:hAnsi="仿宋_GB2312" w:eastAsia="仿宋_GB2312" w:cs="仿宋_GB2312"/>
          <w:b/>
          <w:color w:val="auto"/>
          <w:sz w:val="24"/>
          <w:highlight w:val="none"/>
        </w:rPr>
        <w:t>2.10 合同转让和分包</w:t>
      </w:r>
      <w:bookmarkEnd w:id="125"/>
      <w:bookmarkEnd w:id="126"/>
      <w:bookmarkEnd w:id="127"/>
      <w:bookmarkEnd w:id="128"/>
      <w:bookmarkEnd w:id="129"/>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_GB2312" w:hAnsi="仿宋_GB2312" w:eastAsia="仿宋_GB2312" w:cs="仿宋_GB2312"/>
          <w:b/>
          <w:color w:val="auto"/>
          <w:sz w:val="24"/>
          <w:highlight w:val="none"/>
        </w:rPr>
      </w:pPr>
      <w:bookmarkStart w:id="130" w:name="_Toc26633"/>
      <w:bookmarkStart w:id="131" w:name="_Toc25571"/>
      <w:bookmarkStart w:id="132" w:name="_Toc14371"/>
      <w:bookmarkStart w:id="133" w:name="_Toc32494"/>
      <w:bookmarkStart w:id="134" w:name="_Toc4720"/>
      <w:r>
        <w:rPr>
          <w:rFonts w:hint="eastAsia" w:ascii="仿宋_GB2312" w:hAnsi="仿宋_GB2312" w:eastAsia="仿宋_GB2312" w:cs="仿宋_GB2312"/>
          <w:b/>
          <w:color w:val="auto"/>
          <w:sz w:val="24"/>
          <w:highlight w:val="none"/>
        </w:rPr>
        <w:t>2.11 不可抗力</w:t>
      </w:r>
      <w:bookmarkEnd w:id="130"/>
      <w:bookmarkEnd w:id="131"/>
      <w:bookmarkEnd w:id="132"/>
      <w:bookmarkEnd w:id="133"/>
      <w:bookmarkEnd w:id="134"/>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2.11.2 因不可抗力致使不能实现合同目的的，当事人可以解除合同；</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2.11.3 因不可抗力致使合同有变更必要的，双方当事人应在</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约定时间内以书面形式变更合同；</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2.11.4受不可抗力影响的一方在不可抗力发生后，应在</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约定时间内以书面形式通知对方当事人，并在</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约定时间内，将有关部门出具的证明文件送达对方当事人。</w:t>
      </w:r>
    </w:p>
    <w:p>
      <w:pPr>
        <w:spacing w:line="560" w:lineRule="exact"/>
        <w:ind w:firstLine="482" w:firstLineChars="200"/>
        <w:outlineLvl w:val="0"/>
        <w:rPr>
          <w:rFonts w:ascii="仿宋_GB2312" w:hAnsi="仿宋_GB2312" w:eastAsia="仿宋_GB2312" w:cs="仿宋_GB2312"/>
          <w:b/>
          <w:color w:val="auto"/>
          <w:sz w:val="24"/>
          <w:highlight w:val="none"/>
        </w:rPr>
      </w:pPr>
      <w:bookmarkStart w:id="135" w:name="_Toc14115"/>
      <w:bookmarkStart w:id="136" w:name="_Toc24465"/>
      <w:bookmarkStart w:id="137" w:name="_Toc25783"/>
      <w:bookmarkStart w:id="138" w:name="_Toc3638"/>
      <w:bookmarkStart w:id="139" w:name="_Toc23854"/>
      <w:r>
        <w:rPr>
          <w:rFonts w:hint="eastAsia" w:ascii="仿宋_GB2312" w:hAnsi="仿宋_GB2312" w:eastAsia="仿宋_GB2312" w:cs="仿宋_GB2312"/>
          <w:b/>
          <w:color w:val="auto"/>
          <w:sz w:val="24"/>
          <w:highlight w:val="none"/>
        </w:rPr>
        <w:t>2.12 税费</w:t>
      </w:r>
      <w:bookmarkEnd w:id="135"/>
      <w:bookmarkEnd w:id="136"/>
      <w:bookmarkEnd w:id="137"/>
      <w:bookmarkEnd w:id="138"/>
      <w:bookmarkEnd w:id="139"/>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与合同有关的一切税费，均按照中华人民共和国法律的相关规定缴纳。</w:t>
      </w:r>
    </w:p>
    <w:p>
      <w:pPr>
        <w:spacing w:line="560" w:lineRule="exact"/>
        <w:ind w:firstLine="482" w:firstLineChars="200"/>
        <w:outlineLvl w:val="0"/>
        <w:rPr>
          <w:rFonts w:ascii="仿宋_GB2312" w:hAnsi="仿宋_GB2312" w:eastAsia="仿宋_GB2312" w:cs="仿宋_GB2312"/>
          <w:b/>
          <w:color w:val="auto"/>
          <w:sz w:val="24"/>
          <w:highlight w:val="none"/>
        </w:rPr>
      </w:pPr>
      <w:bookmarkStart w:id="140" w:name="_Toc14814"/>
      <w:bookmarkStart w:id="141" w:name="_Toc25525"/>
      <w:bookmarkStart w:id="142" w:name="_Toc26883"/>
      <w:bookmarkStart w:id="143" w:name="_Toc30105"/>
      <w:bookmarkStart w:id="144" w:name="_Toc7315"/>
      <w:r>
        <w:rPr>
          <w:rFonts w:hint="eastAsia" w:ascii="仿宋_GB2312" w:hAnsi="仿宋_GB2312" w:eastAsia="仿宋_GB2312" w:cs="仿宋_GB2312"/>
          <w:b/>
          <w:color w:val="auto"/>
          <w:sz w:val="24"/>
          <w:highlight w:val="none"/>
        </w:rPr>
        <w:t>2.13 乙方破产</w:t>
      </w:r>
      <w:bookmarkEnd w:id="140"/>
      <w:bookmarkEnd w:id="141"/>
      <w:bookmarkEnd w:id="142"/>
      <w:bookmarkEnd w:id="143"/>
      <w:bookmarkEnd w:id="144"/>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_GB2312" w:hAnsi="仿宋_GB2312" w:eastAsia="仿宋_GB2312" w:cs="仿宋_GB2312"/>
          <w:b/>
          <w:color w:val="auto"/>
          <w:sz w:val="24"/>
          <w:highlight w:val="none"/>
        </w:rPr>
      </w:pPr>
      <w:bookmarkStart w:id="145" w:name="_Toc1123"/>
      <w:bookmarkStart w:id="146" w:name="_Toc23323"/>
      <w:bookmarkStart w:id="147" w:name="_Toc2016"/>
      <w:r>
        <w:rPr>
          <w:rFonts w:hint="eastAsia" w:ascii="仿宋_GB2312" w:hAnsi="仿宋_GB2312" w:eastAsia="仿宋_GB2312" w:cs="仿宋_GB2312"/>
          <w:b/>
          <w:color w:val="auto"/>
          <w:sz w:val="24"/>
          <w:highlight w:val="none"/>
        </w:rPr>
        <w:t>2.14 合同中止、解除或终止</w:t>
      </w:r>
      <w:bookmarkEnd w:id="145"/>
      <w:bookmarkEnd w:id="146"/>
      <w:bookmarkEnd w:id="147"/>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2.14.1 双方当事人不得擅自中止、解除或者终止合同；</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2.14.2合同继续履行将损害国家利益和社会公共利益的，双方当事人应当中止、解除或者终止合同。有过错的一方应当承担赔偿责任，双方当事人都有过错的，各自承担相应的责任。</w:t>
      </w:r>
    </w:p>
    <w:p>
      <w:pPr>
        <w:spacing w:line="560" w:lineRule="exact"/>
        <w:ind w:firstLine="482" w:firstLineChars="200"/>
        <w:outlineLvl w:val="0"/>
        <w:rPr>
          <w:rFonts w:ascii="仿宋_GB2312" w:hAnsi="仿宋_GB2312" w:eastAsia="仿宋_GB2312" w:cs="仿宋_GB2312"/>
          <w:b/>
          <w:color w:val="auto"/>
          <w:sz w:val="24"/>
          <w:highlight w:val="none"/>
        </w:rPr>
      </w:pPr>
      <w:bookmarkStart w:id="148" w:name="_Toc17363"/>
      <w:bookmarkStart w:id="149" w:name="_Toc1969"/>
      <w:bookmarkStart w:id="150" w:name="_Toc14525"/>
      <w:r>
        <w:rPr>
          <w:rFonts w:hint="eastAsia" w:ascii="仿宋_GB2312" w:hAnsi="仿宋_GB2312" w:eastAsia="仿宋_GB2312" w:cs="仿宋_GB2312"/>
          <w:b/>
          <w:color w:val="auto"/>
          <w:sz w:val="24"/>
          <w:highlight w:val="none"/>
        </w:rPr>
        <w:t>2.15 检验和验收</w:t>
      </w:r>
      <w:bookmarkEnd w:id="148"/>
      <w:bookmarkEnd w:id="149"/>
      <w:bookmarkEnd w:id="150"/>
    </w:p>
    <w:p>
      <w:pPr>
        <w:tabs>
          <w:tab w:val="left" w:pos="360"/>
          <w:tab w:val="left" w:pos="540"/>
          <w:tab w:val="left" w:pos="1080"/>
        </w:tabs>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2.15.1 乙方按照</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的约定，定期提交服务报告，甲方按照</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的约定进行定期验收；</w:t>
      </w:r>
    </w:p>
    <w:p>
      <w:pPr>
        <w:tabs>
          <w:tab w:val="left" w:pos="360"/>
          <w:tab w:val="left" w:pos="540"/>
          <w:tab w:val="left" w:pos="1080"/>
        </w:tabs>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2.15.3 检验和验收标准、程序等具体内容以及前述验收书的效力详见</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i/>
          <w:color w:val="auto"/>
          <w:sz w:val="24"/>
          <w:highlight w:val="none"/>
        </w:rPr>
        <w:t>。</w:t>
      </w:r>
    </w:p>
    <w:p>
      <w:pPr>
        <w:spacing w:line="560" w:lineRule="exact"/>
        <w:ind w:firstLine="482" w:firstLineChars="200"/>
        <w:outlineLvl w:val="0"/>
        <w:rPr>
          <w:rFonts w:ascii="仿宋_GB2312" w:hAnsi="仿宋_GB2312" w:eastAsia="仿宋_GB2312" w:cs="仿宋_GB2312"/>
          <w:b/>
          <w:color w:val="auto"/>
          <w:sz w:val="24"/>
          <w:highlight w:val="none"/>
        </w:rPr>
      </w:pPr>
      <w:bookmarkStart w:id="151" w:name="_Toc9808"/>
      <w:bookmarkStart w:id="152" w:name="_Toc31892"/>
      <w:bookmarkStart w:id="153" w:name="_Toc25198"/>
      <w:bookmarkStart w:id="154" w:name="_Toc12666"/>
      <w:bookmarkStart w:id="155" w:name="_Toc2308"/>
      <w:r>
        <w:rPr>
          <w:rFonts w:hint="eastAsia" w:ascii="仿宋_GB2312" w:hAnsi="仿宋_GB2312" w:eastAsia="仿宋_GB2312" w:cs="仿宋_GB2312"/>
          <w:b/>
          <w:color w:val="auto"/>
          <w:sz w:val="24"/>
          <w:highlight w:val="none"/>
        </w:rPr>
        <w:t>2.16 通知和送达</w:t>
      </w:r>
      <w:bookmarkEnd w:id="151"/>
      <w:bookmarkEnd w:id="152"/>
      <w:bookmarkEnd w:id="153"/>
      <w:bookmarkEnd w:id="154"/>
      <w:bookmarkEnd w:id="155"/>
    </w:p>
    <w:p>
      <w:pPr>
        <w:spacing w:line="560" w:lineRule="exact"/>
        <w:ind w:firstLine="480" w:firstLineChars="200"/>
        <w:rPr>
          <w:rFonts w:ascii="仿宋_GB2312" w:hAnsi="仿宋_GB2312" w:eastAsia="仿宋_GB2312" w:cs="仿宋_GB2312"/>
          <w:color w:val="auto"/>
          <w:sz w:val="24"/>
          <w:highlight w:val="none"/>
        </w:rPr>
      </w:pPr>
      <w:bookmarkStart w:id="156" w:name="_Toc27674"/>
      <w:bookmarkStart w:id="157" w:name="_Toc18401"/>
      <w:r>
        <w:rPr>
          <w:rFonts w:hint="eastAsia" w:ascii="仿宋_GB2312" w:hAnsi="仿宋_GB2312" w:eastAsia="仿宋_GB2312" w:cs="仿宋_GB2312"/>
          <w:color w:val="auto"/>
          <w:sz w:val="24"/>
          <w:highlight w:val="none"/>
        </w:rPr>
        <w:t>2.17.1任何一方因履行合同而以合同第一部分尾部所列明的</w:t>
      </w:r>
      <w:r>
        <w:rPr>
          <w:rFonts w:hint="eastAsia" w:ascii="仿宋_GB2312" w:hAnsi="仿宋_GB2312" w:eastAsia="仿宋_GB2312" w:cs="仿宋_GB2312"/>
          <w:color w:val="auto"/>
          <w:sz w:val="24"/>
          <w:highlight w:val="none"/>
          <w:lang w:val="en-US" w:eastAsia="zh-CN"/>
        </w:rPr>
        <w:t>地址</w:t>
      </w:r>
      <w:r>
        <w:rPr>
          <w:rFonts w:hint="eastAsia" w:ascii="仿宋_GB2312" w:hAnsi="仿宋_GB2312" w:eastAsia="仿宋_GB2312" w:cs="仿宋_GB2312"/>
          <w:color w:val="auto"/>
          <w:sz w:val="24"/>
          <w:highlight w:val="none"/>
        </w:rPr>
        <w:t xml:space="preserve">或电子邮件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000000" w:themeColor="text1"/>
          <w:sz w:val="24"/>
          <w:highlight w:val="none"/>
          <w:u w:val="single" w:color="FFFFFF" w:themeColor="background1"/>
          <w:lang w:val="en-US" w:eastAsia="zh-CN"/>
          <w14:textFill>
            <w14:solidFill>
              <w14:schemeClr w14:val="tx1"/>
            </w14:solidFill>
          </w14:textFill>
        </w:rPr>
        <w:t>等信息</w:t>
      </w:r>
      <w:r>
        <w:rPr>
          <w:rFonts w:hint="eastAsia" w:ascii="仿宋_GB2312" w:hAnsi="仿宋_GB2312" w:eastAsia="仿宋_GB2312" w:cs="仿宋_GB2312"/>
          <w:color w:val="auto"/>
          <w:sz w:val="24"/>
          <w:highlight w:val="none"/>
        </w:rPr>
        <w:t>发出的所有通知、文件、材料，均视为已向对方当事人送达；任何一方变更上述送达方式或者地址的，应于</w:t>
      </w:r>
      <w:r>
        <w:rPr>
          <w:rFonts w:hint="eastAsia" w:ascii="仿宋_GB2312" w:hAnsi="仿宋_GB2312" w:eastAsia="仿宋_GB2312" w:cs="仿宋_GB2312"/>
          <w:color w:val="auto"/>
          <w:sz w:val="24"/>
          <w:highlight w:val="none"/>
          <w:u w:val="single"/>
        </w:rPr>
        <w:t>3</w:t>
      </w:r>
      <w:r>
        <w:rPr>
          <w:rFonts w:hint="eastAsia" w:ascii="仿宋_GB2312" w:hAnsi="仿宋_GB2312" w:eastAsia="仿宋_GB2312" w:cs="仿宋_GB2312"/>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2.17.2以当面交付方式送达的，交付之时视为送达；以电子邮件方式送达的，发出电子邮件之时视为送达；以邮寄方式送达的，邮件挂号寄出或者交邮之日之次日视为送达。</w:t>
      </w:r>
      <w:bookmarkEnd w:id="156"/>
      <w:bookmarkEnd w:id="157"/>
    </w:p>
    <w:p>
      <w:pPr>
        <w:spacing w:line="560" w:lineRule="exact"/>
        <w:ind w:firstLine="482" w:firstLineChars="200"/>
        <w:outlineLvl w:val="0"/>
        <w:rPr>
          <w:rFonts w:ascii="仿宋_GB2312" w:hAnsi="仿宋_GB2312" w:eastAsia="仿宋_GB2312" w:cs="仿宋_GB2312"/>
          <w:b/>
          <w:color w:val="auto"/>
          <w:sz w:val="24"/>
          <w:highlight w:val="none"/>
        </w:rPr>
      </w:pPr>
      <w:bookmarkStart w:id="158" w:name="_Toc20808"/>
      <w:bookmarkStart w:id="159" w:name="_Toc12254"/>
      <w:bookmarkStart w:id="160" w:name="_Toc28906"/>
      <w:bookmarkStart w:id="161" w:name="_Toc27644"/>
      <w:bookmarkStart w:id="162" w:name="_Toc5063"/>
      <w:r>
        <w:rPr>
          <w:rFonts w:hint="eastAsia" w:ascii="仿宋_GB2312" w:hAnsi="仿宋_GB2312" w:eastAsia="仿宋_GB2312" w:cs="仿宋_GB2312"/>
          <w:b/>
          <w:color w:val="auto"/>
          <w:sz w:val="24"/>
          <w:highlight w:val="none"/>
        </w:rPr>
        <w:t>2.17 合同使用的文字和适用的法律</w:t>
      </w:r>
      <w:bookmarkEnd w:id="158"/>
      <w:bookmarkEnd w:id="159"/>
      <w:bookmarkEnd w:id="160"/>
      <w:bookmarkEnd w:id="161"/>
      <w:bookmarkEnd w:id="162"/>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2.17.1 合同使用汉语书就、变更和解释；</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2.17.2 合同适用中华人民共和国法律。</w:t>
      </w:r>
    </w:p>
    <w:p>
      <w:pPr>
        <w:spacing w:line="560" w:lineRule="exact"/>
        <w:ind w:firstLine="482" w:firstLineChars="200"/>
        <w:outlineLvl w:val="0"/>
        <w:rPr>
          <w:rFonts w:ascii="仿宋_GB2312" w:hAnsi="仿宋_GB2312" w:eastAsia="仿宋_GB2312" w:cs="仿宋_GB2312"/>
          <w:b/>
          <w:color w:val="auto"/>
          <w:sz w:val="24"/>
          <w:highlight w:val="none"/>
        </w:rPr>
      </w:pPr>
      <w:bookmarkStart w:id="163" w:name="_Toc18540"/>
      <w:bookmarkStart w:id="164" w:name="_Toc4355"/>
      <w:bookmarkStart w:id="165" w:name="_Toc30599"/>
      <w:r>
        <w:rPr>
          <w:rFonts w:hint="eastAsia" w:ascii="仿宋_GB2312" w:hAnsi="仿宋_GB2312" w:eastAsia="仿宋_GB2312" w:cs="仿宋_GB2312"/>
          <w:b/>
          <w:color w:val="auto"/>
          <w:sz w:val="24"/>
          <w:highlight w:val="none"/>
        </w:rPr>
        <w:t>2.18 计量单位</w:t>
      </w:r>
      <w:bookmarkEnd w:id="163"/>
      <w:bookmarkEnd w:id="164"/>
      <w:bookmarkEnd w:id="165"/>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除技术规范中另有规定外,合同的计量单位均使用国家法定计量单位。</w:t>
      </w:r>
    </w:p>
    <w:p>
      <w:pPr>
        <w:spacing w:line="56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2.19合同份数</w:t>
      </w:r>
    </w:p>
    <w:p>
      <w:pPr>
        <w:spacing w:line="56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合同份数按</w:t>
      </w:r>
      <w:r>
        <w:rPr>
          <w:rFonts w:hint="eastAsia" w:ascii="仿宋_GB2312" w:hAnsi="仿宋_GB2312" w:eastAsia="仿宋_GB2312" w:cs="仿宋_GB2312"/>
          <w:b/>
          <w:i/>
          <w:color w:val="auto"/>
          <w:sz w:val="24"/>
          <w:highlight w:val="none"/>
          <w:u w:val="single"/>
        </w:rPr>
        <w:t>合同专用条款</w:t>
      </w:r>
      <w:r>
        <w:rPr>
          <w:rFonts w:hint="eastAsia" w:ascii="仿宋_GB2312" w:hAnsi="仿宋_GB2312" w:eastAsia="仿宋_GB2312" w:cs="仿宋_GB2312"/>
          <w:color w:val="auto"/>
          <w:sz w:val="24"/>
          <w:highlight w:val="none"/>
        </w:rPr>
        <w:t>规定，每份均具有同等法律效力。</w:t>
      </w:r>
    </w:p>
    <w:p>
      <w:pPr>
        <w:spacing w:line="360" w:lineRule="auto"/>
        <w:jc w:val="center"/>
        <w:outlineLvl w:val="0"/>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kern w:val="0"/>
          <w:highlight w:val="none"/>
        </w:rPr>
        <w:br w:type="page"/>
      </w:r>
      <w:bookmarkStart w:id="166" w:name="_Toc331685784"/>
      <w:r>
        <w:rPr>
          <w:rFonts w:hint="eastAsia" w:ascii="仿宋_GB2312" w:hAnsi="仿宋_GB2312" w:eastAsia="仿宋_GB2312" w:cs="仿宋_GB2312"/>
          <w:b/>
          <w:color w:val="auto"/>
          <w:sz w:val="24"/>
          <w:highlight w:val="none"/>
        </w:rPr>
        <w:t xml:space="preserve"> </w:t>
      </w:r>
      <w:bookmarkEnd w:id="166"/>
      <w:r>
        <w:rPr>
          <w:rFonts w:hint="eastAsia" w:ascii="仿宋_GB2312" w:hAnsi="仿宋_GB2312" w:eastAsia="仿宋_GB2312" w:cs="仿宋_GB2312"/>
          <w:b/>
          <w:color w:val="auto"/>
          <w:sz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keepNext/>
        <w:keepLines/>
        <w:numPr>
          <w:ilvl w:val="2"/>
          <w:numId w:val="0"/>
        </w:numPr>
        <w:tabs>
          <w:tab w:val="left" w:pos="420"/>
        </w:tabs>
        <w:outlineLvl w:val="2"/>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一、约定内容</w:t>
      </w:r>
    </w:p>
    <w:tbl>
      <w:tblPr>
        <w:tblStyle w:val="64"/>
        <w:tblW w:w="877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1668"/>
        <w:gridCol w:w="61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pPr>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条款号</w:t>
            </w:r>
          </w:p>
        </w:tc>
        <w:tc>
          <w:tcPr>
            <w:tcW w:w="7801" w:type="dxa"/>
            <w:gridSpan w:val="2"/>
            <w:vAlign w:val="center"/>
          </w:tcPr>
          <w:p>
            <w:pPr>
              <w:spacing w:line="360" w:lineRule="auto"/>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1.3.2</w:t>
            </w:r>
          </w:p>
        </w:tc>
        <w:tc>
          <w:tcPr>
            <w:tcW w:w="7801" w:type="dxa"/>
            <w:gridSpan w:val="2"/>
            <w:vAlign w:val="center"/>
          </w:tcPr>
          <w:p>
            <w:pPr>
              <w:spacing w:line="360" w:lineRule="auto"/>
              <w:ind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1.4.2</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接受投标人以支票、汇票、本票、保函等非现金形式缴纳或提交履约保证金。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1.5.1 </w:t>
            </w:r>
          </w:p>
        </w:tc>
        <w:tc>
          <w:tcPr>
            <w:tcW w:w="7801" w:type="dxa"/>
            <w:gridSpan w:val="2"/>
            <w:vAlign w:val="center"/>
          </w:tcPr>
          <w:p>
            <w:pPr>
              <w:spacing w:line="360" w:lineRule="auto"/>
              <w:rPr>
                <w:rFonts w:hint="default" w:ascii="仿宋_GB2312" w:hAnsi="仿宋_GB2312" w:eastAsia="宋体" w:cs="仿宋_GB2312"/>
                <w:kern w:val="2"/>
                <w:sz w:val="24"/>
                <w:szCs w:val="24"/>
                <w:lang w:val="en-US" w:eastAsia="zh-CN" w:bidi="ar-SA"/>
              </w:rPr>
            </w:pPr>
            <w:r>
              <w:rPr>
                <w:rFonts w:hint="eastAsia"/>
                <w:lang w:eastAsia="zh-CN"/>
              </w:rPr>
              <w:t>见</w:t>
            </w:r>
            <w:r>
              <w:rPr>
                <w:rFonts w:hint="eastAsia"/>
                <w:lang w:val="en-US" w:eastAsia="zh-CN"/>
              </w:rP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1.5.2</w:t>
            </w:r>
          </w:p>
        </w:tc>
        <w:tc>
          <w:tcPr>
            <w:tcW w:w="7801" w:type="dxa"/>
            <w:gridSpan w:val="2"/>
            <w:vAlign w:val="center"/>
          </w:tcPr>
          <w:p>
            <w:pPr>
              <w:spacing w:line="360" w:lineRule="auto"/>
              <w:ind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1.5.3 </w:t>
            </w:r>
          </w:p>
        </w:tc>
        <w:tc>
          <w:tcPr>
            <w:tcW w:w="7801" w:type="dxa"/>
            <w:gridSpan w:val="2"/>
            <w:vAlign w:val="center"/>
          </w:tcPr>
          <w:p>
            <w:pPr>
              <w:spacing w:line="360" w:lineRule="auto"/>
              <w:ind w:firstLine="240" w:firstLineChars="1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977" w:type="dxa"/>
            <w:vMerge w:val="restart"/>
            <w:tcBorders>
              <w:left w:val="single" w:color="auto" w:sz="4" w:space="0"/>
            </w:tcBorders>
            <w:vAlign w:val="center"/>
          </w:tcPr>
          <w:p>
            <w:pPr>
              <w:spacing w:line="360" w:lineRule="auto"/>
              <w:rPr>
                <w:rFonts w:hint="eastAsia" w:ascii="仿宋_GB2312" w:hAnsi="仿宋_GB2312" w:eastAsia="仿宋_GB2312" w:cs="仿宋_GB2312"/>
                <w:i w:val="0"/>
                <w:iCs w:val="0"/>
                <w:color w:val="auto"/>
                <w:sz w:val="24"/>
                <w:szCs w:val="24"/>
                <w:highlight w:val="none"/>
              </w:rPr>
            </w:pPr>
            <w:r>
              <w:rPr>
                <w:rFonts w:hint="eastAsia" w:ascii="仿宋_GB2312" w:hAnsi="仿宋_GB2312" w:eastAsia="仿宋_GB2312" w:cs="仿宋_GB2312"/>
                <w:i w:val="0"/>
                <w:iCs w:val="0"/>
                <w:color w:val="auto"/>
                <w:sz w:val="24"/>
                <w:szCs w:val="24"/>
                <w:highlight w:val="none"/>
              </w:rPr>
              <w:t>1.6.2</w:t>
            </w:r>
          </w:p>
        </w:tc>
        <w:tc>
          <w:tcPr>
            <w:tcW w:w="1668"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付款比例（%）</w:t>
            </w:r>
          </w:p>
        </w:tc>
        <w:tc>
          <w:tcPr>
            <w:tcW w:w="613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rPr>
              <w:t>付款方式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977" w:type="dxa"/>
            <w:vMerge w:val="continue"/>
            <w:tcBorders>
              <w:left w:val="single" w:color="auto" w:sz="4" w:space="0"/>
            </w:tcBorders>
            <w:vAlign w:val="center"/>
          </w:tcPr>
          <w:p>
            <w:pPr>
              <w:keepNext w:val="0"/>
              <w:keepLines w:val="0"/>
              <w:widowControl w:val="0"/>
              <w:suppressLineNumbers w:val="0"/>
              <w:adjustRightInd w:val="0"/>
              <w:spacing w:before="0" w:beforeAutospacing="0" w:after="0" w:afterAutospacing="0"/>
              <w:ind w:left="0" w:leftChars="0" w:right="0" w:rightChars="0"/>
              <w:jc w:val="both"/>
            </w:pPr>
          </w:p>
        </w:tc>
        <w:tc>
          <w:tcPr>
            <w:tcW w:w="1668" w:type="dxa"/>
            <w:vMerge w:val="restart"/>
            <w:vAlign w:val="center"/>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20</w:t>
            </w:r>
          </w:p>
          <w:p>
            <w:pPr>
              <w:keepNext w:val="0"/>
              <w:keepLines w:val="0"/>
              <w:widowControl w:val="0"/>
              <w:suppressLineNumbers w:val="0"/>
              <w:adjustRightInd w:val="0"/>
              <w:spacing w:before="0" w:beforeAutospacing="0" w:after="0" w:afterAutospacing="0"/>
              <w:ind w:left="0" w:leftChars="0" w:right="0" w:rightChars="0"/>
              <w:jc w:val="both"/>
              <w:rPr>
                <w:rFonts w:hint="eastAsia" w:ascii="仿宋_GB2312" w:hAnsi="仿宋_GB2312" w:eastAsia="仿宋_GB2312" w:cs="仿宋_GB2312"/>
              </w:rPr>
            </w:pPr>
          </w:p>
        </w:tc>
        <w:tc>
          <w:tcPr>
            <w:tcW w:w="6133"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项目初验通过</w:t>
            </w:r>
            <w:r>
              <w:rPr>
                <w:rFonts w:hint="eastAsia" w:ascii="仿宋_GB2312" w:hAnsi="仿宋_GB2312" w:eastAsia="仿宋_GB2312" w:cs="仿宋_GB2312"/>
                <w:sz w:val="24"/>
                <w:szCs w:val="24"/>
                <w:highlight w:val="none"/>
                <w:lang w:val="en-US" w:eastAsia="zh-CN"/>
              </w:rPr>
              <w:t>后5个工作日内，采购人向中标人支付该年度合同总额的20%作为预付款。（本项目以人力投入为主且定期结算，预付款比例设为20%；在签订合同时，中标人明确表示无需预付款或者主动要求降低预付款比例的，可不适用预付款相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977" w:type="dxa"/>
            <w:vMerge w:val="continue"/>
            <w:tcBorders>
              <w:left w:val="single" w:color="auto" w:sz="4" w:space="0"/>
            </w:tcBorders>
            <w:vAlign w:val="center"/>
          </w:tcPr>
          <w:p>
            <w:pPr>
              <w:keepNext w:val="0"/>
              <w:keepLines w:val="0"/>
              <w:widowControl w:val="0"/>
              <w:suppressLineNumbers w:val="0"/>
              <w:adjustRightInd w:val="0"/>
              <w:spacing w:before="0" w:beforeAutospacing="0" w:after="0" w:afterAutospacing="0"/>
              <w:ind w:left="0" w:leftChars="0" w:right="0" w:rightChars="0"/>
              <w:jc w:val="both"/>
              <w:rPr>
                <w:rFonts w:hint="eastAsia" w:ascii="仿宋_GB2312" w:hAnsi="仿宋_GB2312" w:eastAsia="仿宋_GB2312" w:cs="仿宋_GB2312"/>
                <w:i w:val="0"/>
                <w:iCs w:val="0"/>
                <w:highlight w:val="none"/>
                <w:lang w:eastAsia="zh-CN"/>
              </w:rPr>
            </w:pPr>
          </w:p>
        </w:tc>
        <w:tc>
          <w:tcPr>
            <w:tcW w:w="1668" w:type="dxa"/>
            <w:vMerge w:val="continue"/>
            <w:vAlign w:val="top"/>
          </w:tcPr>
          <w:p>
            <w:pPr>
              <w:keepNext w:val="0"/>
              <w:keepLines w:val="0"/>
              <w:widowControl w:val="0"/>
              <w:suppressLineNumbers w:val="0"/>
              <w:adjustRightInd w:val="0"/>
              <w:spacing w:before="0" w:beforeAutospacing="0" w:after="0" w:afterAutospacing="0"/>
              <w:ind w:left="0" w:leftChars="0" w:right="0" w:rightChars="0"/>
              <w:jc w:val="both"/>
              <w:rPr>
                <w:rFonts w:hint="eastAsia" w:ascii="仿宋_GB2312" w:hAnsi="仿宋_GB2312" w:eastAsia="仿宋_GB2312" w:cs="仿宋_GB2312"/>
                <w:i w:val="0"/>
                <w:iCs w:val="0"/>
                <w:highlight w:val="none"/>
                <w:lang w:eastAsia="zh-CN"/>
              </w:rPr>
            </w:pPr>
          </w:p>
        </w:tc>
        <w:tc>
          <w:tcPr>
            <w:tcW w:w="6133"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第一季度结束支付该年度合同总额的20%。（支付预付款的，服务费用将在预付款全部扣回后支付）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977" w:type="dxa"/>
            <w:vMerge w:val="continue"/>
            <w:tcBorders>
              <w:left w:val="single" w:color="auto" w:sz="4" w:space="0"/>
            </w:tcBorders>
            <w:vAlign w:val="center"/>
          </w:tcPr>
          <w:p>
            <w:pPr>
              <w:keepNext w:val="0"/>
              <w:keepLines w:val="0"/>
              <w:widowControl w:val="0"/>
              <w:suppressLineNumbers w:val="0"/>
              <w:adjustRightInd w:val="0"/>
              <w:spacing w:before="0" w:beforeAutospacing="0" w:after="0" w:afterAutospacing="0"/>
              <w:ind w:left="0" w:leftChars="0" w:right="0" w:rightChars="0"/>
              <w:jc w:val="both"/>
              <w:rPr>
                <w:rFonts w:hint="eastAsia" w:ascii="仿宋_GB2312" w:hAnsi="仿宋_GB2312" w:eastAsia="仿宋_GB2312" w:cs="仿宋_GB2312"/>
                <w:i w:val="0"/>
                <w:iCs w:val="0"/>
                <w:highlight w:val="none"/>
                <w:lang w:eastAsia="zh-CN"/>
              </w:rPr>
            </w:pPr>
          </w:p>
        </w:tc>
        <w:tc>
          <w:tcPr>
            <w:tcW w:w="1668"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20</w:t>
            </w:r>
          </w:p>
        </w:tc>
        <w:tc>
          <w:tcPr>
            <w:tcW w:w="6133"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第二季度结束支付该年度合同总额的20%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977" w:type="dxa"/>
            <w:vMerge w:val="continue"/>
            <w:tcBorders>
              <w:left w:val="single" w:color="auto" w:sz="4" w:space="0"/>
            </w:tcBorders>
            <w:vAlign w:val="center"/>
          </w:tcPr>
          <w:p>
            <w:pPr>
              <w:keepNext w:val="0"/>
              <w:keepLines w:val="0"/>
              <w:widowControl w:val="0"/>
              <w:suppressLineNumbers w:val="0"/>
              <w:adjustRightInd w:val="0"/>
              <w:spacing w:before="0" w:beforeAutospacing="0" w:after="0" w:afterAutospacing="0"/>
              <w:ind w:left="0" w:leftChars="0" w:right="0" w:rightChars="0"/>
              <w:jc w:val="both"/>
              <w:rPr>
                <w:rFonts w:hint="eastAsia" w:ascii="仿宋_GB2312" w:hAnsi="仿宋_GB2312" w:eastAsia="仿宋_GB2312" w:cs="仿宋_GB2312"/>
                <w:i w:val="0"/>
                <w:iCs w:val="0"/>
                <w:highlight w:val="none"/>
                <w:lang w:eastAsia="zh-CN"/>
              </w:rPr>
            </w:pPr>
          </w:p>
        </w:tc>
        <w:tc>
          <w:tcPr>
            <w:tcW w:w="1668"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20</w:t>
            </w:r>
          </w:p>
        </w:tc>
        <w:tc>
          <w:tcPr>
            <w:tcW w:w="6133"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第三季度结束支付该年度合同总额的20%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977" w:type="dxa"/>
            <w:vMerge w:val="continue"/>
            <w:tcBorders>
              <w:left w:val="single" w:color="auto" w:sz="4" w:space="0"/>
            </w:tcBorders>
            <w:vAlign w:val="center"/>
          </w:tcPr>
          <w:p>
            <w:pPr>
              <w:keepNext w:val="0"/>
              <w:keepLines w:val="0"/>
              <w:widowControl w:val="0"/>
              <w:suppressLineNumbers w:val="0"/>
              <w:adjustRightInd w:val="0"/>
              <w:spacing w:before="0" w:beforeAutospacing="0" w:after="0" w:afterAutospacing="0"/>
              <w:ind w:left="0" w:leftChars="0" w:right="0" w:rightChars="0"/>
              <w:jc w:val="both"/>
              <w:rPr>
                <w:rFonts w:hint="eastAsia" w:ascii="仿宋_GB2312" w:hAnsi="仿宋_GB2312" w:eastAsia="仿宋_GB2312" w:cs="仿宋_GB2312"/>
                <w:i w:val="0"/>
                <w:iCs w:val="0"/>
                <w:highlight w:val="none"/>
                <w:lang w:eastAsia="zh-CN"/>
              </w:rPr>
            </w:pPr>
          </w:p>
        </w:tc>
        <w:tc>
          <w:tcPr>
            <w:tcW w:w="1668"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20</w:t>
            </w:r>
          </w:p>
        </w:tc>
        <w:tc>
          <w:tcPr>
            <w:tcW w:w="6133"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第四季度结束支付该年度合同总额的20%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977" w:type="dxa"/>
            <w:vMerge w:val="continue"/>
            <w:tcBorders>
              <w:left w:val="single" w:color="auto" w:sz="4" w:space="0"/>
            </w:tcBorders>
            <w:vAlign w:val="center"/>
          </w:tcPr>
          <w:p>
            <w:pPr>
              <w:keepNext w:val="0"/>
              <w:keepLines w:val="0"/>
              <w:widowControl w:val="0"/>
              <w:suppressLineNumbers w:val="0"/>
              <w:adjustRightInd w:val="0"/>
              <w:spacing w:before="0" w:beforeAutospacing="0" w:after="0" w:afterAutospacing="0"/>
              <w:ind w:left="0" w:leftChars="0" w:right="0" w:rightChars="0"/>
              <w:jc w:val="both"/>
              <w:rPr>
                <w:rFonts w:hint="eastAsia" w:ascii="仿宋_GB2312" w:hAnsi="仿宋_GB2312" w:eastAsia="仿宋_GB2312" w:cs="仿宋_GB2312"/>
                <w:i w:val="0"/>
                <w:iCs w:val="0"/>
                <w:highlight w:val="none"/>
                <w:lang w:eastAsia="zh-CN"/>
              </w:rPr>
            </w:pPr>
          </w:p>
        </w:tc>
        <w:tc>
          <w:tcPr>
            <w:tcW w:w="1668"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20</w:t>
            </w:r>
          </w:p>
        </w:tc>
        <w:tc>
          <w:tcPr>
            <w:tcW w:w="6133" w:type="dxa"/>
            <w:vAlign w:val="top"/>
          </w:tcPr>
          <w:p>
            <w:pPr>
              <w:keepNext w:val="0"/>
              <w:keepLines w:val="0"/>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该年度验收完成后，支付尾款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1.7.1</w:t>
            </w:r>
          </w:p>
        </w:tc>
        <w:tc>
          <w:tcPr>
            <w:tcW w:w="7801" w:type="dxa"/>
            <w:gridSpan w:val="2"/>
            <w:vAlign w:val="center"/>
          </w:tcPr>
          <w:p>
            <w:pPr>
              <w:widowControl w:val="0"/>
              <w:autoSpaceDE w:val="0"/>
              <w:spacing w:before="0" w:beforeAutospacing="0" w:after="0" w:afterAutospacing="0" w:line="360" w:lineRule="auto"/>
              <w:ind w:right="0" w:righ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本项目为服务项目，整体服务期为三年，合同一年一签。招标人或其指定机构对中标人的服务质量进行考核；项目合同签订后90天内进行初次验收，验收不合格的，招标人有权提前终止合同并追究中标人违约责任，后续合同不再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1.7.2</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钱塘区白杨街道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1.7.3</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以</w:t>
            </w:r>
            <w:r>
              <w:rPr>
                <w:rFonts w:hint="eastAsia" w:ascii="仿宋_GB2312" w:hAnsi="仿宋_GB2312" w:eastAsia="仿宋_GB2312" w:cs="仿宋_GB2312"/>
                <w:sz w:val="24"/>
                <w:szCs w:val="24"/>
              </w:rPr>
              <w:t>现场</w:t>
            </w:r>
            <w:r>
              <w:rPr>
                <w:rFonts w:hint="eastAsia" w:ascii="仿宋_GB2312" w:hAnsi="仿宋_GB2312" w:eastAsia="仿宋_GB2312" w:cs="仿宋_GB2312"/>
                <w:sz w:val="24"/>
                <w:szCs w:val="24"/>
                <w:lang w:eastAsia="zh-CN"/>
              </w:rPr>
              <w:t>提供服务的形式进行</w:t>
            </w:r>
            <w:r>
              <w:rPr>
                <w:rFonts w:hint="eastAsia" w:ascii="仿宋_GB2312" w:hAnsi="仿宋_GB2312" w:eastAsia="仿宋_GB2312" w:cs="仿宋_GB2312"/>
                <w:sz w:val="24"/>
                <w:szCs w:val="24"/>
              </w:rPr>
              <w:t>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1.7.4.1</w:t>
            </w:r>
          </w:p>
        </w:tc>
        <w:tc>
          <w:tcPr>
            <w:tcW w:w="7801" w:type="dxa"/>
            <w:gridSpan w:val="2"/>
            <w:vAlign w:val="center"/>
          </w:tcPr>
          <w:p>
            <w:pPr>
              <w:widowControl w:val="0"/>
              <w:autoSpaceDE w:val="0"/>
              <w:spacing w:before="0" w:beforeAutospacing="0" w:after="0" w:afterAutospacing="0" w:line="360" w:lineRule="auto"/>
              <w:ind w:right="0" w:rightChars="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1.7.4.2</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1.7.4.3</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1.8.</w:t>
            </w:r>
            <w:r>
              <w:rPr>
                <w:rFonts w:hint="eastAsia" w:ascii="仿宋_GB2312" w:hAnsi="仿宋_GB2312" w:eastAsia="仿宋_GB2312" w:cs="仿宋_GB2312"/>
                <w:color w:val="auto"/>
                <w:sz w:val="24"/>
                <w:szCs w:val="24"/>
                <w:highlight w:val="none"/>
                <w:lang w:val="en-US" w:eastAsia="zh-CN"/>
              </w:rPr>
              <w:t>12</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1.9.1</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1.9.2</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w:t>
            </w:r>
          </w:p>
        </w:tc>
        <w:tc>
          <w:tcPr>
            <w:tcW w:w="7801" w:type="dxa"/>
            <w:gridSpan w:val="2"/>
            <w:vAlign w:val="center"/>
          </w:tcPr>
          <w:p>
            <w:pPr>
              <w:spacing w:line="360" w:lineRule="auto"/>
              <w:ind w:left="-420" w:leftChars="-200" w:right="-420" w:rightChars="-200"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highlight w:val="none"/>
              </w:rPr>
              <w:t>合同涉及技术成果</w:t>
            </w:r>
            <w:r>
              <w:rPr>
                <w:rFonts w:hint="eastAsia" w:ascii="仿宋_GB2312" w:hAnsi="仿宋_GB2312" w:eastAsia="仿宋_GB2312" w:cs="仿宋_GB2312"/>
                <w:color w:val="auto"/>
                <w:sz w:val="24"/>
                <w:highlight w:val="none"/>
                <w:lang w:eastAsia="zh-CN"/>
              </w:rPr>
              <w:t>及收益均归甲方所有。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w:t>
            </w:r>
          </w:p>
        </w:tc>
        <w:tc>
          <w:tcPr>
            <w:tcW w:w="7801" w:type="dxa"/>
            <w:gridSpan w:val="2"/>
            <w:vAlign w:val="center"/>
          </w:tcPr>
          <w:p>
            <w:pPr>
              <w:spacing w:line="360" w:lineRule="auto"/>
              <w:ind w:left="-420" w:leftChars="-200" w:right="-420" w:rightChars="-200"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同</w:t>
            </w:r>
            <w:r>
              <w:rPr>
                <w:rFonts w:hint="eastAsia" w:ascii="仿宋_GB2312" w:hAnsi="仿宋_GB2312" w:eastAsia="仿宋_GB2312" w:cs="仿宋_GB2312"/>
                <w:sz w:val="24"/>
                <w:szCs w:val="24"/>
                <w:lang w:val="en-US" w:eastAsia="zh-CN"/>
              </w:rPr>
              <w:t>1.6.2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2.11.3</w:t>
            </w:r>
          </w:p>
        </w:tc>
        <w:tc>
          <w:tcPr>
            <w:tcW w:w="7801" w:type="dxa"/>
            <w:gridSpan w:val="2"/>
            <w:vAlign w:val="center"/>
          </w:tcPr>
          <w:p>
            <w:pPr>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7</w:t>
            </w:r>
            <w:r>
              <w:rPr>
                <w:rFonts w:hint="eastAsia" w:ascii="仿宋_GB2312" w:hAnsi="仿宋_GB2312" w:eastAsia="仿宋_GB2312" w:cs="仿宋_GB2312"/>
                <w:sz w:val="24"/>
                <w:szCs w:val="24"/>
                <w:highlight w:val="none"/>
              </w:rPr>
              <w:t>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2.11.4 </w:t>
            </w:r>
          </w:p>
        </w:tc>
        <w:tc>
          <w:tcPr>
            <w:tcW w:w="7801" w:type="dxa"/>
            <w:gridSpan w:val="2"/>
            <w:vAlign w:val="top"/>
          </w:tcPr>
          <w:p>
            <w:pPr>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3个工作日，2个工作日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2.15.1</w:t>
            </w:r>
          </w:p>
        </w:tc>
        <w:tc>
          <w:tcPr>
            <w:tcW w:w="7801" w:type="dxa"/>
            <w:gridSpan w:val="2"/>
            <w:vAlign w:val="center"/>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highlight w:val="none"/>
                <w:u w:val="none"/>
                <w:lang w:val="en-US" w:eastAsia="zh-CN"/>
              </w:rPr>
              <w:t xml:space="preserve"> 服务期三年，合同一年一签。项目合同签订后90天内进行初次验收，重点对智慧环卫场景建设、人员设备配备情况、养护质量等进行验收，验收不通过的招标人有权提前解除合同，中标人已投入的费用不予结算，并列入惩戒黑名单，请投标人自行考虑投标风险。初次验收通过后每年组织一次年度考核及验收，每年服务期结束后30天内开展，中标人整理、组织验收材料，以及相关工作台账记录，向招标人申请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5" w:hRule="atLeast"/>
        </w:trPr>
        <w:tc>
          <w:tcPr>
            <w:tcW w:w="977" w:type="dxa"/>
            <w:tcBorders>
              <w:left w:val="single" w:color="auto" w:sz="4" w:space="0"/>
            </w:tcBorders>
            <w:vAlign w:val="center"/>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2.15.3</w:t>
            </w:r>
          </w:p>
        </w:tc>
        <w:tc>
          <w:tcPr>
            <w:tcW w:w="7801" w:type="dxa"/>
            <w:gridSpan w:val="2"/>
            <w:vAlign w:val="center"/>
          </w:tcPr>
          <w:p>
            <w:pPr>
              <w:spacing w:line="360" w:lineRule="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eastAsia="zh-CN"/>
              </w:rPr>
              <w:t>采购文件第三部分</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采购需求</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十一、履约验收方案、十二、考核</w:t>
            </w:r>
            <w:r>
              <w:rPr>
                <w:rFonts w:hint="eastAsia" w:ascii="仿宋_GB2312" w:hAnsi="仿宋_GB2312" w:eastAsia="仿宋_GB2312" w:cs="仿宋_GB2312"/>
                <w:color w:val="auto"/>
                <w:sz w:val="24"/>
                <w:szCs w:val="24"/>
                <w:lang w:eastAsia="zh-CN"/>
              </w:rPr>
              <w:t>及投标</w:t>
            </w:r>
            <w:r>
              <w:rPr>
                <w:rFonts w:hint="eastAsia" w:ascii="仿宋_GB2312" w:hAnsi="仿宋_GB2312" w:eastAsia="仿宋_GB2312" w:cs="仿宋_GB2312"/>
                <w:color w:val="auto"/>
                <w:sz w:val="24"/>
                <w:szCs w:val="24"/>
              </w:rPr>
              <w:t>文件方案等进行验收。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2.19</w:t>
            </w:r>
          </w:p>
        </w:tc>
        <w:tc>
          <w:tcPr>
            <w:tcW w:w="7801" w:type="dxa"/>
            <w:gridSpan w:val="2"/>
            <w:vAlign w:val="top"/>
          </w:tcPr>
          <w:p>
            <w:pPr>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壹式陆份，甲方执叁份，乙方执叁份</w:t>
            </w:r>
          </w:p>
        </w:tc>
      </w:tr>
    </w:tbl>
    <w:p>
      <w:pPr>
        <w:pStyle w:val="3"/>
        <w:ind w:left="0" w:leftChars="0" w:firstLine="0" w:firstLineChars="0"/>
        <w:rPr>
          <w:rFonts w:hint="eastAsia" w:ascii="仿宋_GB2312" w:hAnsi="仿宋_GB2312" w:eastAsia="仿宋_GB2312" w:cs="仿宋_GB2312"/>
          <w:color w:val="auto"/>
          <w:sz w:val="24"/>
          <w:szCs w:val="24"/>
          <w:highlight w:val="none"/>
          <w:lang w:eastAsia="zh-CN"/>
        </w:rPr>
      </w:pPr>
    </w:p>
    <w:p>
      <w:pPr>
        <w:spacing w:line="360" w:lineRule="auto"/>
        <w:ind w:left="720" w:firstLine="723" w:firstLineChars="200"/>
        <w:outlineLvl w:val="0"/>
        <w:rPr>
          <w:rFonts w:hint="eastAsia" w:ascii="仿宋_GB2312" w:hAnsi="仿宋_GB2312" w:eastAsia="仿宋_GB2312" w:cs="仿宋_GB2312"/>
          <w:b/>
          <w:color w:val="auto"/>
          <w:sz w:val="36"/>
          <w:szCs w:val="20"/>
          <w:highlight w:val="none"/>
        </w:rPr>
        <w:sectPr>
          <w:headerReference r:id="rId20" w:type="first"/>
          <w:footerReference r:id="rId22" w:type="first"/>
          <w:headerReference r:id="rId19" w:type="default"/>
          <w:footerReference r:id="rId21" w:type="default"/>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ind w:left="720" w:firstLine="723" w:firstLineChars="200"/>
        <w:outlineLvl w:val="0"/>
        <w:rPr>
          <w:rFonts w:ascii="仿宋_GB2312" w:hAnsi="仿宋_GB2312" w:eastAsia="仿宋_GB2312" w:cs="仿宋_GB2312"/>
          <w:b/>
          <w:color w:val="auto"/>
          <w:sz w:val="36"/>
          <w:szCs w:val="20"/>
          <w:highlight w:val="none"/>
        </w:rPr>
      </w:pPr>
      <w:r>
        <w:rPr>
          <w:rFonts w:hint="eastAsia" w:ascii="仿宋_GB2312" w:hAnsi="仿宋_GB2312" w:eastAsia="仿宋_GB2312" w:cs="仿宋_GB2312"/>
          <w:b/>
          <w:color w:val="auto"/>
          <w:sz w:val="36"/>
          <w:szCs w:val="20"/>
          <w:highlight w:val="none"/>
        </w:rPr>
        <w:t>第六部分</w:t>
      </w:r>
      <w:bookmarkEnd w:id="51"/>
      <w:r>
        <w:rPr>
          <w:rFonts w:hint="eastAsia" w:ascii="仿宋_GB2312" w:hAnsi="仿宋_GB2312" w:eastAsia="仿宋_GB2312" w:cs="仿宋_GB2312"/>
          <w:b/>
          <w:color w:val="auto"/>
          <w:sz w:val="36"/>
          <w:szCs w:val="20"/>
          <w:highlight w:val="none"/>
        </w:rPr>
        <w:t xml:space="preserve"> </w:t>
      </w:r>
      <w:bookmarkEnd w:id="52"/>
      <w:r>
        <w:rPr>
          <w:rFonts w:hint="eastAsia" w:ascii="仿宋_GB2312" w:hAnsi="仿宋_GB2312" w:eastAsia="仿宋_GB2312" w:cs="仿宋_GB2312"/>
          <w:b/>
          <w:color w:val="auto"/>
          <w:sz w:val="36"/>
          <w:szCs w:val="20"/>
          <w:highlight w:val="none"/>
        </w:rPr>
        <w:t>应提交的有关格式范例</w:t>
      </w:r>
    </w:p>
    <w:p>
      <w:pPr>
        <w:spacing w:line="360" w:lineRule="auto"/>
        <w:jc w:val="center"/>
        <w:outlineLvl w:val="0"/>
        <w:rPr>
          <w:rFonts w:ascii="仿宋_GB2312" w:hAnsi="仿宋_GB2312" w:eastAsia="仿宋_GB2312" w:cs="仿宋_GB2312"/>
          <w:b/>
          <w:color w:val="auto"/>
          <w:kern w:val="0"/>
          <w:sz w:val="36"/>
          <w:szCs w:val="36"/>
          <w:highlight w:val="none"/>
        </w:rPr>
      </w:pPr>
    </w:p>
    <w:p>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资格文件部分</w:t>
      </w:r>
    </w:p>
    <w:p>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spacing w:line="360" w:lineRule="auto"/>
        <w:jc w:val="center"/>
        <w:outlineLvl w:val="0"/>
        <w:rPr>
          <w:rFonts w:ascii="仿宋_GB2312" w:hAnsi="仿宋_GB2312" w:eastAsia="仿宋_GB2312" w:cs="仿宋_GB2312"/>
          <w:b/>
          <w:color w:val="auto"/>
          <w:kern w:val="0"/>
          <w:sz w:val="36"/>
          <w:szCs w:val="36"/>
          <w:highlight w:val="none"/>
        </w:rPr>
      </w:pP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（1）符合参加政府采购活动应当具备的一般条件的承诺函……………（页码）</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（2）联合协议（如果有）…………………………………………………（页码）</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（3）落实政府采购政策需满足的资格要求（如果有）…………………（页码）</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（4）本项目的特定资格要求（如果有）…………………………………（页码）</w:t>
      </w:r>
    </w:p>
    <w:p>
      <w:pPr>
        <w:snapToGrid w:val="0"/>
        <w:spacing w:line="360" w:lineRule="auto"/>
        <w:ind w:firstLine="480" w:firstLineChars="200"/>
        <w:rPr>
          <w:rFonts w:ascii="仿宋_GB2312" w:hAnsi="仿宋_GB2312" w:eastAsia="仿宋_GB2312" w:cs="仿宋_GB2312"/>
          <w:color w:val="auto"/>
          <w:sz w:val="24"/>
          <w:highlight w:val="none"/>
        </w:rPr>
      </w:pPr>
    </w:p>
    <w:p>
      <w:pPr>
        <w:spacing w:line="360" w:lineRule="auto"/>
        <w:ind w:firstLine="480" w:firstLineChars="200"/>
        <w:rPr>
          <w:rFonts w:ascii="仿宋_GB2312" w:hAnsi="仿宋_GB2312" w:eastAsia="仿宋_GB2312" w:cs="仿宋_GB2312"/>
          <w:color w:val="auto"/>
          <w:sz w:val="24"/>
          <w:highlight w:val="none"/>
        </w:rPr>
      </w:pPr>
    </w:p>
    <w:p>
      <w:pPr>
        <w:pStyle w:val="25"/>
        <w:rPr>
          <w:rFonts w:eastAsia="仿宋_GB2312"/>
          <w:color w:val="auto"/>
          <w:highlight w:val="none"/>
        </w:rPr>
      </w:pPr>
    </w:p>
    <w:p>
      <w:pPr>
        <w:snapToGrid w:val="0"/>
        <w:spacing w:line="360" w:lineRule="auto"/>
        <w:ind w:firstLine="480" w:firstLineChars="200"/>
        <w:rPr>
          <w:rFonts w:ascii="仿宋_GB2312" w:hAnsi="仿宋_GB2312" w:eastAsia="仿宋_GB2312" w:cs="仿宋_GB2312"/>
          <w:color w:val="auto"/>
          <w:sz w:val="24"/>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right="48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杭州市钱塘区人民政府白杨街道办事处</w:t>
      </w:r>
      <w:r>
        <w:rPr>
          <w:rFonts w:hint="eastAsia" w:ascii="仿宋_GB2312" w:hAnsi="仿宋_GB2312" w:eastAsia="仿宋_GB2312" w:cs="仿宋_GB2312"/>
          <w:color w:val="auto"/>
          <w:sz w:val="24"/>
          <w:highlight w:val="none"/>
        </w:rPr>
        <w:t>、杭州市公共资源交易中心钱塘分中心：</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我方参与</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】政府采购活动，郑重承诺：</w:t>
      </w:r>
    </w:p>
    <w:p>
      <w:pPr>
        <w:snapToGrid w:val="0"/>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1、具有独立承担民事责任的能力；</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2、具有良好的商业信誉和健全的财务会计制度； </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3、具有履行合同所必需的设备和专业技术能力；</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4、有依法缴纳税收和社会保障资金的良好记录；</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5、参加政府采购活动前三年内，在经营活动中没有重大违法记录；</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6、具有法律、行政法规规定的其他条件。</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（三）不存在以下情况：</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snapToGrid w:val="0"/>
        <w:ind w:right="480"/>
        <w:jc w:val="center"/>
        <w:rPr>
          <w:rFonts w:ascii="仿宋_GB2312" w:hAnsi="仿宋_GB2312" w:eastAsia="仿宋_GB2312" w:cs="仿宋_GB2312"/>
          <w:b/>
          <w:color w:val="auto"/>
          <w:kern w:val="0"/>
          <w:sz w:val="10"/>
          <w:szCs w:val="10"/>
          <w:highlight w:val="none"/>
        </w:rPr>
      </w:pPr>
    </w:p>
    <w:p>
      <w:pPr>
        <w:snapToGrid w:val="0"/>
        <w:spacing w:line="360" w:lineRule="auto"/>
        <w:ind w:right="480" w:firstLine="559" w:firstLineChars="233"/>
        <w:jc w:val="left"/>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_GB2312" w:hAnsi="仿宋_GB2312" w:eastAsia="仿宋_GB2312"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二、联合协议（如果有）</w:t>
      </w:r>
    </w:p>
    <w:p>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rPr>
          <w:rFonts w:ascii="仿宋_GB2312" w:hAnsi="仿宋_GB2312" w:eastAsia="仿宋_GB2312" w:cs="仿宋_GB2312"/>
          <w:b/>
          <w:color w:val="auto"/>
          <w:kern w:val="0"/>
          <w:sz w:val="32"/>
          <w:szCs w:val="32"/>
          <w:highlight w:val="none"/>
        </w:rPr>
      </w:pPr>
    </w:p>
    <w:p>
      <w:pPr>
        <w:pStyle w:val="3"/>
        <w:rPr>
          <w:rFonts w:hAnsi="仿宋_GB2312" w:cs="仿宋_GB2312"/>
          <w:color w:val="auto"/>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三、落实政府采购政策需满足的资格要求（如果有）</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A</w:t>
      </w:r>
      <w:r>
        <w:rPr>
          <w:rFonts w:hint="eastAsia" w:ascii="仿宋_GB2312" w:hAnsi="仿宋_GB2312" w:eastAsia="仿宋_GB2312" w:cs="仿宋_GB2312"/>
          <w:color w:val="auto"/>
          <w:sz w:val="24"/>
          <w:highlight w:val="none"/>
        </w:rPr>
        <w:t>.专门面向中小企业，</w:t>
      </w:r>
      <w:r>
        <w:rPr>
          <w:rFonts w:hint="eastAsia" w:ascii="仿宋_GB2312" w:hAnsi="仿宋_GB2312" w:eastAsia="仿宋_GB2312" w:cs="仿宋_GB2312"/>
          <w:color w:val="auto"/>
          <w:sz w:val="24"/>
          <w:highlight w:val="none"/>
          <w:lang w:eastAsia="zh-CN"/>
        </w:rPr>
        <w:t>服务</w:t>
      </w:r>
      <w:r>
        <w:rPr>
          <w:rFonts w:hint="eastAsia" w:ascii="仿宋_GB2312" w:hAnsi="仿宋_GB2312" w:eastAsia="仿宋_GB2312" w:cs="仿宋_GB2312"/>
          <w:color w:val="auto"/>
          <w:sz w:val="24"/>
          <w:highlight w:val="none"/>
        </w:rPr>
        <w:t>全部由符合政策要求的中小企业（或小微企业）</w:t>
      </w:r>
      <w:r>
        <w:rPr>
          <w:rFonts w:hint="eastAsia" w:ascii="仿宋_GB2312" w:hAnsi="仿宋_GB2312" w:eastAsia="仿宋_GB2312" w:cs="仿宋_GB2312"/>
          <w:color w:val="auto"/>
          <w:sz w:val="24"/>
          <w:highlight w:val="none"/>
          <w:lang w:eastAsia="zh-CN"/>
        </w:rPr>
        <w:t>承接</w:t>
      </w:r>
      <w:r>
        <w:rPr>
          <w:rFonts w:hint="eastAsia" w:ascii="仿宋_GB2312" w:hAnsi="仿宋_GB2312" w:eastAsia="仿宋_GB2312" w:cs="仿宋_GB2312"/>
          <w:color w:val="auto"/>
          <w:sz w:val="24"/>
          <w:highlight w:val="none"/>
        </w:rPr>
        <w:t xml:space="preserve">的，提供相应的中小企业声明函（附件7）。 </w:t>
      </w:r>
    </w:p>
    <w:p>
      <w:pPr>
        <w:widowControl/>
        <w:spacing w:line="360" w:lineRule="auto"/>
        <w:ind w:firstLine="480"/>
        <w:jc w:val="left"/>
        <w:rPr>
          <w:rFonts w:ascii="仿宋_GB2312" w:hAnsi="仿宋_GB2312" w:eastAsia="仿宋_GB2312" w:cs="仿宋_GB2312"/>
          <w:color w:val="auto"/>
          <w:sz w:val="24"/>
          <w:highlight w:val="none"/>
        </w:rPr>
      </w:pPr>
    </w:p>
    <w:p>
      <w:pPr>
        <w:widowControl/>
        <w:spacing w:line="360" w:lineRule="auto"/>
        <w:ind w:firstLine="472" w:firstLineChars="196"/>
        <w:jc w:val="left"/>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B.</w:t>
      </w:r>
      <w:r>
        <w:rPr>
          <w:rFonts w:hint="eastAsia" w:ascii="仿宋_GB2312" w:hAnsi="仿宋_GB2312" w:eastAsia="仿宋_GB2312" w:cs="仿宋_GB2312"/>
          <w:color w:val="auto"/>
          <w:sz w:val="24"/>
          <w:highlight w:val="none"/>
        </w:rPr>
        <w:t>要求以联合体形式参加的，提供联合协议（附件5）和中小企业声明函（附件7），联合协议中中小企业合同金额应当达到招标公告载明的比例；如果供应商本身提供所有标的均由中小企业</w:t>
      </w:r>
      <w:r>
        <w:rPr>
          <w:rFonts w:hint="eastAsia" w:ascii="仿宋_GB2312" w:hAnsi="仿宋_GB2312" w:eastAsia="仿宋_GB2312" w:cs="仿宋_GB2312"/>
          <w:color w:val="auto"/>
          <w:sz w:val="24"/>
          <w:highlight w:val="none"/>
          <w:lang w:eastAsia="zh-CN"/>
        </w:rPr>
        <w:t>承接</w:t>
      </w:r>
      <w:r>
        <w:rPr>
          <w:rFonts w:hint="eastAsia" w:ascii="仿宋_GB2312" w:hAnsi="仿宋_GB2312" w:eastAsia="仿宋_GB2312" w:cs="仿宋_GB2312"/>
          <w:color w:val="auto"/>
          <w:sz w:val="24"/>
          <w:highlight w:val="none"/>
        </w:rPr>
        <w:t>的，并相应达到了前述比例要求，视同符合了资格条件，无需再与其他中小企业组成联合体参加政府采购活动，无需提供联合协议。</w:t>
      </w:r>
    </w:p>
    <w:p>
      <w:pPr>
        <w:spacing w:line="360" w:lineRule="auto"/>
        <w:ind w:firstLine="480" w:firstLineChars="200"/>
        <w:rPr>
          <w:rFonts w:ascii="仿宋_GB2312" w:hAnsi="仿宋_GB2312" w:eastAsia="仿宋_GB2312" w:cs="仿宋_GB2312"/>
          <w:color w:val="auto"/>
          <w:sz w:val="24"/>
          <w:highlight w:val="none"/>
        </w:rPr>
      </w:pPr>
    </w:p>
    <w:p>
      <w:pPr>
        <w:spacing w:line="360" w:lineRule="auto"/>
        <w:ind w:firstLine="482"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z w:val="24"/>
          <w:highlight w:val="none"/>
        </w:rPr>
        <w:t>C.</w:t>
      </w:r>
      <w:r>
        <w:rPr>
          <w:rFonts w:hint="eastAsia" w:ascii="仿宋_GB2312" w:hAnsi="仿宋_GB2312" w:eastAsia="仿宋_GB2312" w:cs="仿宋_GB2312"/>
          <w:color w:val="auto"/>
          <w:sz w:val="24"/>
          <w:highlight w:val="none"/>
        </w:rPr>
        <w:t>要求合同分包的，提供分包意向协议（附件6）和中小企业声明函（附件7），分包意向协议中中小企业合同金额应当达到招标公告载明的比例；如果供应商本身提供所有标的均由中小企业</w:t>
      </w:r>
      <w:r>
        <w:rPr>
          <w:rFonts w:hint="eastAsia" w:ascii="仿宋_GB2312" w:hAnsi="仿宋_GB2312" w:eastAsia="仿宋_GB2312" w:cs="仿宋_GB2312"/>
          <w:color w:val="auto"/>
          <w:sz w:val="24"/>
          <w:highlight w:val="none"/>
          <w:lang w:eastAsia="zh-CN"/>
        </w:rPr>
        <w:t>承接</w:t>
      </w:r>
      <w:r>
        <w:rPr>
          <w:rFonts w:hint="eastAsia" w:ascii="仿宋_GB2312" w:hAnsi="仿宋_GB2312" w:eastAsia="仿宋_GB2312" w:cs="仿宋_GB2312"/>
          <w:color w:val="auto"/>
          <w:sz w:val="24"/>
          <w:highlight w:val="none"/>
        </w:rPr>
        <w:t>的，并相应达到了前述比例要求，视同符合了资格条件，无需再向中小企业分包，无需提供分包意向协议。</w:t>
      </w:r>
    </w:p>
    <w:p>
      <w:pPr>
        <w:widowControl/>
        <w:spacing w:line="360" w:lineRule="auto"/>
        <w:ind w:left="150"/>
        <w:jc w:val="center"/>
        <w:rPr>
          <w:rFonts w:ascii="仿宋_GB2312" w:hAnsi="仿宋_GB2312" w:eastAsia="仿宋_GB2312" w:cs="仿宋_GB2312"/>
          <w:b/>
          <w:color w:val="auto"/>
          <w:kern w:val="0"/>
          <w:sz w:val="32"/>
          <w:szCs w:val="32"/>
          <w:highlight w:val="none"/>
        </w:rPr>
      </w:pPr>
    </w:p>
    <w:p>
      <w:pPr>
        <w:widowControl/>
        <w:spacing w:line="360" w:lineRule="auto"/>
        <w:ind w:left="150"/>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四、本项目的特定资格要求（如果有）</w:t>
      </w:r>
    </w:p>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（根据招标公告本项目的特定资格要求提供相应的材料；未要求的，无需提供）</w:t>
      </w:r>
    </w:p>
    <w:p>
      <w:pPr>
        <w:spacing w:line="360" w:lineRule="auto"/>
        <w:ind w:right="420"/>
        <w:jc w:val="center"/>
        <w:rPr>
          <w:rFonts w:ascii="仿宋_GB2312" w:hAnsi="仿宋_GB2312" w:eastAsia="仿宋_GB2312" w:cs="仿宋_GB2312"/>
          <w:b/>
          <w:color w:val="auto"/>
          <w:kern w:val="0"/>
          <w:sz w:val="36"/>
          <w:szCs w:val="36"/>
          <w:highlight w:val="none"/>
        </w:rPr>
      </w:pPr>
    </w:p>
    <w:p>
      <w:pPr>
        <w:spacing w:line="360" w:lineRule="auto"/>
        <w:ind w:right="420"/>
        <w:jc w:val="center"/>
        <w:rPr>
          <w:rFonts w:ascii="仿宋_GB2312" w:hAnsi="仿宋_GB2312" w:eastAsia="仿宋_GB2312" w:cs="仿宋_GB2312"/>
          <w:b/>
          <w:color w:val="auto"/>
          <w:kern w:val="0"/>
          <w:sz w:val="36"/>
          <w:szCs w:val="36"/>
          <w:highlight w:val="none"/>
        </w:rPr>
      </w:pPr>
    </w:p>
    <w:p>
      <w:pPr>
        <w:spacing w:line="360" w:lineRule="auto"/>
        <w:ind w:right="420"/>
        <w:jc w:val="center"/>
        <w:rPr>
          <w:rFonts w:ascii="仿宋_GB2312" w:hAnsi="仿宋_GB2312" w:eastAsia="仿宋_GB2312" w:cs="仿宋_GB2312"/>
          <w:b/>
          <w:color w:val="auto"/>
          <w:kern w:val="0"/>
          <w:sz w:val="36"/>
          <w:szCs w:val="36"/>
          <w:highlight w:val="none"/>
        </w:rPr>
      </w:pPr>
    </w:p>
    <w:p>
      <w:pPr>
        <w:spacing w:line="360" w:lineRule="auto"/>
        <w:ind w:right="420"/>
        <w:jc w:val="center"/>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商务技术文件部分</w:t>
      </w:r>
    </w:p>
    <w:p>
      <w:pPr>
        <w:spacing w:line="360" w:lineRule="auto"/>
        <w:jc w:val="center"/>
        <w:outlineLvl w:val="0"/>
        <w:rPr>
          <w:rFonts w:ascii="仿宋_GB2312" w:hAnsi="仿宋_GB2312" w:eastAsia="仿宋_GB2312" w:cs="仿宋_GB2312"/>
          <w:b/>
          <w:color w:val="auto"/>
          <w:kern w:val="0"/>
          <w:sz w:val="24"/>
          <w:highlight w:val="none"/>
        </w:rPr>
      </w:pPr>
    </w:p>
    <w:p>
      <w:pPr>
        <w:spacing w:line="360" w:lineRule="auto"/>
        <w:jc w:val="center"/>
        <w:outlineLvl w:val="0"/>
        <w:rPr>
          <w:rFonts w:ascii="仿宋_GB2312" w:hAnsi="仿宋_GB2312" w:eastAsia="仿宋_GB2312" w:cs="仿宋_GB2312"/>
          <w:b/>
          <w:color w:val="auto"/>
          <w:kern w:val="0"/>
          <w:sz w:val="28"/>
          <w:szCs w:val="28"/>
          <w:highlight w:val="none"/>
        </w:rPr>
      </w:pPr>
      <w:r>
        <w:rPr>
          <w:rFonts w:hint="eastAsia" w:ascii="仿宋_GB2312" w:hAnsi="仿宋_GB2312" w:eastAsia="仿宋_GB2312" w:cs="仿宋_GB2312"/>
          <w:b/>
          <w:color w:val="auto"/>
          <w:kern w:val="0"/>
          <w:sz w:val="28"/>
          <w:szCs w:val="28"/>
          <w:highlight w:val="none"/>
        </w:rPr>
        <w:t>目录</w:t>
      </w:r>
    </w:p>
    <w:p>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（1）投标函………………………………………………………………………（页码）</w:t>
      </w:r>
    </w:p>
    <w:p>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（2）授权委托书或法定代表人（单位负责人、自然人本人）身份证明……（页码）</w:t>
      </w:r>
    </w:p>
    <w:p>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（3）分包意向协议（如果有）…………………………………………………（页码）</w:t>
      </w:r>
    </w:p>
    <w:p>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（4）符合性审查资料……………………………………………………………（页码）</w:t>
      </w:r>
    </w:p>
    <w:p>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（5）评标标准相应的商务技术资料……………………………………………（页码）</w:t>
      </w:r>
    </w:p>
    <w:p>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（6）投标标的清单………………………………………………………………（页码）</w:t>
      </w:r>
    </w:p>
    <w:p>
      <w:pPr>
        <w:snapToGrid w:val="0"/>
        <w:spacing w:line="360" w:lineRule="auto"/>
        <w:ind w:left="479" w:leftChars="22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（7）商务技术偏离表……………………………………………………………（页码）</w:t>
      </w:r>
    </w:p>
    <w:p>
      <w:pPr>
        <w:snapToGrid w:val="0"/>
        <w:spacing w:line="360" w:lineRule="auto"/>
        <w:ind w:left="479" w:leftChars="228"/>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r>
        <w:rPr>
          <w:rFonts w:hint="eastAsia" w:ascii="仿宋_GB2312" w:hAnsi="仿宋_GB2312" w:eastAsia="仿宋_GB2312" w:cs="仿宋_GB2312"/>
          <w:color w:val="auto"/>
          <w:sz w:val="24"/>
          <w:highlight w:val="none"/>
        </w:rPr>
        <w:t>…………………………………………（页码）</w:t>
      </w:r>
    </w:p>
    <w:p>
      <w:pPr>
        <w:snapToGrid w:val="0"/>
        <w:spacing w:line="360" w:lineRule="auto"/>
        <w:outlineLvl w:val="0"/>
        <w:rPr>
          <w:rFonts w:ascii="仿宋_GB2312" w:hAnsi="仿宋_GB2312" w:eastAsia="仿宋_GB2312" w:cs="仿宋_GB2312"/>
          <w:b/>
          <w:color w:val="auto"/>
          <w:kern w:val="0"/>
          <w:sz w:val="32"/>
          <w:szCs w:val="3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outlineLvl w:val="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kern w:val="0"/>
          <w:sz w:val="32"/>
          <w:szCs w:val="32"/>
          <w:highlight w:val="none"/>
        </w:rPr>
        <w:t>一、投标</w:t>
      </w:r>
      <w:r>
        <w:rPr>
          <w:rFonts w:hint="eastAsia" w:ascii="仿宋_GB2312" w:hAnsi="仿宋_GB2312" w:eastAsia="仿宋_GB2312" w:cs="仿宋_GB2312"/>
          <w:b/>
          <w:color w:val="auto"/>
          <w:sz w:val="32"/>
          <w:szCs w:val="32"/>
          <w:highlight w:val="none"/>
        </w:rPr>
        <w:t>函</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杭州市钱塘区人民政府白杨街道办事处</w:t>
      </w:r>
      <w:r>
        <w:rPr>
          <w:rFonts w:hint="eastAsia" w:ascii="仿宋_GB2312" w:hAnsi="仿宋_GB2312" w:eastAsia="仿宋_GB2312" w:cs="仿宋_GB2312"/>
          <w:color w:val="auto"/>
          <w:sz w:val="24"/>
          <w:highlight w:val="none"/>
        </w:rPr>
        <w:t>、杭州市公共资源交易中心钱塘分中心：</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我方参加你方组织的</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我方承诺投标有效期从提交投标文件的截止之日起</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天（不少于90天）</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我方的投标文件包括以下内容：</w:t>
      </w:r>
    </w:p>
    <w:p>
      <w:pPr>
        <w:snapToGrid w:val="0"/>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2.1.1承诺函；</w:t>
      </w:r>
    </w:p>
    <w:p>
      <w:pPr>
        <w:snapToGrid w:val="0"/>
        <w:spacing w:line="360" w:lineRule="auto"/>
        <w:ind w:left="420" w:leftChars="200"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2.1.2联合协议（如果有）；</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2.1.3落实政府采购政策需满足的资格要求（如果有）；</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2.1.4本项目的特定资格要求（如果有）。</w:t>
      </w:r>
    </w:p>
    <w:p>
      <w:pPr>
        <w:snapToGrid w:val="0"/>
        <w:spacing w:line="360" w:lineRule="auto"/>
        <w:ind w:firstLine="720" w:firstLineChars="3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 xml:space="preserve"> </w:t>
      </w:r>
      <w:r>
        <w:rPr>
          <w:rFonts w:hint="eastAsia" w:ascii="仿宋_GB2312" w:hAnsi="仿宋_GB2312" w:eastAsia="仿宋_GB2312" w:cs="仿宋_GB2312"/>
          <w:color w:val="auto"/>
          <w:sz w:val="24"/>
          <w:highlight w:val="none"/>
        </w:rPr>
        <w:t>商务技术</w:t>
      </w:r>
      <w:r>
        <w:rPr>
          <w:rFonts w:hint="eastAsia" w:ascii="仿宋_GB2312" w:hAnsi="仿宋_GB2312"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2.2.1投标函；</w:t>
      </w:r>
      <w:r>
        <w:rPr>
          <w:rFonts w:hint="eastAsia" w:ascii="仿宋_GB2312" w:hAnsi="仿宋_GB2312"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2.2.3分包意向协议（如果有）；</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2.2.4符合性审查资料；</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2.2.5评标标准相应的商务技术资料；</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2.2.6投标标的清单；</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_GB2312" w:eastAsia="仿宋_GB2312" w:cs="仿宋_GB2312"/>
          <w:color w:val="auto"/>
          <w:sz w:val="24"/>
          <w:highlight w:val="none"/>
          <w:lang w:val="zh-CN"/>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lang w:val="zh-CN"/>
        </w:rPr>
        <w:t>政府采购供应商廉洁自律承诺书；</w:t>
      </w:r>
    </w:p>
    <w:p>
      <w:pPr>
        <w:snapToGrid w:val="0"/>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zh-CN"/>
        </w:rPr>
        <w:t>.</w:t>
      </w:r>
      <w:r>
        <w:rPr>
          <w:rFonts w:hint="eastAsia" w:ascii="仿宋_GB2312" w:hAnsi="仿宋_GB2312"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2.3.1开标一览表（报价表）；</w:t>
      </w:r>
    </w:p>
    <w:p>
      <w:pPr>
        <w:snapToGrid w:val="0"/>
        <w:spacing w:line="360" w:lineRule="auto"/>
        <w:ind w:left="420" w:leftChars="200" w:firstLine="480" w:firstLineChars="20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2.3.2报价情况说明（如果有）；</w:t>
      </w:r>
    </w:p>
    <w:p>
      <w:pPr>
        <w:snapToGrid w:val="0"/>
        <w:spacing w:line="360" w:lineRule="auto"/>
        <w:ind w:left="420" w:leftChars="2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中小企业声明函（如果有）。</w:t>
      </w:r>
    </w:p>
    <w:p>
      <w:pPr>
        <w:snapToGrid w:val="0"/>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我方承诺除商务技术偏离表列出的偏离外，我方响应招标文件的全部要求。</w:t>
      </w:r>
      <w:r>
        <w:rPr>
          <w:rFonts w:hint="eastAsia" w:ascii="仿宋_GB2312" w:hAnsi="仿宋_GB2312" w:eastAsia="仿宋_GB2312" w:cs="仿宋_GB2312"/>
          <w:color w:val="auto"/>
          <w:sz w:val="24"/>
          <w:highlight w:val="none"/>
          <w:lang w:eastAsia="zh-CN"/>
        </w:rPr>
        <w:t>对投标文件中材料的真实性、合法性负责，积极配合采购人、采购代理机构复核投标文件中的资料。</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如我方中标，我方承诺：</w:t>
      </w:r>
    </w:p>
    <w:p>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6.其他补充说明:</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spacing w:line="360" w:lineRule="auto"/>
        <w:ind w:firstLine="3600" w:firstLineChars="15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投标人名称（电子签名）：                          </w:t>
      </w:r>
    </w:p>
    <w:p>
      <w:pPr>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pPr>
        <w:spacing w:line="360" w:lineRule="auto"/>
        <w:ind w:right="420"/>
        <w:rPr>
          <w:rFonts w:ascii="仿宋_GB2312" w:hAnsi="仿宋_GB2312" w:eastAsia="仿宋_GB2312" w:cs="仿宋_GB2312"/>
          <w:color w:val="auto"/>
          <w:sz w:val="24"/>
          <w:highlight w:val="none"/>
        </w:rPr>
      </w:pPr>
    </w:p>
    <w:p>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pPr>
        <w:jc w:val="center"/>
        <w:rPr>
          <w:rFonts w:ascii="仿宋_GB2312" w:hAnsi="仿宋_GB2312" w:eastAsia="仿宋_GB2312" w:cs="仿宋_GB2312"/>
          <w:b/>
          <w:color w:val="auto"/>
          <w:kern w:val="0"/>
          <w:sz w:val="32"/>
          <w:szCs w:val="32"/>
          <w:highlight w:val="none"/>
        </w:rPr>
      </w:pPr>
    </w:p>
    <w:p>
      <w:pPr>
        <w:pStyle w:val="3"/>
        <w:rPr>
          <w:rFonts w:hAnsi="仿宋_GB2312" w:cs="仿宋_GB2312"/>
          <w:color w:val="auto"/>
          <w:highlight w:val="none"/>
          <w:lang w:val="en-US"/>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snapToGrid w:val="0"/>
        <w:spacing w:line="360" w:lineRule="auto"/>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杭州市钱塘区人民政府白杨街道办事处</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rPr>
        <w:t>，所在单位：</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投标人名称(电子签名)：</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 xml:space="preserve">                                                 签发日期：  年  月   日</w:t>
      </w:r>
    </w:p>
    <w:p>
      <w:pPr>
        <w:pStyle w:val="173"/>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3"/>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pPr>
              <w:pStyle w:val="173"/>
              <w:adjustRightInd w:val="0"/>
              <w:spacing w:line="360" w:lineRule="auto"/>
              <w:rPr>
                <w:rFonts w:ascii="仿宋_GB2312" w:hAnsi="仿宋_GB2312" w:eastAsia="仿宋_GB2312" w:cs="仿宋_GB2312"/>
                <w:bCs/>
                <w:color w:val="auto"/>
                <w:sz w:val="24"/>
                <w:highlight w:val="none"/>
              </w:rPr>
            </w:pPr>
          </w:p>
        </w:tc>
      </w:tr>
    </w:tbl>
    <w:p>
      <w:pPr>
        <w:snapToGrid w:val="0"/>
        <w:spacing w:line="360" w:lineRule="auto"/>
        <w:rPr>
          <w:rFonts w:ascii="仿宋_GB2312" w:hAnsi="仿宋_GB2312" w:eastAsia="仿宋_GB2312" w:cs="仿宋_GB2312"/>
          <w:color w:val="auto"/>
          <w:kern w:val="0"/>
          <w:sz w:val="24"/>
          <w:highlight w:val="none"/>
          <w:lang w:val="zh-CN"/>
        </w:rPr>
      </w:pP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zh-CN"/>
        </w:rPr>
        <w:t xml:space="preserve">      </w:t>
      </w:r>
    </w:p>
    <w:p>
      <w:pPr>
        <w:jc w:val="center"/>
        <w:rPr>
          <w:rFonts w:ascii="仿宋_GB2312" w:hAnsi="仿宋_GB2312" w:eastAsia="仿宋_GB2312" w:cs="仿宋_GB2312"/>
          <w:b/>
          <w:color w:val="auto"/>
          <w:kern w:val="0"/>
          <w:sz w:val="32"/>
          <w:szCs w:val="32"/>
          <w:highlight w:val="none"/>
          <w:lang w:val="zh-CN"/>
        </w:rPr>
      </w:pPr>
    </w:p>
    <w:p>
      <w:pPr>
        <w:jc w:val="center"/>
        <w:rPr>
          <w:rFonts w:ascii="仿宋_GB2312" w:hAnsi="仿宋_GB2312" w:eastAsia="仿宋_GB2312" w:cs="仿宋_GB2312"/>
          <w:b/>
          <w:color w:val="auto"/>
          <w:kern w:val="0"/>
          <w:sz w:val="32"/>
          <w:szCs w:val="32"/>
          <w:highlight w:val="none"/>
          <w:lang w:val="zh-CN"/>
        </w:rPr>
      </w:pPr>
    </w:p>
    <w:p>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杭州市钱塘区人民政府白杨街道办事处</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现</w:t>
      </w:r>
      <w:r>
        <w:rPr>
          <w:rFonts w:hint="eastAsia" w:ascii="仿宋_GB2312" w:hAnsi="仿宋_GB2312" w:eastAsia="仿宋_GB2312" w:cs="仿宋_GB2312"/>
          <w:color w:val="auto"/>
          <w:kern w:val="0"/>
          <w:sz w:val="24"/>
          <w:highlight w:val="none"/>
          <w:lang w:val="zh-CN"/>
        </w:rPr>
        <w:t>委托</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（姓名）为我方代理人（身份证号码：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，手机：</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rPr>
        <w:t>，所在单位：</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），以我方名义处理</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委托期限</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自</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日起至</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年</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日止。</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特此告知。</w:t>
      </w:r>
    </w:p>
    <w:p>
      <w:pPr>
        <w:rPr>
          <w:rFonts w:ascii="仿宋_GB2312" w:hAnsi="仿宋_GB2312" w:eastAsia="仿宋_GB2312" w:cs="仿宋_GB2312"/>
          <w:b/>
          <w:color w:val="auto"/>
          <w:kern w:val="0"/>
          <w:sz w:val="32"/>
          <w:szCs w:val="32"/>
          <w:highlight w:val="none"/>
        </w:rPr>
      </w:pPr>
    </w:p>
    <w:p>
      <w:pPr>
        <w:rPr>
          <w:rFonts w:ascii="仿宋_GB2312" w:hAnsi="仿宋_GB2312" w:eastAsia="仿宋_GB2312" w:cs="仿宋_GB2312"/>
          <w:color w:val="auto"/>
          <w:highlight w:val="none"/>
        </w:rPr>
      </w:pPr>
    </w:p>
    <w:p>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pStyle w:val="173"/>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授权代表的身份证件扫描件：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3"/>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pPr>
              <w:pStyle w:val="173"/>
              <w:adjustRightInd w:val="0"/>
              <w:spacing w:line="360" w:lineRule="auto"/>
              <w:rPr>
                <w:rFonts w:ascii="仿宋_GB2312" w:hAnsi="仿宋_GB2312" w:eastAsia="仿宋_GB2312" w:cs="仿宋_GB2312"/>
                <w:bCs/>
                <w:color w:val="auto"/>
                <w:sz w:val="24"/>
                <w:highlight w:val="none"/>
              </w:rPr>
            </w:pPr>
          </w:p>
        </w:tc>
      </w:tr>
    </w:tbl>
    <w:p>
      <w:pPr>
        <w:spacing w:line="360" w:lineRule="auto"/>
        <w:ind w:firstLine="480" w:firstLineChars="200"/>
        <w:rPr>
          <w:rFonts w:ascii="仿宋_GB2312" w:hAnsi="仿宋_GB2312" w:eastAsia="仿宋_GB2312" w:cs="仿宋_GB2312"/>
          <w:color w:val="auto"/>
          <w:kern w:val="0"/>
          <w:sz w:val="24"/>
          <w:highlight w:val="none"/>
          <w:lang w:val="zh-CN"/>
        </w:rPr>
      </w:pPr>
    </w:p>
    <w:p>
      <w:pPr>
        <w:spacing w:line="360" w:lineRule="auto"/>
        <w:ind w:firstLine="480" w:firstLineChars="200"/>
        <w:rPr>
          <w:rFonts w:ascii="仿宋_GB2312" w:hAnsi="仿宋_GB2312" w:eastAsia="仿宋_GB2312" w:cs="仿宋_GB2312"/>
          <w:color w:val="auto"/>
          <w:sz w:val="24"/>
          <w:highlight w:val="none"/>
          <w:lang w:val="zh-CN"/>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32"/>
          <w:szCs w:val="32"/>
          <w:highlight w:val="none"/>
          <w:lang w:val="zh-CN"/>
        </w:rPr>
        <w:t>法定代表人、单位负责人或自然人本人</w:t>
      </w:r>
      <w:r>
        <w:rPr>
          <w:rFonts w:hint="eastAsia" w:ascii="仿宋_GB2312" w:hAnsi="仿宋_GB2312" w:eastAsia="仿宋_GB2312" w:cs="仿宋_GB2312"/>
          <w:b/>
          <w:color w:val="auto"/>
          <w:sz w:val="30"/>
          <w:szCs w:val="30"/>
          <w:highlight w:val="none"/>
        </w:rPr>
        <w:t>的身份证明（适用于法定代表人、单位负责人或者自然人本人代表投标人参加投标）</w:t>
      </w:r>
    </w:p>
    <w:p>
      <w:pPr>
        <w:pStyle w:val="173"/>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3"/>
              <w:adjustRightIn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正面：                                 反面：</w:t>
            </w:r>
          </w:p>
          <w:p>
            <w:pPr>
              <w:pStyle w:val="173"/>
              <w:adjustRightInd w:val="0"/>
              <w:spacing w:line="360" w:lineRule="auto"/>
              <w:rPr>
                <w:rFonts w:ascii="仿宋_GB2312" w:hAnsi="仿宋_GB2312" w:eastAsia="仿宋_GB2312" w:cs="仿宋_GB2312"/>
                <w:bCs/>
                <w:color w:val="auto"/>
                <w:sz w:val="24"/>
                <w:highlight w:val="none"/>
              </w:rPr>
            </w:pPr>
          </w:p>
        </w:tc>
      </w:tr>
    </w:tbl>
    <w:p>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                              </w:t>
      </w:r>
    </w:p>
    <w:p>
      <w:pPr>
        <w:spacing w:line="360" w:lineRule="auto"/>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snapToGrid w:val="0"/>
        <w:spacing w:line="360" w:lineRule="auto"/>
        <w:rPr>
          <w:rFonts w:ascii="仿宋_GB2312" w:hAnsi="仿宋_GB2312" w:eastAsia="仿宋_GB2312" w:cs="仿宋_GB2312"/>
          <w:b/>
          <w:color w:val="auto"/>
          <w:kern w:val="0"/>
          <w:sz w:val="32"/>
          <w:szCs w:val="32"/>
          <w:highlight w:val="none"/>
        </w:rPr>
        <w:sectPr>
          <w:headerReference r:id="rId24" w:type="first"/>
          <w:footerReference r:id="rId26" w:type="first"/>
          <w:headerReference r:id="rId23" w:type="default"/>
          <w:footerReference r:id="rId25" w:type="default"/>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三、分包意向协议（如果有）</w:t>
      </w:r>
    </w:p>
    <w:p>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中标后以分包方式履行合同的，提供分包意向协议(附件6)；采购人不同意分包或者投标人中标后不以分包方式履行合同的，则不需要提供。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pPr>
        <w:pStyle w:val="3"/>
        <w:rPr>
          <w:rFonts w:hAnsi="仿宋_GB2312" w:cs="仿宋_GB2312"/>
          <w:color w:val="auto"/>
          <w:highlight w:val="none"/>
        </w:rPr>
      </w:pPr>
    </w:p>
    <w:p>
      <w:pPr>
        <w:rPr>
          <w:rFonts w:ascii="仿宋_GB2312" w:hAnsi="仿宋_GB2312" w:eastAsia="仿宋_GB2312" w:cs="仿宋_GB2312"/>
          <w:color w:val="auto"/>
          <w:highlight w:val="none"/>
        </w:rPr>
      </w:pPr>
    </w:p>
    <w:p>
      <w:pPr>
        <w:pStyle w:val="3"/>
        <w:rPr>
          <w:rFonts w:hAnsi="仿宋_GB2312" w:cs="仿宋_GB2312"/>
          <w:color w:val="auto"/>
          <w:highlight w:val="none"/>
        </w:rPr>
      </w:pPr>
    </w:p>
    <w:p>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四、符合性审查资料</w:t>
      </w:r>
    </w:p>
    <w:p>
      <w:pPr>
        <w:jc w:val="center"/>
        <w:rPr>
          <w:rFonts w:ascii="仿宋_GB2312" w:hAnsi="仿宋_GB2312" w:eastAsia="仿宋_GB2312" w:cs="仿宋_GB2312"/>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序号</w:t>
            </w:r>
          </w:p>
        </w:tc>
        <w:tc>
          <w:tcPr>
            <w:tcW w:w="4991"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实质性要求</w:t>
            </w:r>
          </w:p>
        </w:tc>
        <w:tc>
          <w:tcPr>
            <w:tcW w:w="2551"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需要提供的符合性审查资料</w:t>
            </w:r>
          </w:p>
        </w:tc>
        <w:tc>
          <w:tcPr>
            <w:tcW w:w="1418" w:type="dxa"/>
            <w:vAlign w:val="center"/>
          </w:tcPr>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投标文件中的</w:t>
            </w:r>
          </w:p>
          <w:p>
            <w:pPr>
              <w:snapToGrid w:val="0"/>
              <w:spacing w:line="240" w:lineRule="atLeas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4991" w:type="dxa"/>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授权委托书或法定代表人（单位负责人、自然人本人）身份证明有效，盖章齐全。</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授权委托书或法定代表人（单位负责人、自然人本人）身份证明</w:t>
            </w:r>
          </w:p>
        </w:tc>
        <w:tc>
          <w:tcPr>
            <w:tcW w:w="1418" w:type="dxa"/>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4991" w:type="dxa"/>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投标文件中承诺的投标有效期不少于招标文件中载明的投标有效期。</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投标函</w:t>
            </w:r>
          </w:p>
        </w:tc>
        <w:tc>
          <w:tcPr>
            <w:tcW w:w="1418" w:type="dxa"/>
          </w:tcPr>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4991" w:type="dxa"/>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投标文件按照招标文件要求签署、盖章。</w:t>
            </w:r>
          </w:p>
        </w:tc>
        <w:tc>
          <w:tcPr>
            <w:tcW w:w="2551"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需要使用电子签名或者签字盖章的投标文件的组成部分</w:t>
            </w:r>
          </w:p>
        </w:tc>
        <w:tc>
          <w:tcPr>
            <w:tcW w:w="1418" w:type="dxa"/>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w:t>
            </w:r>
          </w:p>
          <w:p>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6" w:type="dxa"/>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snapToGrid w:val="0"/>
                <w:color w:val="auto"/>
                <w:sz w:val="24"/>
                <w:highlight w:val="none"/>
                <w:lang w:val="en-US" w:eastAsia="zh-CN"/>
              </w:rPr>
              <w:t>其他实质性要求1：</w:t>
            </w:r>
          </w:p>
        </w:tc>
        <w:tc>
          <w:tcPr>
            <w:tcW w:w="2551" w:type="dxa"/>
            <w:vMerge w:val="restart"/>
            <w:vAlign w:val="center"/>
          </w:tcPr>
          <w:p>
            <w:pP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招标文件其它实质性要求相应的材料（“▲</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rPr>
              <w:t xml:space="preserve"> 系指实质性要求条款，招标文件无其它实质性要求的，无需提供）</w:t>
            </w:r>
          </w:p>
        </w:tc>
        <w:tc>
          <w:tcPr>
            <w:tcW w:w="1418" w:type="dxa"/>
          </w:tcPr>
          <w:p>
            <w:pPr>
              <w:spacing w:line="24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6" w:type="dxa"/>
            <w:vAlign w:val="center"/>
          </w:tcPr>
          <w:p>
            <w:pPr>
              <w:spacing w:line="360" w:lineRule="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snapToGrid w:val="0"/>
                <w:color w:val="auto"/>
                <w:sz w:val="24"/>
                <w:highlight w:val="none"/>
                <w:lang w:val="en-US" w:eastAsia="zh-CN"/>
              </w:rPr>
              <w:t>其他实质性要求2：</w:t>
            </w:r>
          </w:p>
        </w:tc>
        <w:tc>
          <w:tcPr>
            <w:tcW w:w="2551" w:type="dxa"/>
            <w:vMerge w:val="continue"/>
            <w:vAlign w:val="center"/>
          </w:tcPr>
          <w:p>
            <w:pPr>
              <w:spacing w:line="360" w:lineRule="auto"/>
              <w:rPr>
                <w:rFonts w:hint="eastAsia" w:ascii="仿宋_GB2312" w:hAnsi="仿宋_GB2312" w:eastAsia="仿宋_GB2312" w:cs="仿宋_GB2312"/>
                <w:color w:val="auto"/>
                <w:sz w:val="24"/>
                <w:highlight w:val="none"/>
              </w:rPr>
            </w:pPr>
          </w:p>
        </w:tc>
        <w:tc>
          <w:tcPr>
            <w:tcW w:w="1418" w:type="dxa"/>
          </w:tcPr>
          <w:p>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6" w:type="dxa"/>
            <w:vAlign w:val="center"/>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w:t>
            </w:r>
          </w:p>
        </w:tc>
        <w:tc>
          <w:tcPr>
            <w:tcW w:w="4991" w:type="dxa"/>
            <w:vAlign w:val="top"/>
          </w:tcPr>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val="0"/>
                <w:bCs w:val="0"/>
                <w:snapToGrid w:val="0"/>
                <w:color w:val="auto"/>
                <w:sz w:val="24"/>
                <w:highlight w:val="none"/>
                <w:lang w:val="en-US" w:eastAsia="zh-CN"/>
              </w:rPr>
              <w:t>其他实质性要求</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b w:val="0"/>
                <w:bCs w:val="0"/>
                <w:snapToGrid w:val="0"/>
                <w:color w:val="auto"/>
                <w:sz w:val="24"/>
                <w:highlight w:val="none"/>
                <w:lang w:val="en-US" w:eastAsia="zh-CN"/>
              </w:rPr>
              <w:t>：</w:t>
            </w:r>
          </w:p>
        </w:tc>
        <w:tc>
          <w:tcPr>
            <w:tcW w:w="2551" w:type="dxa"/>
            <w:vMerge w:val="continue"/>
            <w:vAlign w:val="center"/>
          </w:tcPr>
          <w:p>
            <w:pPr>
              <w:spacing w:line="360" w:lineRule="auto"/>
              <w:rPr>
                <w:rFonts w:hint="eastAsia" w:ascii="仿宋_GB2312" w:hAnsi="仿宋_GB2312" w:eastAsia="仿宋_GB2312" w:cs="仿宋_GB2312"/>
                <w:color w:val="auto"/>
                <w:sz w:val="24"/>
                <w:highlight w:val="none"/>
              </w:rPr>
            </w:pPr>
          </w:p>
        </w:tc>
        <w:tc>
          <w:tcPr>
            <w:tcW w:w="1418" w:type="dxa"/>
          </w:tcPr>
          <w:p>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见投标文件第</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页</w:t>
            </w:r>
          </w:p>
        </w:tc>
      </w:tr>
    </w:tbl>
    <w:p>
      <w:pPr>
        <w:spacing w:line="360" w:lineRule="auto"/>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注：1.按本格式和要求提供。</w:t>
      </w:r>
    </w:p>
    <w:p>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2.招标文件中实质性要求必须明确响应。</w:t>
      </w:r>
    </w:p>
    <w:p>
      <w:pPr>
        <w:jc w:val="center"/>
        <w:rPr>
          <w:rFonts w:ascii="仿宋_GB2312" w:hAnsi="仿宋_GB2312" w:eastAsia="仿宋_GB2312" w:cs="仿宋_GB2312"/>
          <w:b/>
          <w:color w:val="auto"/>
          <w:kern w:val="0"/>
          <w:sz w:val="32"/>
          <w:szCs w:val="32"/>
          <w:highlight w:val="none"/>
        </w:rPr>
      </w:pPr>
    </w:p>
    <w:p>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pPr>
        <w:pStyle w:val="27"/>
        <w:rPr>
          <w:rFonts w:ascii="仿宋_GB2312" w:hAnsi="仿宋_GB2312" w:eastAsia="仿宋_GB2312" w:cs="仿宋_GB2312"/>
          <w:color w:val="auto"/>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color w:val="auto"/>
          <w:kern w:val="0"/>
          <w:highlight w:val="none"/>
          <w:lang w:val="zh-CN"/>
        </w:rPr>
        <w:t xml:space="preserve">                   </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kern w:val="0"/>
          <w:highlight w:val="none"/>
          <w:lang w:val="zh-CN"/>
        </w:rPr>
        <w:t>日期：  年  月  日</w:t>
      </w:r>
    </w:p>
    <w:p>
      <w:pPr>
        <w:jc w:val="center"/>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32"/>
          <w:szCs w:val="32"/>
          <w:highlight w:val="none"/>
        </w:rPr>
        <w:t>五、评标标准相应的商务技术资料</w:t>
      </w:r>
    </w:p>
    <w:p>
      <w:pPr>
        <w:snapToGrid w:val="0"/>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（按招标文件第四部分评标办法前附表中“投标文件中评标标准相应的商务技术资料目录”提供资料）</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b w:val="0"/>
                <w:bCs/>
                <w:color w:val="auto"/>
                <w:sz w:val="24"/>
                <w:highlight w:val="none"/>
                <w:lang w:val="en-US" w:eastAsia="zh-CN"/>
              </w:rPr>
            </w:pPr>
            <w:r>
              <w:rPr>
                <w:rFonts w:hint="eastAsia" w:ascii="仿宋_GB2312" w:hAnsi="仿宋_GB2312" w:eastAsia="仿宋_GB2312" w:cs="仿宋_GB2312"/>
                <w:b w:val="0"/>
                <w:bCs/>
                <w:color w:val="auto"/>
                <w:sz w:val="24"/>
                <w:highlight w:val="none"/>
                <w:lang w:val="en-US" w:eastAsia="zh-CN"/>
              </w:rPr>
              <w:t>序号</w:t>
            </w:r>
          </w:p>
        </w:tc>
        <w:tc>
          <w:tcPr>
            <w:tcW w:w="5465" w:type="dxa"/>
          </w:tcPr>
          <w:p>
            <w:pPr>
              <w:snapToGrid w:val="0"/>
              <w:spacing w:line="240" w:lineRule="auto"/>
              <w:jc w:val="center"/>
              <w:rPr>
                <w:rFonts w:hint="eastAsia" w:ascii="仿宋_GB2312" w:hAnsi="仿宋_GB2312" w:eastAsia="仿宋_GB2312" w:cs="仿宋_GB2312"/>
                <w:b w:val="0"/>
                <w:bCs/>
                <w:color w:val="auto"/>
                <w:sz w:val="24"/>
                <w:highlight w:val="none"/>
                <w:vertAlign w:val="baseline"/>
              </w:rPr>
            </w:pPr>
            <w:r>
              <w:rPr>
                <w:rFonts w:hint="eastAsia" w:ascii="仿宋_GB2312" w:hAnsi="仿宋_GB2312" w:eastAsia="仿宋_GB2312" w:cs="仿宋_GB2312"/>
                <w:b w:val="0"/>
                <w:bCs/>
                <w:color w:val="auto"/>
                <w:sz w:val="24"/>
                <w:highlight w:val="none"/>
              </w:rPr>
              <w:t>投标文件中评标标准相应的商务技术资料目录*</w:t>
            </w:r>
          </w:p>
        </w:tc>
        <w:tc>
          <w:tcPr>
            <w:tcW w:w="3046" w:type="dxa"/>
          </w:tcPr>
          <w:p>
            <w:pPr>
              <w:snapToGrid w:val="0"/>
              <w:spacing w:line="240" w:lineRule="auto"/>
              <w:jc w:val="center"/>
              <w:rPr>
                <w:rFonts w:hint="eastAsia" w:ascii="仿宋_GB2312" w:hAnsi="仿宋_GB2312" w:eastAsia="仿宋_GB2312" w:cs="仿宋_GB2312"/>
                <w:b w:val="0"/>
                <w:bCs/>
                <w:color w:val="auto"/>
                <w:sz w:val="24"/>
                <w:highlight w:val="none"/>
                <w:vertAlign w:val="baseline"/>
                <w:lang w:val="en-US" w:eastAsia="zh-CN"/>
              </w:rPr>
            </w:pPr>
            <w:r>
              <w:rPr>
                <w:rFonts w:hint="eastAsia" w:ascii="仿宋_GB2312" w:hAnsi="仿宋_GB2312" w:eastAsia="仿宋_GB2312" w:cs="仿宋_GB2312"/>
                <w:b w:val="0"/>
                <w:bCs/>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b w:val="0"/>
                <w:bCs/>
                <w:color w:val="auto"/>
                <w:sz w:val="24"/>
                <w:highlight w:val="none"/>
                <w:vertAlign w:val="baseline"/>
                <w:lang w:val="en-US" w:eastAsia="zh-CN"/>
              </w:rPr>
            </w:pPr>
            <w:r>
              <w:rPr>
                <w:rFonts w:hint="eastAsia" w:ascii="仿宋_GB2312" w:hAnsi="仿宋_GB2312" w:eastAsia="仿宋_GB2312" w:cs="仿宋_GB2312"/>
                <w:b w:val="0"/>
                <w:bCs/>
                <w:color w:val="auto"/>
                <w:sz w:val="24"/>
                <w:highlight w:val="none"/>
                <w:vertAlign w:val="baseline"/>
                <w:lang w:val="en-US" w:eastAsia="zh-CN"/>
              </w:rPr>
              <w:t>1</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体系认证</w:t>
            </w:r>
          </w:p>
        </w:tc>
        <w:tc>
          <w:tcPr>
            <w:tcW w:w="3046" w:type="dxa"/>
          </w:tcPr>
          <w:p>
            <w:pPr>
              <w:snapToGrid/>
              <w:spacing w:line="240" w:lineRule="auto"/>
              <w:jc w:val="center"/>
              <w:rPr>
                <w:rFonts w:hint="eastAsia" w:ascii="仿宋_GB2312" w:hAnsi="仿宋_GB2312" w:eastAsia="仿宋_GB2312" w:cs="仿宋_GB2312"/>
                <w:b w:val="0"/>
                <w:bCs/>
                <w:color w:val="auto"/>
                <w:sz w:val="24"/>
                <w:highlight w:val="none"/>
                <w:vertAlign w:val="baseline"/>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b w:val="0"/>
                <w:bCs/>
                <w:color w:val="auto"/>
                <w:sz w:val="24"/>
                <w:highlight w:val="none"/>
                <w:vertAlign w:val="baseline"/>
                <w:lang w:val="en-US" w:eastAsia="zh-CN"/>
              </w:rPr>
            </w:pPr>
            <w:r>
              <w:rPr>
                <w:rFonts w:hint="eastAsia" w:ascii="仿宋_GB2312" w:hAnsi="仿宋_GB2312" w:eastAsia="仿宋_GB2312" w:cs="仿宋_GB2312"/>
                <w:b w:val="0"/>
                <w:bCs/>
                <w:color w:val="auto"/>
                <w:sz w:val="24"/>
                <w:highlight w:val="none"/>
                <w:vertAlign w:val="baseline"/>
                <w:lang w:val="en-US" w:eastAsia="zh-CN"/>
              </w:rPr>
              <w:t>2</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类似业绩</w:t>
            </w:r>
          </w:p>
        </w:tc>
        <w:tc>
          <w:tcPr>
            <w:tcW w:w="3046" w:type="dxa"/>
          </w:tcPr>
          <w:p>
            <w:pPr>
              <w:snapToGrid/>
              <w:spacing w:line="240" w:lineRule="auto"/>
              <w:jc w:val="center"/>
              <w:rPr>
                <w:rFonts w:hint="eastAsia" w:ascii="仿宋_GB2312" w:hAnsi="仿宋_GB2312" w:eastAsia="仿宋_GB2312" w:cs="仿宋_GB2312"/>
                <w:b w:val="0"/>
                <w:bCs/>
                <w:color w:val="auto"/>
                <w:sz w:val="24"/>
                <w:highlight w:val="none"/>
                <w:vertAlign w:val="baseline"/>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b w:val="0"/>
                <w:bCs/>
                <w:color w:val="auto"/>
                <w:sz w:val="24"/>
                <w:highlight w:val="none"/>
                <w:vertAlign w:val="baseline"/>
                <w:lang w:val="en-US" w:eastAsia="zh-CN"/>
              </w:rPr>
            </w:pPr>
            <w:r>
              <w:rPr>
                <w:rFonts w:hint="eastAsia" w:ascii="仿宋_GB2312" w:hAnsi="仿宋_GB2312" w:eastAsia="仿宋_GB2312" w:cs="仿宋_GB2312"/>
                <w:color w:val="auto"/>
                <w:kern w:val="0"/>
                <w:sz w:val="24"/>
                <w:highlight w:val="none"/>
                <w:lang w:val="en-US" w:eastAsia="zh-CN"/>
              </w:rPr>
              <w:t>3</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荣誉情况</w:t>
            </w:r>
          </w:p>
        </w:tc>
        <w:tc>
          <w:tcPr>
            <w:tcW w:w="3046" w:type="dxa"/>
          </w:tcPr>
          <w:p>
            <w:pPr>
              <w:snapToGrid/>
              <w:spacing w:line="240" w:lineRule="auto"/>
              <w:jc w:val="center"/>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4</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信息化能力</w:t>
            </w:r>
          </w:p>
        </w:tc>
        <w:tc>
          <w:tcPr>
            <w:tcW w:w="3046" w:type="dxa"/>
            <w:vAlign w:val="top"/>
          </w:tcPr>
          <w:p>
            <w:pPr>
              <w:snapToGrid/>
              <w:spacing w:line="240" w:lineRule="auto"/>
              <w:jc w:val="center"/>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5</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应急保障能力</w:t>
            </w:r>
          </w:p>
        </w:tc>
        <w:tc>
          <w:tcPr>
            <w:tcW w:w="3046" w:type="dxa"/>
            <w:vAlign w:val="top"/>
          </w:tcPr>
          <w:p>
            <w:pPr>
              <w:snapToGrid/>
              <w:spacing w:line="240" w:lineRule="auto"/>
              <w:jc w:val="center"/>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6</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一体化实施方案</w:t>
            </w:r>
          </w:p>
        </w:tc>
        <w:tc>
          <w:tcPr>
            <w:tcW w:w="3046" w:type="dxa"/>
            <w:vAlign w:val="top"/>
          </w:tcPr>
          <w:p>
            <w:pPr>
              <w:snapToGrid/>
              <w:spacing w:line="240" w:lineRule="auto"/>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7</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项目负责人</w:t>
            </w:r>
          </w:p>
        </w:tc>
        <w:tc>
          <w:tcPr>
            <w:tcW w:w="3046" w:type="dxa"/>
            <w:vAlign w:val="top"/>
          </w:tcPr>
          <w:p>
            <w:pPr>
              <w:snapToGrid/>
              <w:spacing w:line="240" w:lineRule="auto"/>
              <w:jc w:val="center"/>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8</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管理团队</w:t>
            </w:r>
          </w:p>
        </w:tc>
        <w:tc>
          <w:tcPr>
            <w:tcW w:w="3046" w:type="dxa"/>
            <w:vAlign w:val="top"/>
          </w:tcPr>
          <w:p>
            <w:pPr>
              <w:snapToGrid/>
              <w:spacing w:line="240" w:lineRule="auto"/>
              <w:jc w:val="center"/>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9</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技术团队</w:t>
            </w:r>
          </w:p>
        </w:tc>
        <w:tc>
          <w:tcPr>
            <w:tcW w:w="3046" w:type="dxa"/>
            <w:vAlign w:val="top"/>
          </w:tcPr>
          <w:p>
            <w:pPr>
              <w:snapToGrid/>
              <w:spacing w:line="240" w:lineRule="auto"/>
              <w:jc w:val="center"/>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10</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设备投入</w:t>
            </w:r>
          </w:p>
        </w:tc>
        <w:tc>
          <w:tcPr>
            <w:tcW w:w="3046" w:type="dxa"/>
            <w:vAlign w:val="top"/>
          </w:tcPr>
          <w:p>
            <w:pPr>
              <w:snapToGrid/>
              <w:spacing w:line="240" w:lineRule="auto"/>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240" w:lineRule="auto"/>
              <w:jc w:val="center"/>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11</w:t>
            </w:r>
          </w:p>
        </w:tc>
        <w:tc>
          <w:tcPr>
            <w:tcW w:w="5465" w:type="dxa"/>
            <w:vAlign w:val="center"/>
          </w:tcPr>
          <w:p>
            <w:pPr>
              <w:spacing w:line="240" w:lineRule="auto"/>
              <w:jc w:val="center"/>
              <w:outlineLvl w:val="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信息化建设</w:t>
            </w:r>
          </w:p>
        </w:tc>
        <w:tc>
          <w:tcPr>
            <w:tcW w:w="3046" w:type="dxa"/>
            <w:vAlign w:val="top"/>
          </w:tcPr>
          <w:p>
            <w:pPr>
              <w:snapToGrid/>
              <w:spacing w:line="240" w:lineRule="auto"/>
              <w:jc w:val="center"/>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见投标文件第</w:t>
            </w:r>
            <w:r>
              <w:rPr>
                <w:rFonts w:hint="eastAsia" w:ascii="仿宋_GB2312" w:hAnsi="仿宋_GB2312" w:eastAsia="仿宋_GB2312" w:cs="仿宋_GB2312"/>
                <w:b w:val="0"/>
                <w:bCs/>
                <w:color w:val="auto"/>
                <w:sz w:val="24"/>
                <w:highlight w:val="none"/>
                <w:u w:val="single"/>
              </w:rPr>
              <w:t xml:space="preserve">  </w:t>
            </w:r>
            <w:r>
              <w:rPr>
                <w:rFonts w:hint="eastAsia" w:ascii="仿宋_GB2312" w:hAnsi="仿宋_GB2312" w:eastAsia="仿宋_GB2312" w:cs="仿宋_GB2312"/>
                <w:b w:val="0"/>
                <w:bCs/>
                <w:color w:val="auto"/>
                <w:sz w:val="24"/>
                <w:highlight w:val="none"/>
              </w:rPr>
              <w:t>页</w:t>
            </w:r>
          </w:p>
        </w:tc>
      </w:tr>
    </w:tbl>
    <w:p>
      <w:pPr>
        <w:snapToGrid w:val="0"/>
        <w:spacing w:line="360" w:lineRule="auto"/>
        <w:ind w:firstLine="576"/>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 xml:space="preserve">  </w:t>
      </w:r>
      <w:r>
        <w:rPr>
          <w:rFonts w:hint="eastAsia" w:ascii="仿宋_GB2312" w:hAnsi="仿宋_GB2312" w:eastAsia="仿宋_GB2312" w:cs="仿宋_GB2312"/>
          <w:color w:val="auto"/>
          <w:kern w:val="0"/>
          <w:sz w:val="24"/>
          <w:highlight w:val="none"/>
        </w:rPr>
        <w:t xml:space="preserve">               </w:t>
      </w:r>
    </w:p>
    <w:p>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en-US" w:eastAsia="zh-CN"/>
        </w:rPr>
        <w:t xml:space="preserve">                 </w:t>
      </w:r>
      <w:r>
        <w:rPr>
          <w:rFonts w:hint="eastAsia" w:ascii="仿宋_GB2312" w:hAnsi="仿宋_GB2312" w:eastAsia="仿宋_GB2312" w:cs="仿宋_GB2312"/>
          <w:color w:val="auto"/>
          <w:kern w:val="0"/>
          <w:sz w:val="24"/>
          <w:highlight w:val="none"/>
          <w:lang w:val="zh-CN"/>
        </w:rPr>
        <w:t>标人名称(电子签名)：</w:t>
      </w:r>
    </w:p>
    <w:p>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pPr>
        <w:rPr>
          <w:rFonts w:ascii="仿宋_GB2312" w:hAnsi="仿宋_GB2312" w:eastAsia="仿宋_GB2312" w:cs="仿宋_GB2312"/>
          <w:b/>
          <w:color w:val="auto"/>
          <w:kern w:val="0"/>
          <w:sz w:val="32"/>
          <w:szCs w:val="32"/>
          <w:highlight w:val="none"/>
        </w:rPr>
      </w:pPr>
    </w:p>
    <w:p>
      <w:pPr>
        <w:ind w:firstLine="2891" w:firstLineChars="900"/>
        <w:rPr>
          <w:rFonts w:hint="eastAsia" w:ascii="仿宋_GB2312" w:hAnsi="仿宋_GB2312" w:eastAsia="仿宋_GB2312" w:cs="仿宋_GB2312"/>
          <w:b/>
          <w:color w:val="auto"/>
          <w:kern w:val="0"/>
          <w:sz w:val="32"/>
          <w:szCs w:val="3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ind w:firstLine="2891" w:firstLineChars="9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六、投标标的清单</w:t>
      </w:r>
    </w:p>
    <w:tbl>
      <w:tblPr>
        <w:tblStyle w:val="6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202"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color w:val="auto"/>
                <w:sz w:val="24"/>
                <w:highlight w:val="none"/>
                <w:lang w:eastAsia="zh-CN"/>
              </w:rPr>
            </w:pPr>
            <w:r>
              <w:rPr>
                <w:rFonts w:hint="eastAsia" w:ascii="仿宋_GB2312" w:hAnsi="仿宋_GB2312" w:eastAsia="仿宋_GB2312" w:cs="仿宋_GB2312"/>
                <w:b/>
                <w:color w:val="auto"/>
                <w:sz w:val="28"/>
                <w:szCs w:val="28"/>
                <w:highlight w:val="none"/>
                <w:lang w:eastAsia="zh-CN"/>
              </w:rPr>
              <w:t>车辆配置清单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品牌（如果有）</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型号（如果有）</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规格配置详细说明</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数量</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color w:val="auto"/>
                <w:kern w:val="2"/>
                <w:sz w:val="24"/>
                <w:szCs w:val="24"/>
                <w:highlight w:val="none"/>
                <w:lang w:val="en-US" w:eastAsia="zh-CN" w:bidi="ar-SA"/>
              </w:rPr>
            </w:pPr>
            <w:r>
              <w:rPr>
                <w:rFonts w:hint="eastAsia" w:ascii="仿宋_GB2312" w:hAnsi="仿宋_GB2312" w:eastAsia="仿宋_GB2312" w:cs="仿宋_GB2312"/>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bl>
    <w:p>
      <w:pPr>
        <w:spacing w:line="360" w:lineRule="auto"/>
        <w:ind w:right="420"/>
        <w:rPr>
          <w:rFonts w:hint="eastAsia" w:ascii="仿宋_GB2312" w:hAnsi="仿宋_GB2312" w:eastAsia="仿宋_GB2312" w:cs="仿宋_GB2312"/>
          <w:color w:val="auto"/>
          <w:sz w:val="24"/>
          <w:highlight w:val="none"/>
        </w:rPr>
      </w:pPr>
    </w:p>
    <w:tbl>
      <w:tblPr>
        <w:tblStyle w:val="64"/>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202"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p>
        </w:tc>
      </w:tr>
    </w:tbl>
    <w:p>
      <w:pPr>
        <w:spacing w:line="360" w:lineRule="auto"/>
        <w:ind w:right="420"/>
        <w:rPr>
          <w:rFonts w:hint="eastAsia" w:ascii="仿宋_GB2312" w:hAnsi="仿宋_GB2312" w:eastAsia="仿宋_GB2312" w:cs="仿宋_GB2312"/>
          <w:color w:val="auto"/>
          <w:sz w:val="24"/>
          <w:highlight w:val="none"/>
        </w:rPr>
      </w:pPr>
    </w:p>
    <w:p>
      <w:pPr>
        <w:pStyle w:val="27"/>
        <w:ind w:left="0" w:leftChars="0" w:firstLine="0" w:firstLineChars="0"/>
        <w:jc w:val="center"/>
        <w:rPr>
          <w:rFonts w:hint="eastAsia" w:eastAsia="仿宋_GB2312"/>
          <w:lang w:eastAsia="zh-CN"/>
        </w:rPr>
      </w:pPr>
      <w:r>
        <w:rPr>
          <w:rFonts w:hint="eastAsia" w:ascii="仿宋_GB2312" w:hAnsi="仿宋_GB2312" w:eastAsia="仿宋_GB2312" w:cs="仿宋_GB2312"/>
          <w:b/>
          <w:kern w:val="2"/>
          <w:sz w:val="28"/>
          <w:szCs w:val="28"/>
          <w:lang w:val="en-US" w:eastAsia="zh-CN" w:bidi="ar-SA"/>
        </w:rPr>
        <w:t>人员配置清单（格式自拟）</w:t>
      </w:r>
    </w:p>
    <w:p>
      <w:pPr>
        <w:spacing w:line="360" w:lineRule="auto"/>
        <w:ind w:right="420"/>
        <w:rPr>
          <w:rFonts w:hint="eastAsia" w:ascii="仿宋_GB2312" w:hAnsi="仿宋_GB2312" w:eastAsia="仿宋_GB2312" w:cs="仿宋_GB2312"/>
          <w:color w:val="auto"/>
          <w:sz w:val="24"/>
          <w:highlight w:val="none"/>
        </w:rPr>
      </w:pPr>
    </w:p>
    <w:p>
      <w:pPr>
        <w:spacing w:line="360" w:lineRule="auto"/>
        <w:ind w:right="42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pPr>
        <w:snapToGrid w:val="0"/>
        <w:spacing w:line="360" w:lineRule="auto"/>
        <w:ind w:firstLine="576"/>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pPr>
        <w:jc w:val="center"/>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24"/>
          <w:highlight w:val="none"/>
          <w:lang w:val="zh-CN"/>
        </w:rPr>
        <w:t xml:space="preserve">                   日期：  年  月  日</w:t>
      </w:r>
    </w:p>
    <w:p>
      <w:pPr>
        <w:jc w:val="both"/>
        <w:rPr>
          <w:rFonts w:ascii="仿宋_GB2312" w:hAnsi="仿宋_GB2312" w:eastAsia="仿宋_GB2312" w:cs="仿宋_GB2312"/>
          <w:b/>
          <w:color w:val="auto"/>
          <w:kern w:val="0"/>
          <w:sz w:val="32"/>
          <w:szCs w:val="32"/>
          <w:highlight w:val="none"/>
        </w:rPr>
      </w:pPr>
    </w:p>
    <w:p>
      <w:pPr>
        <w:jc w:val="center"/>
        <w:rPr>
          <w:rFonts w:hint="eastAsia" w:ascii="仿宋_GB2312" w:hAnsi="仿宋_GB2312" w:eastAsia="仿宋_GB2312" w:cs="仿宋_GB2312"/>
          <w:b/>
          <w:color w:val="auto"/>
          <w:kern w:val="0"/>
          <w:sz w:val="32"/>
          <w:szCs w:val="3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序号</w:t>
            </w:r>
          </w:p>
        </w:tc>
        <w:tc>
          <w:tcPr>
            <w:tcW w:w="3683" w:type="dxa"/>
          </w:tcPr>
          <w:p>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招标文件章节及具体内容</w:t>
            </w:r>
          </w:p>
        </w:tc>
        <w:tc>
          <w:tcPr>
            <w:tcW w:w="3546" w:type="dxa"/>
          </w:tcPr>
          <w:p>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投标文件章节及具体内容</w:t>
            </w:r>
          </w:p>
        </w:tc>
        <w:tc>
          <w:tcPr>
            <w:tcW w:w="1276" w:type="dxa"/>
          </w:tcPr>
          <w:p>
            <w:pPr>
              <w:jc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3683" w:type="dxa"/>
          </w:tcPr>
          <w:p>
            <w:pPr>
              <w:jc w:val="center"/>
              <w:rPr>
                <w:rFonts w:ascii="仿宋_GB2312" w:hAnsi="仿宋_GB2312" w:eastAsia="仿宋_GB2312" w:cs="仿宋_GB2312"/>
                <w:b/>
                <w:color w:val="auto"/>
                <w:kern w:val="0"/>
                <w:sz w:val="32"/>
                <w:szCs w:val="32"/>
                <w:highlight w:val="none"/>
              </w:rPr>
            </w:pPr>
          </w:p>
        </w:tc>
        <w:tc>
          <w:tcPr>
            <w:tcW w:w="3546" w:type="dxa"/>
          </w:tcPr>
          <w:p>
            <w:pPr>
              <w:jc w:val="center"/>
              <w:rPr>
                <w:rFonts w:ascii="仿宋_GB2312" w:hAnsi="仿宋_GB2312" w:eastAsia="仿宋_GB2312" w:cs="仿宋_GB2312"/>
                <w:b/>
                <w:color w:val="auto"/>
                <w:kern w:val="0"/>
                <w:sz w:val="32"/>
                <w:szCs w:val="32"/>
                <w:highlight w:val="none"/>
              </w:rPr>
            </w:pPr>
          </w:p>
        </w:tc>
        <w:tc>
          <w:tcPr>
            <w:tcW w:w="1276" w:type="dxa"/>
          </w:tcPr>
          <w:p>
            <w:pPr>
              <w:jc w:val="center"/>
              <w:rPr>
                <w:rFonts w:ascii="仿宋_GB2312" w:hAnsi="仿宋_GB2312"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3683" w:type="dxa"/>
          </w:tcPr>
          <w:p>
            <w:pPr>
              <w:jc w:val="center"/>
              <w:rPr>
                <w:rFonts w:ascii="仿宋_GB2312" w:hAnsi="仿宋_GB2312" w:eastAsia="仿宋_GB2312" w:cs="仿宋_GB2312"/>
                <w:b/>
                <w:color w:val="auto"/>
                <w:kern w:val="0"/>
                <w:sz w:val="32"/>
                <w:szCs w:val="32"/>
                <w:highlight w:val="none"/>
              </w:rPr>
            </w:pPr>
          </w:p>
        </w:tc>
        <w:tc>
          <w:tcPr>
            <w:tcW w:w="3546" w:type="dxa"/>
          </w:tcPr>
          <w:p>
            <w:pPr>
              <w:jc w:val="center"/>
              <w:rPr>
                <w:rFonts w:ascii="仿宋_GB2312" w:hAnsi="仿宋_GB2312" w:eastAsia="仿宋_GB2312" w:cs="仿宋_GB2312"/>
                <w:b/>
                <w:color w:val="auto"/>
                <w:kern w:val="0"/>
                <w:sz w:val="32"/>
                <w:szCs w:val="32"/>
                <w:highlight w:val="none"/>
              </w:rPr>
            </w:pPr>
          </w:p>
        </w:tc>
        <w:tc>
          <w:tcPr>
            <w:tcW w:w="1276" w:type="dxa"/>
          </w:tcPr>
          <w:p>
            <w:pPr>
              <w:jc w:val="center"/>
              <w:rPr>
                <w:rFonts w:ascii="仿宋_GB2312" w:hAnsi="仿宋_GB2312"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tc>
        <w:tc>
          <w:tcPr>
            <w:tcW w:w="3683" w:type="dxa"/>
          </w:tcPr>
          <w:p>
            <w:pPr>
              <w:jc w:val="center"/>
              <w:rPr>
                <w:rFonts w:ascii="仿宋_GB2312" w:hAnsi="仿宋_GB2312" w:eastAsia="仿宋_GB2312" w:cs="仿宋_GB2312"/>
                <w:b/>
                <w:color w:val="auto"/>
                <w:kern w:val="0"/>
                <w:sz w:val="32"/>
                <w:szCs w:val="32"/>
                <w:highlight w:val="none"/>
              </w:rPr>
            </w:pPr>
          </w:p>
        </w:tc>
        <w:tc>
          <w:tcPr>
            <w:tcW w:w="3546" w:type="dxa"/>
          </w:tcPr>
          <w:p>
            <w:pPr>
              <w:jc w:val="center"/>
              <w:rPr>
                <w:rFonts w:ascii="仿宋_GB2312" w:hAnsi="仿宋_GB2312" w:eastAsia="仿宋_GB2312" w:cs="仿宋_GB2312"/>
                <w:b/>
                <w:color w:val="auto"/>
                <w:kern w:val="0"/>
                <w:sz w:val="32"/>
                <w:szCs w:val="32"/>
                <w:highlight w:val="none"/>
              </w:rPr>
            </w:pPr>
          </w:p>
        </w:tc>
        <w:tc>
          <w:tcPr>
            <w:tcW w:w="1276" w:type="dxa"/>
          </w:tcPr>
          <w:p>
            <w:pPr>
              <w:jc w:val="center"/>
              <w:rPr>
                <w:rFonts w:ascii="仿宋_GB2312" w:hAnsi="仿宋_GB2312" w:eastAsia="仿宋_GB2312" w:cs="仿宋_GB2312"/>
                <w:b/>
                <w:color w:val="auto"/>
                <w:kern w:val="0"/>
                <w:sz w:val="32"/>
                <w:szCs w:val="32"/>
                <w:highlight w:val="none"/>
              </w:rPr>
            </w:pPr>
          </w:p>
        </w:tc>
      </w:tr>
    </w:tbl>
    <w:p>
      <w:pPr>
        <w:spacing w:line="360" w:lineRule="auto"/>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投标人保证：除商务技术偏离表列出的偏离外，投标人响应招标文件的全部要求</w:t>
      </w:r>
    </w:p>
    <w:p>
      <w:pPr>
        <w:spacing w:line="360" w:lineRule="auto"/>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注：1.按本格式和要求提供。</w:t>
      </w:r>
    </w:p>
    <w:p>
      <w:pPr>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2.本表格所反映的偏离情况与“符合性审查资料”、“评标标准相应的商务技术资料”不一致的，以“符合性审查资料”、“评标标准相应的商务技术资料”为准。</w:t>
      </w:r>
    </w:p>
    <w:p>
      <w:pPr>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3.投标人须保证：除商务技术偏离表列出的偏离外，投标人响应招标文件的全部非实质性要求。</w:t>
      </w:r>
    </w:p>
    <w:p>
      <w:pPr>
        <w:ind w:firstLine="1911" w:firstLineChars="595"/>
        <w:rPr>
          <w:rFonts w:ascii="仿宋_GB2312" w:hAnsi="仿宋_GB2312" w:eastAsia="仿宋_GB2312" w:cs="仿宋_GB2312"/>
          <w:b/>
          <w:color w:val="auto"/>
          <w:kern w:val="0"/>
          <w:sz w:val="32"/>
          <w:szCs w:val="32"/>
          <w:highlight w:val="none"/>
        </w:rPr>
      </w:pPr>
    </w:p>
    <w:p>
      <w:pPr>
        <w:snapToGrid w:val="0"/>
        <w:spacing w:line="360" w:lineRule="auto"/>
        <w:ind w:firstLine="576"/>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投标人名称(电子签名)：                              </w:t>
      </w:r>
    </w:p>
    <w:p>
      <w:pPr>
        <w:jc w:val="center"/>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jc w:val="center"/>
        <w:rPr>
          <w:rFonts w:hint="eastAsia" w:ascii="仿宋_GB2312" w:hAnsi="仿宋_GB2312" w:eastAsia="仿宋_GB2312" w:cs="仿宋_GB2312"/>
          <w:color w:val="auto"/>
          <w:kern w:val="0"/>
          <w:sz w:val="24"/>
          <w:highlight w:val="none"/>
          <w:lang w:val="zh-CN"/>
        </w:rPr>
      </w:pPr>
    </w:p>
    <w:p>
      <w:pPr>
        <w:jc w:val="center"/>
        <w:rPr>
          <w:rFonts w:hint="eastAsia" w:ascii="仿宋_GB2312" w:hAnsi="仿宋_GB2312" w:eastAsia="仿宋_GB2312" w:cs="仿宋_GB2312"/>
          <w:b/>
          <w:color w:val="auto"/>
          <w:kern w:val="0"/>
          <w:sz w:val="32"/>
          <w:szCs w:val="32"/>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八、</w:t>
      </w:r>
      <w:r>
        <w:rPr>
          <w:rFonts w:hint="eastAsia" w:ascii="仿宋_GB2312" w:hAnsi="仿宋_GB2312"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_GB2312" w:eastAsia="仿宋_GB2312" w:cs="仿宋_GB2312"/>
          <w:color w:val="auto"/>
          <w:sz w:val="24"/>
          <w:highlight w:val="none"/>
        </w:rPr>
      </w:pP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杭州市钱塘区人民政府白杨街道办事处</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仿宋_GB2312" w:eastAsia="仿宋_GB2312" w:cs="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仿宋_GB2312" w:eastAsia="仿宋_GB2312" w:cs="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 xml:space="preserve">）：                                                                                                                                                                                                               </w:t>
      </w:r>
    </w:p>
    <w:p>
      <w:pPr>
        <w:spacing w:line="360" w:lineRule="auto"/>
        <w:ind w:left="4620" w:leftChars="2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_GB2312" w:eastAsia="仿宋_GB2312" w:cs="仿宋_GB2312"/>
          <w:b/>
          <w:bCs/>
          <w:color w:val="auto"/>
          <w:sz w:val="24"/>
          <w:highlight w:val="none"/>
        </w:rPr>
      </w:pPr>
    </w:p>
    <w:p>
      <w:pPr>
        <w:spacing w:line="360" w:lineRule="auto"/>
        <w:jc w:val="center"/>
        <w:rPr>
          <w:rFonts w:ascii="仿宋_GB2312" w:hAnsi="仿宋_GB2312" w:eastAsia="仿宋_GB2312" w:cs="仿宋_GB2312"/>
          <w:b/>
          <w:bCs/>
          <w:color w:val="auto"/>
          <w:sz w:val="24"/>
          <w:highlight w:val="none"/>
        </w:rPr>
        <w:sectPr>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报价文件部分</w:t>
      </w:r>
    </w:p>
    <w:p>
      <w:pPr>
        <w:spacing w:line="360" w:lineRule="auto"/>
        <w:jc w:val="center"/>
        <w:outlineLvl w:val="0"/>
        <w:rPr>
          <w:rFonts w:ascii="仿宋_GB2312" w:hAnsi="仿宋_GB2312" w:eastAsia="仿宋_GB2312" w:cs="仿宋_GB2312"/>
          <w:b/>
          <w:color w:val="auto"/>
          <w:kern w:val="0"/>
          <w:sz w:val="36"/>
          <w:szCs w:val="36"/>
          <w:highlight w:val="none"/>
        </w:rPr>
      </w:pPr>
      <w:r>
        <w:rPr>
          <w:rFonts w:hint="eastAsia" w:ascii="仿宋_GB2312" w:hAnsi="仿宋_GB2312" w:eastAsia="仿宋_GB2312" w:cs="仿宋_GB2312"/>
          <w:b/>
          <w:color w:val="auto"/>
          <w:kern w:val="0"/>
          <w:sz w:val="36"/>
          <w:szCs w:val="36"/>
          <w:highlight w:val="none"/>
        </w:rPr>
        <w:t>目录</w:t>
      </w:r>
    </w:p>
    <w:p>
      <w:pPr>
        <w:spacing w:line="360" w:lineRule="auto"/>
        <w:jc w:val="center"/>
        <w:outlineLvl w:val="0"/>
        <w:rPr>
          <w:rFonts w:ascii="仿宋_GB2312" w:hAnsi="仿宋_GB2312" w:eastAsia="仿宋_GB2312" w:cs="仿宋_GB2312"/>
          <w:b/>
          <w:color w:val="auto"/>
          <w:kern w:val="0"/>
          <w:sz w:val="36"/>
          <w:szCs w:val="36"/>
          <w:highlight w:val="none"/>
        </w:rPr>
      </w:pPr>
    </w:p>
    <w:p>
      <w:pPr>
        <w:numPr>
          <w:ilvl w:val="0"/>
          <w:numId w:val="5"/>
        </w:num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开标一览表（报价表）………………………………………………（页码）</w:t>
      </w:r>
    </w:p>
    <w:p>
      <w:pPr>
        <w:snapToGrid w:val="0"/>
        <w:spacing w:line="360" w:lineRule="auto"/>
        <w:ind w:right="480"/>
        <w:jc w:val="center"/>
        <w:rPr>
          <w:color w:val="auto"/>
          <w:highlight w:val="none"/>
        </w:rPr>
      </w:pPr>
      <w:r>
        <w:rPr>
          <w:rFonts w:hint="eastAsia" w:ascii="仿宋_GB2312" w:hAnsi="仿宋_GB2312" w:eastAsia="仿宋_GB2312" w:cs="仿宋_GB2312"/>
          <w:color w:val="auto"/>
          <w:sz w:val="24"/>
          <w:highlight w:val="none"/>
        </w:rPr>
        <w:t>（2）报价情况说明…………………………………………………………（页码）</w:t>
      </w:r>
    </w:p>
    <w:p>
      <w:pPr>
        <w:snapToGrid w:val="0"/>
        <w:spacing w:line="360" w:lineRule="auto"/>
        <w:ind w:right="48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（3）中小企业声明函（如果有）…………………………………………（页码）</w:t>
      </w: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snapToGrid w:val="0"/>
        <w:spacing w:line="360" w:lineRule="auto"/>
        <w:ind w:right="480"/>
        <w:jc w:val="center"/>
        <w:rPr>
          <w:rFonts w:ascii="仿宋_GB2312" w:hAnsi="仿宋_GB2312" w:eastAsia="仿宋_GB2312" w:cs="仿宋_GB2312"/>
          <w:b/>
          <w:color w:val="auto"/>
          <w:kern w:val="0"/>
          <w:sz w:val="32"/>
          <w:szCs w:val="32"/>
          <w:highlight w:val="none"/>
        </w:rPr>
      </w:pPr>
    </w:p>
    <w:p>
      <w:pPr>
        <w:pStyle w:val="706"/>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sectPr>
          <w:headerReference r:id="rId28" w:type="first"/>
          <w:footerReference r:id="rId30" w:type="first"/>
          <w:headerReference r:id="rId27" w:type="default"/>
          <w:footerReference r:id="rId29" w:type="default"/>
          <w:pgSz w:w="11906" w:h="16838"/>
          <w:pgMar w:top="680"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706"/>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一、开标一览表（报价表）</w:t>
      </w:r>
    </w:p>
    <w:p>
      <w:pPr>
        <w:snapToGrid w:val="0"/>
        <w:spacing w:line="360" w:lineRule="auto"/>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eastAsia="zh-CN"/>
        </w:rPr>
        <w:t>杭州市钱塘区人民政府白杨街道办事处</w:t>
      </w:r>
      <w:r>
        <w:rPr>
          <w:rFonts w:hint="eastAsia" w:ascii="仿宋_GB2312" w:hAnsi="仿宋_GB2312" w:eastAsia="仿宋_GB2312" w:cs="仿宋_GB2312"/>
          <w:color w:val="auto"/>
          <w:sz w:val="24"/>
          <w:highlight w:val="none"/>
        </w:rPr>
        <w:t>、杭州市公共资源交易中心钱塘分中心</w:t>
      </w:r>
      <w:r>
        <w:rPr>
          <w:rFonts w:hint="eastAsia" w:ascii="仿宋_GB2312" w:hAnsi="仿宋_GB2312" w:eastAsia="仿宋_GB2312" w:cs="仿宋_GB2312"/>
          <w:color w:val="auto"/>
          <w:kern w:val="0"/>
          <w:sz w:val="24"/>
          <w:highlight w:val="none"/>
          <w:lang w:val="zh-CN"/>
        </w:rPr>
        <w:t>：</w:t>
      </w:r>
    </w:p>
    <w:p>
      <w:pPr>
        <w:snapToGrid w:val="0"/>
        <w:spacing w:line="360" w:lineRule="auto"/>
        <w:ind w:firstLine="482"/>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auto"/>
          <w:kern w:val="0"/>
          <w:sz w:val="24"/>
          <w:highlight w:val="none"/>
          <w:u w:val="single"/>
          <w:lang w:val="zh-CN"/>
        </w:rPr>
        <w:t>白杨街道城市基础设施一体化（智慧）养护项目</w:t>
      </w:r>
      <w:r>
        <w:rPr>
          <w:rFonts w:hint="eastAsia" w:ascii="仿宋_GB2312" w:hAnsi="仿宋_GB2312" w:eastAsia="仿宋_GB2312" w:cs="仿宋_GB2312"/>
          <w:color w:val="auto"/>
          <w:kern w:val="0"/>
          <w:sz w:val="24"/>
          <w:highlight w:val="none"/>
          <w:lang w:val="zh-CN"/>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】的实施</w:t>
      </w:r>
      <w:r>
        <w:rPr>
          <w:rFonts w:hint="eastAsia" w:ascii="仿宋_GB2312" w:hAnsi="仿宋_GB2312" w:eastAsia="仿宋_GB2312" w:cs="仿宋_GB2312"/>
          <w:color w:val="auto"/>
          <w:kern w:val="0"/>
          <w:sz w:val="24"/>
          <w:highlight w:val="none"/>
          <w:lang w:val="zh-CN"/>
        </w:rPr>
        <w:t>。</w:t>
      </w:r>
    </w:p>
    <w:p>
      <w:pPr>
        <w:spacing w:line="360" w:lineRule="auto"/>
        <w:jc w:val="center"/>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开标一览表（报价表）(单位均为人民币元)</w:t>
      </w:r>
    </w:p>
    <w:tbl>
      <w:tblPr>
        <w:tblStyle w:val="64"/>
        <w:tblW w:w="14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67"/>
        <w:gridCol w:w="1669"/>
        <w:gridCol w:w="2618"/>
        <w:gridCol w:w="2661"/>
        <w:gridCol w:w="2256"/>
        <w:gridCol w:w="2089"/>
        <w:gridCol w:w="2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jc w:val="center"/>
        </w:trPr>
        <w:tc>
          <w:tcPr>
            <w:tcW w:w="867"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287" w:type="dxa"/>
            <w:gridSpan w:val="2"/>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养护内容</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cs="宋体"/>
                <w:b/>
                <w:bCs/>
                <w:i w:val="0"/>
                <w:iCs w:val="0"/>
                <w:color w:val="000000"/>
                <w:sz w:val="24"/>
                <w:szCs w:val="24"/>
                <w:u w:val="none"/>
                <w:lang w:eastAsia="zh-CN"/>
              </w:rPr>
              <w:t>数量</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三年总价</w:t>
            </w:r>
            <w:r>
              <w:rPr>
                <w:rFonts w:hint="eastAsia" w:ascii="宋体" w:hAnsi="宋体" w:eastAsia="宋体" w:cs="宋体"/>
                <w:b/>
                <w:bCs/>
                <w:i w:val="0"/>
                <w:iCs w:val="0"/>
                <w:color w:val="000000"/>
                <w:kern w:val="0"/>
                <w:sz w:val="24"/>
                <w:szCs w:val="24"/>
                <w:u w:val="none"/>
                <w:lang w:val="en-US" w:eastAsia="zh-CN" w:bidi="ar"/>
              </w:rPr>
              <w:t>（元）</w:t>
            </w:r>
          </w:p>
        </w:tc>
        <w:tc>
          <w:tcPr>
            <w:tcW w:w="221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环卫保洁</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一类道路</w:t>
            </w:r>
            <w:r>
              <w:rPr>
                <w:rFonts w:hint="eastAsia" w:ascii="宋体" w:hAnsi="宋体" w:eastAsia="宋体" w:cs="宋体"/>
                <w:b/>
                <w:bCs/>
                <w:i w:val="0"/>
                <w:iCs w:val="0"/>
                <w:color w:val="000000"/>
                <w:kern w:val="0"/>
                <w:sz w:val="24"/>
                <w:szCs w:val="24"/>
                <w:u w:val="none"/>
                <w:lang w:val="en-US" w:eastAsia="zh-CN" w:bidi="ar"/>
              </w:rPr>
              <w:t>（㎡）</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524773.00 </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三类道路</w:t>
            </w:r>
            <w:r>
              <w:rPr>
                <w:rFonts w:hint="eastAsia" w:ascii="宋体" w:hAnsi="宋体" w:eastAsia="宋体" w:cs="宋体"/>
                <w:b/>
                <w:bCs/>
                <w:i w:val="0"/>
                <w:iCs w:val="0"/>
                <w:color w:val="000000"/>
                <w:kern w:val="0"/>
                <w:sz w:val="24"/>
                <w:szCs w:val="24"/>
                <w:u w:val="none"/>
                <w:lang w:val="en-US" w:eastAsia="zh-CN" w:bidi="ar"/>
              </w:rPr>
              <w:t>（㎡）</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3268136.65 </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绿化养护</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一般绿地（㎡）</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3365186.1</w:t>
            </w:r>
            <w:r>
              <w:rPr>
                <w:rFonts w:hint="eastAsia" w:ascii="宋体" w:hAnsi="宋体" w:cs="宋体"/>
                <w:i w:val="0"/>
                <w:iCs w:val="0"/>
                <w:color w:val="000000"/>
                <w:kern w:val="0"/>
                <w:sz w:val="24"/>
                <w:szCs w:val="24"/>
                <w:u w:val="none"/>
                <w:lang w:val="en-US" w:eastAsia="zh-CN" w:bidi="ar"/>
              </w:rPr>
              <w:t>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常绿地（㎡）</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24011.40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借地绿化</w:t>
            </w:r>
            <w:r>
              <w:rPr>
                <w:rFonts w:hint="eastAsia" w:ascii="宋体" w:hAnsi="宋体" w:eastAsia="宋体" w:cs="宋体"/>
                <w:b/>
                <w:bCs/>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430410.35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时花（㎡）</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6477.36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花镜（㎡）</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3405.00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行道树（棵）</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26587</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/棵</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大树（棵）</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4336</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/棵</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6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市政养护</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道路（㎡）</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3792909.65</w:t>
            </w:r>
          </w:p>
        </w:tc>
        <w:tc>
          <w:tcPr>
            <w:tcW w:w="217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single"/>
                <w:lang w:val="en-US" w:eastAsia="zh-CN" w:bidi="ar"/>
              </w:rPr>
              <w:t xml:space="preserve">     </w:t>
            </w:r>
            <w:r>
              <w:rPr>
                <w:rFonts w:hint="eastAsia" w:ascii="宋体" w:hAnsi="宋体" w:eastAsia="宋体" w:cs="宋体"/>
                <w:b w:val="0"/>
                <w:bCs w:val="0"/>
                <w:i w:val="0"/>
                <w:iCs w:val="0"/>
                <w:color w:val="000000"/>
                <w:kern w:val="0"/>
                <w:sz w:val="24"/>
                <w:szCs w:val="24"/>
                <w:highlight w:val="none"/>
                <w:u w:val="none"/>
                <w:lang w:val="en-US" w:eastAsia="zh-CN" w:bidi="ar"/>
              </w:rPr>
              <w:t>（元</w:t>
            </w:r>
            <w:r>
              <w:rPr>
                <w:rFonts w:hint="eastAsia" w:ascii="宋体"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b w:val="0"/>
                <w:bCs w:val="0"/>
                <w:i w:val="0"/>
                <w:iCs w:val="0"/>
                <w:color w:val="000000"/>
                <w:kern w:val="0"/>
                <w:sz w:val="24"/>
                <w:szCs w:val="24"/>
                <w:highlight w:val="none"/>
                <w:u w:val="none"/>
                <w:lang w:val="en-US" w:eastAsia="zh-CN" w:bidi="ar"/>
              </w:rPr>
              <w:t>年</w:t>
            </w:r>
            <w:r>
              <w:rPr>
                <w:rFonts w:hint="eastAsia" w:ascii="宋体" w:hAnsi="宋体" w:eastAsia="宋体" w:cs="宋体"/>
                <w:b w:val="0"/>
                <w:bCs w:val="0"/>
                <w:i w:val="0"/>
                <w:iCs w:val="0"/>
                <w:color w:val="000000"/>
                <w:kern w:val="0"/>
                <w:sz w:val="24"/>
                <w:szCs w:val="24"/>
                <w:highlight w:val="none"/>
                <w:u w:val="none"/>
                <w:lang w:val="en-US" w:eastAsia="zh-CN" w:bidi="ar"/>
              </w:rPr>
              <w:t>）</w:t>
            </w:r>
          </w:p>
        </w:tc>
        <w:tc>
          <w:tcPr>
            <w:tcW w:w="217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2210" w:type="dxa"/>
            <w:vMerge w:val="restart"/>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none"/>
                <w:lang w:eastAsia="zh-CN"/>
              </w:rPr>
            </w:pPr>
            <w:r>
              <w:rPr>
                <w:rFonts w:hint="eastAsia" w:ascii="宋体" w:hAnsi="宋体" w:cs="宋体"/>
                <w:i w:val="0"/>
                <w:iCs w:val="0"/>
                <w:color w:val="000000"/>
                <w:sz w:val="22"/>
                <w:szCs w:val="22"/>
                <w:highlight w:val="none"/>
                <w:u w:val="none"/>
                <w:lang w:eastAsia="zh-CN"/>
              </w:rPr>
              <w:t>报价按道路数量进行，雨水管道养护费用含在此项报价中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69"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雨水管道（</w:t>
            </w:r>
            <w:r>
              <w:rPr>
                <w:rFonts w:hint="eastAsia" w:ascii="宋体" w:hAnsi="宋体" w:cs="宋体"/>
                <w:i w:val="0"/>
                <w:iCs w:val="0"/>
                <w:color w:val="000000"/>
                <w:kern w:val="0"/>
                <w:sz w:val="24"/>
                <w:szCs w:val="24"/>
                <w:highlight w:val="none"/>
                <w:u w:val="none"/>
                <w:lang w:val="en-US" w:eastAsia="zh-CN" w:bidi="ar"/>
              </w:rPr>
              <w:t>m</w:t>
            </w:r>
            <w:r>
              <w:rPr>
                <w:rFonts w:hint="eastAsia" w:ascii="宋体" w:hAnsi="宋体" w:eastAsia="宋体" w:cs="宋体"/>
                <w:i w:val="0"/>
                <w:iCs w:val="0"/>
                <w:color w:val="000000"/>
                <w:kern w:val="0"/>
                <w:sz w:val="24"/>
                <w:szCs w:val="24"/>
                <w:highlight w:val="none"/>
                <w:u w:val="none"/>
                <w:lang w:val="en-US" w:eastAsia="zh-CN" w:bidi="ar"/>
              </w:rPr>
              <w:t>）</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236502.1</w:t>
            </w:r>
          </w:p>
        </w:tc>
        <w:tc>
          <w:tcPr>
            <w:tcW w:w="2172"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7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河道保洁</w:t>
            </w: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三类一级（保洁）（㎡）</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133983.6</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三类二级（保洁）（㎡）</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1283966.1</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三类三级（保洁）（㎡）</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623858.2</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三类一级（巡查km）</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6.465</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/km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三类二级（巡查km）</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43.059</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/km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三类三级（巡查km）</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/km</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水生植物（㎡）</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28727</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曝气机（台）</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/台</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驳坎维修（m）</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130968</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m/</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公厕养护</w:t>
            </w: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公共厕所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（坑位数）</w:t>
            </w:r>
          </w:p>
        </w:tc>
        <w:tc>
          <w:tcPr>
            <w:tcW w:w="266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w:t>
            </w:r>
          </w:p>
        </w:tc>
        <w:tc>
          <w:tcPr>
            <w:tcW w:w="21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/个</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217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泵站养护</w:t>
            </w: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文泽北路雨水泵站（座）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文津北路雨水泵站（座）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农垦路雨水泵站（座）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德胜路雨水泵站(座）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福雷德广场弃流井（座）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高教园区水泵设施（座）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1#箱涵泵站（座）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11号渠C区治水设备（座）</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u w:val="singl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（元</w:t>
            </w:r>
            <w:r>
              <w:rPr>
                <w:rFonts w:hint="eastAsia" w:ascii="宋体" w:hAnsi="宋体" w:cs="宋体"/>
                <w:b w:val="0"/>
                <w:bCs w:val="0"/>
                <w:i w:val="0"/>
                <w:iCs w:val="0"/>
                <w:color w:val="000000"/>
                <w:kern w:val="0"/>
                <w:sz w:val="24"/>
                <w:szCs w:val="24"/>
                <w:u w:val="none"/>
                <w:lang w:val="en-US" w:eastAsia="zh-CN" w:bidi="ar"/>
              </w:rPr>
              <w:t>/座</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val="0"/>
                <w:bCs w:val="0"/>
                <w:i w:val="0"/>
                <w:iCs w:val="0"/>
                <w:color w:val="000000"/>
                <w:kern w:val="0"/>
                <w:sz w:val="24"/>
                <w:szCs w:val="24"/>
                <w:u w:val="none"/>
                <w:lang w:val="en-US" w:eastAsia="zh-CN" w:bidi="ar"/>
              </w:rPr>
              <w:t>年</w:t>
            </w:r>
            <w:r>
              <w:rPr>
                <w:rFonts w:hint="eastAsia" w:ascii="宋体" w:hAnsi="宋体" w:eastAsia="宋体" w:cs="宋体"/>
                <w:b w:val="0"/>
                <w:bCs w:val="0"/>
                <w:i w:val="0"/>
                <w:iCs w:val="0"/>
                <w:color w:val="000000"/>
                <w:kern w:val="0"/>
                <w:sz w:val="24"/>
                <w:szCs w:val="24"/>
                <w:u w:val="none"/>
                <w:lang w:val="en-US" w:eastAsia="zh-CN" w:bidi="ar"/>
              </w:rPr>
              <w:t>）</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10"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投标报价（小写）</w:t>
            </w:r>
          </w:p>
        </w:tc>
        <w:tc>
          <w:tcPr>
            <w:tcW w:w="9216" w:type="dxa"/>
            <w:gridSpan w:val="4"/>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0" w:type="auto"/>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投标报价（</w:t>
            </w:r>
            <w:r>
              <w:rPr>
                <w:rFonts w:hint="eastAsia" w:ascii="宋体" w:hAnsi="宋体" w:cs="宋体"/>
                <w:b/>
                <w:bCs/>
                <w:i w:val="0"/>
                <w:iCs w:val="0"/>
                <w:color w:val="000000"/>
                <w:kern w:val="0"/>
                <w:sz w:val="24"/>
                <w:szCs w:val="24"/>
                <w:u w:val="none"/>
                <w:lang w:val="en-US" w:eastAsia="zh-CN" w:bidi="ar"/>
              </w:rPr>
              <w:t>大</w:t>
            </w:r>
            <w:r>
              <w:rPr>
                <w:rFonts w:hint="eastAsia" w:ascii="宋体" w:hAnsi="宋体" w:eastAsia="宋体" w:cs="宋体"/>
                <w:b/>
                <w:bCs/>
                <w:i w:val="0"/>
                <w:iCs w:val="0"/>
                <w:color w:val="000000"/>
                <w:kern w:val="0"/>
                <w:sz w:val="24"/>
                <w:szCs w:val="24"/>
                <w:u w:val="none"/>
                <w:lang w:val="en-US" w:eastAsia="zh-CN" w:bidi="ar"/>
              </w:rPr>
              <w:t>写）</w:t>
            </w:r>
          </w:p>
        </w:tc>
        <w:tc>
          <w:tcPr>
            <w:tcW w:w="9216" w:type="dxa"/>
            <w:gridSpan w:val="4"/>
            <w:tcBorders>
              <w:tl2br w:val="nil"/>
              <w:tr2bl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utoSpaceDE w:val="0"/>
        <w:autoSpaceDN w:val="0"/>
        <w:spacing w:line="360" w:lineRule="auto"/>
        <w:ind w:right="1120" w:firstLine="720" w:firstLineChars="300"/>
        <w:jc w:val="left"/>
        <w:rPr>
          <w:rFonts w:hint="eastAsia" w:ascii="仿宋_GB2312" w:hAnsi="仿宋_GB2312" w:eastAsia="仿宋_GB2312" w:cs="仿宋_GB2312"/>
          <w:color w:val="auto"/>
          <w:kern w:val="0"/>
          <w:sz w:val="24"/>
          <w:highlight w:val="none"/>
          <w:lang w:val="zh-CN"/>
        </w:rPr>
      </w:pPr>
    </w:p>
    <w:p>
      <w:pPr>
        <w:autoSpaceDE w:val="0"/>
        <w:autoSpaceDN w:val="0"/>
        <w:spacing w:line="360" w:lineRule="auto"/>
        <w:ind w:right="1120" w:firstLine="720" w:firstLineChars="300"/>
        <w:jc w:val="left"/>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_GB2312"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zh-CN"/>
        </w:rPr>
        <w:t xml:space="preserve">   年   月   日</w:t>
      </w:r>
    </w:p>
    <w:p>
      <w:pPr>
        <w:snapToGrid w:val="0"/>
        <w:spacing w:line="360" w:lineRule="auto"/>
        <w:ind w:firstLine="482" w:firstLineChars="200"/>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b/>
          <w:color w:val="auto"/>
          <w:kern w:val="0"/>
          <w:sz w:val="24"/>
          <w:highlight w:val="none"/>
          <w:lang w:val="zh-CN"/>
        </w:rPr>
        <w:t>注：</w:t>
      </w:r>
    </w:p>
    <w:p>
      <w:pPr>
        <w:spacing w:line="360" w:lineRule="auto"/>
        <w:ind w:left="-2" w:leftChars="-1" w:firstLine="480" w:firstLineChars="2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1、投标人需按本表格式填写</w:t>
      </w:r>
      <w:r>
        <w:rPr>
          <w:rFonts w:hint="eastAsia" w:ascii="仿宋_GB2312" w:hAnsi="仿宋_GB2312" w:eastAsia="仿宋_GB2312" w:cs="仿宋_GB2312"/>
          <w:b/>
          <w:color w:val="auto"/>
          <w:kern w:val="0"/>
          <w:sz w:val="24"/>
          <w:highlight w:val="none"/>
          <w:lang w:val="zh-CN"/>
        </w:rPr>
        <w:t>，</w:t>
      </w:r>
      <w:r>
        <w:rPr>
          <w:rFonts w:hint="eastAsia" w:ascii="仿宋_GB2312" w:hAnsi="仿宋_GB2312" w:eastAsia="仿宋_GB2312" w:cs="仿宋_GB2312"/>
          <w:b/>
          <w:color w:val="auto"/>
          <w:kern w:val="0"/>
          <w:sz w:val="24"/>
          <w:highlight w:val="none"/>
        </w:rPr>
        <w:t>否则视为</w:t>
      </w:r>
      <w:r>
        <w:rPr>
          <w:rFonts w:hint="eastAsia" w:ascii="仿宋_GB2312" w:hAnsi="仿宋_GB2312" w:eastAsia="仿宋_GB2312" w:cs="仿宋_GB2312"/>
          <w:b/>
          <w:color w:val="auto"/>
          <w:sz w:val="24"/>
          <w:highlight w:val="none"/>
        </w:rPr>
        <w:t>投标文件含有采购人不能接受的附加条件，投标无效</w:t>
      </w:r>
      <w:r>
        <w:rPr>
          <w:rFonts w:hint="eastAsia" w:ascii="仿宋_GB2312" w:hAnsi="仿宋_GB2312" w:eastAsia="仿宋_GB2312" w:cs="仿宋_GB2312"/>
          <w:color w:val="auto"/>
          <w:kern w:val="0"/>
          <w:sz w:val="24"/>
          <w:highlight w:val="none"/>
          <w:lang w:val="zh-CN"/>
        </w:rPr>
        <w:t>。</w:t>
      </w:r>
    </w:p>
    <w:p>
      <w:pPr>
        <w:pStyle w:val="706"/>
        <w:keepNext w:val="0"/>
        <w:pageBreakBefore w:val="0"/>
        <w:tabs>
          <w:tab w:val="clear" w:pos="720"/>
        </w:tabs>
        <w:snapToGrid w:val="0"/>
        <w:spacing w:before="120" w:after="120"/>
        <w:ind w:firstLine="480" w:firstLineChars="200"/>
        <w:jc w:val="both"/>
        <w:outlineLvl w:val="9"/>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b w:val="0"/>
          <w:bCs/>
          <w:color w:val="auto"/>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_GB2312" w:hAnsi="仿宋_GB2312" w:eastAsia="仿宋_GB2312" w:cs="仿宋_GB2312"/>
          <w:color w:val="auto"/>
          <w:kern w:val="0"/>
          <w:sz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szCs w:val="22"/>
          <w:highlight w:val="none"/>
          <w:lang w:val="zh-CN"/>
        </w:rPr>
        <w:t>4、</w:t>
      </w:r>
      <w:r>
        <w:rPr>
          <w:rFonts w:hint="eastAsia" w:ascii="仿宋_GB2312" w:hAnsi="仿宋_GB2312"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706"/>
        <w:keepNext w:val="0"/>
        <w:pageBreakBefore w:val="0"/>
        <w:tabs>
          <w:tab w:val="clear" w:pos="720"/>
        </w:tabs>
        <w:snapToGrid w:val="0"/>
        <w:spacing w:before="120" w:after="120"/>
        <w:ind w:firstLine="643"/>
        <w:outlineLvl w:val="9"/>
        <w:rPr>
          <w:rFonts w:hint="eastAsia" w:ascii="仿宋_GB2312" w:hAnsi="仿宋_GB2312" w:eastAsia="仿宋_GB2312" w:cs="仿宋_GB2312"/>
          <w:color w:val="auto"/>
          <w:kern w:val="2"/>
          <w:sz w:val="32"/>
          <w:szCs w:val="32"/>
          <w:highlight w:val="none"/>
        </w:rPr>
        <w:sectPr>
          <w:headerReference r:id="rId32" w:type="first"/>
          <w:footerReference r:id="rId35" w:type="first"/>
          <w:headerReference r:id="rId31" w:type="default"/>
          <w:footerReference r:id="rId33" w:type="default"/>
          <w:footerReference r:id="rId34" w:type="even"/>
          <w:pgSz w:w="16838" w:h="11906" w:orient="landscape"/>
          <w:pgMar w:top="1418" w:right="680" w:bottom="1417" w:left="471" w:header="851" w:footer="992" w:gutter="0"/>
          <w:pgBorders>
            <w:top w:val="none" w:sz="0" w:space="0"/>
            <w:left w:val="none" w:sz="0" w:space="0"/>
            <w:bottom w:val="none" w:sz="0" w:space="0"/>
            <w:right w:val="none" w:sz="0" w:space="0"/>
          </w:pgBorders>
          <w:cols w:space="720" w:num="1"/>
          <w:titlePg/>
          <w:docGrid w:linePitch="312" w:charSpace="0"/>
        </w:sectPr>
      </w:pPr>
    </w:p>
    <w:p>
      <w:pPr>
        <w:pStyle w:val="706"/>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p>
    <w:p>
      <w:pPr>
        <w:pStyle w:val="706"/>
        <w:keepNext w:val="0"/>
        <w:pageBreakBefore w:val="0"/>
        <w:tabs>
          <w:tab w:val="clear" w:pos="720"/>
        </w:tabs>
        <w:snapToGrid w:val="0"/>
        <w:spacing w:before="120" w:after="120"/>
        <w:ind w:firstLine="643"/>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二、报价情况说明（如果有）</w:t>
      </w:r>
    </w:p>
    <w:p>
      <w:pPr>
        <w:pStyle w:val="3"/>
        <w:keepNext w:val="0"/>
        <w:numPr>
          <w:ilvl w:val="255"/>
          <w:numId w:val="0"/>
        </w:numPr>
        <w:tabs>
          <w:tab w:val="clear" w:pos="432"/>
        </w:tabs>
        <w:snapToGrid w:val="0"/>
        <w:spacing w:before="120" w:after="120"/>
        <w:rPr>
          <w:rFonts w:hAnsi="仿宋_GB2312" w:cs="仿宋_GB2312"/>
          <w:bCs w:val="0"/>
          <w:color w:val="auto"/>
          <w:sz w:val="24"/>
          <w:szCs w:val="24"/>
          <w:highlight w:val="none"/>
          <w:lang w:val="en-US"/>
        </w:rPr>
      </w:pPr>
      <w:r>
        <w:rPr>
          <w:rFonts w:hint="eastAsia" w:hAnsi="仿宋_GB2312" w:cs="仿宋_GB2312"/>
          <w:bCs w:val="0"/>
          <w:color w:val="auto"/>
          <w:sz w:val="24"/>
          <w:szCs w:val="24"/>
          <w:highlight w:val="none"/>
          <w:lang w:val="en-US"/>
        </w:rPr>
        <w:t>（如供应商报价低于项目预算50%的，应当提交本文档，详细阐述不影响产品质量或者诚信履约的具体原因。）</w:t>
      </w:r>
    </w:p>
    <w:p>
      <w:pPr>
        <w:pStyle w:val="706"/>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p>
    <w:p>
      <w:pPr>
        <w:pStyle w:val="706"/>
        <w:keepNext w:val="0"/>
        <w:pageBreakBefore w:val="0"/>
        <w:tabs>
          <w:tab w:val="clear" w:pos="720"/>
        </w:tabs>
        <w:snapToGrid w:val="0"/>
        <w:spacing w:before="120" w:after="120"/>
        <w:ind w:firstLine="643"/>
        <w:outlineLvl w:val="9"/>
        <w:rPr>
          <w:rFonts w:ascii="仿宋_GB2312" w:hAnsi="仿宋_GB2312" w:eastAsia="仿宋_GB2312" w:cs="仿宋_GB2312"/>
          <w:color w:val="auto"/>
          <w:kern w:val="2"/>
          <w:sz w:val="32"/>
          <w:szCs w:val="32"/>
          <w:highlight w:val="none"/>
        </w:rPr>
      </w:pPr>
    </w:p>
    <w:p>
      <w:pPr>
        <w:pStyle w:val="706"/>
        <w:keepNext w:val="0"/>
        <w:pageBreakBefore w:val="0"/>
        <w:tabs>
          <w:tab w:val="clear" w:pos="720"/>
        </w:tabs>
        <w:snapToGrid w:val="0"/>
        <w:spacing w:before="120" w:after="120"/>
        <w:ind w:firstLine="643"/>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三、</w:t>
      </w:r>
      <w:r>
        <w:rPr>
          <w:rFonts w:hint="eastAsia" w:ascii="仿宋_GB2312" w:hAnsi="仿宋_GB2312" w:eastAsia="仿宋_GB2312" w:cs="仿宋_GB2312"/>
          <w:color w:val="auto"/>
          <w:sz w:val="32"/>
          <w:szCs w:val="32"/>
          <w:highlight w:val="none"/>
        </w:rPr>
        <w:t>中小企业声明函（如果有）</w:t>
      </w:r>
    </w:p>
    <w:p>
      <w:pPr>
        <w:widowControl/>
        <w:spacing w:line="360" w:lineRule="auto"/>
        <w:ind w:firstLine="120" w:firstLineChars="5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24"/>
        <w:rPr>
          <w:rFonts w:ascii="仿宋_GB2312" w:hAnsi="仿宋_GB2312" w:eastAsia="仿宋_GB2312" w:cs="仿宋_GB2312"/>
          <w:b/>
          <w:color w:val="auto"/>
          <w:highlight w:val="none"/>
        </w:rPr>
      </w:pPr>
    </w:p>
    <w:p>
      <w:pPr>
        <w:pStyle w:val="25"/>
        <w:rPr>
          <w:rFonts w:ascii="仿宋_GB2312" w:hAnsi="仿宋_GB2312" w:eastAsia="仿宋_GB2312" w:cs="仿宋_GB2312"/>
          <w:b/>
          <w:color w:val="auto"/>
          <w:highlight w:val="none"/>
        </w:rPr>
      </w:pPr>
    </w:p>
    <w:p>
      <w:pPr>
        <w:pStyle w:val="26"/>
        <w:rPr>
          <w:color w:val="auto"/>
          <w:highlight w:val="none"/>
        </w:rPr>
      </w:pPr>
    </w:p>
    <w:p>
      <w:pPr>
        <w:spacing w:line="360" w:lineRule="auto"/>
        <w:ind w:right="420" w:firstLine="3614" w:firstLineChars="1000"/>
        <w:rPr>
          <w:rFonts w:ascii="仿宋_GB2312" w:hAnsi="仿宋_GB2312" w:eastAsia="仿宋_GB2312" w:cs="仿宋_GB2312"/>
          <w:b/>
          <w:color w:val="auto"/>
          <w:kern w:val="0"/>
          <w:sz w:val="36"/>
          <w:szCs w:val="36"/>
          <w:highlight w:val="none"/>
        </w:rPr>
      </w:pPr>
    </w:p>
    <w:p>
      <w:pPr>
        <w:spacing w:line="360" w:lineRule="auto"/>
        <w:jc w:val="center"/>
        <w:rPr>
          <w:rFonts w:ascii="仿宋_GB2312" w:hAnsi="仿宋_GB2312" w:eastAsia="仿宋_GB2312" w:cs="仿宋_GB2312"/>
          <w:b/>
          <w:color w:val="auto"/>
          <w:sz w:val="30"/>
          <w:szCs w:val="30"/>
          <w:highlight w:val="none"/>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0"/>
          <w:szCs w:val="30"/>
          <w:highlight w:val="none"/>
        </w:rPr>
        <w:t>关于钱塘新区政府采购支持中小企业信用融资相关事项通知</w:t>
      </w:r>
    </w:p>
    <w:p>
      <w:pPr>
        <w:spacing w:line="360" w:lineRule="auto"/>
        <w:jc w:val="center"/>
        <w:rPr>
          <w:rFonts w:ascii="仿宋_GB2312" w:hAnsi="仿宋_GB2312" w:eastAsia="仿宋_GB2312" w:cs="仿宋_GB2312"/>
          <w:b/>
          <w:color w:val="auto"/>
          <w:sz w:val="10"/>
          <w:szCs w:val="10"/>
          <w:highlight w:val="none"/>
        </w:rPr>
      </w:pP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请登陆杭州钱塘新区管理委员会官网（https://www.qiantang.gov.cn）“重要公告”-“政府采购专栏”，查看信用融资政策文件及各相关银行服务方案。</w:t>
      </w:r>
    </w:p>
    <w:p>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4</w:t>
      </w:r>
      <w:r>
        <w:rPr>
          <w:rFonts w:hint="eastAsia" w:ascii="仿宋_GB2312" w:hAnsi="仿宋_GB2312"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b/>
          <w:bCs/>
          <w:color w:val="auto"/>
          <w:kern w:val="0"/>
          <w:sz w:val="24"/>
          <w:highlight w:val="none"/>
          <w:lang w:val="zh-CN"/>
        </w:rPr>
        <w:t>五、合作银行及联系方式</w:t>
      </w:r>
    </w:p>
    <w:tbl>
      <w:tblPr>
        <w:tblStyle w:val="64"/>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高飞</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_GB2312" w:eastAsia="仿宋_GB2312" w:cs="仿宋_GB2312"/>
          <w:b/>
          <w:bCs/>
          <w:color w:val="auto"/>
          <w:kern w:val="0"/>
          <w:sz w:val="24"/>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_GB2312" w:hAnsi="仿宋_GB2312" w:eastAsia="仿宋_GB2312" w:cs="仿宋_GB2312"/>
          <w:color w:val="auto"/>
          <w:highlight w:val="none"/>
        </w:rPr>
      </w:pPr>
      <w:bookmarkStart w:id="167" w:name="_Toc465665161"/>
      <w:r>
        <w:rPr>
          <w:rFonts w:hint="eastAsia" w:ascii="仿宋_GB2312" w:hAnsi="仿宋_GB2312" w:eastAsia="仿宋_GB2312" w:cs="仿宋_GB2312"/>
          <w:color w:val="auto"/>
          <w:highlight w:val="none"/>
        </w:rPr>
        <w:t>附件</w:t>
      </w:r>
      <w:bookmarkEnd w:id="167"/>
    </w:p>
    <w:p>
      <w:pPr>
        <w:spacing w:line="360" w:lineRule="auto"/>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附件1：</w:t>
      </w:r>
    </w:p>
    <w:p>
      <w:pPr>
        <w:spacing w:line="360" w:lineRule="auto"/>
        <w:jc w:val="center"/>
        <w:rPr>
          <w:rFonts w:ascii="仿宋_GB2312" w:hAnsi="仿宋_GB2312" w:eastAsia="仿宋_GB2312" w:cs="仿宋_GB2312"/>
          <w:b/>
          <w:color w:val="auto"/>
          <w:spacing w:val="6"/>
          <w:sz w:val="32"/>
          <w:szCs w:val="32"/>
          <w:highlight w:val="none"/>
        </w:rPr>
      </w:pPr>
      <w:bookmarkStart w:id="168" w:name="OLE_LINK13"/>
      <w:bookmarkStart w:id="169" w:name="OLE_LINK14"/>
      <w:r>
        <w:rPr>
          <w:rFonts w:hint="eastAsia" w:ascii="仿宋_GB2312" w:hAnsi="仿宋_GB2312" w:eastAsia="仿宋_GB2312" w:cs="仿宋_GB2312"/>
          <w:b/>
          <w:color w:val="auto"/>
          <w:spacing w:val="6"/>
          <w:sz w:val="32"/>
          <w:szCs w:val="32"/>
          <w:highlight w:val="none"/>
        </w:rPr>
        <w:t>残疾人福利性单位声明函</w:t>
      </w:r>
      <w:bookmarkEnd w:id="168"/>
      <w:bookmarkEnd w:id="169"/>
    </w:p>
    <w:p>
      <w:pPr>
        <w:spacing w:line="360" w:lineRule="auto"/>
        <w:rPr>
          <w:rFonts w:ascii="仿宋_GB2312" w:hAnsi="仿宋_GB2312" w:eastAsia="仿宋_GB2312" w:cs="仿宋_GB2312"/>
          <w:b/>
          <w:color w:val="auto"/>
          <w:spacing w:val="6"/>
          <w:sz w:val="30"/>
          <w:szCs w:val="30"/>
          <w:highlight w:val="none"/>
        </w:rPr>
      </w:pP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_GB2312" w:hAnsi="仿宋_GB2312" w:eastAsia="仿宋_GB2312" w:cs="仿宋_GB2312"/>
          <w:color w:val="auto"/>
          <w:sz w:val="24"/>
          <w:highlight w:val="none"/>
          <w:lang w:val="en"/>
        </w:rPr>
        <w:t xml:space="preserve"> </w:t>
      </w:r>
      <w:r>
        <w:rPr>
          <w:rFonts w:hint="eastAsia" w:ascii="仿宋_GB2312" w:hAnsi="仿宋_GB2312" w:eastAsia="仿宋_GB2312" w:cs="仿宋_GB2312"/>
          <w:color w:val="auto"/>
          <w:sz w:val="24"/>
          <w:highlight w:val="none"/>
          <w:u w:val="single"/>
          <w:lang w:eastAsia="zh-CN"/>
        </w:rPr>
        <w:t>杭州市钱塘区人民政府白杨街道办事处</w:t>
      </w:r>
      <w:r>
        <w:rPr>
          <w:rFonts w:hint="eastAsia"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_GB2312" w:eastAsia="仿宋_GB2312" w:cs="仿宋_GB2312"/>
          <w:color w:val="auto"/>
          <w:sz w:val="24"/>
          <w:highlight w:val="none"/>
        </w:rPr>
      </w:pPr>
    </w:p>
    <w:p>
      <w:pPr>
        <w:spacing w:line="360" w:lineRule="auto"/>
        <w:ind w:firstLine="480" w:firstLineChars="200"/>
        <w:rPr>
          <w:rFonts w:ascii="仿宋_GB2312" w:hAnsi="仿宋_GB2312"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kern w:val="0"/>
          <w:sz w:val="24"/>
          <w:highlight w:val="none"/>
          <w:lang w:val="zh-CN"/>
        </w:rPr>
        <w:t>投标人名称（电子签名）</w:t>
      </w:r>
      <w:r>
        <w:rPr>
          <w:rFonts w:hint="eastAsia" w:ascii="仿宋_GB2312" w:hAnsi="仿宋_GB2312"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  期：</w:t>
      </w:r>
    </w:p>
    <w:p>
      <w:pPr>
        <w:spacing w:line="360" w:lineRule="auto"/>
        <w:ind w:firstLine="480" w:firstLineChars="200"/>
        <w:rPr>
          <w:rFonts w:ascii="仿宋_GB2312" w:hAnsi="仿宋_GB2312" w:eastAsia="仿宋_GB2312" w:cs="仿宋_GB2312"/>
          <w:color w:val="auto"/>
          <w:sz w:val="24"/>
          <w:highlight w:val="none"/>
        </w:rPr>
      </w:pPr>
    </w:p>
    <w:p>
      <w:pPr>
        <w:spacing w:line="360" w:lineRule="auto"/>
        <w:ind w:firstLine="420" w:firstLineChars="200"/>
        <w:rPr>
          <w:rFonts w:ascii="仿宋_GB2312" w:hAnsi="仿宋_GB2312" w:eastAsia="仿宋_GB2312" w:cs="仿宋_GB2312"/>
          <w:color w:val="auto"/>
          <w:highlight w:val="none"/>
        </w:rPr>
      </w:pPr>
    </w:p>
    <w:p>
      <w:pPr>
        <w:spacing w:line="360" w:lineRule="auto"/>
        <w:ind w:firstLine="420" w:firstLineChars="200"/>
        <w:rPr>
          <w:rFonts w:ascii="仿宋_GB2312" w:hAnsi="仿宋_GB2312" w:eastAsia="仿宋_GB2312" w:cs="仿宋_GB2312"/>
          <w:color w:val="auto"/>
          <w:highlight w:val="none"/>
        </w:rPr>
      </w:pPr>
    </w:p>
    <w:p>
      <w:pPr>
        <w:spacing w:line="360" w:lineRule="auto"/>
        <w:ind w:firstLine="420" w:firstLineChars="200"/>
        <w:rPr>
          <w:rFonts w:ascii="仿宋_GB2312" w:hAnsi="仿宋_GB2312" w:eastAsia="仿宋_GB2312" w:cs="仿宋_GB2312"/>
          <w:color w:val="auto"/>
          <w:highlight w:val="none"/>
        </w:rPr>
      </w:pPr>
    </w:p>
    <w:p>
      <w:pPr>
        <w:spacing w:line="360" w:lineRule="auto"/>
        <w:ind w:firstLine="420" w:firstLineChars="200"/>
        <w:rPr>
          <w:rFonts w:ascii="仿宋_GB2312" w:hAnsi="仿宋_GB2312" w:eastAsia="仿宋_GB2312" w:cs="仿宋_GB2312"/>
          <w:color w:val="auto"/>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jc w:val="left"/>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附件2：质疑函范本及制作说明</w:t>
      </w:r>
    </w:p>
    <w:p>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质疑函范本</w:t>
      </w:r>
    </w:p>
    <w:p>
      <w:pPr>
        <w:snapToGrid w:val="0"/>
        <w:spacing w:before="240" w:beforeLines="100"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一、质疑供应商基本信息</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质疑供应商：</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地址： </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二、质疑项目基本情况</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质疑项目的名称：</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质疑项目的编号：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采购文件获取日期：</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三、质疑事项具体内容</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质疑事项1：</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质疑事项2</w:t>
      </w:r>
    </w:p>
    <w:p>
      <w:pPr>
        <w:snapToGrid w:val="0"/>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p>
      <w:pPr>
        <w:snapToGrid w:val="0"/>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四、与质疑事项相关的质疑请求</w:t>
      </w:r>
    </w:p>
    <w:p>
      <w:pPr>
        <w:snapToGrid w:val="0"/>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pPr>
        <w:spacing w:line="360" w:lineRule="auto"/>
        <w:jc w:val="center"/>
        <w:rPr>
          <w:rFonts w:ascii="仿宋_GB2312" w:hAnsi="仿宋_GB2312" w:eastAsia="仿宋_GB2312" w:cs="仿宋_GB2312"/>
          <w:b/>
          <w:bCs/>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质疑函制作说明：</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5.质疑函的质疑请求应与质疑事项相关。</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_GB2312" w:eastAsia="仿宋_GB2312" w:cs="仿宋_GB2312"/>
          <w:color w:val="auto"/>
          <w:sz w:val="30"/>
          <w:szCs w:val="30"/>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center"/>
        <w:rPr>
          <w:rFonts w:ascii="仿宋_GB2312" w:hAnsi="仿宋_GB2312" w:eastAsia="仿宋_GB2312" w:cs="仿宋_GB2312"/>
          <w:b/>
          <w:color w:val="auto"/>
          <w:spacing w:val="6"/>
          <w:sz w:val="32"/>
          <w:szCs w:val="32"/>
          <w:highlight w:val="none"/>
        </w:rPr>
      </w:pPr>
    </w:p>
    <w:p>
      <w:pPr>
        <w:spacing w:line="360" w:lineRule="auto"/>
        <w:jc w:val="left"/>
        <w:rPr>
          <w:rFonts w:ascii="仿宋_GB2312" w:hAnsi="仿宋_GB2312" w:eastAsia="仿宋_GB2312" w:cs="仿宋_GB2312"/>
          <w:b/>
          <w:color w:val="auto"/>
          <w:spacing w:val="6"/>
          <w:sz w:val="32"/>
          <w:szCs w:val="32"/>
          <w:highlight w:val="none"/>
        </w:rPr>
      </w:pPr>
    </w:p>
    <w:p>
      <w:pPr>
        <w:spacing w:line="360" w:lineRule="auto"/>
        <w:jc w:val="left"/>
        <w:rPr>
          <w:rFonts w:ascii="仿宋_GB2312" w:hAnsi="仿宋_GB2312" w:eastAsia="仿宋_GB2312" w:cs="仿宋_GB2312"/>
          <w:b/>
          <w:color w:val="auto"/>
          <w:spacing w:val="6"/>
          <w:sz w:val="32"/>
          <w:szCs w:val="32"/>
          <w:highlight w:val="none"/>
        </w:rPr>
      </w:pPr>
    </w:p>
    <w:p>
      <w:pPr>
        <w:spacing w:line="360" w:lineRule="auto"/>
        <w:jc w:val="left"/>
        <w:rPr>
          <w:rFonts w:ascii="仿宋_GB2312" w:hAnsi="仿宋_GB2312" w:eastAsia="仿宋_GB2312" w:cs="仿宋_GB2312"/>
          <w:b/>
          <w:color w:val="auto"/>
          <w:spacing w:val="6"/>
          <w:sz w:val="32"/>
          <w:szCs w:val="32"/>
          <w:highlight w:val="none"/>
        </w:rPr>
      </w:pPr>
    </w:p>
    <w:p>
      <w:pPr>
        <w:spacing w:line="360" w:lineRule="auto"/>
        <w:jc w:val="left"/>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附件3：投诉书范本及制作说明</w:t>
      </w:r>
    </w:p>
    <w:p>
      <w:pPr>
        <w:spacing w:line="360" w:lineRule="auto"/>
        <w:jc w:val="center"/>
        <w:rPr>
          <w:rFonts w:ascii="仿宋_GB2312" w:hAnsi="仿宋_GB2312" w:eastAsia="仿宋_GB2312" w:cs="仿宋_GB2312"/>
          <w:b/>
          <w:color w:val="auto"/>
          <w:sz w:val="24"/>
          <w:highlight w:val="none"/>
        </w:rPr>
      </w:pPr>
    </w:p>
    <w:p>
      <w:pPr>
        <w:spacing w:line="360" w:lineRule="auto"/>
        <w:jc w:val="cente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t>投诉书范本</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一、投诉相关主体基本情况</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tabs>
          <w:tab w:val="left" w:pos="6510"/>
        </w:tabs>
        <w:spacing w:line="360" w:lineRule="auto"/>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法定代表人/主要负责人：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tabs>
          <w:tab w:val="left" w:pos="6510"/>
        </w:tabs>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授权代表：</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被投诉人1：</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被投诉人2</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相关供应商：</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邮编：</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联系人：</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二、投诉项目基本情况</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采购项目名称：</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采购项目编号：</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包号：</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采购人名称：</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u w:val="singl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代理机构名称：</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采购文件公告: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采购结果公告:</w:t>
      </w:r>
      <w:r>
        <w:rPr>
          <w:rFonts w:hint="eastAsia" w:ascii="仿宋_GB2312" w:hAnsi="仿宋_GB2312" w:eastAsia="仿宋_GB2312" w:cs="仿宋_GB2312"/>
          <w:color w:val="auto"/>
          <w:sz w:val="24"/>
          <w:highlight w:val="none"/>
          <w:u w:val="dotted"/>
        </w:rPr>
        <w:t xml:space="preserve">是/否 </w:t>
      </w:r>
      <w:r>
        <w:rPr>
          <w:rFonts w:hint="eastAsia" w:ascii="仿宋_GB2312" w:hAnsi="仿宋_GB2312" w:eastAsia="仿宋_GB2312" w:cs="仿宋_GB2312"/>
          <w:color w:val="auto"/>
          <w:sz w:val="24"/>
          <w:highlight w:val="none"/>
        </w:rPr>
        <w:t>公告期限：</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三、质疑基本情况</w:t>
      </w:r>
    </w:p>
    <w:p>
      <w:pPr>
        <w:spacing w:line="360" w:lineRule="auto"/>
        <w:ind w:firstLine="480" w:firstLineChars="200"/>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投诉人于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日,向</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提出质疑，质疑事项为：</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pacing w:line="360" w:lineRule="auto"/>
        <w:ind w:firstLine="360" w:firstLineChars="15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dotted"/>
        </w:rPr>
        <w:t>采购人/代理机构</w:t>
      </w:r>
      <w:r>
        <w:rPr>
          <w:rFonts w:hint="eastAsia" w:ascii="仿宋_GB2312" w:hAnsi="仿宋_GB2312" w:eastAsia="仿宋_GB2312" w:cs="仿宋_GB2312"/>
          <w:color w:val="auto"/>
          <w:sz w:val="24"/>
          <w:highlight w:val="none"/>
        </w:rPr>
        <w:t>于</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日,就质疑事项作出了答复/没有在法定期限内作出答复。</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四、投诉事项具体内容</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投诉事项 1：</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事实依据：</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法律依据：</w:t>
      </w: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u w:val="dotted"/>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投诉事项2</w:t>
      </w:r>
    </w:p>
    <w:p>
      <w:pPr>
        <w:spacing w:line="360" w:lineRule="auto"/>
        <w:rPr>
          <w:rFonts w:ascii="仿宋_GB2312" w:hAnsi="仿宋_GB2312" w:eastAsia="仿宋_GB2312" w:cs="仿宋_GB2312"/>
          <w:color w:val="auto"/>
          <w:sz w:val="24"/>
          <w:highlight w:val="none"/>
          <w:u w:val="dotted"/>
        </w:rPr>
      </w:pPr>
      <w:r>
        <w:rPr>
          <w:rFonts w:hint="eastAsia" w:ascii="仿宋_GB2312" w:hAnsi="仿宋_GB2312" w:eastAsia="仿宋_GB2312" w:cs="仿宋_GB2312"/>
          <w:color w:val="auto"/>
          <w:sz w:val="24"/>
          <w:highlight w:val="none"/>
        </w:rPr>
        <w:t>……</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五、与投诉事项相关的投诉请求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请求：</w:t>
      </w:r>
      <w:r>
        <w:rPr>
          <w:rFonts w:hint="eastAsia" w:ascii="仿宋_GB2312" w:hAnsi="仿宋_GB2312" w:eastAsia="仿宋_GB2312" w:cs="仿宋_GB2312"/>
          <w:color w:val="auto"/>
          <w:sz w:val="24"/>
          <w:highlight w:val="none"/>
          <w:u w:val="dotted"/>
        </w:rPr>
        <w:t xml:space="preserve">                                              </w:t>
      </w:r>
      <w:r>
        <w:rPr>
          <w:rFonts w:hint="eastAsia" w:ascii="仿宋_GB2312" w:hAnsi="仿宋_GB2312" w:eastAsia="仿宋_GB2312" w:cs="仿宋_GB2312"/>
          <w:color w:val="auto"/>
          <w:sz w:val="24"/>
          <w:highlight w:val="none"/>
        </w:rPr>
        <w:t xml:space="preserve"> </w:t>
      </w:r>
    </w:p>
    <w:p>
      <w:p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签字(签章)：                   公章：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日期：    </w:t>
      </w: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p>
    <w:p>
      <w:pPr>
        <w:spacing w:line="360" w:lineRule="auto"/>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投诉书制作说明：</w:t>
      </w:r>
    </w:p>
    <w:p>
      <w:pPr>
        <w:widowControl/>
        <w:spacing w:line="360" w:lineRule="auto"/>
        <w:ind w:firstLine="480" w:firstLineChars="20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6.投诉书的投诉请求应与投诉事项相关。</w:t>
      </w:r>
    </w:p>
    <w:p>
      <w:pPr>
        <w:widowControl/>
        <w:spacing w:line="360" w:lineRule="auto"/>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_GB2312" w:eastAsia="仿宋_GB2312" w:cs="仿宋_GB2312"/>
          <w:b/>
          <w:color w:val="auto"/>
          <w:sz w:val="24"/>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b/>
          <w:color w:val="auto"/>
          <w:spacing w:val="6"/>
          <w:sz w:val="32"/>
          <w:szCs w:val="32"/>
          <w:highlight w:val="none"/>
        </w:rPr>
        <w:br w:type="page"/>
      </w:r>
    </w:p>
    <w:p>
      <w:pPr>
        <w:autoSpaceDE w:val="0"/>
        <w:autoSpaceDN w:val="0"/>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pacing w:val="6"/>
          <w:sz w:val="32"/>
          <w:szCs w:val="32"/>
          <w:highlight w:val="none"/>
        </w:rPr>
        <w:t>附件4：</w:t>
      </w:r>
      <w:r>
        <w:rPr>
          <w:rFonts w:hint="eastAsia" w:ascii="仿宋_GB2312" w:hAnsi="仿宋_GB2312" w:eastAsia="仿宋_GB2312" w:cs="仿宋_GB2312"/>
          <w:b/>
          <w:bCs/>
          <w:color w:val="auto"/>
          <w:sz w:val="32"/>
          <w:szCs w:val="32"/>
          <w:highlight w:val="none"/>
        </w:rPr>
        <w:t>业务专用章使用说明函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lang w:eastAsia="zh-CN"/>
        </w:rPr>
        <w:t>杭州市钱塘区人民政府白杨街道办事处</w:t>
      </w:r>
      <w:r>
        <w:rPr>
          <w:rFonts w:hint="eastAsia" w:ascii="仿宋_GB2312" w:hAnsi="仿宋_GB2312" w:eastAsia="仿宋_GB2312" w:cs="仿宋_GB2312"/>
          <w:color w:val="auto"/>
          <w:sz w:val="24"/>
          <w:highlight w:val="none"/>
          <w:u w:val="single"/>
        </w:rPr>
        <w:t>、杭州市公共资源交易中心钱塘分中心</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val="zh-CN"/>
        </w:rPr>
        <w:t>我方</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sz w:val="24"/>
          <w:highlight w:val="none"/>
        </w:rPr>
        <w:t>(投标人全称)是中华人民共和国依法登记注册的合法企业，</w:t>
      </w:r>
      <w:r>
        <w:rPr>
          <w:rFonts w:hint="eastAsia" w:ascii="仿宋_GB2312" w:hAnsi="仿宋_GB2312" w:eastAsia="仿宋_GB2312" w:cs="仿宋_GB2312"/>
          <w:bCs/>
          <w:color w:val="auto"/>
          <w:sz w:val="24"/>
          <w:highlight w:val="none"/>
        </w:rPr>
        <w:t>在参加</w:t>
      </w:r>
      <w:r>
        <w:rPr>
          <w:rFonts w:hint="eastAsia" w:ascii="仿宋_GB2312" w:hAnsi="仿宋_GB2312" w:eastAsia="仿宋_GB2312" w:cs="仿宋_GB2312"/>
          <w:color w:val="auto"/>
          <w:sz w:val="24"/>
          <w:highlight w:val="none"/>
        </w:rPr>
        <w:t>你方组织的</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Cs/>
          <w:color w:val="auto"/>
          <w:sz w:val="24"/>
          <w:highlight w:val="none"/>
        </w:rPr>
        <w:t>投标活动中作如下说明：</w:t>
      </w:r>
      <w:r>
        <w:rPr>
          <w:rFonts w:hint="eastAsia" w:ascii="仿宋_GB2312" w:hAnsi="仿宋_GB2312" w:eastAsia="仿宋_GB2312" w:cs="仿宋_GB2312"/>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特此说明。</w:t>
      </w:r>
    </w:p>
    <w:p>
      <w:pPr>
        <w:spacing w:line="360" w:lineRule="auto"/>
        <w:ind w:firstLine="494"/>
        <w:rPr>
          <w:rFonts w:ascii="仿宋_GB2312" w:hAnsi="仿宋_GB2312" w:eastAsia="仿宋_GB2312" w:cs="仿宋_GB2312"/>
          <w:color w:val="auto"/>
          <w:sz w:val="24"/>
          <w:highlight w:val="none"/>
        </w:rPr>
      </w:pPr>
    </w:p>
    <w:p>
      <w:pPr>
        <w:spacing w:line="360" w:lineRule="auto"/>
        <w:ind w:firstLine="494"/>
        <w:rPr>
          <w:rFonts w:ascii="仿宋_GB2312" w:hAnsi="仿宋_GB2312" w:eastAsia="仿宋_GB2312" w:cs="仿宋_GB2312"/>
          <w:color w:val="auto"/>
          <w:sz w:val="24"/>
          <w:highlight w:val="none"/>
        </w:rPr>
      </w:pPr>
    </w:p>
    <w:p>
      <w:pPr>
        <w:spacing w:line="360" w:lineRule="auto"/>
        <w:ind w:firstLine="494"/>
        <w:rPr>
          <w:rFonts w:ascii="仿宋_GB2312" w:hAnsi="仿宋_GB2312" w:eastAsia="仿宋_GB2312" w:cs="仿宋_GB2312"/>
          <w:color w:val="auto"/>
          <w:sz w:val="24"/>
          <w:highlight w:val="none"/>
        </w:rPr>
      </w:pPr>
    </w:p>
    <w:p>
      <w:pPr>
        <w:spacing w:line="360" w:lineRule="auto"/>
        <w:ind w:firstLine="494"/>
        <w:rPr>
          <w:rFonts w:ascii="仿宋_GB2312" w:hAnsi="仿宋_GB2312" w:eastAsia="仿宋_GB2312" w:cs="仿宋_GB2312"/>
          <w:color w:val="auto"/>
          <w:sz w:val="24"/>
          <w:highlight w:val="none"/>
        </w:rPr>
      </w:pPr>
    </w:p>
    <w:p>
      <w:pPr>
        <w:spacing w:line="360" w:lineRule="auto"/>
        <w:ind w:right="480" w:firstLine="4080" w:firstLineChars="17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投标单位（法定名称章）：</w:t>
      </w:r>
    </w:p>
    <w:p>
      <w:pPr>
        <w:ind w:right="1440" w:firstLine="494"/>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日期：       年     月     日</w:t>
      </w:r>
    </w:p>
    <w:p>
      <w:pPr>
        <w:rPr>
          <w:rFonts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附：</w:t>
      </w:r>
    </w:p>
    <w:p>
      <w:pPr>
        <w:spacing w:line="360" w:lineRule="auto"/>
        <w:rPr>
          <w:rFonts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投标单位法定名称章（印模）                投标单位“XX专用章”（印模）</w:t>
      </w:r>
    </w:p>
    <w:tbl>
      <w:tblPr>
        <w:tblStyle w:val="65"/>
        <w:tblpPr w:leftFromText="180" w:rightFromText="180" w:vertAnchor="text" w:horzAnchor="page" w:tblpX="1180" w:tblpY="317"/>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4"/>
        <w:gridCol w:w="1329"/>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3894" w:type="dxa"/>
            <w:tcBorders>
              <w:tl2br w:val="nil"/>
              <w:tr2bl w:val="nil"/>
            </w:tcBorders>
          </w:tcPr>
          <w:p>
            <w:pPr>
              <w:autoSpaceDE w:val="0"/>
              <w:autoSpaceDN w:val="0"/>
              <w:jc w:val="left"/>
              <w:rPr>
                <w:rFonts w:ascii="仿宋_GB2312" w:hAnsi="仿宋_GB2312" w:eastAsia="仿宋_GB2312" w:cs="仿宋_GB2312"/>
                <w:b/>
                <w:color w:val="auto"/>
                <w:spacing w:val="6"/>
                <w:sz w:val="32"/>
                <w:szCs w:val="32"/>
                <w:highlight w:val="none"/>
              </w:rPr>
            </w:pPr>
          </w:p>
        </w:tc>
        <w:tc>
          <w:tcPr>
            <w:tcW w:w="1329" w:type="dxa"/>
            <w:tcBorders>
              <w:top w:val="nil"/>
              <w:bottom w:val="nil"/>
            </w:tcBorders>
          </w:tcPr>
          <w:p>
            <w:pPr>
              <w:autoSpaceDE w:val="0"/>
              <w:autoSpaceDN w:val="0"/>
              <w:jc w:val="center"/>
              <w:rPr>
                <w:rFonts w:ascii="仿宋_GB2312" w:hAnsi="仿宋_GB2312" w:eastAsia="仿宋_GB2312" w:cs="仿宋_GB2312"/>
                <w:b/>
                <w:color w:val="auto"/>
                <w:spacing w:val="6"/>
                <w:sz w:val="32"/>
                <w:szCs w:val="32"/>
                <w:highlight w:val="none"/>
              </w:rPr>
            </w:pPr>
          </w:p>
        </w:tc>
        <w:tc>
          <w:tcPr>
            <w:tcW w:w="3895" w:type="dxa"/>
            <w:tcBorders>
              <w:tl2br w:val="nil"/>
              <w:tr2bl w:val="nil"/>
            </w:tcBorders>
          </w:tcPr>
          <w:p>
            <w:pPr>
              <w:autoSpaceDE w:val="0"/>
              <w:autoSpaceDN w:val="0"/>
              <w:jc w:val="center"/>
              <w:rPr>
                <w:rFonts w:ascii="仿宋_GB2312" w:hAnsi="仿宋_GB2312" w:eastAsia="仿宋_GB2312" w:cs="仿宋_GB2312"/>
                <w:b/>
                <w:color w:val="auto"/>
                <w:spacing w:val="6"/>
                <w:sz w:val="32"/>
                <w:szCs w:val="32"/>
                <w:highlight w:val="none"/>
              </w:rPr>
            </w:pPr>
          </w:p>
        </w:tc>
      </w:tr>
    </w:tbl>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jc w:val="center"/>
        <w:rPr>
          <w:rFonts w:ascii="仿宋_GB2312" w:hAnsi="仿宋_GB2312" w:eastAsia="仿宋_GB2312" w:cs="仿宋_GB2312"/>
          <w:b/>
          <w:color w:val="auto"/>
          <w:spacing w:val="6"/>
          <w:sz w:val="32"/>
          <w:szCs w:val="32"/>
          <w:highlight w:val="none"/>
        </w:rPr>
      </w:pPr>
    </w:p>
    <w:p>
      <w:pPr>
        <w:autoSpaceDE w:val="0"/>
        <w:autoSpaceDN w:val="0"/>
        <w:rPr>
          <w:rFonts w:ascii="仿宋_GB2312" w:hAnsi="仿宋_GB2312" w:eastAsia="仿宋_GB2312" w:cs="仿宋_GB2312"/>
          <w:b/>
          <w:color w:val="auto"/>
          <w:spacing w:val="6"/>
          <w:sz w:val="32"/>
          <w:szCs w:val="32"/>
          <w:highlight w:val="none"/>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jc w:val="center"/>
        <w:rPr>
          <w:rFonts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spacing w:val="6"/>
          <w:sz w:val="32"/>
          <w:szCs w:val="32"/>
          <w:highlight w:val="none"/>
        </w:rPr>
        <w:t>附件5：</w:t>
      </w:r>
      <w:r>
        <w:rPr>
          <w:rFonts w:hint="eastAsia" w:ascii="仿宋_GB2312" w:hAnsi="仿宋_GB2312"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（联合体所有成员名称）</w:t>
      </w:r>
      <w:r>
        <w:rPr>
          <w:rFonts w:hint="eastAsia" w:ascii="仿宋_GB2312" w:hAnsi="仿宋_GB2312" w:eastAsia="仿宋_GB2312" w:cs="仿宋_GB2312"/>
          <w:color w:val="auto"/>
          <w:kern w:val="0"/>
          <w:sz w:val="24"/>
          <w:highlight w:val="none"/>
        </w:rPr>
        <w:t>自愿</w:t>
      </w:r>
      <w:r>
        <w:rPr>
          <w:rFonts w:hint="eastAsia" w:ascii="仿宋_GB2312" w:hAnsi="仿宋_GB2312" w:eastAsia="仿宋_GB2312" w:cs="仿宋_GB2312"/>
          <w:color w:val="auto"/>
          <w:kern w:val="0"/>
          <w:sz w:val="24"/>
          <w:highlight w:val="none"/>
          <w:lang w:val="zh-CN"/>
        </w:rPr>
        <w:t>组成一个联合体，以一个投标人的身份</w:t>
      </w:r>
      <w:r>
        <w:rPr>
          <w:rFonts w:hint="eastAsia" w:ascii="仿宋_GB2312" w:hAnsi="仿宋_GB2312" w:eastAsia="仿宋_GB2312" w:cs="仿宋_GB2312"/>
          <w:color w:val="auto"/>
          <w:kern w:val="0"/>
          <w:sz w:val="24"/>
          <w:highlight w:val="none"/>
        </w:rPr>
        <w:t>参加</w:t>
      </w:r>
      <w:r>
        <w:rPr>
          <w:rFonts w:hint="eastAsia" w:ascii="仿宋_GB2312" w:hAnsi="仿宋_GB2312" w:eastAsia="仿宋_GB2312" w:cs="仿宋_GB2312"/>
          <w:color w:val="auto"/>
          <w:kern w:val="0"/>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 xml:space="preserve">投标。 </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一、各方一致决定，</w:t>
      </w:r>
      <w:r>
        <w:rPr>
          <w:rFonts w:hint="eastAsia" w:ascii="仿宋_GB2312" w:hAnsi="仿宋_GB2312" w:eastAsia="仿宋_GB2312" w:cs="仿宋_GB2312"/>
          <w:color w:val="auto"/>
          <w:kern w:val="0"/>
          <w:sz w:val="24"/>
          <w:highlight w:val="none"/>
          <w:u w:val="single"/>
        </w:rPr>
        <w:t>（某联合体成员名称）</w:t>
      </w:r>
      <w:r>
        <w:rPr>
          <w:rFonts w:hint="eastAsia" w:ascii="仿宋_GB2312" w:hAnsi="仿宋_GB2312" w:eastAsia="仿宋_GB2312" w:cs="仿宋_GB2312"/>
          <w:color w:val="auto"/>
          <w:kern w:val="0"/>
          <w:sz w:val="24"/>
          <w:highlight w:val="none"/>
        </w:rPr>
        <w:t>为联合体</w:t>
      </w:r>
      <w:r>
        <w:rPr>
          <w:rFonts w:hint="eastAsia" w:ascii="仿宋_GB2312" w:hAnsi="仿宋_GB2312" w:eastAsia="仿宋_GB2312" w:cs="仿宋_GB2312"/>
          <w:color w:val="auto"/>
          <w:kern w:val="0"/>
          <w:sz w:val="24"/>
          <w:highlight w:val="none"/>
          <w:lang w:val="zh-CN"/>
        </w:rPr>
        <w:t>牵头人</w:t>
      </w:r>
      <w:r>
        <w:rPr>
          <w:rFonts w:hint="eastAsia" w:ascii="仿宋_GB2312" w:hAnsi="仿宋_GB2312" w:eastAsia="仿宋_GB2312" w:cs="仿宋_GB2312"/>
          <w:color w:val="auto"/>
          <w:sz w:val="24"/>
          <w:highlight w:val="none"/>
        </w:rPr>
        <w:t>，代表所有联合体成员负责投标和合同实施阶段的主办、协调工作</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w:t>
      </w:r>
      <w:r>
        <w:rPr>
          <w:rFonts w:hint="eastAsia" w:ascii="仿宋_GB2312" w:hAnsi="仿宋_GB2312" w:eastAsia="仿宋_GB2312" w:cs="仿宋_GB2312"/>
          <w:color w:val="auto"/>
          <w:sz w:val="24"/>
          <w:highlight w:val="none"/>
        </w:rPr>
        <w:t>所有联合体成员各方签署授权书，授权书载明的</w:t>
      </w:r>
      <w:r>
        <w:rPr>
          <w:rFonts w:hint="eastAsia" w:ascii="仿宋_GB2312" w:hAnsi="仿宋_GB2312" w:eastAsia="仿宋_GB2312" w:cs="仿宋_GB2312"/>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三、本次联合投标中，分工如下：</w:t>
      </w:r>
    </w:p>
    <w:p>
      <w:pPr>
        <w:snapToGrid w:val="0"/>
        <w:spacing w:line="360" w:lineRule="auto"/>
        <w:ind w:firstLine="576"/>
        <w:rPr>
          <w:rFonts w:ascii="仿宋_GB2312" w:hAnsi="仿宋_GB2312" w:eastAsia="仿宋_GB2312" w:cs="仿宋_GB2312"/>
          <w:color w:val="auto"/>
          <w:kern w:val="0"/>
          <w:sz w:val="24"/>
          <w:highlight w:val="none"/>
          <w:lang w:val="zh-CN"/>
        </w:rPr>
      </w:pPr>
      <w:bookmarkStart w:id="170" w:name="_Hlk101134295"/>
      <w:r>
        <w:rPr>
          <w:rFonts w:hint="eastAsia" w:ascii="仿宋_GB2312" w:hAnsi="仿宋_GB2312" w:eastAsia="仿宋_GB2312" w:cs="仿宋_GB2312"/>
          <w:color w:val="auto"/>
          <w:kern w:val="0"/>
          <w:sz w:val="24"/>
          <w:highlight w:val="none"/>
          <w:u w:val="single"/>
        </w:rPr>
        <w:t>（联合体成员1）</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（联合体成员2）</w:t>
      </w:r>
      <w:r>
        <w:rPr>
          <w:rFonts w:hint="eastAsia" w:ascii="仿宋_GB2312" w:hAnsi="仿宋_GB2312" w:eastAsia="仿宋_GB2312" w:cs="仿宋_GB2312"/>
          <w:color w:val="auto"/>
          <w:kern w:val="0"/>
          <w:sz w:val="24"/>
          <w:highlight w:val="none"/>
          <w:lang w:val="zh-CN"/>
        </w:rPr>
        <w:t>承担的工作和义务为：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lang w:val="zh-CN"/>
        </w:rPr>
        <w:t>；</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w:t>
      </w:r>
    </w:p>
    <w:bookmarkEnd w:id="170"/>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四、联合体成员中小企业合同份额。</w:t>
      </w:r>
    </w:p>
    <w:p>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lang w:val="zh-CN"/>
        </w:rPr>
        <w:t>1、</w:t>
      </w:r>
      <w:r>
        <w:rPr>
          <w:rFonts w:hint="eastAsia" w:ascii="仿宋_GB2312" w:hAnsi="仿宋_GB2312" w:eastAsia="仿宋_GB2312" w:cs="仿宋_GB2312"/>
          <w:color w:val="auto"/>
          <w:kern w:val="0"/>
          <w:sz w:val="24"/>
          <w:highlight w:val="none"/>
          <w:u w:val="single"/>
        </w:rPr>
        <w:t>（联合体成员X,……）</w:t>
      </w:r>
      <w:r>
        <w:rPr>
          <w:rFonts w:hint="eastAsia" w:ascii="仿宋_GB2312" w:hAnsi="仿宋_GB2312" w:eastAsia="仿宋_GB2312" w:cs="仿宋_GB2312"/>
          <w:color w:val="auto"/>
          <w:kern w:val="0"/>
          <w:sz w:val="24"/>
          <w:highlight w:val="none"/>
        </w:rPr>
        <w:t>提供的服务由小微企业承接，其合同份额占到合同总金额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sz w:val="24"/>
          <w:highlight w:val="none"/>
        </w:rPr>
        <w:t>2、中小企业合同金额达到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五、如果中标，</w:t>
      </w:r>
      <w:r>
        <w:rPr>
          <w:rFonts w:hint="eastAsia" w:ascii="仿宋_GB2312" w:hAnsi="仿宋_GB2312" w:eastAsia="仿宋_GB2312" w:cs="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firstLine="5040" w:firstLine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联合体成员名称(电子签名/公章)：</w:t>
      </w:r>
    </w:p>
    <w:p>
      <w:pPr>
        <w:snapToGrid w:val="0"/>
        <w:spacing w:line="360" w:lineRule="auto"/>
        <w:ind w:right="96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w:t>
      </w:r>
    </w:p>
    <w:p>
      <w:pPr>
        <w:snapToGrid w:val="0"/>
        <w:spacing w:line="360" w:lineRule="auto"/>
        <w:ind w:firstLine="5040" w:firstLineChars="2100"/>
        <w:rPr>
          <w:rFonts w:ascii="仿宋_GB2312" w:hAnsi="仿宋_GB2312" w:eastAsia="仿宋_GB2312" w:cs="仿宋_GB2312"/>
          <w:color w:val="auto"/>
          <w:kern w:val="0"/>
          <w:sz w:val="24"/>
          <w:highlight w:val="none"/>
          <w:lang w:val="zh-CN"/>
        </w:rPr>
      </w:pP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spacing w:line="360" w:lineRule="auto"/>
        <w:ind w:right="42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注：按本格式和要求提供。</w:t>
      </w:r>
    </w:p>
    <w:p>
      <w:pPr>
        <w:snapToGrid w:val="0"/>
        <w:spacing w:line="360" w:lineRule="auto"/>
        <w:ind w:firstLine="3666" w:firstLineChars="1100"/>
        <w:rPr>
          <w:rFonts w:ascii="仿宋_GB2312" w:hAnsi="仿宋_GB2312" w:eastAsia="仿宋_GB2312" w:cs="仿宋_GB2312"/>
          <w:b/>
          <w:color w:val="auto"/>
          <w:spacing w:val="6"/>
          <w:sz w:val="32"/>
          <w:szCs w:val="32"/>
          <w:highlight w:val="none"/>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666" w:firstLineChars="11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spacing w:val="6"/>
          <w:sz w:val="32"/>
          <w:szCs w:val="32"/>
          <w:highlight w:val="none"/>
        </w:rPr>
        <w:t>附件6：</w:t>
      </w:r>
      <w:r>
        <w:rPr>
          <w:rFonts w:hint="eastAsia" w:ascii="仿宋_GB2312" w:hAnsi="仿宋_GB2312"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_GB2312" w:eastAsia="仿宋_GB2312" w:cs="仿宋_GB2312"/>
          <w:color w:val="auto"/>
          <w:sz w:val="24"/>
          <w:highlight w:val="none"/>
        </w:rPr>
        <w:t>）</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若成为</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【招标编号：</w:t>
      </w:r>
      <w:r>
        <w:rPr>
          <w:rFonts w:hint="eastAsia" w:ascii="仿宋_GB2312" w:hAnsi="仿宋_GB2312" w:eastAsia="仿宋_GB2312" w:cs="仿宋_GB2312"/>
          <w:color w:val="auto"/>
          <w:sz w:val="24"/>
          <w:highlight w:val="none"/>
          <w:u w:val="single"/>
          <w:lang w:eastAsia="zh-CN"/>
        </w:rPr>
        <w:t>QTJC-2025-15</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的中标供应商，将依法采取分包方式履行合同。</w:t>
      </w: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rPr>
        <w:t>与</w:t>
      </w:r>
      <w:r>
        <w:rPr>
          <w:rFonts w:hint="eastAsia" w:ascii="仿宋_GB2312" w:hAnsi="仿宋_GB2312" w:eastAsia="仿宋_GB2312" w:cs="仿宋_GB2312"/>
          <w:color w:val="auto"/>
          <w:kern w:val="0"/>
          <w:sz w:val="24"/>
          <w:highlight w:val="none"/>
          <w:u w:val="single"/>
        </w:rPr>
        <w:t>（所有分包供应商名称）</w:t>
      </w:r>
      <w:r>
        <w:rPr>
          <w:rFonts w:hint="eastAsia" w:ascii="仿宋_GB2312" w:hAnsi="仿宋_GB2312" w:eastAsia="仿宋_GB2312" w:cs="仿宋_GB2312"/>
          <w:color w:val="auto"/>
          <w:kern w:val="0"/>
          <w:sz w:val="24"/>
          <w:highlight w:val="none"/>
        </w:rPr>
        <w:t>达成分包意向协议</w:t>
      </w:r>
      <w:r>
        <w:rPr>
          <w:rFonts w:hint="eastAsia" w:ascii="仿宋_GB2312" w:hAnsi="仿宋_GB2312" w:eastAsia="仿宋_GB2312" w:cs="仿宋_GB2312"/>
          <w:color w:val="auto"/>
          <w:kern w:val="0"/>
          <w:sz w:val="24"/>
          <w:highlight w:val="none"/>
          <w:lang w:val="zh-CN"/>
        </w:rPr>
        <w:t xml:space="preserve">。 </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一、分包标的及数量</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u w:val="single"/>
        </w:rPr>
        <w:t>（投标人名称）</w:t>
      </w:r>
      <w:r>
        <w:rPr>
          <w:rFonts w:hint="eastAsia" w:ascii="仿宋_GB2312" w:hAnsi="仿宋_GB2312" w:eastAsia="仿宋_GB2312" w:cs="仿宋_GB2312"/>
          <w:color w:val="auto"/>
          <w:kern w:val="0"/>
          <w:sz w:val="24"/>
          <w:highlight w:val="none"/>
          <w:lang w:val="zh-CN"/>
        </w:rPr>
        <w:t>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kern w:val="0"/>
          <w:sz w:val="24"/>
          <w:highlight w:val="none"/>
          <w:u w:val="single"/>
        </w:rPr>
        <w:t xml:space="preserve">  XX工作内容   </w:t>
      </w:r>
      <w:r>
        <w:rPr>
          <w:rFonts w:hint="eastAsia" w:ascii="仿宋_GB2312" w:hAnsi="仿宋_GB2312" w:eastAsia="仿宋_GB2312" w:cs="仿宋_GB2312"/>
          <w:color w:val="auto"/>
          <w:sz w:val="24"/>
          <w:highlight w:val="none"/>
        </w:rPr>
        <w:t>分包给</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color w:val="auto"/>
          <w:kern w:val="0"/>
          <w:sz w:val="24"/>
          <w:highlight w:val="none"/>
          <w:u w:val="single"/>
        </w:rPr>
        <w:t>（分包供应商1名称），</w:t>
      </w:r>
      <w:r>
        <w:rPr>
          <w:rFonts w:hint="eastAsia" w:ascii="仿宋_GB2312" w:hAnsi="仿宋_GB2312" w:eastAsia="仿宋_GB2312" w:cs="仿宋_GB2312"/>
          <w:color w:val="auto"/>
          <w:kern w:val="0"/>
          <w:sz w:val="24"/>
          <w:highlight w:val="none"/>
          <w:lang w:val="zh-CN"/>
        </w:rPr>
        <w:t>具备承</w:t>
      </w:r>
      <w:r>
        <w:rPr>
          <w:rFonts w:hint="eastAsia" w:ascii="仿宋_GB2312" w:hAnsi="仿宋_GB2312" w:eastAsia="仿宋_GB2312" w:cs="仿宋_GB2312"/>
          <w:color w:val="auto"/>
          <w:kern w:val="0"/>
          <w:sz w:val="24"/>
          <w:highlight w:val="none"/>
        </w:rPr>
        <w:t>担</w:t>
      </w:r>
      <w:r>
        <w:rPr>
          <w:rFonts w:hint="eastAsia" w:ascii="仿宋_GB2312" w:hAnsi="仿宋_GB2312" w:eastAsia="仿宋_GB2312" w:cs="仿宋_GB2312"/>
          <w:color w:val="auto"/>
          <w:kern w:val="0"/>
          <w:sz w:val="24"/>
          <w:highlight w:val="none"/>
          <w:u w:val="single"/>
          <w:lang w:val="zh-CN"/>
        </w:rPr>
        <w:t>XX工作内容</w:t>
      </w:r>
      <w:r>
        <w:rPr>
          <w:rFonts w:hint="eastAsia" w:ascii="仿宋_GB2312" w:hAnsi="仿宋_GB2312" w:eastAsia="仿宋_GB2312" w:cs="仿宋_GB2312"/>
          <w:color w:val="auto"/>
          <w:kern w:val="0"/>
          <w:sz w:val="24"/>
          <w:highlight w:val="none"/>
          <w:lang w:val="zh-CN"/>
        </w:rPr>
        <w:t>相应资质条件且不得再次分包；</w:t>
      </w:r>
    </w:p>
    <w:p>
      <w:pPr>
        <w:pStyle w:val="3"/>
        <w:ind w:left="664" w:leftChars="316" w:firstLine="229" w:firstLineChars="95"/>
        <w:rPr>
          <w:rFonts w:hAnsi="仿宋_GB2312" w:cs="仿宋_GB2312"/>
          <w:color w:val="auto"/>
          <w:kern w:val="0"/>
          <w:sz w:val="24"/>
          <w:szCs w:val="24"/>
          <w:highlight w:val="none"/>
        </w:rPr>
      </w:pPr>
      <w:r>
        <w:rPr>
          <w:rFonts w:hint="eastAsia" w:hAnsi="仿宋_GB2312" w:cs="仿宋_GB2312"/>
          <w:color w:val="auto"/>
          <w:kern w:val="0"/>
          <w:sz w:val="24"/>
          <w:szCs w:val="24"/>
          <w:highlight w:val="none"/>
        </w:rPr>
        <w:t>……</w:t>
      </w:r>
    </w:p>
    <w:p>
      <w:pPr>
        <w:snapToGrid w:val="0"/>
        <w:spacing w:line="360" w:lineRule="auto"/>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二、分包供应商中小企业合同份额</w:t>
      </w:r>
    </w:p>
    <w:p>
      <w:pPr>
        <w:snapToGrid w:val="0"/>
        <w:spacing w:line="360" w:lineRule="auto"/>
        <w:ind w:firstLine="576"/>
        <w:rPr>
          <w:rFonts w:ascii="仿宋_GB2312" w:hAnsi="仿宋_GB2312" w:eastAsia="仿宋_GB2312" w:cs="仿宋_GB2312"/>
          <w:b/>
          <w:color w:val="auto"/>
          <w:kern w:val="0"/>
          <w:sz w:val="24"/>
          <w:highlight w:val="none"/>
          <w:lang w:val="zh-CN"/>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u w:val="single"/>
        </w:rPr>
        <w:t>（分包供应商X,……）提供的服务全部由</w:t>
      </w:r>
      <w:r>
        <w:rPr>
          <w:rFonts w:hint="eastAsia" w:ascii="仿宋_GB2312" w:hAnsi="仿宋_GB2312" w:eastAsia="仿宋_GB2312" w:cs="仿宋_GB2312"/>
          <w:color w:val="auto"/>
          <w:kern w:val="0"/>
          <w:sz w:val="24"/>
          <w:highlight w:val="none"/>
          <w:u w:val="single"/>
          <w:lang w:eastAsia="zh-CN"/>
        </w:rPr>
        <w:t>中小</w:t>
      </w:r>
      <w:r>
        <w:rPr>
          <w:rFonts w:hint="eastAsia" w:ascii="仿宋_GB2312" w:hAnsi="仿宋_GB2312" w:eastAsia="仿宋_GB2312" w:cs="仿宋_GB2312"/>
          <w:color w:val="auto"/>
          <w:kern w:val="0"/>
          <w:sz w:val="24"/>
          <w:highlight w:val="none"/>
          <w:u w:val="single"/>
        </w:rPr>
        <w:t>企业承接，</w:t>
      </w:r>
      <w:r>
        <w:rPr>
          <w:rFonts w:hint="eastAsia" w:ascii="仿宋_GB2312" w:hAnsi="仿宋_GB2312" w:eastAsia="仿宋_GB2312" w:cs="仿宋_GB2312"/>
          <w:color w:val="auto"/>
          <w:kern w:val="0"/>
          <w:sz w:val="24"/>
          <w:highlight w:val="none"/>
        </w:rPr>
        <w:t>其合同份额占到合同总金额</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%以上</w:t>
      </w:r>
      <w:r>
        <w:rPr>
          <w:rFonts w:hint="eastAsia" w:ascii="仿宋_GB2312" w:hAnsi="仿宋_GB2312" w:eastAsia="仿宋_GB2312" w:cs="仿宋_GB2312"/>
          <w:color w:val="auto"/>
          <w:highlight w:val="none"/>
        </w:rPr>
        <w:t>。</w:t>
      </w:r>
      <w:r>
        <w:rPr>
          <w:rFonts w:hint="eastAsia" w:ascii="仿宋_GB2312" w:hAnsi="仿宋_GB2312" w:eastAsia="仿宋_GB2312" w:cs="仿宋_GB2312"/>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_GB2312" w:hAnsi="仿宋_GB2312" w:eastAsia="仿宋_GB2312" w:cs="仿宋_GB2312"/>
          <w:b/>
          <w:color w:val="auto"/>
          <w:sz w:val="24"/>
          <w:highlight w:val="none"/>
        </w:rPr>
        <w:t>拟享受以上价格扣除政策的，填写有关内容。</w:t>
      </w:r>
      <w:r>
        <w:rPr>
          <w:rFonts w:hint="eastAsia" w:ascii="仿宋_GB2312" w:hAnsi="仿宋_GB2312" w:eastAsia="仿宋_GB2312" w:cs="仿宋_GB2312"/>
          <w:b/>
          <w:color w:val="auto"/>
          <w:kern w:val="0"/>
          <w:sz w:val="24"/>
          <w:highlight w:val="none"/>
          <w:lang w:val="zh-CN"/>
        </w:rPr>
        <w:t>）</w:t>
      </w:r>
    </w:p>
    <w:p>
      <w:pPr>
        <w:spacing w:line="360" w:lineRule="auto"/>
        <w:ind w:firstLine="480" w:firstLineChars="200"/>
        <w:rPr>
          <w:rFonts w:ascii="仿宋_GB2312" w:hAnsi="仿宋_GB2312" w:eastAsia="仿宋_GB2312" w:cs="仿宋_GB2312"/>
          <w:b/>
          <w:bCs/>
          <w:color w:val="auto"/>
          <w:kern w:val="0"/>
          <w:sz w:val="24"/>
          <w:highlight w:val="none"/>
          <w:lang w:val="zh-CN"/>
        </w:rPr>
      </w:pPr>
      <w:r>
        <w:rPr>
          <w:rFonts w:hint="eastAsia" w:ascii="仿宋_GB2312" w:hAnsi="仿宋_GB2312" w:eastAsia="仿宋_GB2312" w:cs="仿宋_GB2312"/>
          <w:color w:val="auto"/>
          <w:sz w:val="24"/>
          <w:highlight w:val="none"/>
        </w:rPr>
        <w:t>2、</w:t>
      </w:r>
      <w:bookmarkStart w:id="171" w:name="_Hlk101133173"/>
      <w:r>
        <w:rPr>
          <w:rFonts w:hint="eastAsia" w:ascii="仿宋_GB2312" w:hAnsi="仿宋_GB2312" w:eastAsia="仿宋_GB2312" w:cs="仿宋_GB2312"/>
          <w:color w:val="auto"/>
          <w:sz w:val="24"/>
          <w:highlight w:val="none"/>
        </w:rPr>
        <w:t>中小企业合同金额达到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%，其中小微企业合同金额达到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kern w:val="0"/>
          <w:sz w:val="24"/>
          <w:highlight w:val="none"/>
          <w:lang w:val="zh-CN"/>
        </w:rPr>
        <w:t>。</w:t>
      </w:r>
      <w:r>
        <w:rPr>
          <w:rFonts w:hint="eastAsia" w:ascii="仿宋_GB2312" w:hAnsi="仿宋_GB2312" w:eastAsia="仿宋_GB2312" w:cs="仿宋_GB2312"/>
          <w:b/>
          <w:bCs/>
          <w:color w:val="auto"/>
          <w:kern w:val="0"/>
          <w:sz w:val="24"/>
          <w:highlight w:val="none"/>
          <w:lang w:val="zh-CN"/>
        </w:rPr>
        <w:t>（</w:t>
      </w:r>
      <w:r>
        <w:rPr>
          <w:rFonts w:hint="eastAsia" w:ascii="仿宋_GB2312" w:hAnsi="仿宋_GB2312" w:eastAsia="仿宋_GB2312" w:cs="仿宋_GB2312"/>
          <w:b/>
          <w:bCs/>
          <w:color w:val="auto"/>
          <w:sz w:val="24"/>
          <w:highlight w:val="none"/>
        </w:rPr>
        <w:t>要求合同分包形式参加的项目或采购包，供应商按招标文件第一部分招标公告申请人的资格要求中规定的</w:t>
      </w:r>
      <w:r>
        <w:rPr>
          <w:rFonts w:hint="eastAsia" w:ascii="仿宋_GB2312" w:hAnsi="仿宋_GB2312" w:eastAsia="仿宋_GB2312" w:cs="仿宋_GB2312"/>
          <w:b/>
          <w:color w:val="auto"/>
          <w:kern w:val="0"/>
          <w:sz w:val="24"/>
          <w:highlight w:val="none"/>
          <w:lang w:val="zh-CN"/>
        </w:rPr>
        <w:t>分包意向协议</w:t>
      </w:r>
      <w:r>
        <w:rPr>
          <w:rFonts w:hint="eastAsia" w:ascii="仿宋_GB2312" w:hAnsi="仿宋_GB2312" w:eastAsia="仿宋_GB2312" w:cs="仿宋_GB2312"/>
          <w:b/>
          <w:bCs/>
          <w:color w:val="auto"/>
          <w:sz w:val="24"/>
          <w:highlight w:val="none"/>
        </w:rPr>
        <w:t>中中小企业、小微企业合同金额应当达到的比例要求填写。</w:t>
      </w:r>
      <w:r>
        <w:rPr>
          <w:rFonts w:hint="eastAsia" w:ascii="仿宋_GB2312" w:hAnsi="仿宋_GB2312" w:eastAsia="仿宋_GB2312" w:cs="仿宋_GB2312"/>
          <w:b/>
          <w:bCs/>
          <w:color w:val="auto"/>
          <w:kern w:val="0"/>
          <w:sz w:val="24"/>
          <w:highlight w:val="none"/>
          <w:lang w:val="zh-CN"/>
        </w:rPr>
        <w:t>）</w:t>
      </w:r>
      <w:bookmarkEnd w:id="171"/>
    </w:p>
    <w:p>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三、分包工作履行期限、地点、方式</w:t>
      </w:r>
    </w:p>
    <w:p>
      <w:pPr>
        <w:snapToGrid w:val="0"/>
        <w:ind w:firstLine="576"/>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u w:val="single"/>
        </w:rPr>
        <w:t xml:space="preserve">                                                                                  </w:t>
      </w:r>
    </w:p>
    <w:p>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四、质量</w:t>
      </w:r>
    </w:p>
    <w:p>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五、价款或者报酬</w:t>
      </w:r>
    </w:p>
    <w:p>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ind w:left="573" w:leftChars="273"/>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六、违约责任</w:t>
      </w:r>
    </w:p>
    <w:p>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七、争议解决的办法</w:t>
      </w:r>
    </w:p>
    <w:p>
      <w:pPr>
        <w:snapToGrid w:val="0"/>
        <w:ind w:firstLine="576"/>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highlight w:val="none"/>
          <w:u w:val="single"/>
        </w:rPr>
        <w:t xml:space="preserve">                                                                                  </w:t>
      </w:r>
    </w:p>
    <w:p>
      <w:pPr>
        <w:snapToGrid w:val="0"/>
        <w:spacing w:line="360" w:lineRule="auto"/>
        <w:ind w:left="5758" w:leftChars="342" w:hanging="5040" w:hangingChars="21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投标人名称(电子签名)：</w:t>
      </w:r>
    </w:p>
    <w:p>
      <w:pPr>
        <w:snapToGrid w:val="0"/>
        <w:spacing w:line="360" w:lineRule="auto"/>
        <w:ind w:firstLine="4800" w:firstLineChars="2000"/>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分包供应商名称(电子签名/公章)：</w:t>
      </w:r>
    </w:p>
    <w:p>
      <w:pPr>
        <w:snapToGrid w:val="0"/>
        <w:spacing w:line="360" w:lineRule="auto"/>
        <w:ind w:firstLine="5760" w:firstLineChars="2400"/>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lang w:val="zh-CN"/>
        </w:rPr>
        <w:t>……</w:t>
      </w:r>
    </w:p>
    <w:p>
      <w:pPr>
        <w:autoSpaceDE w:val="0"/>
        <w:autoSpaceDN w:val="0"/>
        <w:jc w:val="center"/>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  年  月   日</w:t>
      </w:r>
    </w:p>
    <w:p>
      <w:pPr>
        <w:autoSpaceDE w:val="0"/>
        <w:autoSpaceDN w:val="0"/>
        <w:rPr>
          <w:rFonts w:ascii="仿宋_GB2312" w:hAnsi="仿宋_GB2312" w:eastAsia="仿宋_GB2312" w:cs="仿宋_GB2312"/>
          <w:b/>
          <w:color w:val="auto"/>
          <w:spacing w:val="6"/>
          <w:sz w:val="32"/>
          <w:szCs w:val="32"/>
          <w:highlight w:val="none"/>
        </w:rPr>
      </w:pPr>
      <w:r>
        <w:rPr>
          <w:rFonts w:hint="eastAsia" w:ascii="仿宋_GB2312" w:hAnsi="仿宋_GB2312" w:eastAsia="仿宋_GB2312" w:cs="仿宋_GB2312"/>
          <w:color w:val="auto"/>
          <w:sz w:val="24"/>
          <w:highlight w:val="none"/>
        </w:rPr>
        <w:t>注：按本格式和要求提供。</w:t>
      </w:r>
    </w:p>
    <w:p>
      <w:pPr>
        <w:pStyle w:val="3"/>
        <w:rPr>
          <w:rFonts w:hAnsi="仿宋_GB2312" w:cs="仿宋_GB2312"/>
          <w:color w:val="auto"/>
          <w:highlight w:val="none"/>
        </w:rPr>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pPr>
    </w:p>
    <w:p>
      <w:pPr>
        <w:autoSpaceDE w:val="0"/>
        <w:autoSpaceDN w:val="0"/>
        <w:spacing w:line="24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pacing w:val="6"/>
          <w:sz w:val="32"/>
          <w:szCs w:val="32"/>
          <w:highlight w:val="none"/>
        </w:rPr>
        <w:t>附件7：</w:t>
      </w:r>
      <w:r>
        <w:rPr>
          <w:rFonts w:hint="eastAsia" w:ascii="仿宋_GB2312" w:hAnsi="仿宋_GB2312" w:eastAsia="仿宋_GB2312" w:cs="仿宋_GB2312"/>
          <w:b/>
          <w:color w:val="auto"/>
          <w:sz w:val="32"/>
          <w:szCs w:val="32"/>
          <w:highlight w:val="none"/>
        </w:rPr>
        <w:t>中小企业声明函</w:t>
      </w:r>
    </w:p>
    <w:p>
      <w:pPr>
        <w:spacing w:line="360" w:lineRule="auto"/>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中小企业声明函（服务）</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本公司（联合体）郑重声明，根据《政府采购促进中小企业发展管理办法》（财库﹝2020﹞46 号）的规定，本公司（联合体）参加 </w:t>
      </w:r>
      <w:r>
        <w:rPr>
          <w:rFonts w:hint="eastAsia" w:ascii="仿宋_GB2312" w:hAnsi="仿宋_GB2312" w:eastAsia="仿宋_GB2312" w:cs="仿宋_GB2312"/>
          <w:color w:val="auto"/>
          <w:sz w:val="24"/>
          <w:highlight w:val="none"/>
          <w:u w:val="single"/>
          <w:lang w:eastAsia="zh-CN"/>
        </w:rPr>
        <w:t>杭州市钱塘区人民政府白杨街道办事处</w:t>
      </w:r>
      <w:r>
        <w:rPr>
          <w:rFonts w:hint="eastAsia" w:ascii="仿宋_GB2312" w:hAnsi="仿宋_GB2312" w:eastAsia="仿宋_GB2312" w:cs="仿宋_GB2312"/>
          <w:color w:val="auto"/>
          <w:sz w:val="24"/>
          <w:highlight w:val="none"/>
        </w:rPr>
        <w:t xml:space="preserve"> 的 </w:t>
      </w:r>
      <w:r>
        <w:rPr>
          <w:rFonts w:hint="eastAsia" w:ascii="仿宋_GB2312" w:hAnsi="仿宋_GB2312" w:eastAsia="仿宋_GB2312" w:cs="仿宋_GB2312"/>
          <w:color w:val="auto"/>
          <w:sz w:val="24"/>
          <w:highlight w:val="none"/>
          <w:u w:val="single"/>
          <w:lang w:eastAsia="zh-CN"/>
        </w:rPr>
        <w:t>白杨街道城市基础设施一体化（智慧）养护项目</w:t>
      </w:r>
      <w:r>
        <w:rPr>
          <w:rFonts w:hint="eastAsia" w:ascii="仿宋_GB2312" w:hAnsi="仿宋_GB2312" w:eastAsia="仿宋_GB2312" w:cs="仿宋_GB2312"/>
          <w:color w:val="auto"/>
          <w:sz w:val="24"/>
          <w:highlight w:val="none"/>
        </w:rPr>
        <w:t xml:space="preserve"> 采购活动，服务全部由符合政策要求的中小企业承接。相关企业（含联合体中的中小企业、签订分包意向协议的中小企业）的具体情况如下：</w:t>
      </w:r>
    </w:p>
    <w:p>
      <w:pPr>
        <w:numPr>
          <w:ilvl w:val="0"/>
          <w:numId w:val="6"/>
        </w:numPr>
        <w:spacing w:line="360" w:lineRule="auto"/>
        <w:rPr>
          <w:rFonts w:ascii="仿宋_GB2312" w:hAnsi="仿宋_GB2312" w:eastAsia="仿宋_GB2312" w:cs="仿宋_GB2312"/>
          <w:color w:val="auto"/>
          <w:sz w:val="24"/>
          <w:highlight w:val="none"/>
          <w:u w:val="single"/>
        </w:rPr>
      </w:pPr>
      <w:r>
        <w:rPr>
          <w:rFonts w:hint="eastAsia" w:ascii="仿宋_GB2312" w:hAnsi="仿宋_GB2312" w:eastAsia="仿宋_GB2312" w:cs="仿宋_GB2312"/>
          <w:kern w:val="0"/>
          <w:sz w:val="24"/>
          <w:u w:val="single"/>
          <w:lang w:eastAsia="zh-CN"/>
        </w:rPr>
        <w:t>一体化养护</w:t>
      </w:r>
      <w:r>
        <w:rPr>
          <w:rFonts w:hint="eastAsia" w:ascii="仿宋_GB2312" w:hAnsi="仿宋_GB2312" w:eastAsia="仿宋_GB2312" w:cs="仿宋_GB2312"/>
          <w:color w:val="auto"/>
          <w:sz w:val="24"/>
          <w:highlight w:val="none"/>
        </w:rPr>
        <w:t xml:space="preserve">，属于 </w:t>
      </w:r>
      <w:r>
        <w:rPr>
          <w:rFonts w:hint="eastAsia" w:ascii="仿宋_GB2312" w:hAnsi="仿宋_GB2312" w:eastAsia="仿宋_GB2312" w:cs="仿宋_GB2312"/>
          <w:kern w:val="0"/>
          <w:sz w:val="24"/>
          <w:u w:val="single"/>
        </w:rPr>
        <w:t>其他未列明</w:t>
      </w:r>
      <w:r>
        <w:rPr>
          <w:rFonts w:hint="eastAsia" w:ascii="仿宋_GB2312" w:hAnsi="仿宋_GB2312" w:eastAsia="仿宋_GB2312" w:cs="仿宋_GB2312"/>
          <w:color w:val="auto"/>
          <w:sz w:val="24"/>
          <w:highlight w:val="none"/>
        </w:rPr>
        <w:t xml:space="preserve"> 行业 ；承接企业为</w:t>
      </w:r>
      <w:r>
        <w:rPr>
          <w:rFonts w:hint="eastAsia" w:ascii="仿宋_GB2312" w:hAnsi="仿宋_GB2312" w:eastAsia="仿宋_GB2312" w:cs="仿宋_GB2312"/>
          <w:color w:val="auto"/>
          <w:sz w:val="24"/>
          <w:highlight w:val="none"/>
          <w:u w:val="single"/>
        </w:rPr>
        <w:t xml:space="preserve"> （企业名称）</w:t>
      </w:r>
      <w:r>
        <w:rPr>
          <w:rFonts w:hint="eastAsia" w:ascii="仿宋_GB2312" w:hAnsi="仿宋_GB2312" w:eastAsia="仿宋_GB2312" w:cs="仿宋_GB2312"/>
          <w:color w:val="auto"/>
          <w:sz w:val="24"/>
          <w:highlight w:val="none"/>
        </w:rPr>
        <w:t xml:space="preserve"> ，从业人员</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人，营业收入为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万元，资产总额为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万元，属于</w:t>
      </w:r>
      <w:r>
        <w:rPr>
          <w:rFonts w:hint="eastAsia" w:ascii="仿宋_GB2312" w:hAnsi="仿宋_GB2312" w:eastAsia="仿宋_GB2312" w:cs="仿宋_GB2312"/>
          <w:color w:val="auto"/>
          <w:sz w:val="24"/>
          <w:highlight w:val="none"/>
          <w:u w:val="single"/>
        </w:rPr>
        <w:t xml:space="preserve"> （中型企业、小型企业、微型企业）</w:t>
      </w:r>
      <w:r>
        <w:rPr>
          <w:rFonts w:hint="eastAsia" w:ascii="仿宋_GB2312" w:hAnsi="仿宋_GB2312" w:eastAsia="仿宋_GB2312" w:cs="仿宋_GB2312"/>
          <w:color w:val="auto"/>
          <w:sz w:val="24"/>
          <w:highlight w:val="none"/>
        </w:rPr>
        <w:t xml:space="preserve"> 。</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投标人名称(电子签名)：</w:t>
      </w:r>
    </w:p>
    <w:p>
      <w:pPr>
        <w:snapToGrid w:val="0"/>
        <w:spacing w:line="360" w:lineRule="auto"/>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 xml:space="preserve">                                           日期</w:t>
      </w:r>
      <w:r>
        <w:rPr>
          <w:rFonts w:hint="eastAsia" w:ascii="仿宋_GB2312" w:hAnsi="仿宋_GB2312" w:eastAsia="仿宋_GB2312" w:cs="仿宋_GB2312"/>
          <w:color w:val="auto"/>
          <w:kern w:val="0"/>
          <w:sz w:val="24"/>
          <w:highlight w:val="none"/>
        </w:rPr>
        <w:t xml:space="preserve">：  年  </w:t>
      </w:r>
      <w:r>
        <w:rPr>
          <w:rFonts w:hint="eastAsia" w:ascii="仿宋_GB2312" w:hAnsi="仿宋_GB2312" w:eastAsia="仿宋_GB2312" w:cs="仿宋_GB2312"/>
          <w:color w:val="auto"/>
          <w:kern w:val="0"/>
          <w:sz w:val="24"/>
          <w:highlight w:val="none"/>
          <w:lang w:val="zh-CN"/>
        </w:rPr>
        <w:t>月</w:t>
      </w:r>
      <w:r>
        <w:rPr>
          <w:rFonts w:hint="eastAsia" w:ascii="仿宋_GB2312" w:hAnsi="仿宋_GB2312" w:eastAsia="仿宋_GB2312" w:cs="仿宋_GB2312"/>
          <w:color w:val="auto"/>
          <w:kern w:val="0"/>
          <w:sz w:val="24"/>
          <w:highlight w:val="none"/>
        </w:rPr>
        <w:t xml:space="preserve">   </w:t>
      </w:r>
      <w:r>
        <w:rPr>
          <w:rFonts w:hint="eastAsia" w:ascii="仿宋_GB2312" w:hAnsi="仿宋_GB2312" w:eastAsia="仿宋_GB2312" w:cs="仿宋_GB2312"/>
          <w:color w:val="auto"/>
          <w:kern w:val="0"/>
          <w:sz w:val="24"/>
          <w:highlight w:val="none"/>
          <w:lang w:val="zh-CN"/>
        </w:rPr>
        <w:t>日</w:t>
      </w:r>
    </w:p>
    <w:p>
      <w:pPr>
        <w:spacing w:line="360" w:lineRule="auto"/>
        <w:jc w:val="lef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Cs w:val="21"/>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w:t>
      </w:r>
    </w:p>
    <w:p>
      <w:pPr>
        <w:spacing w:line="360" w:lineRule="auto"/>
        <w:ind w:right="420"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2" w:firstLineChars="200"/>
        <w:rPr>
          <w:color w:val="auto"/>
          <w:highlight w:val="none"/>
        </w:rPr>
      </w:pP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lang w:eastAsia="zh-CN"/>
        </w:rPr>
        <w:t>投标人为联合体的，本声明函须覆盖联合体各方，否则声明函无效。</w:t>
      </w:r>
    </w:p>
    <w:sectPr>
      <w:pgSz w:w="11906" w:h="16838"/>
      <w:pgMar w:top="680" w:right="1417" w:bottom="471"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1" w:usb3="00000000" w:csb0="400001BF" w:csb1="DFF70000"/>
  </w:font>
  <w:font w:name="Songti SC">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 w:name="Arial">
    <w:panose1 w:val="020B0604020202020204"/>
    <w:charset w:val="00"/>
    <w:family w:val="auto"/>
    <w:pitch w:val="default"/>
    <w:sig w:usb0="E0002EFF" w:usb1="C000785B" w:usb2="00000009" w:usb3="00000000" w:csb0="400001FF" w:csb1="FFFF0000"/>
  </w:font>
  <w:font w:name="Noto Serif SC">
    <w:panose1 w:val="02020200000000000000"/>
    <w:charset w:val="86"/>
    <w:family w:val="auto"/>
    <w:pitch w:val="default"/>
    <w:sig w:usb0="20000083" w:usb1="2ADF3C10" w:usb2="00000016" w:usb3="00000000" w:csb0="60060107"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83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shape>
          </w:pict>
        </mc:Fallback>
      </mc:AlternateConten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84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mc:Fallback>
      </mc:AlternateContent>
    </w:r>
  </w:p>
  <w:p>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100</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val="0"/>
      <w:snapToGrid w:val="0"/>
      <w:jc w:val="center"/>
      <w:rPr>
        <w:rFonts w:ascii="仿宋_GB2312" w:hAnsi="Times New Roman" w:eastAsia="仿宋_GB2312" w:cs="Times New Roman"/>
        <w:kern w:val="2"/>
        <w:sz w:val="18"/>
        <w:szCs w:val="24"/>
        <w:lang w:val="en-US" w:eastAsia="zh-CN" w:bidi="ar-SA"/>
      </w:rPr>
    </w:pPr>
    <w:r>
      <w:rPr>
        <w:rFonts w:hint="eastAsia" w:ascii="仿宋_GB2312" w:hAnsi="Times New Roman" w:eastAsia="仿宋_GB2312" w:cs="Times New Roman"/>
        <w:kern w:val="0"/>
        <w:sz w:val="18"/>
        <w:szCs w:val="21"/>
        <w:lang w:val="en-US" w:eastAsia="zh-CN" w:bidi="ar-SA"/>
      </w:rPr>
      <w:t xml:space="preserve">第 </w:t>
    </w:r>
    <w:r>
      <w:rPr>
        <w:rFonts w:hint="eastAsia" w:ascii="仿宋_GB2312" w:hAnsi="Times New Roman" w:eastAsia="仿宋_GB2312" w:cs="Times New Roman"/>
        <w:kern w:val="0"/>
        <w:sz w:val="18"/>
        <w:szCs w:val="21"/>
        <w:lang w:val="en-US" w:eastAsia="zh-CN" w:bidi="ar-SA"/>
      </w:rPr>
      <w:fldChar w:fldCharType="begin"/>
    </w:r>
    <w:r>
      <w:rPr>
        <w:rFonts w:hint="eastAsia" w:ascii="仿宋_GB2312" w:hAnsi="Times New Roman" w:eastAsia="仿宋_GB2312" w:cs="Times New Roman"/>
        <w:kern w:val="0"/>
        <w:sz w:val="18"/>
        <w:szCs w:val="21"/>
        <w:lang w:val="en-US" w:eastAsia="zh-CN" w:bidi="ar-SA"/>
      </w:rPr>
      <w:instrText xml:space="preserve"> PAGE </w:instrText>
    </w:r>
    <w:r>
      <w:rPr>
        <w:rFonts w:hint="eastAsia" w:ascii="仿宋_GB2312" w:hAnsi="Times New Roman" w:eastAsia="仿宋_GB2312" w:cs="Times New Roman"/>
        <w:kern w:val="0"/>
        <w:sz w:val="18"/>
        <w:szCs w:val="21"/>
        <w:lang w:val="en-US" w:eastAsia="zh-CN" w:bidi="ar-SA"/>
      </w:rPr>
      <w:fldChar w:fldCharType="separate"/>
    </w:r>
    <w:r>
      <w:rPr>
        <w:rFonts w:ascii="仿宋_GB2312" w:hAnsi="Times New Roman" w:eastAsia="仿宋_GB2312" w:cs="Times New Roman"/>
        <w:kern w:val="0"/>
        <w:sz w:val="18"/>
        <w:szCs w:val="21"/>
        <w:lang w:val="en-US" w:eastAsia="zh-CN" w:bidi="ar-SA"/>
      </w:rPr>
      <w:t>67</w:t>
    </w:r>
    <w:r>
      <w:rPr>
        <w:rFonts w:hint="eastAsia" w:ascii="仿宋_GB2312" w:hAnsi="Times New Roman" w:eastAsia="仿宋_GB2312" w:cs="Times New Roman"/>
        <w:kern w:val="0"/>
        <w:sz w:val="18"/>
        <w:szCs w:val="21"/>
        <w:lang w:val="en-US" w:eastAsia="zh-CN" w:bidi="ar-SA"/>
      </w:rPr>
      <w:fldChar w:fldCharType="end"/>
    </w:r>
    <w:r>
      <w:rPr>
        <w:rFonts w:hint="eastAsia" w:ascii="仿宋_GB2312" w:hAnsi="Times New Roman" w:eastAsia="仿宋_GB2312" w:cs="Times New Roman"/>
        <w:kern w:val="0"/>
        <w:sz w:val="18"/>
        <w:szCs w:val="21"/>
        <w:lang w:val="en-US" w:eastAsia="zh-CN" w:bidi="ar-SA"/>
      </w:rPr>
      <w:t xml:space="preserve"> 页 共 </w:t>
    </w:r>
    <w:r>
      <w:rPr>
        <w:rFonts w:hint="eastAsia" w:ascii="仿宋_GB2312" w:hAnsi="Times New Roman" w:eastAsia="仿宋_GB2312" w:cs="Times New Roman"/>
        <w:kern w:val="0"/>
        <w:sz w:val="18"/>
        <w:szCs w:val="21"/>
        <w:lang w:val="en-US" w:eastAsia="zh-CN" w:bidi="ar-SA"/>
      </w:rPr>
      <w:fldChar w:fldCharType="begin"/>
    </w:r>
    <w:r>
      <w:rPr>
        <w:rFonts w:hint="eastAsia" w:ascii="仿宋_GB2312" w:hAnsi="Times New Roman" w:eastAsia="仿宋_GB2312" w:cs="Times New Roman"/>
        <w:kern w:val="0"/>
        <w:sz w:val="18"/>
        <w:szCs w:val="21"/>
        <w:lang w:val="en-US" w:eastAsia="zh-CN" w:bidi="ar-SA"/>
      </w:rPr>
      <w:instrText xml:space="preserve"> NUMPAGES </w:instrText>
    </w:r>
    <w:r>
      <w:rPr>
        <w:rFonts w:hint="eastAsia" w:ascii="仿宋_GB2312" w:hAnsi="Times New Roman" w:eastAsia="仿宋_GB2312" w:cs="Times New Roman"/>
        <w:kern w:val="0"/>
        <w:sz w:val="18"/>
        <w:szCs w:val="21"/>
        <w:lang w:val="en-US" w:eastAsia="zh-CN" w:bidi="ar-SA"/>
      </w:rPr>
      <w:fldChar w:fldCharType="separate"/>
    </w:r>
    <w:r>
      <w:rPr>
        <w:rFonts w:ascii="仿宋_GB2312" w:hAnsi="Times New Roman" w:eastAsia="仿宋_GB2312" w:cs="Times New Roman"/>
        <w:kern w:val="0"/>
        <w:sz w:val="18"/>
        <w:szCs w:val="21"/>
        <w:lang w:val="en-US" w:eastAsia="zh-CN" w:bidi="ar-SA"/>
      </w:rPr>
      <w:t>70</w:t>
    </w:r>
    <w:r>
      <w:rPr>
        <w:rFonts w:hint="eastAsia" w:ascii="仿宋_GB2312" w:hAnsi="Times New Roman" w:eastAsia="仿宋_GB2312" w:cs="Times New Roman"/>
        <w:kern w:val="0"/>
        <w:sz w:val="18"/>
        <w:szCs w:val="21"/>
        <w:lang w:val="en-US" w:eastAsia="zh-CN" w:bidi="ar-SA"/>
      </w:rPr>
      <w:fldChar w:fldCharType="end"/>
    </w:r>
    <w:r>
      <w:rPr>
        <w:rFonts w:hint="eastAsia" w:ascii="仿宋_GB2312" w:hAnsi="Times New Roman" w:eastAsia="仿宋_GB2312" w:cs="Times New Roman"/>
        <w:kern w:val="0"/>
        <w:sz w:val="18"/>
        <w:szCs w:val="21"/>
        <w:lang w:val="en-US" w:eastAsia="zh-CN" w:bidi="ar-SA"/>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Arial" w:hAnsi="Arial" w:eastAsia="黑体" w:cs="Arial"/>
        <w:snapToGrid w:val="0"/>
        <w:kern w:val="0"/>
        <w:sz w:val="21"/>
        <w:szCs w:val="21"/>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adjustRightInd w:val="0"/>
      <w:snapToGrid w:val="0"/>
      <w:ind w:right="360"/>
      <w:jc w:val="left"/>
      <w:rPr>
        <w:rFonts w:ascii="Times New Roman" w:hAnsi="Times New Roman"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val="0"/>
      <w:snapToGrid w:val="0"/>
      <w:jc w:val="center"/>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0"/>
        <w:sz w:val="18"/>
        <w:szCs w:val="21"/>
        <w:lang w:val="en-US" w:eastAsia="zh-CN" w:bidi="ar-SA"/>
      </w:rPr>
      <w:t xml:space="preserve">第 </w:t>
    </w:r>
    <w:r>
      <w:rPr>
        <w:rFonts w:hint="eastAsia" w:ascii="仿宋_GB2312" w:hAnsi="Times New Roman" w:eastAsia="仿宋_GB2312" w:cs="Times New Roman"/>
        <w:kern w:val="0"/>
        <w:sz w:val="18"/>
        <w:szCs w:val="21"/>
        <w:lang w:val="en-US" w:eastAsia="zh-CN" w:bidi="ar-SA"/>
      </w:rPr>
      <w:fldChar w:fldCharType="begin"/>
    </w:r>
    <w:r>
      <w:rPr>
        <w:rFonts w:hint="eastAsia" w:ascii="仿宋_GB2312" w:hAnsi="Times New Roman" w:eastAsia="仿宋_GB2312" w:cs="Times New Roman"/>
        <w:kern w:val="0"/>
        <w:sz w:val="18"/>
        <w:szCs w:val="21"/>
        <w:lang w:val="en-US" w:eastAsia="zh-CN" w:bidi="ar-SA"/>
      </w:rPr>
      <w:instrText xml:space="preserve"> PAGE </w:instrText>
    </w:r>
    <w:r>
      <w:rPr>
        <w:rFonts w:hint="eastAsia" w:ascii="仿宋_GB2312" w:hAnsi="Times New Roman" w:eastAsia="仿宋_GB2312" w:cs="Times New Roman"/>
        <w:kern w:val="0"/>
        <w:sz w:val="18"/>
        <w:szCs w:val="21"/>
        <w:lang w:val="en-US" w:eastAsia="zh-CN" w:bidi="ar-SA"/>
      </w:rPr>
      <w:fldChar w:fldCharType="separate"/>
    </w:r>
    <w:r>
      <w:rPr>
        <w:rFonts w:ascii="仿宋_GB2312" w:hAnsi="Times New Roman" w:eastAsia="仿宋_GB2312" w:cs="Times New Roman"/>
        <w:kern w:val="0"/>
        <w:sz w:val="18"/>
        <w:szCs w:val="21"/>
        <w:lang w:val="en-US" w:eastAsia="zh-CN" w:bidi="ar-SA"/>
      </w:rPr>
      <w:t>60</w:t>
    </w:r>
    <w:r>
      <w:rPr>
        <w:rFonts w:hint="eastAsia" w:ascii="仿宋_GB2312" w:hAnsi="Times New Roman" w:eastAsia="仿宋_GB2312" w:cs="Times New Roman"/>
        <w:kern w:val="0"/>
        <w:sz w:val="18"/>
        <w:szCs w:val="21"/>
        <w:lang w:val="en-US" w:eastAsia="zh-CN" w:bidi="ar-SA"/>
      </w:rPr>
      <w:fldChar w:fldCharType="end"/>
    </w:r>
    <w:r>
      <w:rPr>
        <w:rFonts w:hint="eastAsia" w:ascii="仿宋_GB2312" w:hAnsi="Times New Roman" w:eastAsia="仿宋_GB2312" w:cs="Times New Roman"/>
        <w:kern w:val="0"/>
        <w:sz w:val="18"/>
        <w:szCs w:val="21"/>
        <w:lang w:val="en-US" w:eastAsia="zh-CN" w:bidi="ar-SA"/>
      </w:rPr>
      <w:t xml:space="preserve"> 页 共 </w:t>
    </w:r>
    <w:r>
      <w:rPr>
        <w:rFonts w:hint="eastAsia" w:ascii="仿宋_GB2312" w:hAnsi="Times New Roman" w:eastAsia="仿宋_GB2312" w:cs="Times New Roman"/>
        <w:kern w:val="0"/>
        <w:sz w:val="18"/>
        <w:szCs w:val="21"/>
        <w:lang w:val="en-US" w:eastAsia="zh-CN" w:bidi="ar-SA"/>
      </w:rPr>
      <w:fldChar w:fldCharType="begin"/>
    </w:r>
    <w:r>
      <w:rPr>
        <w:rFonts w:hint="eastAsia" w:ascii="仿宋_GB2312" w:hAnsi="Times New Roman" w:eastAsia="仿宋_GB2312" w:cs="Times New Roman"/>
        <w:kern w:val="0"/>
        <w:sz w:val="18"/>
        <w:szCs w:val="21"/>
        <w:lang w:val="en-US" w:eastAsia="zh-CN" w:bidi="ar-SA"/>
      </w:rPr>
      <w:instrText xml:space="preserve"> NUMPAGES </w:instrText>
    </w:r>
    <w:r>
      <w:rPr>
        <w:rFonts w:hint="eastAsia" w:ascii="仿宋_GB2312" w:hAnsi="Times New Roman" w:eastAsia="仿宋_GB2312" w:cs="Times New Roman"/>
        <w:kern w:val="0"/>
        <w:sz w:val="18"/>
        <w:szCs w:val="21"/>
        <w:lang w:val="en-US" w:eastAsia="zh-CN" w:bidi="ar-SA"/>
      </w:rPr>
      <w:fldChar w:fldCharType="separate"/>
    </w:r>
    <w:r>
      <w:rPr>
        <w:rFonts w:ascii="仿宋_GB2312" w:hAnsi="Times New Roman" w:eastAsia="仿宋_GB2312" w:cs="Times New Roman"/>
        <w:kern w:val="0"/>
        <w:sz w:val="18"/>
        <w:szCs w:val="21"/>
        <w:lang w:val="en-US" w:eastAsia="zh-CN" w:bidi="ar-SA"/>
      </w:rPr>
      <w:t>70</w:t>
    </w:r>
    <w:r>
      <w:rPr>
        <w:rFonts w:hint="eastAsia" w:ascii="仿宋_GB2312" w:hAnsi="Times New Roman" w:eastAsia="仿宋_GB2312" w:cs="Times New Roman"/>
        <w:kern w:val="0"/>
        <w:sz w:val="18"/>
        <w:szCs w:val="21"/>
        <w:lang w:val="en-US" w:eastAsia="zh-CN" w:bidi="ar-SA"/>
      </w:rPr>
      <w:fldChar w:fldCharType="end"/>
    </w:r>
    <w:bookmarkStart w:id="172" w:name="_Toc91899912"/>
    <w:bookmarkStart w:id="173" w:name="_Toc36110187"/>
    <w:bookmarkStart w:id="174" w:name="_Toc131845147"/>
    <w:bookmarkStart w:id="175" w:name="_Toc164085800"/>
    <w:r>
      <w:rPr>
        <w:rFonts w:hint="eastAsia" w:ascii="仿宋_GB2312" w:hAnsi="Times New Roman" w:eastAsia="仿宋_GB2312" w:cs="Times New Roman"/>
        <w:kern w:val="0"/>
        <w:sz w:val="18"/>
        <w:szCs w:val="21"/>
        <w:lang w:val="en-US" w:eastAsia="zh-CN" w:bidi="ar-SA"/>
      </w:rPr>
      <w:t xml:space="preserve"> 页</w:t>
    </w:r>
    <w:bookmarkEnd w:id="172"/>
    <w:bookmarkEnd w:id="173"/>
    <w:bookmarkEnd w:id="174"/>
    <w:bookmarkEnd w:id="175"/>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djustRightInd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30</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NUMPAGES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30</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NUMPAGES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w:t>
                    </w:r>
                  </w:p>
                </w:txbxContent>
              </v:textbox>
            </v:shape>
          </w:pict>
        </mc:Fallback>
      </mc:AlternateContent>
    </w:r>
  </w:p>
  <w:p>
    <w:pPr>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p>
  <w:p>
    <w:pPr>
      <w:pStyle w:val="4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2"/>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tabs>
        <w:tab w:val="center" w:pos="4535"/>
        <w:tab w:val="right" w:pos="9070"/>
        <w:tab w:val="clear" w:pos="4153"/>
        <w:tab w:val="clear" w:pos="8306"/>
      </w:tabs>
      <w:jc w:val="right"/>
    </w:pPr>
    <w:r>
      <w:rPr>
        <w:rFonts w:hint="eastAsia"/>
      </w:rPr>
      <w:t>杭州市钱塘区政府采购公开招标文件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w:t>
    </w:r>
    <w:r>
      <w:rPr>
        <w:rFonts w:hint="eastAsia"/>
      </w:rPr>
      <w:t>钱塘区</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w:t>
    </w:r>
    <w:r>
      <w:rPr>
        <w:rFonts w:hint="eastAsia"/>
      </w:rPr>
      <w:t>钱塘区</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w:t>
    </w:r>
    <w:r>
      <w:rPr>
        <w:rFonts w:hint="eastAsia"/>
      </w:rPr>
      <w:t>钱塘区</w:t>
    </w:r>
    <w:r>
      <w:t>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4" w:space="0"/>
      </w:pBdr>
      <w:tabs>
        <w:tab w:val="center" w:pos="4535"/>
        <w:tab w:val="right" w:pos="9070"/>
        <w:tab w:val="clear" w:pos="4153"/>
        <w:tab w:val="clear" w:pos="8306"/>
      </w:tabs>
      <w:jc w:val="right"/>
    </w:pP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adjustRightInd w:val="0"/>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adjustRightInd w:val="0"/>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ascii="Times New Roman" w:hAnsi="Times New Roman" w:eastAsia="宋体" w:cs="Times New Roman"/>
        <w:sz w:val="18"/>
        <w:szCs w:val="21"/>
        <w:u w:val="single"/>
      </w:rPr>
    </w:pPr>
    <w:r>
      <w:rPr>
        <w:rFonts w:ascii="Times New Roman" w:hAnsi="Times New Roman" w:eastAsia="宋体" w:cs="Times New Roman"/>
        <w:sz w:val="18"/>
        <w:szCs w:val="21"/>
        <w:lang w:val="zh-CN"/>
      </w:rPr>
      <w:t>杭州市</w:t>
    </w:r>
    <w:r>
      <w:rPr>
        <w:rFonts w:hint="eastAsia" w:ascii="Times New Roman" w:hAnsi="Times New Roman" w:eastAsia="宋体" w:cs="Times New Roman"/>
        <w:sz w:val="18"/>
        <w:szCs w:val="21"/>
      </w:rPr>
      <w:t>钱塘区</w:t>
    </w:r>
    <w:r>
      <w:rPr>
        <w:rFonts w:ascii="Times New Roman" w:hAnsi="Times New Roman" w:eastAsia="宋体" w:cs="Times New Roman"/>
        <w:sz w:val="18"/>
        <w:szCs w:val="21"/>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sz w:val="18"/>
        <w:szCs w:val="21"/>
        <w:u w:val="single"/>
      </w:rPr>
    </w:pPr>
    <w:r>
      <w:rPr>
        <w:sz w:val="18"/>
        <w:szCs w:val="21"/>
        <w:lang w:val="zh-CN"/>
      </w:rPr>
      <w:t>杭州市</w:t>
    </w:r>
    <w:r>
      <w:rPr>
        <w:rFonts w:hint="eastAsia"/>
        <w:sz w:val="18"/>
        <w:szCs w:val="21"/>
      </w:rPr>
      <w:t>钱塘区</w:t>
    </w:r>
    <w:r>
      <w:rPr>
        <w:sz w:val="18"/>
        <w:szCs w:val="21"/>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u w:val="single"/>
      </w:rPr>
    </w:pPr>
    <w:r>
      <w:rPr>
        <w:sz w:val="18"/>
        <w:szCs w:val="21"/>
        <w:lang w:val="zh-CN"/>
      </w:rPr>
      <w:t>杭州市</w:t>
    </w:r>
    <w:r>
      <w:rPr>
        <w:rFonts w:hint="eastAsia"/>
        <w:sz w:val="18"/>
        <w:szCs w:val="21"/>
      </w:rPr>
      <w:t>钱塘区</w:t>
    </w:r>
    <w:r>
      <w:rPr>
        <w:sz w:val="18"/>
        <w:szCs w:val="21"/>
        <w:lang w:val="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t>杭州市</w:t>
    </w:r>
    <w:r>
      <w:rPr>
        <w:rFonts w:hint="eastAsia"/>
      </w:rPr>
      <w:t>钱塘区</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rFonts w:hint="eastAsia"/>
      </w:rPr>
      <w:t xml:space="preserve">                                                                  </w:t>
    </w:r>
    <w:r>
      <w:t>杭州市</w:t>
    </w:r>
    <w:r>
      <w:rPr>
        <w:rFonts w:hint="eastAsia"/>
      </w:rPr>
      <w:t>钱塘区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4317"/>
    <w:multiLevelType w:val="singleLevel"/>
    <w:tmpl w:val="BF5D4317"/>
    <w:lvl w:ilvl="0" w:tentative="0">
      <w:start w:val="1"/>
      <w:numFmt w:val="decimal"/>
      <w:suff w:val="nothing"/>
      <w:lvlText w:val="（%1）"/>
      <w:lvlJc w:val="left"/>
    </w:lvl>
  </w:abstractNum>
  <w:abstractNum w:abstractNumId="1">
    <w:nsid w:val="F4CF58BF"/>
    <w:multiLevelType w:val="singleLevel"/>
    <w:tmpl w:val="F4CF58BF"/>
    <w:lvl w:ilvl="0" w:tentative="0">
      <w:start w:val="5"/>
      <w:numFmt w:val="chineseCounting"/>
      <w:suff w:val="nothing"/>
      <w:lvlText w:val="%1、"/>
      <w:lvlJc w:val="left"/>
      <w:rPr>
        <w:rFonts w:hint="eastAsia"/>
      </w:rPr>
    </w:lvl>
  </w:abstractNum>
  <w:abstractNum w:abstractNumId="2">
    <w:nsid w:val="FA902FF2"/>
    <w:multiLevelType w:val="singleLevel"/>
    <w:tmpl w:val="FA902FF2"/>
    <w:lvl w:ilvl="0" w:tentative="0">
      <w:start w:val="3"/>
      <w:numFmt w:val="chineseCounting"/>
      <w:suff w:val="space"/>
      <w:lvlText w:val="第%1部分"/>
      <w:lvlJc w:val="left"/>
      <w:rPr>
        <w:rFonts w:hint="eastAsia"/>
      </w:rPr>
    </w:lvl>
  </w:abstractNum>
  <w:abstractNum w:abstractNumId="3">
    <w:nsid w:val="FD3E2CDB"/>
    <w:multiLevelType w:val="singleLevel"/>
    <w:tmpl w:val="FD3E2CDB"/>
    <w:lvl w:ilvl="0" w:tentative="0">
      <w:start w:val="1"/>
      <w:numFmt w:val="decimal"/>
      <w:suff w:val="nothing"/>
      <w:lvlText w:val="（%1）"/>
      <w:lvlJc w:val="left"/>
    </w:lvl>
  </w:abstractNum>
  <w:abstractNum w:abstractNumId="4">
    <w:nsid w:val="FECE1E8E"/>
    <w:multiLevelType w:val="singleLevel"/>
    <w:tmpl w:val="FECE1E8E"/>
    <w:lvl w:ilvl="0" w:tentative="0">
      <w:start w:val="1"/>
      <w:numFmt w:val="decimal"/>
      <w:suff w:val="nothing"/>
      <w:lvlText w:val="%1．"/>
      <w:lvlJc w:val="left"/>
      <w:pPr>
        <w:ind w:left="0" w:firstLine="400"/>
      </w:pPr>
      <w:rPr>
        <w:rFonts w:hint="default"/>
      </w:rPr>
    </w:lvl>
  </w:abstractNum>
  <w:abstractNum w:abstractNumId="5">
    <w:nsid w:val="FFA78A96"/>
    <w:multiLevelType w:val="singleLevel"/>
    <w:tmpl w:val="FFA78A96"/>
    <w:lvl w:ilvl="0" w:tentative="0">
      <w:start w:val="8"/>
      <w:numFmt w:val="decimal"/>
      <w:suff w:val="space"/>
      <w:lvlText w:val="%1."/>
      <w:lvlJc w:val="left"/>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NGUxZTEzYzAxYzFlMDQ3OGQzMzUwZjliZTU1YjIifQ=="/>
    <w:docVar w:name="KSO_WPS_MARK_KEY" w:val="f30106f2-61b2-4e99-868b-30df8d6d373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273"/>
    <w:rsid w:val="0004235F"/>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4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77D2D"/>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883"/>
    <w:rsid w:val="00092FE9"/>
    <w:rsid w:val="00093433"/>
    <w:rsid w:val="000936BF"/>
    <w:rsid w:val="0009382F"/>
    <w:rsid w:val="00093A30"/>
    <w:rsid w:val="00094342"/>
    <w:rsid w:val="000945BA"/>
    <w:rsid w:val="00095954"/>
    <w:rsid w:val="000960BA"/>
    <w:rsid w:val="0009662A"/>
    <w:rsid w:val="0009690D"/>
    <w:rsid w:val="00096DFF"/>
    <w:rsid w:val="000A0729"/>
    <w:rsid w:val="000A0E69"/>
    <w:rsid w:val="000A0EB5"/>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2B0"/>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06E1"/>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DC4"/>
    <w:rsid w:val="00147032"/>
    <w:rsid w:val="00147EA7"/>
    <w:rsid w:val="00151820"/>
    <w:rsid w:val="00151B2F"/>
    <w:rsid w:val="001524DC"/>
    <w:rsid w:val="001525E5"/>
    <w:rsid w:val="00153859"/>
    <w:rsid w:val="00153915"/>
    <w:rsid w:val="001539F0"/>
    <w:rsid w:val="00153B99"/>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833"/>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989"/>
    <w:rsid w:val="001E4B2C"/>
    <w:rsid w:val="001E507F"/>
    <w:rsid w:val="001E56C2"/>
    <w:rsid w:val="001E59FB"/>
    <w:rsid w:val="001E7F81"/>
    <w:rsid w:val="001F0FD1"/>
    <w:rsid w:val="001F111F"/>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8A4"/>
    <w:rsid w:val="00217E1F"/>
    <w:rsid w:val="002204BC"/>
    <w:rsid w:val="00220F7B"/>
    <w:rsid w:val="002213CE"/>
    <w:rsid w:val="00221AF7"/>
    <w:rsid w:val="00222130"/>
    <w:rsid w:val="00222494"/>
    <w:rsid w:val="00222775"/>
    <w:rsid w:val="00222A31"/>
    <w:rsid w:val="00222CF6"/>
    <w:rsid w:val="00224037"/>
    <w:rsid w:val="002244E4"/>
    <w:rsid w:val="00224D2A"/>
    <w:rsid w:val="00224D8D"/>
    <w:rsid w:val="0022555A"/>
    <w:rsid w:val="00225AFE"/>
    <w:rsid w:val="00227214"/>
    <w:rsid w:val="00227A8C"/>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22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B1F"/>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04"/>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DC9"/>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5A0"/>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F1D"/>
    <w:rsid w:val="00355D75"/>
    <w:rsid w:val="00355D8F"/>
    <w:rsid w:val="00356A73"/>
    <w:rsid w:val="00356FF0"/>
    <w:rsid w:val="0035723C"/>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45B"/>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1D9"/>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2C8"/>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CAC"/>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B32"/>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23C"/>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5847"/>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4FB8"/>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444"/>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02"/>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471"/>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D3B"/>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A7"/>
    <w:rsid w:val="0063782F"/>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FF2"/>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B7E"/>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5F"/>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D89"/>
    <w:rsid w:val="007660EC"/>
    <w:rsid w:val="007662C7"/>
    <w:rsid w:val="00766862"/>
    <w:rsid w:val="007675DD"/>
    <w:rsid w:val="007702BF"/>
    <w:rsid w:val="007705F0"/>
    <w:rsid w:val="00771926"/>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4EC"/>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E05"/>
    <w:rsid w:val="007A1F08"/>
    <w:rsid w:val="007A2555"/>
    <w:rsid w:val="007A25FA"/>
    <w:rsid w:val="007A2DB8"/>
    <w:rsid w:val="007A2FCB"/>
    <w:rsid w:val="007A340C"/>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445"/>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25B"/>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6D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5CF"/>
    <w:rsid w:val="009C19FC"/>
    <w:rsid w:val="009C27F7"/>
    <w:rsid w:val="009C3750"/>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9A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C98"/>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95"/>
    <w:rsid w:val="00A920B2"/>
    <w:rsid w:val="00A92578"/>
    <w:rsid w:val="00A928D8"/>
    <w:rsid w:val="00A92A96"/>
    <w:rsid w:val="00A92AF0"/>
    <w:rsid w:val="00A933FE"/>
    <w:rsid w:val="00A937D5"/>
    <w:rsid w:val="00A93C70"/>
    <w:rsid w:val="00A94A32"/>
    <w:rsid w:val="00A94AFC"/>
    <w:rsid w:val="00A94BF5"/>
    <w:rsid w:val="00A9686A"/>
    <w:rsid w:val="00A96B4A"/>
    <w:rsid w:val="00A97BDA"/>
    <w:rsid w:val="00AA024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5EBB"/>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CD"/>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9A1"/>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A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A12"/>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D81"/>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2F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652"/>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137"/>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5F70"/>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D21"/>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57F"/>
    <w:rsid w:val="00CA3CAB"/>
    <w:rsid w:val="00CA3FC0"/>
    <w:rsid w:val="00CA5685"/>
    <w:rsid w:val="00CA664F"/>
    <w:rsid w:val="00CA6A2E"/>
    <w:rsid w:val="00CA6B56"/>
    <w:rsid w:val="00CA77B3"/>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AC"/>
    <w:rsid w:val="00CE71C3"/>
    <w:rsid w:val="00CE727A"/>
    <w:rsid w:val="00CE72AE"/>
    <w:rsid w:val="00CE7A09"/>
    <w:rsid w:val="00CF029C"/>
    <w:rsid w:val="00CF0AF0"/>
    <w:rsid w:val="00CF157E"/>
    <w:rsid w:val="00CF1631"/>
    <w:rsid w:val="00CF1834"/>
    <w:rsid w:val="00CF1AAA"/>
    <w:rsid w:val="00CF1EC2"/>
    <w:rsid w:val="00CF2ACF"/>
    <w:rsid w:val="00CF345B"/>
    <w:rsid w:val="00CF475F"/>
    <w:rsid w:val="00CF5008"/>
    <w:rsid w:val="00CF5069"/>
    <w:rsid w:val="00CF5E34"/>
    <w:rsid w:val="00CF6390"/>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AD9"/>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1B"/>
    <w:rsid w:val="00D3046D"/>
    <w:rsid w:val="00D30497"/>
    <w:rsid w:val="00D30C4D"/>
    <w:rsid w:val="00D30F5F"/>
    <w:rsid w:val="00D31243"/>
    <w:rsid w:val="00D316D9"/>
    <w:rsid w:val="00D31B07"/>
    <w:rsid w:val="00D31B9D"/>
    <w:rsid w:val="00D3272E"/>
    <w:rsid w:val="00D32FA0"/>
    <w:rsid w:val="00D33112"/>
    <w:rsid w:val="00D331CB"/>
    <w:rsid w:val="00D34757"/>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DA0"/>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B2"/>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31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84D"/>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082"/>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756"/>
    <w:rsid w:val="00EC3852"/>
    <w:rsid w:val="00EC4528"/>
    <w:rsid w:val="00EC50AD"/>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4AF"/>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B3A"/>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3C0F"/>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54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6B"/>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66D"/>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2F5745D"/>
    <w:rsid w:val="02FF3451"/>
    <w:rsid w:val="0326446A"/>
    <w:rsid w:val="032D5555"/>
    <w:rsid w:val="036634D2"/>
    <w:rsid w:val="03675D1E"/>
    <w:rsid w:val="03764095"/>
    <w:rsid w:val="037987B6"/>
    <w:rsid w:val="037F700D"/>
    <w:rsid w:val="0388408C"/>
    <w:rsid w:val="03C54999"/>
    <w:rsid w:val="03DD35E4"/>
    <w:rsid w:val="03E93B0E"/>
    <w:rsid w:val="03F1763A"/>
    <w:rsid w:val="04063CD1"/>
    <w:rsid w:val="04076900"/>
    <w:rsid w:val="040A684F"/>
    <w:rsid w:val="041A5A3B"/>
    <w:rsid w:val="042311BA"/>
    <w:rsid w:val="042B157A"/>
    <w:rsid w:val="04413F7B"/>
    <w:rsid w:val="04427FFC"/>
    <w:rsid w:val="045F6B9B"/>
    <w:rsid w:val="048F763B"/>
    <w:rsid w:val="049D76C3"/>
    <w:rsid w:val="049F330E"/>
    <w:rsid w:val="04AA775C"/>
    <w:rsid w:val="04AD1AC5"/>
    <w:rsid w:val="04AF1889"/>
    <w:rsid w:val="04D75109"/>
    <w:rsid w:val="04F66F48"/>
    <w:rsid w:val="05251E14"/>
    <w:rsid w:val="05290F57"/>
    <w:rsid w:val="05A16594"/>
    <w:rsid w:val="05A7762D"/>
    <w:rsid w:val="05B178CA"/>
    <w:rsid w:val="05DA64B7"/>
    <w:rsid w:val="05DE0936"/>
    <w:rsid w:val="06044CE4"/>
    <w:rsid w:val="0608138F"/>
    <w:rsid w:val="060A7EE6"/>
    <w:rsid w:val="060E5941"/>
    <w:rsid w:val="06110FAF"/>
    <w:rsid w:val="063959DB"/>
    <w:rsid w:val="06493CA7"/>
    <w:rsid w:val="065A6178"/>
    <w:rsid w:val="066F1CF3"/>
    <w:rsid w:val="067D66D7"/>
    <w:rsid w:val="068E19BA"/>
    <w:rsid w:val="06930BB8"/>
    <w:rsid w:val="06956B27"/>
    <w:rsid w:val="069C40D7"/>
    <w:rsid w:val="069D7E4F"/>
    <w:rsid w:val="071A573D"/>
    <w:rsid w:val="07245D42"/>
    <w:rsid w:val="07264C62"/>
    <w:rsid w:val="076FA8DD"/>
    <w:rsid w:val="0779354C"/>
    <w:rsid w:val="07824EEC"/>
    <w:rsid w:val="07A934AA"/>
    <w:rsid w:val="07EC1752"/>
    <w:rsid w:val="07F044D6"/>
    <w:rsid w:val="07FF15A3"/>
    <w:rsid w:val="08061376"/>
    <w:rsid w:val="08163A15"/>
    <w:rsid w:val="081C4DA3"/>
    <w:rsid w:val="0834033F"/>
    <w:rsid w:val="08397703"/>
    <w:rsid w:val="08452D77"/>
    <w:rsid w:val="086401F8"/>
    <w:rsid w:val="08751CAA"/>
    <w:rsid w:val="08761222"/>
    <w:rsid w:val="087E49FE"/>
    <w:rsid w:val="087E4C40"/>
    <w:rsid w:val="088779CE"/>
    <w:rsid w:val="08904099"/>
    <w:rsid w:val="08CC7A5B"/>
    <w:rsid w:val="08D42173"/>
    <w:rsid w:val="08D66AD6"/>
    <w:rsid w:val="08DA33A3"/>
    <w:rsid w:val="08E80F13"/>
    <w:rsid w:val="08F875BE"/>
    <w:rsid w:val="09023F99"/>
    <w:rsid w:val="09267C87"/>
    <w:rsid w:val="09335624"/>
    <w:rsid w:val="0944690F"/>
    <w:rsid w:val="09535675"/>
    <w:rsid w:val="095900C1"/>
    <w:rsid w:val="095F057D"/>
    <w:rsid w:val="09642282"/>
    <w:rsid w:val="09733572"/>
    <w:rsid w:val="09772C16"/>
    <w:rsid w:val="098353B5"/>
    <w:rsid w:val="099755EF"/>
    <w:rsid w:val="09A83CB3"/>
    <w:rsid w:val="09A92330"/>
    <w:rsid w:val="09AF4121"/>
    <w:rsid w:val="09B06B87"/>
    <w:rsid w:val="09C13146"/>
    <w:rsid w:val="09E04166"/>
    <w:rsid w:val="0A05236F"/>
    <w:rsid w:val="0A1C0718"/>
    <w:rsid w:val="0A312D88"/>
    <w:rsid w:val="0A3E7710"/>
    <w:rsid w:val="0A5B7E63"/>
    <w:rsid w:val="0A6F4439"/>
    <w:rsid w:val="0A920ABD"/>
    <w:rsid w:val="0AA374A5"/>
    <w:rsid w:val="0AAB7649"/>
    <w:rsid w:val="0AB54091"/>
    <w:rsid w:val="0ABC5606"/>
    <w:rsid w:val="0ABF3D3D"/>
    <w:rsid w:val="0B091A99"/>
    <w:rsid w:val="0B212DFC"/>
    <w:rsid w:val="0B30404E"/>
    <w:rsid w:val="0B3303A8"/>
    <w:rsid w:val="0B4C6C14"/>
    <w:rsid w:val="0B631A88"/>
    <w:rsid w:val="0B683D45"/>
    <w:rsid w:val="0B6B4275"/>
    <w:rsid w:val="0B7F3F11"/>
    <w:rsid w:val="0B884417"/>
    <w:rsid w:val="0BA10CBE"/>
    <w:rsid w:val="0BBFEA2E"/>
    <w:rsid w:val="0BD87233"/>
    <w:rsid w:val="0BF6188C"/>
    <w:rsid w:val="0BF73C91"/>
    <w:rsid w:val="0BFD02C5"/>
    <w:rsid w:val="0BFE4EEC"/>
    <w:rsid w:val="0C126BE9"/>
    <w:rsid w:val="0C170175"/>
    <w:rsid w:val="0C344DB1"/>
    <w:rsid w:val="0C3D1EB8"/>
    <w:rsid w:val="0C403756"/>
    <w:rsid w:val="0C476893"/>
    <w:rsid w:val="0C571A41"/>
    <w:rsid w:val="0C5C1171"/>
    <w:rsid w:val="0C5E1CBC"/>
    <w:rsid w:val="0C615B50"/>
    <w:rsid w:val="0C71390F"/>
    <w:rsid w:val="0C8445DA"/>
    <w:rsid w:val="0C87121B"/>
    <w:rsid w:val="0CC007F7"/>
    <w:rsid w:val="0CED7EB6"/>
    <w:rsid w:val="0CFE707A"/>
    <w:rsid w:val="0D063BDA"/>
    <w:rsid w:val="0D08375F"/>
    <w:rsid w:val="0D14551D"/>
    <w:rsid w:val="0D184CFB"/>
    <w:rsid w:val="0D274559"/>
    <w:rsid w:val="0D2864A1"/>
    <w:rsid w:val="0D4A7419"/>
    <w:rsid w:val="0D4C342B"/>
    <w:rsid w:val="0D6214AA"/>
    <w:rsid w:val="0D827401"/>
    <w:rsid w:val="0D84094E"/>
    <w:rsid w:val="0D8A00E9"/>
    <w:rsid w:val="0D8D589E"/>
    <w:rsid w:val="0D951880"/>
    <w:rsid w:val="0D9F6096"/>
    <w:rsid w:val="0DA01C73"/>
    <w:rsid w:val="0DA41AC3"/>
    <w:rsid w:val="0DA771E8"/>
    <w:rsid w:val="0DB46DFA"/>
    <w:rsid w:val="0DC363ED"/>
    <w:rsid w:val="0DD63300"/>
    <w:rsid w:val="0DDB4E5C"/>
    <w:rsid w:val="0DE66707"/>
    <w:rsid w:val="0DED3A1A"/>
    <w:rsid w:val="0DF50604"/>
    <w:rsid w:val="0DF702FE"/>
    <w:rsid w:val="0DFF67E0"/>
    <w:rsid w:val="0DFF9663"/>
    <w:rsid w:val="0E060E51"/>
    <w:rsid w:val="0E356BBF"/>
    <w:rsid w:val="0E5439CC"/>
    <w:rsid w:val="0E5604B2"/>
    <w:rsid w:val="0E6D5D79"/>
    <w:rsid w:val="0E9D0089"/>
    <w:rsid w:val="0EB803EE"/>
    <w:rsid w:val="0ECD4C11"/>
    <w:rsid w:val="0ED4462A"/>
    <w:rsid w:val="0EE7CD42"/>
    <w:rsid w:val="0EF94D4B"/>
    <w:rsid w:val="0F066FC7"/>
    <w:rsid w:val="0F4958DC"/>
    <w:rsid w:val="0F515DF7"/>
    <w:rsid w:val="0F5903DB"/>
    <w:rsid w:val="0F596BA8"/>
    <w:rsid w:val="0F5E1C06"/>
    <w:rsid w:val="0F6248D2"/>
    <w:rsid w:val="0F693536"/>
    <w:rsid w:val="0F6D7C8E"/>
    <w:rsid w:val="0F7379A1"/>
    <w:rsid w:val="0F7AB21E"/>
    <w:rsid w:val="0F7B0511"/>
    <w:rsid w:val="0F7B76D9"/>
    <w:rsid w:val="0F816ACD"/>
    <w:rsid w:val="0F93220B"/>
    <w:rsid w:val="0F9832DB"/>
    <w:rsid w:val="0FBF3FD2"/>
    <w:rsid w:val="0FBF536A"/>
    <w:rsid w:val="0FBF7FF3"/>
    <w:rsid w:val="0FC87CEA"/>
    <w:rsid w:val="0FD03043"/>
    <w:rsid w:val="0FD20DE2"/>
    <w:rsid w:val="0FDE750E"/>
    <w:rsid w:val="0FE73EE9"/>
    <w:rsid w:val="0FF56606"/>
    <w:rsid w:val="0FF69A31"/>
    <w:rsid w:val="0FFEF187"/>
    <w:rsid w:val="0FFFA2AA"/>
    <w:rsid w:val="10166DF4"/>
    <w:rsid w:val="101A6499"/>
    <w:rsid w:val="10646583"/>
    <w:rsid w:val="107D4B15"/>
    <w:rsid w:val="10835219"/>
    <w:rsid w:val="108A3C80"/>
    <w:rsid w:val="10A049F6"/>
    <w:rsid w:val="10A21934"/>
    <w:rsid w:val="10C26171"/>
    <w:rsid w:val="10E70035"/>
    <w:rsid w:val="10F33360"/>
    <w:rsid w:val="10F514E5"/>
    <w:rsid w:val="10FC16EA"/>
    <w:rsid w:val="110F1D40"/>
    <w:rsid w:val="11266F33"/>
    <w:rsid w:val="11274EE5"/>
    <w:rsid w:val="1162023A"/>
    <w:rsid w:val="118963A1"/>
    <w:rsid w:val="11A625E0"/>
    <w:rsid w:val="11AEDAAE"/>
    <w:rsid w:val="11BF336F"/>
    <w:rsid w:val="11C6522A"/>
    <w:rsid w:val="11CE75AD"/>
    <w:rsid w:val="11E104CC"/>
    <w:rsid w:val="11E20309"/>
    <w:rsid w:val="11E807A4"/>
    <w:rsid w:val="11E97A3A"/>
    <w:rsid w:val="11EE5A02"/>
    <w:rsid w:val="11FB914A"/>
    <w:rsid w:val="11FF3BEB"/>
    <w:rsid w:val="121C72DF"/>
    <w:rsid w:val="12224473"/>
    <w:rsid w:val="12255233"/>
    <w:rsid w:val="12337A0B"/>
    <w:rsid w:val="124318AA"/>
    <w:rsid w:val="12530213"/>
    <w:rsid w:val="125D4C68"/>
    <w:rsid w:val="127723A9"/>
    <w:rsid w:val="12862074"/>
    <w:rsid w:val="12883966"/>
    <w:rsid w:val="129E45B4"/>
    <w:rsid w:val="12AF7335"/>
    <w:rsid w:val="12BF35C1"/>
    <w:rsid w:val="12D81596"/>
    <w:rsid w:val="12EA383B"/>
    <w:rsid w:val="12F42A2A"/>
    <w:rsid w:val="13072A44"/>
    <w:rsid w:val="13397BCE"/>
    <w:rsid w:val="134D130F"/>
    <w:rsid w:val="13540CE3"/>
    <w:rsid w:val="135F4BE2"/>
    <w:rsid w:val="138228A6"/>
    <w:rsid w:val="139B1A0A"/>
    <w:rsid w:val="139D25C7"/>
    <w:rsid w:val="13B30CB1"/>
    <w:rsid w:val="13BF3CE4"/>
    <w:rsid w:val="13C133CE"/>
    <w:rsid w:val="13DE3BA0"/>
    <w:rsid w:val="13EF9BCB"/>
    <w:rsid w:val="1404150D"/>
    <w:rsid w:val="14092897"/>
    <w:rsid w:val="141008D8"/>
    <w:rsid w:val="14125FE6"/>
    <w:rsid w:val="141F1EA3"/>
    <w:rsid w:val="142D2812"/>
    <w:rsid w:val="143F2362"/>
    <w:rsid w:val="143F42F3"/>
    <w:rsid w:val="14464107"/>
    <w:rsid w:val="145F7307"/>
    <w:rsid w:val="14678B2C"/>
    <w:rsid w:val="146D271E"/>
    <w:rsid w:val="14982588"/>
    <w:rsid w:val="149A5AD9"/>
    <w:rsid w:val="149D3F83"/>
    <w:rsid w:val="14A7619D"/>
    <w:rsid w:val="150536C3"/>
    <w:rsid w:val="150C1963"/>
    <w:rsid w:val="151447A0"/>
    <w:rsid w:val="154A6454"/>
    <w:rsid w:val="155E4C4D"/>
    <w:rsid w:val="156E2530"/>
    <w:rsid w:val="15762120"/>
    <w:rsid w:val="15792B18"/>
    <w:rsid w:val="15B44660"/>
    <w:rsid w:val="15CA5987"/>
    <w:rsid w:val="15E5047A"/>
    <w:rsid w:val="15EFD926"/>
    <w:rsid w:val="15F202F0"/>
    <w:rsid w:val="15F7011A"/>
    <w:rsid w:val="16072429"/>
    <w:rsid w:val="16534086"/>
    <w:rsid w:val="165A33A9"/>
    <w:rsid w:val="167E247C"/>
    <w:rsid w:val="1697D4C0"/>
    <w:rsid w:val="169C5A2D"/>
    <w:rsid w:val="16A8729C"/>
    <w:rsid w:val="16AC07E4"/>
    <w:rsid w:val="16B33777"/>
    <w:rsid w:val="16BC70A7"/>
    <w:rsid w:val="16BCC058"/>
    <w:rsid w:val="16C6339E"/>
    <w:rsid w:val="16FCBB94"/>
    <w:rsid w:val="16FE43BA"/>
    <w:rsid w:val="170D2487"/>
    <w:rsid w:val="171741F5"/>
    <w:rsid w:val="172A128B"/>
    <w:rsid w:val="172F2D79"/>
    <w:rsid w:val="172F4543"/>
    <w:rsid w:val="1751BF4A"/>
    <w:rsid w:val="17520859"/>
    <w:rsid w:val="17557BEF"/>
    <w:rsid w:val="176201D3"/>
    <w:rsid w:val="177F69D3"/>
    <w:rsid w:val="17C4177A"/>
    <w:rsid w:val="17CC38C7"/>
    <w:rsid w:val="17D349C1"/>
    <w:rsid w:val="17DC0A81"/>
    <w:rsid w:val="17FFD021"/>
    <w:rsid w:val="1804388A"/>
    <w:rsid w:val="18051DF4"/>
    <w:rsid w:val="1830729E"/>
    <w:rsid w:val="18352ADD"/>
    <w:rsid w:val="185E3459"/>
    <w:rsid w:val="1870062C"/>
    <w:rsid w:val="18817102"/>
    <w:rsid w:val="18830A15"/>
    <w:rsid w:val="18852B28"/>
    <w:rsid w:val="188B5321"/>
    <w:rsid w:val="18A1732B"/>
    <w:rsid w:val="18AD2173"/>
    <w:rsid w:val="18BE5116"/>
    <w:rsid w:val="18D67BD3"/>
    <w:rsid w:val="18F356AC"/>
    <w:rsid w:val="1906512C"/>
    <w:rsid w:val="19280074"/>
    <w:rsid w:val="192A4429"/>
    <w:rsid w:val="197BC72A"/>
    <w:rsid w:val="198A4263"/>
    <w:rsid w:val="19932372"/>
    <w:rsid w:val="19A20DD5"/>
    <w:rsid w:val="19AE03F1"/>
    <w:rsid w:val="19BBB1A1"/>
    <w:rsid w:val="19DE210A"/>
    <w:rsid w:val="19EB1210"/>
    <w:rsid w:val="19EE3B84"/>
    <w:rsid w:val="1A071A03"/>
    <w:rsid w:val="1A082862"/>
    <w:rsid w:val="1A1F16AE"/>
    <w:rsid w:val="1A362486"/>
    <w:rsid w:val="1A3B5C77"/>
    <w:rsid w:val="1A442B13"/>
    <w:rsid w:val="1A572366"/>
    <w:rsid w:val="1A984BAD"/>
    <w:rsid w:val="1AA7450E"/>
    <w:rsid w:val="1AAC1FB7"/>
    <w:rsid w:val="1AB8220E"/>
    <w:rsid w:val="1ADC6D40"/>
    <w:rsid w:val="1AE4166C"/>
    <w:rsid w:val="1AEB5268"/>
    <w:rsid w:val="1AF06CFB"/>
    <w:rsid w:val="1AF11B8D"/>
    <w:rsid w:val="1AF7A22B"/>
    <w:rsid w:val="1B010554"/>
    <w:rsid w:val="1B11359C"/>
    <w:rsid w:val="1B2A271F"/>
    <w:rsid w:val="1B530544"/>
    <w:rsid w:val="1B5777A0"/>
    <w:rsid w:val="1B713184"/>
    <w:rsid w:val="1B7FB049"/>
    <w:rsid w:val="1B894423"/>
    <w:rsid w:val="1B9E2247"/>
    <w:rsid w:val="1BA209CF"/>
    <w:rsid w:val="1BA44B73"/>
    <w:rsid w:val="1BB4777D"/>
    <w:rsid w:val="1BCA0E71"/>
    <w:rsid w:val="1BD75AB8"/>
    <w:rsid w:val="1BF3CD92"/>
    <w:rsid w:val="1BF3FFAE"/>
    <w:rsid w:val="1BFD50DB"/>
    <w:rsid w:val="1C0459C2"/>
    <w:rsid w:val="1C1B3B4A"/>
    <w:rsid w:val="1C27D95C"/>
    <w:rsid w:val="1C371E9C"/>
    <w:rsid w:val="1C88086E"/>
    <w:rsid w:val="1C92024C"/>
    <w:rsid w:val="1C9378D2"/>
    <w:rsid w:val="1C957EED"/>
    <w:rsid w:val="1CBA27B2"/>
    <w:rsid w:val="1CC655B2"/>
    <w:rsid w:val="1CD7935D"/>
    <w:rsid w:val="1CE248DF"/>
    <w:rsid w:val="1CEDECB0"/>
    <w:rsid w:val="1CF249C4"/>
    <w:rsid w:val="1D012A8E"/>
    <w:rsid w:val="1D210A3A"/>
    <w:rsid w:val="1D266CE1"/>
    <w:rsid w:val="1D3306AD"/>
    <w:rsid w:val="1D3963AF"/>
    <w:rsid w:val="1D4E37F9"/>
    <w:rsid w:val="1D630730"/>
    <w:rsid w:val="1D687C34"/>
    <w:rsid w:val="1D6A673C"/>
    <w:rsid w:val="1D840FC9"/>
    <w:rsid w:val="1D85013B"/>
    <w:rsid w:val="1D855423"/>
    <w:rsid w:val="1D9247AE"/>
    <w:rsid w:val="1DAF24EA"/>
    <w:rsid w:val="1DAF2E9A"/>
    <w:rsid w:val="1DB567EC"/>
    <w:rsid w:val="1DBF0EC2"/>
    <w:rsid w:val="1DC25820"/>
    <w:rsid w:val="1DDD2DD2"/>
    <w:rsid w:val="1DDEA273"/>
    <w:rsid w:val="1DEF86E8"/>
    <w:rsid w:val="1DF32A66"/>
    <w:rsid w:val="1DF51A98"/>
    <w:rsid w:val="1DF72335"/>
    <w:rsid w:val="1DF789D5"/>
    <w:rsid w:val="1E08301D"/>
    <w:rsid w:val="1E2F2AC3"/>
    <w:rsid w:val="1E3D060F"/>
    <w:rsid w:val="1E3F7D2E"/>
    <w:rsid w:val="1E4134E4"/>
    <w:rsid w:val="1E477469"/>
    <w:rsid w:val="1E4E1D03"/>
    <w:rsid w:val="1E5062B3"/>
    <w:rsid w:val="1E523514"/>
    <w:rsid w:val="1E714A66"/>
    <w:rsid w:val="1E7F7A7B"/>
    <w:rsid w:val="1E802593"/>
    <w:rsid w:val="1EA703CC"/>
    <w:rsid w:val="1EB7330C"/>
    <w:rsid w:val="1EB7DDA1"/>
    <w:rsid w:val="1EBA1146"/>
    <w:rsid w:val="1EBD37E3"/>
    <w:rsid w:val="1ED9306D"/>
    <w:rsid w:val="1EDBE22C"/>
    <w:rsid w:val="1EDF5D4B"/>
    <w:rsid w:val="1EF52683"/>
    <w:rsid w:val="1EFDF268"/>
    <w:rsid w:val="1EFFC1EA"/>
    <w:rsid w:val="1F0A0FF3"/>
    <w:rsid w:val="1F37EEFF"/>
    <w:rsid w:val="1F3CC40F"/>
    <w:rsid w:val="1F5771FF"/>
    <w:rsid w:val="1F5F29E6"/>
    <w:rsid w:val="1F5FCE8A"/>
    <w:rsid w:val="1F6B8EC8"/>
    <w:rsid w:val="1F7867A5"/>
    <w:rsid w:val="1F7B98E4"/>
    <w:rsid w:val="1F7EA168"/>
    <w:rsid w:val="1F7F5E2E"/>
    <w:rsid w:val="1F84A8CC"/>
    <w:rsid w:val="1F8854DA"/>
    <w:rsid w:val="1FBE20C7"/>
    <w:rsid w:val="1FCE8DD8"/>
    <w:rsid w:val="1FCF178E"/>
    <w:rsid w:val="1FCFE410"/>
    <w:rsid w:val="1FDB219B"/>
    <w:rsid w:val="1FDBF4D2"/>
    <w:rsid w:val="1FE55BBE"/>
    <w:rsid w:val="1FE6EDD4"/>
    <w:rsid w:val="1FE868A9"/>
    <w:rsid w:val="1FF2A4A5"/>
    <w:rsid w:val="1FF2E172"/>
    <w:rsid w:val="1FF7AE96"/>
    <w:rsid w:val="1FFABC17"/>
    <w:rsid w:val="1FFEE153"/>
    <w:rsid w:val="1FFF55F6"/>
    <w:rsid w:val="1FFF66DA"/>
    <w:rsid w:val="20032679"/>
    <w:rsid w:val="20034907"/>
    <w:rsid w:val="2006735B"/>
    <w:rsid w:val="200F3851"/>
    <w:rsid w:val="20173E4B"/>
    <w:rsid w:val="20360CA0"/>
    <w:rsid w:val="204E48BC"/>
    <w:rsid w:val="20670E5A"/>
    <w:rsid w:val="206B3E15"/>
    <w:rsid w:val="208921B3"/>
    <w:rsid w:val="20973DEB"/>
    <w:rsid w:val="20B120D5"/>
    <w:rsid w:val="20B26522"/>
    <w:rsid w:val="20B31FCF"/>
    <w:rsid w:val="20B44310"/>
    <w:rsid w:val="20BB6D5F"/>
    <w:rsid w:val="20DC2763"/>
    <w:rsid w:val="20FD2B4B"/>
    <w:rsid w:val="211116EB"/>
    <w:rsid w:val="2136082C"/>
    <w:rsid w:val="21366A1B"/>
    <w:rsid w:val="214E67BA"/>
    <w:rsid w:val="21595597"/>
    <w:rsid w:val="216133FC"/>
    <w:rsid w:val="21764C77"/>
    <w:rsid w:val="21A659B2"/>
    <w:rsid w:val="21A858DA"/>
    <w:rsid w:val="21D56769"/>
    <w:rsid w:val="21E52EF3"/>
    <w:rsid w:val="21FB5D7B"/>
    <w:rsid w:val="220B1C3D"/>
    <w:rsid w:val="221D1D20"/>
    <w:rsid w:val="22226F55"/>
    <w:rsid w:val="22334A87"/>
    <w:rsid w:val="22864D9F"/>
    <w:rsid w:val="22BE6801"/>
    <w:rsid w:val="230706D2"/>
    <w:rsid w:val="232E3EB1"/>
    <w:rsid w:val="233500BF"/>
    <w:rsid w:val="23377FF7"/>
    <w:rsid w:val="23614286"/>
    <w:rsid w:val="23645B24"/>
    <w:rsid w:val="236B425F"/>
    <w:rsid w:val="23836192"/>
    <w:rsid w:val="23901F29"/>
    <w:rsid w:val="23932309"/>
    <w:rsid w:val="239857CE"/>
    <w:rsid w:val="239C0061"/>
    <w:rsid w:val="23A509F4"/>
    <w:rsid w:val="23B908A4"/>
    <w:rsid w:val="23CD5478"/>
    <w:rsid w:val="23D235D7"/>
    <w:rsid w:val="23E95BEF"/>
    <w:rsid w:val="23F93652"/>
    <w:rsid w:val="23FD0064"/>
    <w:rsid w:val="241F664E"/>
    <w:rsid w:val="24240656"/>
    <w:rsid w:val="245375B0"/>
    <w:rsid w:val="245931AF"/>
    <w:rsid w:val="24642C0A"/>
    <w:rsid w:val="249126A5"/>
    <w:rsid w:val="249917FE"/>
    <w:rsid w:val="24B22173"/>
    <w:rsid w:val="24B95AD9"/>
    <w:rsid w:val="24BE24DA"/>
    <w:rsid w:val="24CF5825"/>
    <w:rsid w:val="24D663E6"/>
    <w:rsid w:val="24D77F2B"/>
    <w:rsid w:val="24D804D4"/>
    <w:rsid w:val="252C3644"/>
    <w:rsid w:val="25382E18"/>
    <w:rsid w:val="258B00E2"/>
    <w:rsid w:val="25902C01"/>
    <w:rsid w:val="25952E73"/>
    <w:rsid w:val="25A917A6"/>
    <w:rsid w:val="25AC5196"/>
    <w:rsid w:val="25B4188C"/>
    <w:rsid w:val="25B920CA"/>
    <w:rsid w:val="25BE27CC"/>
    <w:rsid w:val="25F74A5C"/>
    <w:rsid w:val="2628662C"/>
    <w:rsid w:val="262D45DE"/>
    <w:rsid w:val="265A1D5E"/>
    <w:rsid w:val="26652135"/>
    <w:rsid w:val="266FD63E"/>
    <w:rsid w:val="26730FA8"/>
    <w:rsid w:val="267A11BB"/>
    <w:rsid w:val="26865DB2"/>
    <w:rsid w:val="2688672A"/>
    <w:rsid w:val="26A53EF9"/>
    <w:rsid w:val="26A94201"/>
    <w:rsid w:val="26A9791D"/>
    <w:rsid w:val="26AC274F"/>
    <w:rsid w:val="26BC3644"/>
    <w:rsid w:val="26BE379D"/>
    <w:rsid w:val="26C1503C"/>
    <w:rsid w:val="26C412B6"/>
    <w:rsid w:val="26ED5133"/>
    <w:rsid w:val="26F357DC"/>
    <w:rsid w:val="26FE8FCE"/>
    <w:rsid w:val="27044A29"/>
    <w:rsid w:val="271D34C8"/>
    <w:rsid w:val="273E043A"/>
    <w:rsid w:val="276142BF"/>
    <w:rsid w:val="27783712"/>
    <w:rsid w:val="277A04E0"/>
    <w:rsid w:val="277B693B"/>
    <w:rsid w:val="27800622"/>
    <w:rsid w:val="27907362"/>
    <w:rsid w:val="27D8263D"/>
    <w:rsid w:val="27DF3052"/>
    <w:rsid w:val="27F603E5"/>
    <w:rsid w:val="27F73CF1"/>
    <w:rsid w:val="27FD9AA8"/>
    <w:rsid w:val="27FE488C"/>
    <w:rsid w:val="27FFCA8C"/>
    <w:rsid w:val="28333E1D"/>
    <w:rsid w:val="283755B5"/>
    <w:rsid w:val="28454BD6"/>
    <w:rsid w:val="28455253"/>
    <w:rsid w:val="28551971"/>
    <w:rsid w:val="285B1C53"/>
    <w:rsid w:val="28730988"/>
    <w:rsid w:val="28834C9E"/>
    <w:rsid w:val="2897F062"/>
    <w:rsid w:val="289F7086"/>
    <w:rsid w:val="28B7BE45"/>
    <w:rsid w:val="28C25188"/>
    <w:rsid w:val="28C32028"/>
    <w:rsid w:val="28CC490F"/>
    <w:rsid w:val="28DE40AA"/>
    <w:rsid w:val="28FF85D0"/>
    <w:rsid w:val="29345E77"/>
    <w:rsid w:val="293715E5"/>
    <w:rsid w:val="294C65AD"/>
    <w:rsid w:val="2963612E"/>
    <w:rsid w:val="29806583"/>
    <w:rsid w:val="29881E2F"/>
    <w:rsid w:val="298B3C4C"/>
    <w:rsid w:val="29B873C6"/>
    <w:rsid w:val="29DF2F04"/>
    <w:rsid w:val="29F00112"/>
    <w:rsid w:val="29F26D24"/>
    <w:rsid w:val="29F427D4"/>
    <w:rsid w:val="2A15033F"/>
    <w:rsid w:val="2A1662C1"/>
    <w:rsid w:val="2A1C7367"/>
    <w:rsid w:val="2A2815FA"/>
    <w:rsid w:val="2A47391C"/>
    <w:rsid w:val="2A5B0AFA"/>
    <w:rsid w:val="2A6D6092"/>
    <w:rsid w:val="2A7D76B4"/>
    <w:rsid w:val="2A866380"/>
    <w:rsid w:val="2A930A9D"/>
    <w:rsid w:val="2A9B2458"/>
    <w:rsid w:val="2AB96756"/>
    <w:rsid w:val="2ABDB2ED"/>
    <w:rsid w:val="2AD417DA"/>
    <w:rsid w:val="2AD96DF8"/>
    <w:rsid w:val="2ADBDB2F"/>
    <w:rsid w:val="2B1020EE"/>
    <w:rsid w:val="2B2B6F28"/>
    <w:rsid w:val="2B3773EC"/>
    <w:rsid w:val="2B437463"/>
    <w:rsid w:val="2B533CC4"/>
    <w:rsid w:val="2B5F88FA"/>
    <w:rsid w:val="2B60427F"/>
    <w:rsid w:val="2B622975"/>
    <w:rsid w:val="2B67536E"/>
    <w:rsid w:val="2B7807EE"/>
    <w:rsid w:val="2B7E48FF"/>
    <w:rsid w:val="2B8423ED"/>
    <w:rsid w:val="2B8723B0"/>
    <w:rsid w:val="2B88437A"/>
    <w:rsid w:val="2BAA42F0"/>
    <w:rsid w:val="2BBA5BCD"/>
    <w:rsid w:val="2BBB64FD"/>
    <w:rsid w:val="2BBF00EC"/>
    <w:rsid w:val="2BC37CFD"/>
    <w:rsid w:val="2BD5237F"/>
    <w:rsid w:val="2BE536CE"/>
    <w:rsid w:val="2BE6B86A"/>
    <w:rsid w:val="2BE758D9"/>
    <w:rsid w:val="2BFD3F10"/>
    <w:rsid w:val="2BFD75A0"/>
    <w:rsid w:val="2BFF20C1"/>
    <w:rsid w:val="2BFF73D7"/>
    <w:rsid w:val="2C09049E"/>
    <w:rsid w:val="2C0A653C"/>
    <w:rsid w:val="2C191F85"/>
    <w:rsid w:val="2C593CC6"/>
    <w:rsid w:val="2C6DA015"/>
    <w:rsid w:val="2C7B2C05"/>
    <w:rsid w:val="2CBB75CA"/>
    <w:rsid w:val="2CBF6958"/>
    <w:rsid w:val="2CE24EBC"/>
    <w:rsid w:val="2CE82D6F"/>
    <w:rsid w:val="2D0D0FDB"/>
    <w:rsid w:val="2D0D2D89"/>
    <w:rsid w:val="2D113745"/>
    <w:rsid w:val="2D1660E1"/>
    <w:rsid w:val="2D1760D1"/>
    <w:rsid w:val="2D1858BD"/>
    <w:rsid w:val="2D1C6606"/>
    <w:rsid w:val="2D2E2C0D"/>
    <w:rsid w:val="2D343236"/>
    <w:rsid w:val="2D71355E"/>
    <w:rsid w:val="2DA82F65"/>
    <w:rsid w:val="2DCC173F"/>
    <w:rsid w:val="2DD15014"/>
    <w:rsid w:val="2DD15B55"/>
    <w:rsid w:val="2DDF576E"/>
    <w:rsid w:val="2DE42613"/>
    <w:rsid w:val="2DEB26C0"/>
    <w:rsid w:val="2DF72DE4"/>
    <w:rsid w:val="2DFDFCE5"/>
    <w:rsid w:val="2E0220AF"/>
    <w:rsid w:val="2E3D3179"/>
    <w:rsid w:val="2E4B082A"/>
    <w:rsid w:val="2E563BF7"/>
    <w:rsid w:val="2E573E56"/>
    <w:rsid w:val="2E5D4E86"/>
    <w:rsid w:val="2E5D790B"/>
    <w:rsid w:val="2E786212"/>
    <w:rsid w:val="2E821554"/>
    <w:rsid w:val="2E901BAC"/>
    <w:rsid w:val="2E9A3C18"/>
    <w:rsid w:val="2EBB0FEE"/>
    <w:rsid w:val="2EC63002"/>
    <w:rsid w:val="2ECD5874"/>
    <w:rsid w:val="2ED54CB2"/>
    <w:rsid w:val="2EF10DD9"/>
    <w:rsid w:val="2EF7BB53"/>
    <w:rsid w:val="2EFB123F"/>
    <w:rsid w:val="2EFE0BDB"/>
    <w:rsid w:val="2F0A6B38"/>
    <w:rsid w:val="2F3F70D3"/>
    <w:rsid w:val="2F5ECD05"/>
    <w:rsid w:val="2F742200"/>
    <w:rsid w:val="2F787B90"/>
    <w:rsid w:val="2F7BC298"/>
    <w:rsid w:val="2F7FA375"/>
    <w:rsid w:val="2F946CCB"/>
    <w:rsid w:val="2F9C03F4"/>
    <w:rsid w:val="2FA782DC"/>
    <w:rsid w:val="2FAC1422"/>
    <w:rsid w:val="2FBA2E44"/>
    <w:rsid w:val="2FBB7E19"/>
    <w:rsid w:val="2FBD298C"/>
    <w:rsid w:val="2FD25781"/>
    <w:rsid w:val="2FDCD372"/>
    <w:rsid w:val="2FDD6036"/>
    <w:rsid w:val="2FE3AD85"/>
    <w:rsid w:val="2FE75BA4"/>
    <w:rsid w:val="2FEA2B1B"/>
    <w:rsid w:val="2FED0F9B"/>
    <w:rsid w:val="2FEEDE7A"/>
    <w:rsid w:val="2FF63B8D"/>
    <w:rsid w:val="2FFA7729"/>
    <w:rsid w:val="2FFD7934"/>
    <w:rsid w:val="2FFF10AF"/>
    <w:rsid w:val="2FFF315F"/>
    <w:rsid w:val="2FFF7DF5"/>
    <w:rsid w:val="30141B1E"/>
    <w:rsid w:val="305D462C"/>
    <w:rsid w:val="30733ACD"/>
    <w:rsid w:val="308C3862"/>
    <w:rsid w:val="309379D8"/>
    <w:rsid w:val="30A270F7"/>
    <w:rsid w:val="30B100A9"/>
    <w:rsid w:val="30DF1478"/>
    <w:rsid w:val="30EC586F"/>
    <w:rsid w:val="311346E6"/>
    <w:rsid w:val="313F81C3"/>
    <w:rsid w:val="31480AAE"/>
    <w:rsid w:val="314A61F9"/>
    <w:rsid w:val="315B638E"/>
    <w:rsid w:val="31635784"/>
    <w:rsid w:val="31774224"/>
    <w:rsid w:val="319C6071"/>
    <w:rsid w:val="31AC537E"/>
    <w:rsid w:val="31AF0712"/>
    <w:rsid w:val="31B55982"/>
    <w:rsid w:val="31E3679B"/>
    <w:rsid w:val="31E732FD"/>
    <w:rsid w:val="31E74BA2"/>
    <w:rsid w:val="31F2079F"/>
    <w:rsid w:val="31F52DF0"/>
    <w:rsid w:val="31F92B93"/>
    <w:rsid w:val="31FE0694"/>
    <w:rsid w:val="3242566B"/>
    <w:rsid w:val="32517576"/>
    <w:rsid w:val="3273368E"/>
    <w:rsid w:val="32787014"/>
    <w:rsid w:val="3280441C"/>
    <w:rsid w:val="329BC8D9"/>
    <w:rsid w:val="32BE5C2C"/>
    <w:rsid w:val="32E0684A"/>
    <w:rsid w:val="32FB6478"/>
    <w:rsid w:val="32FC23A2"/>
    <w:rsid w:val="33263B3F"/>
    <w:rsid w:val="33364476"/>
    <w:rsid w:val="334E24B3"/>
    <w:rsid w:val="336963EB"/>
    <w:rsid w:val="337FA92E"/>
    <w:rsid w:val="33816EEB"/>
    <w:rsid w:val="338E7556"/>
    <w:rsid w:val="339715AC"/>
    <w:rsid w:val="339E473B"/>
    <w:rsid w:val="33B83C2C"/>
    <w:rsid w:val="33D327C9"/>
    <w:rsid w:val="33E34843"/>
    <w:rsid w:val="33E43380"/>
    <w:rsid w:val="33EB55CD"/>
    <w:rsid w:val="33EC4C02"/>
    <w:rsid w:val="33FD675D"/>
    <w:rsid w:val="33FF84C8"/>
    <w:rsid w:val="340D2360"/>
    <w:rsid w:val="3410665D"/>
    <w:rsid w:val="34124E23"/>
    <w:rsid w:val="34211214"/>
    <w:rsid w:val="342E63AB"/>
    <w:rsid w:val="343C3F54"/>
    <w:rsid w:val="34610414"/>
    <w:rsid w:val="34950E68"/>
    <w:rsid w:val="34986E94"/>
    <w:rsid w:val="34AF62C9"/>
    <w:rsid w:val="34B8564A"/>
    <w:rsid w:val="34C75F13"/>
    <w:rsid w:val="34CB4388"/>
    <w:rsid w:val="34FA6E12"/>
    <w:rsid w:val="34FD9243"/>
    <w:rsid w:val="350645C6"/>
    <w:rsid w:val="35324E1E"/>
    <w:rsid w:val="35385C70"/>
    <w:rsid w:val="353DC926"/>
    <w:rsid w:val="354E7762"/>
    <w:rsid w:val="356B4AF0"/>
    <w:rsid w:val="3572BCB9"/>
    <w:rsid w:val="357E55DF"/>
    <w:rsid w:val="3586F9B8"/>
    <w:rsid w:val="358D5588"/>
    <w:rsid w:val="35AA7B61"/>
    <w:rsid w:val="35B00755"/>
    <w:rsid w:val="35B4432A"/>
    <w:rsid w:val="36291F2F"/>
    <w:rsid w:val="363A3B40"/>
    <w:rsid w:val="364DC46E"/>
    <w:rsid w:val="365302AE"/>
    <w:rsid w:val="36607A0A"/>
    <w:rsid w:val="366A4187"/>
    <w:rsid w:val="366E227C"/>
    <w:rsid w:val="366EDDFA"/>
    <w:rsid w:val="366F2E0D"/>
    <w:rsid w:val="367B6A5C"/>
    <w:rsid w:val="36A209E6"/>
    <w:rsid w:val="36A74ADA"/>
    <w:rsid w:val="36AD60D5"/>
    <w:rsid w:val="36B224F9"/>
    <w:rsid w:val="36CD06D8"/>
    <w:rsid w:val="36DFFB55"/>
    <w:rsid w:val="36EC0CC9"/>
    <w:rsid w:val="37153EE7"/>
    <w:rsid w:val="371D36CD"/>
    <w:rsid w:val="373F410B"/>
    <w:rsid w:val="37494BFA"/>
    <w:rsid w:val="374B16BB"/>
    <w:rsid w:val="375DE4BF"/>
    <w:rsid w:val="37679EDF"/>
    <w:rsid w:val="377B3AD4"/>
    <w:rsid w:val="377DB822"/>
    <w:rsid w:val="3783F884"/>
    <w:rsid w:val="379E5600"/>
    <w:rsid w:val="37A7AD26"/>
    <w:rsid w:val="37B850C8"/>
    <w:rsid w:val="37BA791E"/>
    <w:rsid w:val="37BBA528"/>
    <w:rsid w:val="37BF9144"/>
    <w:rsid w:val="37ED4C47"/>
    <w:rsid w:val="37EE7094"/>
    <w:rsid w:val="37FBEE06"/>
    <w:rsid w:val="37FEE3E6"/>
    <w:rsid w:val="38296C89"/>
    <w:rsid w:val="383002EB"/>
    <w:rsid w:val="38586797"/>
    <w:rsid w:val="385B38D6"/>
    <w:rsid w:val="38BC0149"/>
    <w:rsid w:val="38C53688"/>
    <w:rsid w:val="38CB553C"/>
    <w:rsid w:val="38D87D1C"/>
    <w:rsid w:val="38DB4B8E"/>
    <w:rsid w:val="38E47205"/>
    <w:rsid w:val="38E91A6B"/>
    <w:rsid w:val="38EA19E0"/>
    <w:rsid w:val="38F34C58"/>
    <w:rsid w:val="38FFD105"/>
    <w:rsid w:val="39083C99"/>
    <w:rsid w:val="39180AEB"/>
    <w:rsid w:val="39184F8F"/>
    <w:rsid w:val="392F2DC1"/>
    <w:rsid w:val="395064D7"/>
    <w:rsid w:val="39581830"/>
    <w:rsid w:val="395C1D0A"/>
    <w:rsid w:val="39636459"/>
    <w:rsid w:val="396B7F6C"/>
    <w:rsid w:val="39743EE5"/>
    <w:rsid w:val="397B019F"/>
    <w:rsid w:val="397B4DCE"/>
    <w:rsid w:val="397F5764"/>
    <w:rsid w:val="39B417A9"/>
    <w:rsid w:val="39E84962"/>
    <w:rsid w:val="39EC21A3"/>
    <w:rsid w:val="39EC77BE"/>
    <w:rsid w:val="39F25108"/>
    <w:rsid w:val="39F570DC"/>
    <w:rsid w:val="39FB85A2"/>
    <w:rsid w:val="39FC5695"/>
    <w:rsid w:val="39FF431C"/>
    <w:rsid w:val="3A006D8E"/>
    <w:rsid w:val="3A3651E5"/>
    <w:rsid w:val="3A744481"/>
    <w:rsid w:val="3A7E0E22"/>
    <w:rsid w:val="3A7FA102"/>
    <w:rsid w:val="3A815AC1"/>
    <w:rsid w:val="3A8C7BEF"/>
    <w:rsid w:val="3A906246"/>
    <w:rsid w:val="3A921392"/>
    <w:rsid w:val="3A94771C"/>
    <w:rsid w:val="3A9D670D"/>
    <w:rsid w:val="3AA2757B"/>
    <w:rsid w:val="3ABECCD1"/>
    <w:rsid w:val="3AC0143A"/>
    <w:rsid w:val="3AC86541"/>
    <w:rsid w:val="3ACA7B04"/>
    <w:rsid w:val="3AD3AF81"/>
    <w:rsid w:val="3AD7FB79"/>
    <w:rsid w:val="3AEE7494"/>
    <w:rsid w:val="3AEFA2CB"/>
    <w:rsid w:val="3AFBCF7B"/>
    <w:rsid w:val="3B20012B"/>
    <w:rsid w:val="3B2349B7"/>
    <w:rsid w:val="3B2AE99C"/>
    <w:rsid w:val="3B2B9843"/>
    <w:rsid w:val="3B3FC08F"/>
    <w:rsid w:val="3B616CFF"/>
    <w:rsid w:val="3B6259F6"/>
    <w:rsid w:val="3B976654"/>
    <w:rsid w:val="3BBB069D"/>
    <w:rsid w:val="3BBC8D69"/>
    <w:rsid w:val="3BBE4AC4"/>
    <w:rsid w:val="3BC01EFC"/>
    <w:rsid w:val="3BC42DF6"/>
    <w:rsid w:val="3BCA786A"/>
    <w:rsid w:val="3BD31E2F"/>
    <w:rsid w:val="3BD553B9"/>
    <w:rsid w:val="3BE033C2"/>
    <w:rsid w:val="3BEB8618"/>
    <w:rsid w:val="3BEFEE6C"/>
    <w:rsid w:val="3BF15831"/>
    <w:rsid w:val="3BF5EC64"/>
    <w:rsid w:val="3BFD3687"/>
    <w:rsid w:val="3BFF0F10"/>
    <w:rsid w:val="3BFFBB66"/>
    <w:rsid w:val="3BFFE131"/>
    <w:rsid w:val="3C0150A3"/>
    <w:rsid w:val="3C105946"/>
    <w:rsid w:val="3C471448"/>
    <w:rsid w:val="3C56936B"/>
    <w:rsid w:val="3C5F759A"/>
    <w:rsid w:val="3C5FE806"/>
    <w:rsid w:val="3C6C525A"/>
    <w:rsid w:val="3C7D1EBB"/>
    <w:rsid w:val="3C7D4B92"/>
    <w:rsid w:val="3CB62A95"/>
    <w:rsid w:val="3CB951DA"/>
    <w:rsid w:val="3CCE23CB"/>
    <w:rsid w:val="3CD17D17"/>
    <w:rsid w:val="3CDABF4E"/>
    <w:rsid w:val="3CFB2961"/>
    <w:rsid w:val="3D092ABE"/>
    <w:rsid w:val="3D26447C"/>
    <w:rsid w:val="3D2C2DB7"/>
    <w:rsid w:val="3D2C4B65"/>
    <w:rsid w:val="3D3954D4"/>
    <w:rsid w:val="3D3B4AC3"/>
    <w:rsid w:val="3D3C7F39"/>
    <w:rsid w:val="3D440F09"/>
    <w:rsid w:val="3D4504A0"/>
    <w:rsid w:val="3D57A322"/>
    <w:rsid w:val="3D5B79B6"/>
    <w:rsid w:val="3D5D11C3"/>
    <w:rsid w:val="3D5E60B9"/>
    <w:rsid w:val="3D6A7D83"/>
    <w:rsid w:val="3D6DBD51"/>
    <w:rsid w:val="3D6F4B1E"/>
    <w:rsid w:val="3D7B2B15"/>
    <w:rsid w:val="3D7FE656"/>
    <w:rsid w:val="3D8734BB"/>
    <w:rsid w:val="3D9A11D4"/>
    <w:rsid w:val="3DA16D89"/>
    <w:rsid w:val="3DA364BE"/>
    <w:rsid w:val="3DB36CC4"/>
    <w:rsid w:val="3DB69CB5"/>
    <w:rsid w:val="3DBF3F72"/>
    <w:rsid w:val="3DBF732B"/>
    <w:rsid w:val="3DC0627E"/>
    <w:rsid w:val="3DCE0787"/>
    <w:rsid w:val="3DD92ADA"/>
    <w:rsid w:val="3DDE638B"/>
    <w:rsid w:val="3DE041CB"/>
    <w:rsid w:val="3DE6E341"/>
    <w:rsid w:val="3DED1E42"/>
    <w:rsid w:val="3DEF6340"/>
    <w:rsid w:val="3DF3A7D6"/>
    <w:rsid w:val="3DF5FC97"/>
    <w:rsid w:val="3DF92218"/>
    <w:rsid w:val="3DF9F906"/>
    <w:rsid w:val="3DFB8622"/>
    <w:rsid w:val="3DFE321D"/>
    <w:rsid w:val="3DFF2B1B"/>
    <w:rsid w:val="3DFF8450"/>
    <w:rsid w:val="3DFF9742"/>
    <w:rsid w:val="3DFFCA98"/>
    <w:rsid w:val="3E0D48F6"/>
    <w:rsid w:val="3E1868B4"/>
    <w:rsid w:val="3E27FEA7"/>
    <w:rsid w:val="3E285EE1"/>
    <w:rsid w:val="3E375EB7"/>
    <w:rsid w:val="3E377251"/>
    <w:rsid w:val="3E42664B"/>
    <w:rsid w:val="3E451A0C"/>
    <w:rsid w:val="3E5A7334"/>
    <w:rsid w:val="3E5FFC0C"/>
    <w:rsid w:val="3E7B5D6B"/>
    <w:rsid w:val="3E843E66"/>
    <w:rsid w:val="3E846C23"/>
    <w:rsid w:val="3E8F51FE"/>
    <w:rsid w:val="3E8F8909"/>
    <w:rsid w:val="3E926F87"/>
    <w:rsid w:val="3E9A59DE"/>
    <w:rsid w:val="3E9B36AB"/>
    <w:rsid w:val="3EAF4836"/>
    <w:rsid w:val="3EB516C8"/>
    <w:rsid w:val="3EBB373A"/>
    <w:rsid w:val="3EC33DFA"/>
    <w:rsid w:val="3ECA9B52"/>
    <w:rsid w:val="3ED00C60"/>
    <w:rsid w:val="3EE71BCE"/>
    <w:rsid w:val="3EEC9284"/>
    <w:rsid w:val="3EEF4813"/>
    <w:rsid w:val="3EEF6792"/>
    <w:rsid w:val="3EF773F5"/>
    <w:rsid w:val="3EF786AE"/>
    <w:rsid w:val="3EFB68FB"/>
    <w:rsid w:val="3EFBE351"/>
    <w:rsid w:val="3EFD0D9A"/>
    <w:rsid w:val="3EFDD8F9"/>
    <w:rsid w:val="3EFF0753"/>
    <w:rsid w:val="3EFF401E"/>
    <w:rsid w:val="3EFF4955"/>
    <w:rsid w:val="3EFF83BF"/>
    <w:rsid w:val="3F060E16"/>
    <w:rsid w:val="3F1572A8"/>
    <w:rsid w:val="3F1D1096"/>
    <w:rsid w:val="3F2619BD"/>
    <w:rsid w:val="3F2F0234"/>
    <w:rsid w:val="3F3B2B2A"/>
    <w:rsid w:val="3F3F54FC"/>
    <w:rsid w:val="3F59902B"/>
    <w:rsid w:val="3F6363FE"/>
    <w:rsid w:val="3F6547EC"/>
    <w:rsid w:val="3F6DB5E9"/>
    <w:rsid w:val="3F6F7E18"/>
    <w:rsid w:val="3F756B8F"/>
    <w:rsid w:val="3F795304"/>
    <w:rsid w:val="3F7BC4B6"/>
    <w:rsid w:val="3F7BEE2E"/>
    <w:rsid w:val="3F7F9E70"/>
    <w:rsid w:val="3F7FE19D"/>
    <w:rsid w:val="3F7FED97"/>
    <w:rsid w:val="3F8EA003"/>
    <w:rsid w:val="3F924549"/>
    <w:rsid w:val="3F95482B"/>
    <w:rsid w:val="3FA3B43E"/>
    <w:rsid w:val="3FAD957E"/>
    <w:rsid w:val="3FAEA702"/>
    <w:rsid w:val="3FBBF58E"/>
    <w:rsid w:val="3FBC5D9A"/>
    <w:rsid w:val="3FBE9059"/>
    <w:rsid w:val="3FBF444E"/>
    <w:rsid w:val="3FC7928C"/>
    <w:rsid w:val="3FCF5ADE"/>
    <w:rsid w:val="3FD55E74"/>
    <w:rsid w:val="3FDF382F"/>
    <w:rsid w:val="3FDF7BE2"/>
    <w:rsid w:val="3FDFC4C8"/>
    <w:rsid w:val="3FE5B6FC"/>
    <w:rsid w:val="3FEB7CC8"/>
    <w:rsid w:val="3FEDA55F"/>
    <w:rsid w:val="3FF56D4D"/>
    <w:rsid w:val="3FF6B9A1"/>
    <w:rsid w:val="3FF78D90"/>
    <w:rsid w:val="3FF9FCE6"/>
    <w:rsid w:val="3FFAF2CF"/>
    <w:rsid w:val="3FFB3157"/>
    <w:rsid w:val="3FFB94B0"/>
    <w:rsid w:val="3FFBF264"/>
    <w:rsid w:val="3FFD3E59"/>
    <w:rsid w:val="3FFD44B5"/>
    <w:rsid w:val="3FFDC67A"/>
    <w:rsid w:val="3FFE5A41"/>
    <w:rsid w:val="3FFE8DDE"/>
    <w:rsid w:val="3FFEC0D4"/>
    <w:rsid w:val="3FFEC535"/>
    <w:rsid w:val="3FFED42C"/>
    <w:rsid w:val="3FFF21F8"/>
    <w:rsid w:val="3FFF657B"/>
    <w:rsid w:val="3FFF91C9"/>
    <w:rsid w:val="3FFFA747"/>
    <w:rsid w:val="3FFFCE0D"/>
    <w:rsid w:val="3FFFD82D"/>
    <w:rsid w:val="3FFFF477"/>
    <w:rsid w:val="4019356B"/>
    <w:rsid w:val="40216CDA"/>
    <w:rsid w:val="40592157"/>
    <w:rsid w:val="405A5E8D"/>
    <w:rsid w:val="406E1CAE"/>
    <w:rsid w:val="40761890"/>
    <w:rsid w:val="40A0133A"/>
    <w:rsid w:val="40A62E81"/>
    <w:rsid w:val="40BC07B4"/>
    <w:rsid w:val="40C31A53"/>
    <w:rsid w:val="40D27708"/>
    <w:rsid w:val="40D54F3F"/>
    <w:rsid w:val="40EF109C"/>
    <w:rsid w:val="40FF545D"/>
    <w:rsid w:val="410067C8"/>
    <w:rsid w:val="41232723"/>
    <w:rsid w:val="41287D39"/>
    <w:rsid w:val="4135050E"/>
    <w:rsid w:val="413948D4"/>
    <w:rsid w:val="415E4A59"/>
    <w:rsid w:val="41711481"/>
    <w:rsid w:val="418F0D2A"/>
    <w:rsid w:val="419608F0"/>
    <w:rsid w:val="41A07950"/>
    <w:rsid w:val="41B27457"/>
    <w:rsid w:val="41BC7849"/>
    <w:rsid w:val="41BF4142"/>
    <w:rsid w:val="41C932D5"/>
    <w:rsid w:val="41D01505"/>
    <w:rsid w:val="42224C91"/>
    <w:rsid w:val="423E7569"/>
    <w:rsid w:val="42440BA3"/>
    <w:rsid w:val="42474939"/>
    <w:rsid w:val="424C3C57"/>
    <w:rsid w:val="424E557E"/>
    <w:rsid w:val="42613FF3"/>
    <w:rsid w:val="42660D96"/>
    <w:rsid w:val="428667D2"/>
    <w:rsid w:val="428C60A6"/>
    <w:rsid w:val="42936A49"/>
    <w:rsid w:val="42C102E6"/>
    <w:rsid w:val="42C83582"/>
    <w:rsid w:val="42CD1CE0"/>
    <w:rsid w:val="42E1381E"/>
    <w:rsid w:val="42ED6459"/>
    <w:rsid w:val="42FE58DD"/>
    <w:rsid w:val="43174B3D"/>
    <w:rsid w:val="434B790E"/>
    <w:rsid w:val="4360274F"/>
    <w:rsid w:val="437A2EFB"/>
    <w:rsid w:val="43977AB6"/>
    <w:rsid w:val="43A3342B"/>
    <w:rsid w:val="43C6C143"/>
    <w:rsid w:val="43C77C27"/>
    <w:rsid w:val="43DE09EE"/>
    <w:rsid w:val="43E3A30C"/>
    <w:rsid w:val="43FF57FA"/>
    <w:rsid w:val="44002FAD"/>
    <w:rsid w:val="44421C10"/>
    <w:rsid w:val="448477B9"/>
    <w:rsid w:val="449101DD"/>
    <w:rsid w:val="44D95F02"/>
    <w:rsid w:val="44DE1391"/>
    <w:rsid w:val="44FF7003"/>
    <w:rsid w:val="451B225C"/>
    <w:rsid w:val="452410C9"/>
    <w:rsid w:val="45317DFB"/>
    <w:rsid w:val="45325730"/>
    <w:rsid w:val="454964D0"/>
    <w:rsid w:val="456D3CE4"/>
    <w:rsid w:val="4579042C"/>
    <w:rsid w:val="457CB446"/>
    <w:rsid w:val="457F0571"/>
    <w:rsid w:val="458043A8"/>
    <w:rsid w:val="45851176"/>
    <w:rsid w:val="45AE28FA"/>
    <w:rsid w:val="45B0E3FB"/>
    <w:rsid w:val="45C30031"/>
    <w:rsid w:val="45C63B94"/>
    <w:rsid w:val="45D592BD"/>
    <w:rsid w:val="45E87A96"/>
    <w:rsid w:val="46004DE1"/>
    <w:rsid w:val="460E243C"/>
    <w:rsid w:val="460E7DA5"/>
    <w:rsid w:val="4614779C"/>
    <w:rsid w:val="46422483"/>
    <w:rsid w:val="4659254A"/>
    <w:rsid w:val="465B0637"/>
    <w:rsid w:val="465E3F0D"/>
    <w:rsid w:val="466A16E6"/>
    <w:rsid w:val="466D7A8A"/>
    <w:rsid w:val="467AAF31"/>
    <w:rsid w:val="467AF7AE"/>
    <w:rsid w:val="468046CC"/>
    <w:rsid w:val="468937D3"/>
    <w:rsid w:val="46893F2B"/>
    <w:rsid w:val="46C4686E"/>
    <w:rsid w:val="46C73B51"/>
    <w:rsid w:val="46FF26B4"/>
    <w:rsid w:val="47212840"/>
    <w:rsid w:val="47370652"/>
    <w:rsid w:val="47617B01"/>
    <w:rsid w:val="47785793"/>
    <w:rsid w:val="477B778F"/>
    <w:rsid w:val="478203EC"/>
    <w:rsid w:val="4789B855"/>
    <w:rsid w:val="47A13F1B"/>
    <w:rsid w:val="47B025FA"/>
    <w:rsid w:val="47BDABC5"/>
    <w:rsid w:val="480426CD"/>
    <w:rsid w:val="4809698F"/>
    <w:rsid w:val="480E4937"/>
    <w:rsid w:val="4811697D"/>
    <w:rsid w:val="483376F0"/>
    <w:rsid w:val="487A3E25"/>
    <w:rsid w:val="488B5503"/>
    <w:rsid w:val="48937E21"/>
    <w:rsid w:val="48981C49"/>
    <w:rsid w:val="489A0361"/>
    <w:rsid w:val="48B56357"/>
    <w:rsid w:val="48B94FF3"/>
    <w:rsid w:val="48DE2753"/>
    <w:rsid w:val="48E37AAB"/>
    <w:rsid w:val="48E768C7"/>
    <w:rsid w:val="48FD4B4C"/>
    <w:rsid w:val="490A68E0"/>
    <w:rsid w:val="491055FE"/>
    <w:rsid w:val="493575ED"/>
    <w:rsid w:val="495F5B3E"/>
    <w:rsid w:val="496F77D7"/>
    <w:rsid w:val="49731D6E"/>
    <w:rsid w:val="497654FD"/>
    <w:rsid w:val="49A73042"/>
    <w:rsid w:val="49ABB93C"/>
    <w:rsid w:val="49B64211"/>
    <w:rsid w:val="49D62A28"/>
    <w:rsid w:val="49D82405"/>
    <w:rsid w:val="49F6167F"/>
    <w:rsid w:val="4A064FA0"/>
    <w:rsid w:val="4A16615C"/>
    <w:rsid w:val="4A1A388C"/>
    <w:rsid w:val="4A3A5853"/>
    <w:rsid w:val="4A4424D7"/>
    <w:rsid w:val="4A454E53"/>
    <w:rsid w:val="4AB82D0F"/>
    <w:rsid w:val="4ACF06B0"/>
    <w:rsid w:val="4AD36F68"/>
    <w:rsid w:val="4ADB65ED"/>
    <w:rsid w:val="4AEA6060"/>
    <w:rsid w:val="4AEB7664"/>
    <w:rsid w:val="4AEE3B39"/>
    <w:rsid w:val="4AF7F3E5"/>
    <w:rsid w:val="4AFB7D14"/>
    <w:rsid w:val="4AFD7C19"/>
    <w:rsid w:val="4B0567D1"/>
    <w:rsid w:val="4B090BDC"/>
    <w:rsid w:val="4B236AAE"/>
    <w:rsid w:val="4B413B26"/>
    <w:rsid w:val="4B4B4D50"/>
    <w:rsid w:val="4B50284B"/>
    <w:rsid w:val="4B707271"/>
    <w:rsid w:val="4B8B7843"/>
    <w:rsid w:val="4B9739F7"/>
    <w:rsid w:val="4BDF5A8B"/>
    <w:rsid w:val="4BDFC63A"/>
    <w:rsid w:val="4BEE2503"/>
    <w:rsid w:val="4BF95B2C"/>
    <w:rsid w:val="4BFED4B4"/>
    <w:rsid w:val="4C245A30"/>
    <w:rsid w:val="4C6F33EC"/>
    <w:rsid w:val="4C7A2396"/>
    <w:rsid w:val="4CAA1F4A"/>
    <w:rsid w:val="4CAF7C99"/>
    <w:rsid w:val="4CB6685F"/>
    <w:rsid w:val="4CC367FE"/>
    <w:rsid w:val="4CE41D71"/>
    <w:rsid w:val="4CE8BBA5"/>
    <w:rsid w:val="4CF13E12"/>
    <w:rsid w:val="4CF9B713"/>
    <w:rsid w:val="4D077F3C"/>
    <w:rsid w:val="4D123355"/>
    <w:rsid w:val="4D265D99"/>
    <w:rsid w:val="4D2A3B31"/>
    <w:rsid w:val="4D312C52"/>
    <w:rsid w:val="4D4E6D7A"/>
    <w:rsid w:val="4D5A5C7A"/>
    <w:rsid w:val="4D7B268D"/>
    <w:rsid w:val="4D905305"/>
    <w:rsid w:val="4D9549A9"/>
    <w:rsid w:val="4D956AE3"/>
    <w:rsid w:val="4D964A72"/>
    <w:rsid w:val="4D9A5B1B"/>
    <w:rsid w:val="4D9C1254"/>
    <w:rsid w:val="4DA150FB"/>
    <w:rsid w:val="4DD951BB"/>
    <w:rsid w:val="4DE13A88"/>
    <w:rsid w:val="4DE74C20"/>
    <w:rsid w:val="4DFDC812"/>
    <w:rsid w:val="4E141D71"/>
    <w:rsid w:val="4E5F037E"/>
    <w:rsid w:val="4E6F27A8"/>
    <w:rsid w:val="4E793892"/>
    <w:rsid w:val="4E7B7C1F"/>
    <w:rsid w:val="4E800872"/>
    <w:rsid w:val="4E870F87"/>
    <w:rsid w:val="4E8862BB"/>
    <w:rsid w:val="4E9F8793"/>
    <w:rsid w:val="4EC512BE"/>
    <w:rsid w:val="4EC569ED"/>
    <w:rsid w:val="4ED50EA1"/>
    <w:rsid w:val="4EEC050C"/>
    <w:rsid w:val="4F104EC3"/>
    <w:rsid w:val="4F3F0645"/>
    <w:rsid w:val="4F47354A"/>
    <w:rsid w:val="4F6C2534"/>
    <w:rsid w:val="4F7932B9"/>
    <w:rsid w:val="4F7D81C6"/>
    <w:rsid w:val="4F7DC5DA"/>
    <w:rsid w:val="4F8B6063"/>
    <w:rsid w:val="4F8E53A2"/>
    <w:rsid w:val="4F8FCCD1"/>
    <w:rsid w:val="4F911C54"/>
    <w:rsid w:val="4F9D2D1C"/>
    <w:rsid w:val="4F9F6A34"/>
    <w:rsid w:val="4FBD6C58"/>
    <w:rsid w:val="4FDBA677"/>
    <w:rsid w:val="4FDF0786"/>
    <w:rsid w:val="4FE625E0"/>
    <w:rsid w:val="4FED1679"/>
    <w:rsid w:val="4FEDCF35"/>
    <w:rsid w:val="4FEEF2B0"/>
    <w:rsid w:val="4FF780D5"/>
    <w:rsid w:val="4FFD2812"/>
    <w:rsid w:val="4FFD4CC9"/>
    <w:rsid w:val="4FFEE4D3"/>
    <w:rsid w:val="4FFF6776"/>
    <w:rsid w:val="4FFF69E9"/>
    <w:rsid w:val="5021480F"/>
    <w:rsid w:val="50527D7C"/>
    <w:rsid w:val="50802CBD"/>
    <w:rsid w:val="50937403"/>
    <w:rsid w:val="50962ECB"/>
    <w:rsid w:val="50972573"/>
    <w:rsid w:val="50A42E38"/>
    <w:rsid w:val="50A4577F"/>
    <w:rsid w:val="50B61409"/>
    <w:rsid w:val="50B65505"/>
    <w:rsid w:val="50B73D1F"/>
    <w:rsid w:val="50BC4CAD"/>
    <w:rsid w:val="50BD5BC9"/>
    <w:rsid w:val="50C11EEE"/>
    <w:rsid w:val="50CA4969"/>
    <w:rsid w:val="50D358DC"/>
    <w:rsid w:val="50E97CFC"/>
    <w:rsid w:val="50EF1260"/>
    <w:rsid w:val="50FA4028"/>
    <w:rsid w:val="51012A59"/>
    <w:rsid w:val="510D65B7"/>
    <w:rsid w:val="510E5828"/>
    <w:rsid w:val="511157AB"/>
    <w:rsid w:val="514209A3"/>
    <w:rsid w:val="5142540C"/>
    <w:rsid w:val="51497F84"/>
    <w:rsid w:val="516721B8"/>
    <w:rsid w:val="517D19DC"/>
    <w:rsid w:val="518832C8"/>
    <w:rsid w:val="51990332"/>
    <w:rsid w:val="51A0432A"/>
    <w:rsid w:val="51A86090"/>
    <w:rsid w:val="51B7396D"/>
    <w:rsid w:val="51DC0DF8"/>
    <w:rsid w:val="51E76B73"/>
    <w:rsid w:val="51E81D1B"/>
    <w:rsid w:val="51F55A16"/>
    <w:rsid w:val="51FB3AAA"/>
    <w:rsid w:val="51FCDE03"/>
    <w:rsid w:val="51FED7AB"/>
    <w:rsid w:val="51FF8F31"/>
    <w:rsid w:val="52024073"/>
    <w:rsid w:val="52244F5F"/>
    <w:rsid w:val="52287B99"/>
    <w:rsid w:val="522E4CC3"/>
    <w:rsid w:val="5244713B"/>
    <w:rsid w:val="52615633"/>
    <w:rsid w:val="527D47F8"/>
    <w:rsid w:val="528172AA"/>
    <w:rsid w:val="52977FD4"/>
    <w:rsid w:val="52A25790"/>
    <w:rsid w:val="52A91A30"/>
    <w:rsid w:val="52A96B6F"/>
    <w:rsid w:val="52B45975"/>
    <w:rsid w:val="52BF7E2A"/>
    <w:rsid w:val="52D94AA4"/>
    <w:rsid w:val="52E72CC5"/>
    <w:rsid w:val="52EA3A62"/>
    <w:rsid w:val="52F50BB8"/>
    <w:rsid w:val="53097272"/>
    <w:rsid w:val="53544462"/>
    <w:rsid w:val="536C61AC"/>
    <w:rsid w:val="537353F2"/>
    <w:rsid w:val="5397158E"/>
    <w:rsid w:val="539A0F3A"/>
    <w:rsid w:val="53AFD968"/>
    <w:rsid w:val="53F1AB90"/>
    <w:rsid w:val="53F6AA1E"/>
    <w:rsid w:val="53F6AD46"/>
    <w:rsid w:val="53FC9D41"/>
    <w:rsid w:val="54013861"/>
    <w:rsid w:val="540655C5"/>
    <w:rsid w:val="54142D03"/>
    <w:rsid w:val="5445466E"/>
    <w:rsid w:val="54487265"/>
    <w:rsid w:val="544D6070"/>
    <w:rsid w:val="545509EE"/>
    <w:rsid w:val="54605E1E"/>
    <w:rsid w:val="549C661D"/>
    <w:rsid w:val="54B3506A"/>
    <w:rsid w:val="54B3766F"/>
    <w:rsid w:val="54BC3B54"/>
    <w:rsid w:val="54BD3FB5"/>
    <w:rsid w:val="54CA0D16"/>
    <w:rsid w:val="54D67D81"/>
    <w:rsid w:val="54DD4057"/>
    <w:rsid w:val="54E7490F"/>
    <w:rsid w:val="54F31849"/>
    <w:rsid w:val="550764A4"/>
    <w:rsid w:val="550B2BF6"/>
    <w:rsid w:val="55214EB5"/>
    <w:rsid w:val="55344AA7"/>
    <w:rsid w:val="55364EFD"/>
    <w:rsid w:val="555146E8"/>
    <w:rsid w:val="555D4828"/>
    <w:rsid w:val="55658149"/>
    <w:rsid w:val="557A4C8B"/>
    <w:rsid w:val="557D9A1A"/>
    <w:rsid w:val="557FE50B"/>
    <w:rsid w:val="558931E1"/>
    <w:rsid w:val="558EE555"/>
    <w:rsid w:val="55923347"/>
    <w:rsid w:val="55925180"/>
    <w:rsid w:val="55983B1B"/>
    <w:rsid w:val="559C3AF6"/>
    <w:rsid w:val="55A34937"/>
    <w:rsid w:val="55A8376B"/>
    <w:rsid w:val="55AF412E"/>
    <w:rsid w:val="55B11B72"/>
    <w:rsid w:val="55BD014F"/>
    <w:rsid w:val="55BDB546"/>
    <w:rsid w:val="55BF1A6A"/>
    <w:rsid w:val="55BFE9DA"/>
    <w:rsid w:val="55C4407D"/>
    <w:rsid w:val="55D65B74"/>
    <w:rsid w:val="55DC29B6"/>
    <w:rsid w:val="55DD4241"/>
    <w:rsid w:val="55E40429"/>
    <w:rsid w:val="55F53E91"/>
    <w:rsid w:val="55F76564"/>
    <w:rsid w:val="55FA67A6"/>
    <w:rsid w:val="55FE68F8"/>
    <w:rsid w:val="56030270"/>
    <w:rsid w:val="563A7B9E"/>
    <w:rsid w:val="56455396"/>
    <w:rsid w:val="56466840"/>
    <w:rsid w:val="56627324"/>
    <w:rsid w:val="566B6D1E"/>
    <w:rsid w:val="56AE11D8"/>
    <w:rsid w:val="56BD397C"/>
    <w:rsid w:val="56D52B90"/>
    <w:rsid w:val="56DD662D"/>
    <w:rsid w:val="56E85B49"/>
    <w:rsid w:val="56ED315F"/>
    <w:rsid w:val="56FFA831"/>
    <w:rsid w:val="57032A2C"/>
    <w:rsid w:val="570F5219"/>
    <w:rsid w:val="572B451F"/>
    <w:rsid w:val="573B058C"/>
    <w:rsid w:val="574E33FE"/>
    <w:rsid w:val="575D12B5"/>
    <w:rsid w:val="575DEB37"/>
    <w:rsid w:val="57610A87"/>
    <w:rsid w:val="576FA310"/>
    <w:rsid w:val="577B1140"/>
    <w:rsid w:val="577B7F21"/>
    <w:rsid w:val="577F181B"/>
    <w:rsid w:val="578414E8"/>
    <w:rsid w:val="57921984"/>
    <w:rsid w:val="579737F0"/>
    <w:rsid w:val="57AB7B30"/>
    <w:rsid w:val="57AE12C0"/>
    <w:rsid w:val="57AF5251"/>
    <w:rsid w:val="57AFAD53"/>
    <w:rsid w:val="57B26373"/>
    <w:rsid w:val="57B26FDE"/>
    <w:rsid w:val="57B63F04"/>
    <w:rsid w:val="57BDC6CF"/>
    <w:rsid w:val="57BFC359"/>
    <w:rsid w:val="57CD20C2"/>
    <w:rsid w:val="57D675AB"/>
    <w:rsid w:val="57D95FDD"/>
    <w:rsid w:val="57DB2FD0"/>
    <w:rsid w:val="57EB7B55"/>
    <w:rsid w:val="57F55E62"/>
    <w:rsid w:val="57FB6101"/>
    <w:rsid w:val="57FF5DA7"/>
    <w:rsid w:val="57FFBDDA"/>
    <w:rsid w:val="580D24C6"/>
    <w:rsid w:val="584A47AD"/>
    <w:rsid w:val="58694A68"/>
    <w:rsid w:val="587826B4"/>
    <w:rsid w:val="58917D2F"/>
    <w:rsid w:val="5894085C"/>
    <w:rsid w:val="58AE4F0C"/>
    <w:rsid w:val="58B85899"/>
    <w:rsid w:val="58BC7E8C"/>
    <w:rsid w:val="58E363A9"/>
    <w:rsid w:val="58EF1411"/>
    <w:rsid w:val="5927F40E"/>
    <w:rsid w:val="5943778F"/>
    <w:rsid w:val="5955D062"/>
    <w:rsid w:val="595E1678"/>
    <w:rsid w:val="5967CDA4"/>
    <w:rsid w:val="596D5BD4"/>
    <w:rsid w:val="596F2BE8"/>
    <w:rsid w:val="597E3DD8"/>
    <w:rsid w:val="597FF5F1"/>
    <w:rsid w:val="599B50F5"/>
    <w:rsid w:val="59BFC03D"/>
    <w:rsid w:val="59E20C40"/>
    <w:rsid w:val="59EE6F2C"/>
    <w:rsid w:val="59F80043"/>
    <w:rsid w:val="59FE7ACB"/>
    <w:rsid w:val="59FF8B11"/>
    <w:rsid w:val="5A0031AA"/>
    <w:rsid w:val="5A09252F"/>
    <w:rsid w:val="5A0B2778"/>
    <w:rsid w:val="5A2A7C7B"/>
    <w:rsid w:val="5A3E2560"/>
    <w:rsid w:val="5A53152E"/>
    <w:rsid w:val="5A5D0AD9"/>
    <w:rsid w:val="5A5D3B6E"/>
    <w:rsid w:val="5A637A76"/>
    <w:rsid w:val="5A646D83"/>
    <w:rsid w:val="5A6D33BA"/>
    <w:rsid w:val="5A792B1F"/>
    <w:rsid w:val="5A7F0509"/>
    <w:rsid w:val="5A862F4C"/>
    <w:rsid w:val="5A874767"/>
    <w:rsid w:val="5AAD6F28"/>
    <w:rsid w:val="5AB26B9A"/>
    <w:rsid w:val="5ACCD0A4"/>
    <w:rsid w:val="5AD6369C"/>
    <w:rsid w:val="5AD63A24"/>
    <w:rsid w:val="5ADC35E7"/>
    <w:rsid w:val="5ADE2721"/>
    <w:rsid w:val="5AEC1644"/>
    <w:rsid w:val="5AF34ABD"/>
    <w:rsid w:val="5AFDF90C"/>
    <w:rsid w:val="5B0E7DE7"/>
    <w:rsid w:val="5B16A85D"/>
    <w:rsid w:val="5B2E1A1D"/>
    <w:rsid w:val="5B2E38DA"/>
    <w:rsid w:val="5B5DB544"/>
    <w:rsid w:val="5B713DFC"/>
    <w:rsid w:val="5B7EF805"/>
    <w:rsid w:val="5B843A1C"/>
    <w:rsid w:val="5B873E3F"/>
    <w:rsid w:val="5BA65021"/>
    <w:rsid w:val="5BAD05AB"/>
    <w:rsid w:val="5BAE3BC2"/>
    <w:rsid w:val="5BBB4C22"/>
    <w:rsid w:val="5BBF23C7"/>
    <w:rsid w:val="5BBF6D45"/>
    <w:rsid w:val="5BCD8B05"/>
    <w:rsid w:val="5BD462C2"/>
    <w:rsid w:val="5BDCDFEF"/>
    <w:rsid w:val="5BEB86D5"/>
    <w:rsid w:val="5BF7E61B"/>
    <w:rsid w:val="5BFAA483"/>
    <w:rsid w:val="5BFD7A82"/>
    <w:rsid w:val="5BFF094F"/>
    <w:rsid w:val="5BFFD791"/>
    <w:rsid w:val="5BFFFF9E"/>
    <w:rsid w:val="5C02690E"/>
    <w:rsid w:val="5C0374B9"/>
    <w:rsid w:val="5C196DA7"/>
    <w:rsid w:val="5C2A048C"/>
    <w:rsid w:val="5C373B72"/>
    <w:rsid w:val="5C452C33"/>
    <w:rsid w:val="5C50666A"/>
    <w:rsid w:val="5C7F600B"/>
    <w:rsid w:val="5C7F7CB2"/>
    <w:rsid w:val="5C80234E"/>
    <w:rsid w:val="5C8A680C"/>
    <w:rsid w:val="5C9AE78D"/>
    <w:rsid w:val="5CA6304D"/>
    <w:rsid w:val="5CBE327B"/>
    <w:rsid w:val="5CD01559"/>
    <w:rsid w:val="5CD2F84C"/>
    <w:rsid w:val="5CD6289B"/>
    <w:rsid w:val="5CDFCFA9"/>
    <w:rsid w:val="5CF561F6"/>
    <w:rsid w:val="5CF8569A"/>
    <w:rsid w:val="5CFF9098"/>
    <w:rsid w:val="5D0C4701"/>
    <w:rsid w:val="5D0F0395"/>
    <w:rsid w:val="5D131446"/>
    <w:rsid w:val="5D221076"/>
    <w:rsid w:val="5D3203A7"/>
    <w:rsid w:val="5D397964"/>
    <w:rsid w:val="5D4714C1"/>
    <w:rsid w:val="5D473DF7"/>
    <w:rsid w:val="5D4A2BDD"/>
    <w:rsid w:val="5D4E82A2"/>
    <w:rsid w:val="5D5A391C"/>
    <w:rsid w:val="5D5F10C0"/>
    <w:rsid w:val="5D63040D"/>
    <w:rsid w:val="5D635F29"/>
    <w:rsid w:val="5D6B0F85"/>
    <w:rsid w:val="5D7B48FC"/>
    <w:rsid w:val="5D7FB44B"/>
    <w:rsid w:val="5D891B7B"/>
    <w:rsid w:val="5D902A97"/>
    <w:rsid w:val="5D9BDFF5"/>
    <w:rsid w:val="5D9DEEDA"/>
    <w:rsid w:val="5DAD38EE"/>
    <w:rsid w:val="5DB87CC4"/>
    <w:rsid w:val="5DBD0108"/>
    <w:rsid w:val="5DBFCC91"/>
    <w:rsid w:val="5DC97D18"/>
    <w:rsid w:val="5DCF3F45"/>
    <w:rsid w:val="5DD07337"/>
    <w:rsid w:val="5DD81626"/>
    <w:rsid w:val="5DDBE215"/>
    <w:rsid w:val="5DDDF778"/>
    <w:rsid w:val="5DDF5709"/>
    <w:rsid w:val="5DDF8094"/>
    <w:rsid w:val="5DE22C6A"/>
    <w:rsid w:val="5DEB79DB"/>
    <w:rsid w:val="5DEF52D0"/>
    <w:rsid w:val="5DF357D4"/>
    <w:rsid w:val="5DF38EE6"/>
    <w:rsid w:val="5DF54A22"/>
    <w:rsid w:val="5DF7B0EB"/>
    <w:rsid w:val="5DF7C74A"/>
    <w:rsid w:val="5DF7FC71"/>
    <w:rsid w:val="5DF9688E"/>
    <w:rsid w:val="5DFDB08B"/>
    <w:rsid w:val="5DFDF5EC"/>
    <w:rsid w:val="5DFE8C18"/>
    <w:rsid w:val="5DFF04F1"/>
    <w:rsid w:val="5DFF5874"/>
    <w:rsid w:val="5DFF8312"/>
    <w:rsid w:val="5DFFB8CF"/>
    <w:rsid w:val="5E006862"/>
    <w:rsid w:val="5E0207B9"/>
    <w:rsid w:val="5E1045E0"/>
    <w:rsid w:val="5E1834A1"/>
    <w:rsid w:val="5E1E37E3"/>
    <w:rsid w:val="5E261785"/>
    <w:rsid w:val="5E2C5875"/>
    <w:rsid w:val="5E335564"/>
    <w:rsid w:val="5E3E02C0"/>
    <w:rsid w:val="5E48358B"/>
    <w:rsid w:val="5E4A7017"/>
    <w:rsid w:val="5E552BBA"/>
    <w:rsid w:val="5E5B666F"/>
    <w:rsid w:val="5E611C10"/>
    <w:rsid w:val="5E6A0E98"/>
    <w:rsid w:val="5E7F48FE"/>
    <w:rsid w:val="5E8C4D40"/>
    <w:rsid w:val="5EBB7FE7"/>
    <w:rsid w:val="5EC512D3"/>
    <w:rsid w:val="5ED639FE"/>
    <w:rsid w:val="5ED7B7FA"/>
    <w:rsid w:val="5EDDAB20"/>
    <w:rsid w:val="5EE42BBD"/>
    <w:rsid w:val="5EE9455D"/>
    <w:rsid w:val="5EEF148A"/>
    <w:rsid w:val="5EF765E0"/>
    <w:rsid w:val="5EF78227"/>
    <w:rsid w:val="5EFA7CCD"/>
    <w:rsid w:val="5EFC7377"/>
    <w:rsid w:val="5EFE489A"/>
    <w:rsid w:val="5EFF5077"/>
    <w:rsid w:val="5EFF542D"/>
    <w:rsid w:val="5F06174D"/>
    <w:rsid w:val="5F083003"/>
    <w:rsid w:val="5F2149AE"/>
    <w:rsid w:val="5F2F0D6A"/>
    <w:rsid w:val="5F393B6F"/>
    <w:rsid w:val="5F3A3602"/>
    <w:rsid w:val="5F3BA376"/>
    <w:rsid w:val="5F3D3C4F"/>
    <w:rsid w:val="5F3D4288"/>
    <w:rsid w:val="5F5C1DB5"/>
    <w:rsid w:val="5F5F5C2E"/>
    <w:rsid w:val="5F5F63FF"/>
    <w:rsid w:val="5F6277C6"/>
    <w:rsid w:val="5F6D0B1D"/>
    <w:rsid w:val="5F6E0BB6"/>
    <w:rsid w:val="5F6FF1DF"/>
    <w:rsid w:val="5F6FFB5C"/>
    <w:rsid w:val="5F7511AD"/>
    <w:rsid w:val="5F773837"/>
    <w:rsid w:val="5F77641D"/>
    <w:rsid w:val="5F7D4DA9"/>
    <w:rsid w:val="5F7E0ECC"/>
    <w:rsid w:val="5F7F04FB"/>
    <w:rsid w:val="5F7FB12E"/>
    <w:rsid w:val="5F852DFD"/>
    <w:rsid w:val="5F8B79B9"/>
    <w:rsid w:val="5F8D0B82"/>
    <w:rsid w:val="5F8D6149"/>
    <w:rsid w:val="5F97F8B2"/>
    <w:rsid w:val="5F992C52"/>
    <w:rsid w:val="5F9F13DB"/>
    <w:rsid w:val="5F9F3E86"/>
    <w:rsid w:val="5FA176AD"/>
    <w:rsid w:val="5FA47914"/>
    <w:rsid w:val="5FAF61C8"/>
    <w:rsid w:val="5FB2CB64"/>
    <w:rsid w:val="5FB567E4"/>
    <w:rsid w:val="5FB76B44"/>
    <w:rsid w:val="5FBD55CB"/>
    <w:rsid w:val="5FBE38EB"/>
    <w:rsid w:val="5FBE5B1D"/>
    <w:rsid w:val="5FBF5D05"/>
    <w:rsid w:val="5FC2EAD5"/>
    <w:rsid w:val="5FCC5339"/>
    <w:rsid w:val="5FD75583"/>
    <w:rsid w:val="5FDC1635"/>
    <w:rsid w:val="5FDC97B7"/>
    <w:rsid w:val="5FDDD31C"/>
    <w:rsid w:val="5FDEE97E"/>
    <w:rsid w:val="5FDF3340"/>
    <w:rsid w:val="5FDF6EE9"/>
    <w:rsid w:val="5FDF9CC5"/>
    <w:rsid w:val="5FDFA2EB"/>
    <w:rsid w:val="5FE1D099"/>
    <w:rsid w:val="5FE34A5B"/>
    <w:rsid w:val="5FE52E8B"/>
    <w:rsid w:val="5FE5F753"/>
    <w:rsid w:val="5FE7EE19"/>
    <w:rsid w:val="5FED79CA"/>
    <w:rsid w:val="5FEF9635"/>
    <w:rsid w:val="5FEFC625"/>
    <w:rsid w:val="5FF7FF71"/>
    <w:rsid w:val="5FFB3A7C"/>
    <w:rsid w:val="5FFBDC84"/>
    <w:rsid w:val="5FFC7260"/>
    <w:rsid w:val="5FFD909F"/>
    <w:rsid w:val="5FFDB772"/>
    <w:rsid w:val="5FFE1E36"/>
    <w:rsid w:val="5FFE6A86"/>
    <w:rsid w:val="5FFEFEC1"/>
    <w:rsid w:val="5FFF02EC"/>
    <w:rsid w:val="5FFF3A23"/>
    <w:rsid w:val="5FFF3B45"/>
    <w:rsid w:val="5FFF5754"/>
    <w:rsid w:val="5FFF7235"/>
    <w:rsid w:val="5FFF7E3C"/>
    <w:rsid w:val="5FFFA6C8"/>
    <w:rsid w:val="5FFFA7C6"/>
    <w:rsid w:val="5FFFC1E1"/>
    <w:rsid w:val="5FFFC30A"/>
    <w:rsid w:val="60232584"/>
    <w:rsid w:val="602F4685"/>
    <w:rsid w:val="605E0C2A"/>
    <w:rsid w:val="6071772D"/>
    <w:rsid w:val="607330CE"/>
    <w:rsid w:val="60825176"/>
    <w:rsid w:val="608A5EC3"/>
    <w:rsid w:val="60940AF0"/>
    <w:rsid w:val="609F2AC4"/>
    <w:rsid w:val="60DB9FC3"/>
    <w:rsid w:val="60FA2EE8"/>
    <w:rsid w:val="60FE2885"/>
    <w:rsid w:val="61054A27"/>
    <w:rsid w:val="610A52BC"/>
    <w:rsid w:val="610E08A2"/>
    <w:rsid w:val="611D2366"/>
    <w:rsid w:val="613EDDD3"/>
    <w:rsid w:val="61421856"/>
    <w:rsid w:val="614C4F26"/>
    <w:rsid w:val="615227C4"/>
    <w:rsid w:val="61654E3F"/>
    <w:rsid w:val="616B35FF"/>
    <w:rsid w:val="61767EFC"/>
    <w:rsid w:val="6182292A"/>
    <w:rsid w:val="619C03A7"/>
    <w:rsid w:val="619F7F92"/>
    <w:rsid w:val="61AC28CC"/>
    <w:rsid w:val="61B61BC0"/>
    <w:rsid w:val="61B973DC"/>
    <w:rsid w:val="61BCF752"/>
    <w:rsid w:val="61EE54D6"/>
    <w:rsid w:val="61F94C26"/>
    <w:rsid w:val="62000E56"/>
    <w:rsid w:val="621B21F3"/>
    <w:rsid w:val="622D6B06"/>
    <w:rsid w:val="623D5594"/>
    <w:rsid w:val="624F3E49"/>
    <w:rsid w:val="62632286"/>
    <w:rsid w:val="62885958"/>
    <w:rsid w:val="62F40B65"/>
    <w:rsid w:val="62FC2CFE"/>
    <w:rsid w:val="62FEECD8"/>
    <w:rsid w:val="63024505"/>
    <w:rsid w:val="630B0EDA"/>
    <w:rsid w:val="631F9778"/>
    <w:rsid w:val="63587ECC"/>
    <w:rsid w:val="635B1DB5"/>
    <w:rsid w:val="6367429A"/>
    <w:rsid w:val="63711FED"/>
    <w:rsid w:val="63880DDC"/>
    <w:rsid w:val="638D750D"/>
    <w:rsid w:val="638F949E"/>
    <w:rsid w:val="63A72056"/>
    <w:rsid w:val="63A72320"/>
    <w:rsid w:val="63ABC90A"/>
    <w:rsid w:val="63AC6CC0"/>
    <w:rsid w:val="63B5FCCB"/>
    <w:rsid w:val="63BFD95A"/>
    <w:rsid w:val="63CC234F"/>
    <w:rsid w:val="63CE1478"/>
    <w:rsid w:val="63E423B8"/>
    <w:rsid w:val="63E91153"/>
    <w:rsid w:val="63EB3C69"/>
    <w:rsid w:val="63F1E39A"/>
    <w:rsid w:val="63F303BE"/>
    <w:rsid w:val="63F5DBDE"/>
    <w:rsid w:val="63FD4487"/>
    <w:rsid w:val="63FF67DD"/>
    <w:rsid w:val="63FFD110"/>
    <w:rsid w:val="63FFD2C4"/>
    <w:rsid w:val="6401024A"/>
    <w:rsid w:val="64055776"/>
    <w:rsid w:val="64130209"/>
    <w:rsid w:val="64240056"/>
    <w:rsid w:val="642C0324"/>
    <w:rsid w:val="643E143A"/>
    <w:rsid w:val="64502E70"/>
    <w:rsid w:val="645A5BAC"/>
    <w:rsid w:val="64704C73"/>
    <w:rsid w:val="647FA65D"/>
    <w:rsid w:val="648B6EEF"/>
    <w:rsid w:val="6494748A"/>
    <w:rsid w:val="649D34A5"/>
    <w:rsid w:val="64C158BF"/>
    <w:rsid w:val="64C31541"/>
    <w:rsid w:val="64CE2EAA"/>
    <w:rsid w:val="64E61059"/>
    <w:rsid w:val="64EE0C5B"/>
    <w:rsid w:val="64F25582"/>
    <w:rsid w:val="64FF32E0"/>
    <w:rsid w:val="650054DB"/>
    <w:rsid w:val="651D4074"/>
    <w:rsid w:val="653C3090"/>
    <w:rsid w:val="65413751"/>
    <w:rsid w:val="65424593"/>
    <w:rsid w:val="65457BCE"/>
    <w:rsid w:val="65680E46"/>
    <w:rsid w:val="656A4F30"/>
    <w:rsid w:val="656E5B2C"/>
    <w:rsid w:val="65807614"/>
    <w:rsid w:val="65854376"/>
    <w:rsid w:val="658767BE"/>
    <w:rsid w:val="65892531"/>
    <w:rsid w:val="65A90B99"/>
    <w:rsid w:val="65BF7273"/>
    <w:rsid w:val="65CB9F3A"/>
    <w:rsid w:val="65DF0270"/>
    <w:rsid w:val="65F242EE"/>
    <w:rsid w:val="65F9CBAD"/>
    <w:rsid w:val="65FA31A3"/>
    <w:rsid w:val="65FFC065"/>
    <w:rsid w:val="66195831"/>
    <w:rsid w:val="66240220"/>
    <w:rsid w:val="662A4220"/>
    <w:rsid w:val="662E75B1"/>
    <w:rsid w:val="66342C2E"/>
    <w:rsid w:val="663761A5"/>
    <w:rsid w:val="663E784C"/>
    <w:rsid w:val="664D7777"/>
    <w:rsid w:val="665E9AFE"/>
    <w:rsid w:val="666B6EB9"/>
    <w:rsid w:val="666DD003"/>
    <w:rsid w:val="667FEEB0"/>
    <w:rsid w:val="6683195C"/>
    <w:rsid w:val="668B6A45"/>
    <w:rsid w:val="66C53C27"/>
    <w:rsid w:val="66EEDB5B"/>
    <w:rsid w:val="67083BC9"/>
    <w:rsid w:val="67136C12"/>
    <w:rsid w:val="671FD40F"/>
    <w:rsid w:val="672F3F24"/>
    <w:rsid w:val="673E055F"/>
    <w:rsid w:val="673EB489"/>
    <w:rsid w:val="673F2623"/>
    <w:rsid w:val="674FD49B"/>
    <w:rsid w:val="67551CE3"/>
    <w:rsid w:val="675F09FD"/>
    <w:rsid w:val="675FA71B"/>
    <w:rsid w:val="6767DE42"/>
    <w:rsid w:val="677BE051"/>
    <w:rsid w:val="677FD0D0"/>
    <w:rsid w:val="679DD340"/>
    <w:rsid w:val="679E4833"/>
    <w:rsid w:val="67A22552"/>
    <w:rsid w:val="67B22DCC"/>
    <w:rsid w:val="67B732E1"/>
    <w:rsid w:val="67BE71AA"/>
    <w:rsid w:val="67D403ED"/>
    <w:rsid w:val="67D90273"/>
    <w:rsid w:val="67DE5875"/>
    <w:rsid w:val="67E55852"/>
    <w:rsid w:val="67E73BFB"/>
    <w:rsid w:val="67EB1AB4"/>
    <w:rsid w:val="67ED7C86"/>
    <w:rsid w:val="67EF0B1D"/>
    <w:rsid w:val="67FA1285"/>
    <w:rsid w:val="67FCD085"/>
    <w:rsid w:val="67FDCECA"/>
    <w:rsid w:val="67FFBBCD"/>
    <w:rsid w:val="68040ECB"/>
    <w:rsid w:val="680F2729"/>
    <w:rsid w:val="68551F4F"/>
    <w:rsid w:val="687C10C9"/>
    <w:rsid w:val="68840C16"/>
    <w:rsid w:val="68876EFB"/>
    <w:rsid w:val="68880F3A"/>
    <w:rsid w:val="68884654"/>
    <w:rsid w:val="68905410"/>
    <w:rsid w:val="68969B74"/>
    <w:rsid w:val="689F444F"/>
    <w:rsid w:val="68A1024E"/>
    <w:rsid w:val="68A845CF"/>
    <w:rsid w:val="68B96DBB"/>
    <w:rsid w:val="68CA2805"/>
    <w:rsid w:val="68CF116D"/>
    <w:rsid w:val="68E937A3"/>
    <w:rsid w:val="68F96D38"/>
    <w:rsid w:val="69256AF4"/>
    <w:rsid w:val="69274C15"/>
    <w:rsid w:val="693E15D3"/>
    <w:rsid w:val="694766FF"/>
    <w:rsid w:val="695FD75C"/>
    <w:rsid w:val="69627681"/>
    <w:rsid w:val="696C0678"/>
    <w:rsid w:val="696E2321"/>
    <w:rsid w:val="6977531D"/>
    <w:rsid w:val="697F7E49"/>
    <w:rsid w:val="697F9908"/>
    <w:rsid w:val="698060B5"/>
    <w:rsid w:val="69AC6EAA"/>
    <w:rsid w:val="69C3C429"/>
    <w:rsid w:val="69CC2BFF"/>
    <w:rsid w:val="69DDE11B"/>
    <w:rsid w:val="69FD55B8"/>
    <w:rsid w:val="6A0B1C62"/>
    <w:rsid w:val="6A0F1C96"/>
    <w:rsid w:val="6A2406C8"/>
    <w:rsid w:val="6A432653"/>
    <w:rsid w:val="6A6A3676"/>
    <w:rsid w:val="6A7CA056"/>
    <w:rsid w:val="6AA85FBD"/>
    <w:rsid w:val="6AAE2C34"/>
    <w:rsid w:val="6ABA68BC"/>
    <w:rsid w:val="6ABE6E95"/>
    <w:rsid w:val="6ACFA097"/>
    <w:rsid w:val="6ADE0BD1"/>
    <w:rsid w:val="6AE96859"/>
    <w:rsid w:val="6AEE9FDA"/>
    <w:rsid w:val="6AFBA69C"/>
    <w:rsid w:val="6AFF5CBC"/>
    <w:rsid w:val="6AFF8B86"/>
    <w:rsid w:val="6B0A0C0B"/>
    <w:rsid w:val="6B147746"/>
    <w:rsid w:val="6B1DFEB9"/>
    <w:rsid w:val="6B24787C"/>
    <w:rsid w:val="6B3F02D6"/>
    <w:rsid w:val="6B5323C6"/>
    <w:rsid w:val="6B573233"/>
    <w:rsid w:val="6B5B6274"/>
    <w:rsid w:val="6B5D65AD"/>
    <w:rsid w:val="6B7E5C34"/>
    <w:rsid w:val="6B7F2501"/>
    <w:rsid w:val="6B862EBA"/>
    <w:rsid w:val="6B935D53"/>
    <w:rsid w:val="6BA75562"/>
    <w:rsid w:val="6BB63A30"/>
    <w:rsid w:val="6BB86BC8"/>
    <w:rsid w:val="6BBB7CC4"/>
    <w:rsid w:val="6BBC82E3"/>
    <w:rsid w:val="6BBDC014"/>
    <w:rsid w:val="6BDE4606"/>
    <w:rsid w:val="6BDF20A5"/>
    <w:rsid w:val="6BEF3A01"/>
    <w:rsid w:val="6BEF47E2"/>
    <w:rsid w:val="6BF2E3F3"/>
    <w:rsid w:val="6BF52E48"/>
    <w:rsid w:val="6BF65C28"/>
    <w:rsid w:val="6BF7F10C"/>
    <w:rsid w:val="6BFF6255"/>
    <w:rsid w:val="6BFF85E1"/>
    <w:rsid w:val="6C0B55A7"/>
    <w:rsid w:val="6C196F71"/>
    <w:rsid w:val="6C226FCB"/>
    <w:rsid w:val="6C31226F"/>
    <w:rsid w:val="6C467142"/>
    <w:rsid w:val="6C4B29AA"/>
    <w:rsid w:val="6C4D57B6"/>
    <w:rsid w:val="6C552F0B"/>
    <w:rsid w:val="6C564753"/>
    <w:rsid w:val="6C773380"/>
    <w:rsid w:val="6C8C67B7"/>
    <w:rsid w:val="6C915FEF"/>
    <w:rsid w:val="6C9D744C"/>
    <w:rsid w:val="6C9E6F7E"/>
    <w:rsid w:val="6CAE6FBE"/>
    <w:rsid w:val="6CBE72F5"/>
    <w:rsid w:val="6CBE8438"/>
    <w:rsid w:val="6CC01FDB"/>
    <w:rsid w:val="6CCC1719"/>
    <w:rsid w:val="6CD535AA"/>
    <w:rsid w:val="6D07241C"/>
    <w:rsid w:val="6D167928"/>
    <w:rsid w:val="6D26299B"/>
    <w:rsid w:val="6D3B7F95"/>
    <w:rsid w:val="6D437B25"/>
    <w:rsid w:val="6D4772EC"/>
    <w:rsid w:val="6D5DDF00"/>
    <w:rsid w:val="6D6D8CF5"/>
    <w:rsid w:val="6D6F354D"/>
    <w:rsid w:val="6D7FE0D4"/>
    <w:rsid w:val="6D9078AF"/>
    <w:rsid w:val="6D94003F"/>
    <w:rsid w:val="6D9FEFEA"/>
    <w:rsid w:val="6DAA3FEF"/>
    <w:rsid w:val="6DBB7976"/>
    <w:rsid w:val="6DBBEFCC"/>
    <w:rsid w:val="6DBF0FFE"/>
    <w:rsid w:val="6DBF141F"/>
    <w:rsid w:val="6DC0172B"/>
    <w:rsid w:val="6DC42A14"/>
    <w:rsid w:val="6DCB690C"/>
    <w:rsid w:val="6DD1503C"/>
    <w:rsid w:val="6DD41A5B"/>
    <w:rsid w:val="6DDF65AF"/>
    <w:rsid w:val="6DE720AA"/>
    <w:rsid w:val="6DEFFC32"/>
    <w:rsid w:val="6DF43C2E"/>
    <w:rsid w:val="6DF51CA3"/>
    <w:rsid w:val="6DF5EF86"/>
    <w:rsid w:val="6DF7C67B"/>
    <w:rsid w:val="6DFB3E7B"/>
    <w:rsid w:val="6DFF9FF5"/>
    <w:rsid w:val="6E186063"/>
    <w:rsid w:val="6E2600AE"/>
    <w:rsid w:val="6E364F94"/>
    <w:rsid w:val="6E3B1170"/>
    <w:rsid w:val="6E3CDC1D"/>
    <w:rsid w:val="6E6F94E2"/>
    <w:rsid w:val="6E7539F6"/>
    <w:rsid w:val="6E8335BD"/>
    <w:rsid w:val="6E8E12EF"/>
    <w:rsid w:val="6E9702A9"/>
    <w:rsid w:val="6E972936"/>
    <w:rsid w:val="6EBB6702"/>
    <w:rsid w:val="6EBF326A"/>
    <w:rsid w:val="6EC70898"/>
    <w:rsid w:val="6EC9384B"/>
    <w:rsid w:val="6ECE2AFB"/>
    <w:rsid w:val="6ED446C5"/>
    <w:rsid w:val="6ED694B0"/>
    <w:rsid w:val="6EE6F144"/>
    <w:rsid w:val="6EED18BC"/>
    <w:rsid w:val="6EEF6A26"/>
    <w:rsid w:val="6EEFAC76"/>
    <w:rsid w:val="6EF7272E"/>
    <w:rsid w:val="6EF73AE9"/>
    <w:rsid w:val="6EF7FBEB"/>
    <w:rsid w:val="6EFC1809"/>
    <w:rsid w:val="6EFD26BA"/>
    <w:rsid w:val="6EFD74F6"/>
    <w:rsid w:val="6EFF658C"/>
    <w:rsid w:val="6EFF78DB"/>
    <w:rsid w:val="6F261782"/>
    <w:rsid w:val="6F272131"/>
    <w:rsid w:val="6F2A015F"/>
    <w:rsid w:val="6F2A7D94"/>
    <w:rsid w:val="6F353352"/>
    <w:rsid w:val="6F3947D7"/>
    <w:rsid w:val="6F3EBDF3"/>
    <w:rsid w:val="6F3F59CD"/>
    <w:rsid w:val="6F5A2F04"/>
    <w:rsid w:val="6F6ECCFA"/>
    <w:rsid w:val="6F6FF212"/>
    <w:rsid w:val="6F73567D"/>
    <w:rsid w:val="6F778CBF"/>
    <w:rsid w:val="6F78316E"/>
    <w:rsid w:val="6F7B2B20"/>
    <w:rsid w:val="6F7D2ADF"/>
    <w:rsid w:val="6F7D3A83"/>
    <w:rsid w:val="6F7D5AA7"/>
    <w:rsid w:val="6F7F101A"/>
    <w:rsid w:val="6F7F8FB6"/>
    <w:rsid w:val="6F8331F1"/>
    <w:rsid w:val="6F9946D4"/>
    <w:rsid w:val="6F9A118C"/>
    <w:rsid w:val="6F9E2BA9"/>
    <w:rsid w:val="6F9F02AF"/>
    <w:rsid w:val="6F9FA9E6"/>
    <w:rsid w:val="6F9FC449"/>
    <w:rsid w:val="6FAD3532"/>
    <w:rsid w:val="6FAE1A09"/>
    <w:rsid w:val="6FB718B8"/>
    <w:rsid w:val="6FB99521"/>
    <w:rsid w:val="6FB9FA31"/>
    <w:rsid w:val="6FBB27F8"/>
    <w:rsid w:val="6FBBE10A"/>
    <w:rsid w:val="6FBD39DC"/>
    <w:rsid w:val="6FBECD4A"/>
    <w:rsid w:val="6FBEDF92"/>
    <w:rsid w:val="6FBF05E8"/>
    <w:rsid w:val="6FBF7717"/>
    <w:rsid w:val="6FC75BD5"/>
    <w:rsid w:val="6FD68FF2"/>
    <w:rsid w:val="6FD75BF8"/>
    <w:rsid w:val="6FD9ED67"/>
    <w:rsid w:val="6FDC0ED4"/>
    <w:rsid w:val="6FDC92B5"/>
    <w:rsid w:val="6FDD33E0"/>
    <w:rsid w:val="6FDE8B68"/>
    <w:rsid w:val="6FDFC02A"/>
    <w:rsid w:val="6FEA455A"/>
    <w:rsid w:val="6FEAE343"/>
    <w:rsid w:val="6FEB23E1"/>
    <w:rsid w:val="6FEBF788"/>
    <w:rsid w:val="6FEE3961"/>
    <w:rsid w:val="6FEED24D"/>
    <w:rsid w:val="6FEFA485"/>
    <w:rsid w:val="6FF33BE4"/>
    <w:rsid w:val="6FF63710"/>
    <w:rsid w:val="6FF9D650"/>
    <w:rsid w:val="6FFB4D0E"/>
    <w:rsid w:val="6FFB6538"/>
    <w:rsid w:val="6FFBB597"/>
    <w:rsid w:val="6FFE9133"/>
    <w:rsid w:val="6FFE915C"/>
    <w:rsid w:val="6FFEABCC"/>
    <w:rsid w:val="6FFF401B"/>
    <w:rsid w:val="6FFF438D"/>
    <w:rsid w:val="6FFF5D7A"/>
    <w:rsid w:val="6FFF9ACA"/>
    <w:rsid w:val="6FFFBA7B"/>
    <w:rsid w:val="70197FB8"/>
    <w:rsid w:val="701E1FC5"/>
    <w:rsid w:val="7064131C"/>
    <w:rsid w:val="70743A20"/>
    <w:rsid w:val="707723D0"/>
    <w:rsid w:val="707F85EB"/>
    <w:rsid w:val="70C90069"/>
    <w:rsid w:val="70D7381C"/>
    <w:rsid w:val="70F5661B"/>
    <w:rsid w:val="70FFE496"/>
    <w:rsid w:val="711772FF"/>
    <w:rsid w:val="71360107"/>
    <w:rsid w:val="713B688E"/>
    <w:rsid w:val="713E2ADE"/>
    <w:rsid w:val="714C487F"/>
    <w:rsid w:val="715C2428"/>
    <w:rsid w:val="71686ACA"/>
    <w:rsid w:val="717225CD"/>
    <w:rsid w:val="7178AED2"/>
    <w:rsid w:val="71864485"/>
    <w:rsid w:val="719721EE"/>
    <w:rsid w:val="71976A74"/>
    <w:rsid w:val="71AF149B"/>
    <w:rsid w:val="71B44134"/>
    <w:rsid w:val="71D43752"/>
    <w:rsid w:val="71DF5521"/>
    <w:rsid w:val="71F1796A"/>
    <w:rsid w:val="71F7CC9F"/>
    <w:rsid w:val="72154626"/>
    <w:rsid w:val="72262B5D"/>
    <w:rsid w:val="72283FF7"/>
    <w:rsid w:val="722E7212"/>
    <w:rsid w:val="723A0474"/>
    <w:rsid w:val="724C67D0"/>
    <w:rsid w:val="725923E4"/>
    <w:rsid w:val="72864BF7"/>
    <w:rsid w:val="729023FC"/>
    <w:rsid w:val="729B7ABC"/>
    <w:rsid w:val="72A02D30"/>
    <w:rsid w:val="72BA7C58"/>
    <w:rsid w:val="72E5C9C8"/>
    <w:rsid w:val="72E5D790"/>
    <w:rsid w:val="72EF5067"/>
    <w:rsid w:val="72F43488"/>
    <w:rsid w:val="72FB34C2"/>
    <w:rsid w:val="72FFACD3"/>
    <w:rsid w:val="73176DC9"/>
    <w:rsid w:val="732F6D55"/>
    <w:rsid w:val="73304B4F"/>
    <w:rsid w:val="73375A36"/>
    <w:rsid w:val="733C304D"/>
    <w:rsid w:val="735A4F8E"/>
    <w:rsid w:val="735AEACA"/>
    <w:rsid w:val="736903FA"/>
    <w:rsid w:val="736C52EB"/>
    <w:rsid w:val="737E316F"/>
    <w:rsid w:val="73911F99"/>
    <w:rsid w:val="73981CBB"/>
    <w:rsid w:val="739A7D73"/>
    <w:rsid w:val="739B41AF"/>
    <w:rsid w:val="739E5957"/>
    <w:rsid w:val="739FCCC7"/>
    <w:rsid w:val="73AB7B9C"/>
    <w:rsid w:val="73B1850F"/>
    <w:rsid w:val="73B63424"/>
    <w:rsid w:val="73BD8BBE"/>
    <w:rsid w:val="73BFF415"/>
    <w:rsid w:val="73C0646E"/>
    <w:rsid w:val="73DCF44D"/>
    <w:rsid w:val="73DF114A"/>
    <w:rsid w:val="73DFA01F"/>
    <w:rsid w:val="73E50FF7"/>
    <w:rsid w:val="73EEE2E8"/>
    <w:rsid w:val="73F27614"/>
    <w:rsid w:val="73F613FB"/>
    <w:rsid w:val="73F715FD"/>
    <w:rsid w:val="73FB9260"/>
    <w:rsid w:val="73FDBFE5"/>
    <w:rsid w:val="73FE2D83"/>
    <w:rsid w:val="73FF1A37"/>
    <w:rsid w:val="742222F5"/>
    <w:rsid w:val="74237D69"/>
    <w:rsid w:val="742A460A"/>
    <w:rsid w:val="74476126"/>
    <w:rsid w:val="74511C71"/>
    <w:rsid w:val="74706664"/>
    <w:rsid w:val="747F3682"/>
    <w:rsid w:val="748D684E"/>
    <w:rsid w:val="749C4185"/>
    <w:rsid w:val="749ED11D"/>
    <w:rsid w:val="74B135C7"/>
    <w:rsid w:val="74C54FBA"/>
    <w:rsid w:val="74D42214"/>
    <w:rsid w:val="74F92055"/>
    <w:rsid w:val="74FF198E"/>
    <w:rsid w:val="74FF3C05"/>
    <w:rsid w:val="75067759"/>
    <w:rsid w:val="751A79C7"/>
    <w:rsid w:val="751F9F7F"/>
    <w:rsid w:val="75267B11"/>
    <w:rsid w:val="752D2605"/>
    <w:rsid w:val="752E6DCD"/>
    <w:rsid w:val="753FD503"/>
    <w:rsid w:val="7551380D"/>
    <w:rsid w:val="755710D3"/>
    <w:rsid w:val="755C7E1A"/>
    <w:rsid w:val="75600BE5"/>
    <w:rsid w:val="7564475C"/>
    <w:rsid w:val="756B367D"/>
    <w:rsid w:val="757DE146"/>
    <w:rsid w:val="7581211B"/>
    <w:rsid w:val="7583797F"/>
    <w:rsid w:val="759E1500"/>
    <w:rsid w:val="75AE09DA"/>
    <w:rsid w:val="75B90632"/>
    <w:rsid w:val="75CD0251"/>
    <w:rsid w:val="75D20F1D"/>
    <w:rsid w:val="75DA2C18"/>
    <w:rsid w:val="75DC88CC"/>
    <w:rsid w:val="75DEF2CE"/>
    <w:rsid w:val="75ED5D32"/>
    <w:rsid w:val="75ED87AD"/>
    <w:rsid w:val="75EFAD39"/>
    <w:rsid w:val="75F4F0E4"/>
    <w:rsid w:val="75F52995"/>
    <w:rsid w:val="75F54412"/>
    <w:rsid w:val="761D08E0"/>
    <w:rsid w:val="76263B40"/>
    <w:rsid w:val="764DD174"/>
    <w:rsid w:val="7657C35A"/>
    <w:rsid w:val="765D347C"/>
    <w:rsid w:val="765F2DDD"/>
    <w:rsid w:val="76679CB5"/>
    <w:rsid w:val="766FEE17"/>
    <w:rsid w:val="7679594B"/>
    <w:rsid w:val="767E2371"/>
    <w:rsid w:val="767FB669"/>
    <w:rsid w:val="76826699"/>
    <w:rsid w:val="76B441CE"/>
    <w:rsid w:val="76BA5DFE"/>
    <w:rsid w:val="76BC9AC7"/>
    <w:rsid w:val="76BD5E6C"/>
    <w:rsid w:val="76C87133"/>
    <w:rsid w:val="76CD08D5"/>
    <w:rsid w:val="76D1183A"/>
    <w:rsid w:val="76D7CC09"/>
    <w:rsid w:val="76DA2FD6"/>
    <w:rsid w:val="76DB4B92"/>
    <w:rsid w:val="76DBAFCF"/>
    <w:rsid w:val="76E36CB4"/>
    <w:rsid w:val="76E443A0"/>
    <w:rsid w:val="76E539FB"/>
    <w:rsid w:val="76E73372"/>
    <w:rsid w:val="76EAB8F7"/>
    <w:rsid w:val="76EDD9E7"/>
    <w:rsid w:val="76EDE400"/>
    <w:rsid w:val="76EDFCB5"/>
    <w:rsid w:val="76F30C78"/>
    <w:rsid w:val="76FE8B0D"/>
    <w:rsid w:val="76FFC34D"/>
    <w:rsid w:val="77052AA4"/>
    <w:rsid w:val="77136511"/>
    <w:rsid w:val="771C3805"/>
    <w:rsid w:val="7727BC52"/>
    <w:rsid w:val="77323074"/>
    <w:rsid w:val="7733CF22"/>
    <w:rsid w:val="77340A39"/>
    <w:rsid w:val="77351FD0"/>
    <w:rsid w:val="7737FFBC"/>
    <w:rsid w:val="77390CCD"/>
    <w:rsid w:val="773F906A"/>
    <w:rsid w:val="77472422"/>
    <w:rsid w:val="775F8881"/>
    <w:rsid w:val="775FDCB1"/>
    <w:rsid w:val="775FEBCD"/>
    <w:rsid w:val="776CBB38"/>
    <w:rsid w:val="776CBB84"/>
    <w:rsid w:val="776D66BB"/>
    <w:rsid w:val="776F252B"/>
    <w:rsid w:val="776F2589"/>
    <w:rsid w:val="776F3B37"/>
    <w:rsid w:val="776F56CA"/>
    <w:rsid w:val="777B3E31"/>
    <w:rsid w:val="777C2CE7"/>
    <w:rsid w:val="777EB468"/>
    <w:rsid w:val="777EEC41"/>
    <w:rsid w:val="777F31F2"/>
    <w:rsid w:val="777FFFD2"/>
    <w:rsid w:val="778C68AE"/>
    <w:rsid w:val="7793042F"/>
    <w:rsid w:val="779D2A85"/>
    <w:rsid w:val="77A318EC"/>
    <w:rsid w:val="77A9A88B"/>
    <w:rsid w:val="77AB7BDA"/>
    <w:rsid w:val="77BD8B54"/>
    <w:rsid w:val="77BF38C7"/>
    <w:rsid w:val="77BF4F5D"/>
    <w:rsid w:val="77BF8D9B"/>
    <w:rsid w:val="77BFA76A"/>
    <w:rsid w:val="77CF21A9"/>
    <w:rsid w:val="77D1700D"/>
    <w:rsid w:val="77D3771B"/>
    <w:rsid w:val="77D53B2E"/>
    <w:rsid w:val="77D714EA"/>
    <w:rsid w:val="77D8F3B3"/>
    <w:rsid w:val="77DA2E34"/>
    <w:rsid w:val="77DBD9B8"/>
    <w:rsid w:val="77DE06B1"/>
    <w:rsid w:val="77DEED2D"/>
    <w:rsid w:val="77DFB23E"/>
    <w:rsid w:val="77E03217"/>
    <w:rsid w:val="77E5297D"/>
    <w:rsid w:val="77E6820B"/>
    <w:rsid w:val="77EB4801"/>
    <w:rsid w:val="77EB8954"/>
    <w:rsid w:val="77EC04CC"/>
    <w:rsid w:val="77EDA636"/>
    <w:rsid w:val="77EF2EFD"/>
    <w:rsid w:val="77F3E539"/>
    <w:rsid w:val="77F51EB8"/>
    <w:rsid w:val="77F7E5C3"/>
    <w:rsid w:val="77F9835B"/>
    <w:rsid w:val="77FB51E0"/>
    <w:rsid w:val="77FDA9C8"/>
    <w:rsid w:val="77FE0968"/>
    <w:rsid w:val="77FE37ED"/>
    <w:rsid w:val="77FE5F3E"/>
    <w:rsid w:val="77FFA877"/>
    <w:rsid w:val="77FFC7CA"/>
    <w:rsid w:val="77FFD6F6"/>
    <w:rsid w:val="77FFEE7B"/>
    <w:rsid w:val="78024D8C"/>
    <w:rsid w:val="781735B3"/>
    <w:rsid w:val="7852068B"/>
    <w:rsid w:val="78771DBC"/>
    <w:rsid w:val="78775729"/>
    <w:rsid w:val="787A05B6"/>
    <w:rsid w:val="78A42DB0"/>
    <w:rsid w:val="78A656AB"/>
    <w:rsid w:val="78B2245C"/>
    <w:rsid w:val="78B364FC"/>
    <w:rsid w:val="78BB03A2"/>
    <w:rsid w:val="78C7A618"/>
    <w:rsid w:val="78E172CC"/>
    <w:rsid w:val="78EA1D1F"/>
    <w:rsid w:val="78F16688"/>
    <w:rsid w:val="78FD5F0A"/>
    <w:rsid w:val="78FDEBD2"/>
    <w:rsid w:val="790043F1"/>
    <w:rsid w:val="7904172F"/>
    <w:rsid w:val="790463BB"/>
    <w:rsid w:val="790F7E27"/>
    <w:rsid w:val="792312B5"/>
    <w:rsid w:val="792A231A"/>
    <w:rsid w:val="792E3438"/>
    <w:rsid w:val="79316829"/>
    <w:rsid w:val="793D0599"/>
    <w:rsid w:val="794E7636"/>
    <w:rsid w:val="7956A9F4"/>
    <w:rsid w:val="79660E24"/>
    <w:rsid w:val="7967694A"/>
    <w:rsid w:val="797C190B"/>
    <w:rsid w:val="797E66A9"/>
    <w:rsid w:val="798860EE"/>
    <w:rsid w:val="79A97383"/>
    <w:rsid w:val="79AADFB7"/>
    <w:rsid w:val="79B580FF"/>
    <w:rsid w:val="79B77B30"/>
    <w:rsid w:val="79B940A0"/>
    <w:rsid w:val="79CB2C3C"/>
    <w:rsid w:val="79CB6ED9"/>
    <w:rsid w:val="79D73ACF"/>
    <w:rsid w:val="79DECBD8"/>
    <w:rsid w:val="79E27E8B"/>
    <w:rsid w:val="79EE8813"/>
    <w:rsid w:val="79EF6F93"/>
    <w:rsid w:val="79F64450"/>
    <w:rsid w:val="79F72B38"/>
    <w:rsid w:val="79F77329"/>
    <w:rsid w:val="79F850CE"/>
    <w:rsid w:val="79FD443C"/>
    <w:rsid w:val="79FDB8FD"/>
    <w:rsid w:val="79FF1D5E"/>
    <w:rsid w:val="79FF7C40"/>
    <w:rsid w:val="79FF8AD2"/>
    <w:rsid w:val="79FFB975"/>
    <w:rsid w:val="7A13608D"/>
    <w:rsid w:val="7A1D1975"/>
    <w:rsid w:val="7A3937AB"/>
    <w:rsid w:val="7A3E5150"/>
    <w:rsid w:val="7A4670D6"/>
    <w:rsid w:val="7A534B63"/>
    <w:rsid w:val="7A5F6D86"/>
    <w:rsid w:val="7A615382"/>
    <w:rsid w:val="7A657C72"/>
    <w:rsid w:val="7A67303B"/>
    <w:rsid w:val="7A6F5AB6"/>
    <w:rsid w:val="7A7D91D4"/>
    <w:rsid w:val="7A7F1E9A"/>
    <w:rsid w:val="7A7F38F7"/>
    <w:rsid w:val="7A7FAD65"/>
    <w:rsid w:val="7A8B6668"/>
    <w:rsid w:val="7A91770C"/>
    <w:rsid w:val="7A972EA0"/>
    <w:rsid w:val="7AA31C03"/>
    <w:rsid w:val="7AAB1D04"/>
    <w:rsid w:val="7ABA4368"/>
    <w:rsid w:val="7ABD2DC9"/>
    <w:rsid w:val="7ACB026F"/>
    <w:rsid w:val="7AD05746"/>
    <w:rsid w:val="7AD07682"/>
    <w:rsid w:val="7AD1367A"/>
    <w:rsid w:val="7AD22BDC"/>
    <w:rsid w:val="7AD733DA"/>
    <w:rsid w:val="7ADF5474"/>
    <w:rsid w:val="7AE735B9"/>
    <w:rsid w:val="7AEEE665"/>
    <w:rsid w:val="7AEF0A3B"/>
    <w:rsid w:val="7AFB83E7"/>
    <w:rsid w:val="7AFBA5DE"/>
    <w:rsid w:val="7AFE716C"/>
    <w:rsid w:val="7AFEDCA3"/>
    <w:rsid w:val="7AFEDCC9"/>
    <w:rsid w:val="7B12733B"/>
    <w:rsid w:val="7B257FFD"/>
    <w:rsid w:val="7B343476"/>
    <w:rsid w:val="7B3A4069"/>
    <w:rsid w:val="7B3EA5D4"/>
    <w:rsid w:val="7B3EFC14"/>
    <w:rsid w:val="7B502316"/>
    <w:rsid w:val="7B5A2978"/>
    <w:rsid w:val="7B5A7E4C"/>
    <w:rsid w:val="7B5E39C3"/>
    <w:rsid w:val="7B5F3FDE"/>
    <w:rsid w:val="7B667AF9"/>
    <w:rsid w:val="7B7468F8"/>
    <w:rsid w:val="7B7470FC"/>
    <w:rsid w:val="7B7742E8"/>
    <w:rsid w:val="7B7E0602"/>
    <w:rsid w:val="7B851222"/>
    <w:rsid w:val="7B931662"/>
    <w:rsid w:val="7B93D092"/>
    <w:rsid w:val="7BA73D41"/>
    <w:rsid w:val="7BAF35EE"/>
    <w:rsid w:val="7BB69D58"/>
    <w:rsid w:val="7BB96E58"/>
    <w:rsid w:val="7BBBE044"/>
    <w:rsid w:val="7BBD1F25"/>
    <w:rsid w:val="7BBD29A4"/>
    <w:rsid w:val="7BCEB9D8"/>
    <w:rsid w:val="7BCFC454"/>
    <w:rsid w:val="7BD1454E"/>
    <w:rsid w:val="7BD1BADF"/>
    <w:rsid w:val="7BD362C0"/>
    <w:rsid w:val="7BD5667A"/>
    <w:rsid w:val="7BD75088"/>
    <w:rsid w:val="7BD75CDA"/>
    <w:rsid w:val="7BD7E0FC"/>
    <w:rsid w:val="7BDE552B"/>
    <w:rsid w:val="7BDF425B"/>
    <w:rsid w:val="7BDFC308"/>
    <w:rsid w:val="7BE788E5"/>
    <w:rsid w:val="7BEC03C4"/>
    <w:rsid w:val="7BED543C"/>
    <w:rsid w:val="7BEE0103"/>
    <w:rsid w:val="7BEE27F0"/>
    <w:rsid w:val="7BEF24BD"/>
    <w:rsid w:val="7BF04E95"/>
    <w:rsid w:val="7BF1BB95"/>
    <w:rsid w:val="7BF3675A"/>
    <w:rsid w:val="7BF55FE7"/>
    <w:rsid w:val="7BF68FD2"/>
    <w:rsid w:val="7BF704ED"/>
    <w:rsid w:val="7BF72CB5"/>
    <w:rsid w:val="7BF78E1D"/>
    <w:rsid w:val="7BF7B056"/>
    <w:rsid w:val="7BF7C7A9"/>
    <w:rsid w:val="7BF7D340"/>
    <w:rsid w:val="7BF83889"/>
    <w:rsid w:val="7BFA0E69"/>
    <w:rsid w:val="7BFB4185"/>
    <w:rsid w:val="7BFD08A8"/>
    <w:rsid w:val="7BFD59DB"/>
    <w:rsid w:val="7BFD6A17"/>
    <w:rsid w:val="7BFDB500"/>
    <w:rsid w:val="7BFE664D"/>
    <w:rsid w:val="7BFE8D06"/>
    <w:rsid w:val="7BFEF623"/>
    <w:rsid w:val="7BFF0BD3"/>
    <w:rsid w:val="7BFF34B5"/>
    <w:rsid w:val="7BFF7679"/>
    <w:rsid w:val="7BFF7FD4"/>
    <w:rsid w:val="7BFFB1EF"/>
    <w:rsid w:val="7BFFB6E5"/>
    <w:rsid w:val="7BFFD7AF"/>
    <w:rsid w:val="7BFFFBF3"/>
    <w:rsid w:val="7C0A0FE4"/>
    <w:rsid w:val="7C0F5A6A"/>
    <w:rsid w:val="7C254906"/>
    <w:rsid w:val="7C2741FB"/>
    <w:rsid w:val="7C3FFBB9"/>
    <w:rsid w:val="7C440FFF"/>
    <w:rsid w:val="7C457BFE"/>
    <w:rsid w:val="7C590818"/>
    <w:rsid w:val="7C6D6D7A"/>
    <w:rsid w:val="7C7B0F4F"/>
    <w:rsid w:val="7C7BF61C"/>
    <w:rsid w:val="7C7C10F6"/>
    <w:rsid w:val="7C7E4F78"/>
    <w:rsid w:val="7C7F3FAB"/>
    <w:rsid w:val="7C853BEA"/>
    <w:rsid w:val="7C87F5E1"/>
    <w:rsid w:val="7C881368"/>
    <w:rsid w:val="7C917E8B"/>
    <w:rsid w:val="7C9E732B"/>
    <w:rsid w:val="7CA3E458"/>
    <w:rsid w:val="7CA771C1"/>
    <w:rsid w:val="7CA81753"/>
    <w:rsid w:val="7CBD0962"/>
    <w:rsid w:val="7CCF5EAC"/>
    <w:rsid w:val="7CD66A6C"/>
    <w:rsid w:val="7CDB19D5"/>
    <w:rsid w:val="7CDD22AF"/>
    <w:rsid w:val="7CDF4BD1"/>
    <w:rsid w:val="7CE27788"/>
    <w:rsid w:val="7CEF1130"/>
    <w:rsid w:val="7CF6A976"/>
    <w:rsid w:val="7CF7E23C"/>
    <w:rsid w:val="7CFBBA56"/>
    <w:rsid w:val="7D056708"/>
    <w:rsid w:val="7D090215"/>
    <w:rsid w:val="7D0C32F1"/>
    <w:rsid w:val="7D0F2801"/>
    <w:rsid w:val="7D0F408D"/>
    <w:rsid w:val="7D1BCA6B"/>
    <w:rsid w:val="7D1F8A96"/>
    <w:rsid w:val="7D287E28"/>
    <w:rsid w:val="7D294E0B"/>
    <w:rsid w:val="7D2DDA9E"/>
    <w:rsid w:val="7D341A92"/>
    <w:rsid w:val="7D36EC92"/>
    <w:rsid w:val="7D3D3E27"/>
    <w:rsid w:val="7D3F18FC"/>
    <w:rsid w:val="7D3F429D"/>
    <w:rsid w:val="7D491C6C"/>
    <w:rsid w:val="7D4C4BA9"/>
    <w:rsid w:val="7D5429C0"/>
    <w:rsid w:val="7D5FA61F"/>
    <w:rsid w:val="7D5FC088"/>
    <w:rsid w:val="7D5FD4E8"/>
    <w:rsid w:val="7D6D45DA"/>
    <w:rsid w:val="7D6E6D43"/>
    <w:rsid w:val="7D7665BD"/>
    <w:rsid w:val="7D7B3290"/>
    <w:rsid w:val="7D7D1990"/>
    <w:rsid w:val="7D7F73F9"/>
    <w:rsid w:val="7D7F87DD"/>
    <w:rsid w:val="7D7FBFDD"/>
    <w:rsid w:val="7D892F8C"/>
    <w:rsid w:val="7D8F4AEE"/>
    <w:rsid w:val="7D938D18"/>
    <w:rsid w:val="7D9A005B"/>
    <w:rsid w:val="7D9F81E1"/>
    <w:rsid w:val="7DA136BC"/>
    <w:rsid w:val="7DAC0805"/>
    <w:rsid w:val="7DADB6EF"/>
    <w:rsid w:val="7DADCA2E"/>
    <w:rsid w:val="7DADEF41"/>
    <w:rsid w:val="7DAE4B47"/>
    <w:rsid w:val="7DB57A34"/>
    <w:rsid w:val="7DB6215F"/>
    <w:rsid w:val="7DB7B7F0"/>
    <w:rsid w:val="7DB9639D"/>
    <w:rsid w:val="7DBF5F69"/>
    <w:rsid w:val="7DBF822D"/>
    <w:rsid w:val="7DCBD4EC"/>
    <w:rsid w:val="7DCFAF6D"/>
    <w:rsid w:val="7DD15A07"/>
    <w:rsid w:val="7DD78FEF"/>
    <w:rsid w:val="7DD7EE00"/>
    <w:rsid w:val="7DD86CE5"/>
    <w:rsid w:val="7DD90867"/>
    <w:rsid w:val="7DDAFBCD"/>
    <w:rsid w:val="7DDEB4DD"/>
    <w:rsid w:val="7DDF7CFD"/>
    <w:rsid w:val="7DE15754"/>
    <w:rsid w:val="7DE60973"/>
    <w:rsid w:val="7DE713FF"/>
    <w:rsid w:val="7DEF0916"/>
    <w:rsid w:val="7DEF9307"/>
    <w:rsid w:val="7DF1C6FB"/>
    <w:rsid w:val="7DF3815B"/>
    <w:rsid w:val="7DF9F973"/>
    <w:rsid w:val="7DFB0DB1"/>
    <w:rsid w:val="7DFB432E"/>
    <w:rsid w:val="7DFBCF9A"/>
    <w:rsid w:val="7DFDAD37"/>
    <w:rsid w:val="7DFF5F6E"/>
    <w:rsid w:val="7DFFFA3B"/>
    <w:rsid w:val="7DFFFF3A"/>
    <w:rsid w:val="7E1E5218"/>
    <w:rsid w:val="7E3CF865"/>
    <w:rsid w:val="7E457B8E"/>
    <w:rsid w:val="7E4DF0A4"/>
    <w:rsid w:val="7E666EE4"/>
    <w:rsid w:val="7E6FD403"/>
    <w:rsid w:val="7E756E0B"/>
    <w:rsid w:val="7E7BBEEE"/>
    <w:rsid w:val="7E7EAD70"/>
    <w:rsid w:val="7E7FD593"/>
    <w:rsid w:val="7E97BE5F"/>
    <w:rsid w:val="7E9A4E1F"/>
    <w:rsid w:val="7EA7723A"/>
    <w:rsid w:val="7EAAA5BF"/>
    <w:rsid w:val="7EAFB84F"/>
    <w:rsid w:val="7EB268B9"/>
    <w:rsid w:val="7EB303B6"/>
    <w:rsid w:val="7EB42599"/>
    <w:rsid w:val="7EBBEA2A"/>
    <w:rsid w:val="7EBD50B9"/>
    <w:rsid w:val="7EBF7D96"/>
    <w:rsid w:val="7EBF8DAD"/>
    <w:rsid w:val="7ECB61F0"/>
    <w:rsid w:val="7ED97D08"/>
    <w:rsid w:val="7EDB78D2"/>
    <w:rsid w:val="7EDF6A90"/>
    <w:rsid w:val="7EDF7F94"/>
    <w:rsid w:val="7EDFFD2A"/>
    <w:rsid w:val="7EE1ED8D"/>
    <w:rsid w:val="7EE5994B"/>
    <w:rsid w:val="7EEE62C8"/>
    <w:rsid w:val="7EEFF14C"/>
    <w:rsid w:val="7EF124A7"/>
    <w:rsid w:val="7EF56FBB"/>
    <w:rsid w:val="7EF672AD"/>
    <w:rsid w:val="7EF7119B"/>
    <w:rsid w:val="7EF71A96"/>
    <w:rsid w:val="7EF72854"/>
    <w:rsid w:val="7EF76270"/>
    <w:rsid w:val="7EF9F835"/>
    <w:rsid w:val="7EFA9356"/>
    <w:rsid w:val="7EFB6F43"/>
    <w:rsid w:val="7EFBF1BC"/>
    <w:rsid w:val="7EFC0CDF"/>
    <w:rsid w:val="7EFD605D"/>
    <w:rsid w:val="7EFD8B0F"/>
    <w:rsid w:val="7EFDE973"/>
    <w:rsid w:val="7EFE5BE2"/>
    <w:rsid w:val="7EFEC13F"/>
    <w:rsid w:val="7EFF16B4"/>
    <w:rsid w:val="7EFF2463"/>
    <w:rsid w:val="7EFF24B9"/>
    <w:rsid w:val="7EFFB841"/>
    <w:rsid w:val="7EFFDDA1"/>
    <w:rsid w:val="7EFFE005"/>
    <w:rsid w:val="7F0768EB"/>
    <w:rsid w:val="7F0A3A81"/>
    <w:rsid w:val="7F143BEC"/>
    <w:rsid w:val="7F1D01D1"/>
    <w:rsid w:val="7F2B74D0"/>
    <w:rsid w:val="7F35C80D"/>
    <w:rsid w:val="7F39BB2C"/>
    <w:rsid w:val="7F3AAF2B"/>
    <w:rsid w:val="7F3B6D8C"/>
    <w:rsid w:val="7F3B72B5"/>
    <w:rsid w:val="7F3B9E31"/>
    <w:rsid w:val="7F3FB63C"/>
    <w:rsid w:val="7F401C7A"/>
    <w:rsid w:val="7F4852A5"/>
    <w:rsid w:val="7F556115"/>
    <w:rsid w:val="7F57078D"/>
    <w:rsid w:val="7F5A433E"/>
    <w:rsid w:val="7F5B0127"/>
    <w:rsid w:val="7F5FE069"/>
    <w:rsid w:val="7F66F7A8"/>
    <w:rsid w:val="7F6712F7"/>
    <w:rsid w:val="7F671D63"/>
    <w:rsid w:val="7F6949EF"/>
    <w:rsid w:val="7F6D8FAD"/>
    <w:rsid w:val="7F6FA396"/>
    <w:rsid w:val="7F6FC3F4"/>
    <w:rsid w:val="7F70F5CC"/>
    <w:rsid w:val="7F715AF2"/>
    <w:rsid w:val="7F735751"/>
    <w:rsid w:val="7F751E34"/>
    <w:rsid w:val="7F75563A"/>
    <w:rsid w:val="7F760194"/>
    <w:rsid w:val="7F769567"/>
    <w:rsid w:val="7F77097B"/>
    <w:rsid w:val="7F77447C"/>
    <w:rsid w:val="7F77DBE5"/>
    <w:rsid w:val="7F7A15FD"/>
    <w:rsid w:val="7F7A5A66"/>
    <w:rsid w:val="7F7B0C55"/>
    <w:rsid w:val="7F7BD085"/>
    <w:rsid w:val="7F7CEC04"/>
    <w:rsid w:val="7F7D0690"/>
    <w:rsid w:val="7F7D58EC"/>
    <w:rsid w:val="7F7E7357"/>
    <w:rsid w:val="7F7EA8E7"/>
    <w:rsid w:val="7F7EC9EF"/>
    <w:rsid w:val="7F7F56D0"/>
    <w:rsid w:val="7F7F8B1D"/>
    <w:rsid w:val="7F854EC1"/>
    <w:rsid w:val="7F886E69"/>
    <w:rsid w:val="7F8DB4B2"/>
    <w:rsid w:val="7F8E32FC"/>
    <w:rsid w:val="7F8F2D0A"/>
    <w:rsid w:val="7F8F7258"/>
    <w:rsid w:val="7F8FE6F6"/>
    <w:rsid w:val="7F93826D"/>
    <w:rsid w:val="7F96C818"/>
    <w:rsid w:val="7F9BE0C6"/>
    <w:rsid w:val="7F9FB444"/>
    <w:rsid w:val="7F9FE49C"/>
    <w:rsid w:val="7FA1628F"/>
    <w:rsid w:val="7FAF48E3"/>
    <w:rsid w:val="7FAF5D85"/>
    <w:rsid w:val="7FAF686C"/>
    <w:rsid w:val="7FB353E4"/>
    <w:rsid w:val="7FB36C13"/>
    <w:rsid w:val="7FB8E5A3"/>
    <w:rsid w:val="7FBA2CB8"/>
    <w:rsid w:val="7FBAC8D5"/>
    <w:rsid w:val="7FBB8831"/>
    <w:rsid w:val="7FBBB379"/>
    <w:rsid w:val="7FBBE584"/>
    <w:rsid w:val="7FBDED4F"/>
    <w:rsid w:val="7FBDF9C4"/>
    <w:rsid w:val="7FBF056B"/>
    <w:rsid w:val="7FBF0730"/>
    <w:rsid w:val="7FBF1018"/>
    <w:rsid w:val="7FBF1602"/>
    <w:rsid w:val="7FBF595C"/>
    <w:rsid w:val="7FBF70E9"/>
    <w:rsid w:val="7FBF76A2"/>
    <w:rsid w:val="7FBF9AFE"/>
    <w:rsid w:val="7FBFBC05"/>
    <w:rsid w:val="7FBFD530"/>
    <w:rsid w:val="7FBFDB2D"/>
    <w:rsid w:val="7FC3DBEA"/>
    <w:rsid w:val="7FC79324"/>
    <w:rsid w:val="7FC7947D"/>
    <w:rsid w:val="7FC7CE79"/>
    <w:rsid w:val="7FCF601A"/>
    <w:rsid w:val="7FCFB5AC"/>
    <w:rsid w:val="7FD42001"/>
    <w:rsid w:val="7FD7320C"/>
    <w:rsid w:val="7FD73947"/>
    <w:rsid w:val="7FD7EF8C"/>
    <w:rsid w:val="7FD835F5"/>
    <w:rsid w:val="7FDA22A4"/>
    <w:rsid w:val="7FDAC454"/>
    <w:rsid w:val="7FDB2624"/>
    <w:rsid w:val="7FDB4691"/>
    <w:rsid w:val="7FDCEE25"/>
    <w:rsid w:val="7FDE019D"/>
    <w:rsid w:val="7FDE374B"/>
    <w:rsid w:val="7FDEC905"/>
    <w:rsid w:val="7FDEEA0E"/>
    <w:rsid w:val="7FDF0A7F"/>
    <w:rsid w:val="7FDF5945"/>
    <w:rsid w:val="7FDF6D00"/>
    <w:rsid w:val="7FDF84DB"/>
    <w:rsid w:val="7FDF9B01"/>
    <w:rsid w:val="7FDF9D43"/>
    <w:rsid w:val="7FDFB88D"/>
    <w:rsid w:val="7FDFCED3"/>
    <w:rsid w:val="7FE3E5FD"/>
    <w:rsid w:val="7FE7604D"/>
    <w:rsid w:val="7FEB6E93"/>
    <w:rsid w:val="7FEBD86B"/>
    <w:rsid w:val="7FEC6CBC"/>
    <w:rsid w:val="7FECAB92"/>
    <w:rsid w:val="7FEE83E6"/>
    <w:rsid w:val="7FEEC5F0"/>
    <w:rsid w:val="7FEF1FAA"/>
    <w:rsid w:val="7FEF2D6E"/>
    <w:rsid w:val="7FEF6AFA"/>
    <w:rsid w:val="7FEF7AC0"/>
    <w:rsid w:val="7FEFA3D3"/>
    <w:rsid w:val="7FEFCBCB"/>
    <w:rsid w:val="7FF133F3"/>
    <w:rsid w:val="7FF3F656"/>
    <w:rsid w:val="7FF466D6"/>
    <w:rsid w:val="7FF5077E"/>
    <w:rsid w:val="7FF5E62E"/>
    <w:rsid w:val="7FF70BDD"/>
    <w:rsid w:val="7FF7669A"/>
    <w:rsid w:val="7FF77BF6"/>
    <w:rsid w:val="7FF7A52C"/>
    <w:rsid w:val="7FF7A561"/>
    <w:rsid w:val="7FF7EAAF"/>
    <w:rsid w:val="7FF8F09E"/>
    <w:rsid w:val="7FF9F255"/>
    <w:rsid w:val="7FFA8EE0"/>
    <w:rsid w:val="7FFABC17"/>
    <w:rsid w:val="7FFAD9AE"/>
    <w:rsid w:val="7FFB03C4"/>
    <w:rsid w:val="7FFB14B5"/>
    <w:rsid w:val="7FFB2929"/>
    <w:rsid w:val="7FFB52BE"/>
    <w:rsid w:val="7FFBD00A"/>
    <w:rsid w:val="7FFBD784"/>
    <w:rsid w:val="7FFBE0FB"/>
    <w:rsid w:val="7FFC5336"/>
    <w:rsid w:val="7FFD0B5D"/>
    <w:rsid w:val="7FFD1680"/>
    <w:rsid w:val="7FFD321C"/>
    <w:rsid w:val="7FFD3521"/>
    <w:rsid w:val="7FFD565F"/>
    <w:rsid w:val="7FFD6FC2"/>
    <w:rsid w:val="7FFDB72D"/>
    <w:rsid w:val="7FFDBCA4"/>
    <w:rsid w:val="7FFE0D2F"/>
    <w:rsid w:val="7FFE1E72"/>
    <w:rsid w:val="7FFE445C"/>
    <w:rsid w:val="7FFE673F"/>
    <w:rsid w:val="7FFE8221"/>
    <w:rsid w:val="7FFE9ED8"/>
    <w:rsid w:val="7FFEC664"/>
    <w:rsid w:val="7FFEF077"/>
    <w:rsid w:val="7FFF07BC"/>
    <w:rsid w:val="7FFF1705"/>
    <w:rsid w:val="7FFF2985"/>
    <w:rsid w:val="7FFF3578"/>
    <w:rsid w:val="7FFF3A03"/>
    <w:rsid w:val="7FFF3A11"/>
    <w:rsid w:val="7FFF4F85"/>
    <w:rsid w:val="7FFF6959"/>
    <w:rsid w:val="7FFFD7C9"/>
    <w:rsid w:val="7FFFFB28"/>
    <w:rsid w:val="825D8AEA"/>
    <w:rsid w:val="847C2306"/>
    <w:rsid w:val="8AFEA3A7"/>
    <w:rsid w:val="8BAF00D8"/>
    <w:rsid w:val="8BFBAB4D"/>
    <w:rsid w:val="8BFFA15A"/>
    <w:rsid w:val="8E7B2356"/>
    <w:rsid w:val="8ECF33C5"/>
    <w:rsid w:val="8ED804F7"/>
    <w:rsid w:val="8F7747F8"/>
    <w:rsid w:val="8F7F1485"/>
    <w:rsid w:val="8FAE1870"/>
    <w:rsid w:val="8FEF6884"/>
    <w:rsid w:val="8FF7D60B"/>
    <w:rsid w:val="8FFA3582"/>
    <w:rsid w:val="9167ED82"/>
    <w:rsid w:val="91FFE705"/>
    <w:rsid w:val="92DB478F"/>
    <w:rsid w:val="92F4C946"/>
    <w:rsid w:val="93FFC6CB"/>
    <w:rsid w:val="95FE386E"/>
    <w:rsid w:val="95FF0EF7"/>
    <w:rsid w:val="976C7792"/>
    <w:rsid w:val="977F6772"/>
    <w:rsid w:val="977FE6F6"/>
    <w:rsid w:val="97FA824D"/>
    <w:rsid w:val="97FF1A82"/>
    <w:rsid w:val="97FFBF6B"/>
    <w:rsid w:val="98EA661F"/>
    <w:rsid w:val="99CDCA2C"/>
    <w:rsid w:val="99F7FEF2"/>
    <w:rsid w:val="9AC8C96A"/>
    <w:rsid w:val="9ADDF358"/>
    <w:rsid w:val="9ADF773E"/>
    <w:rsid w:val="9AE75DE4"/>
    <w:rsid w:val="9B6A94CE"/>
    <w:rsid w:val="9B93239F"/>
    <w:rsid w:val="9BBF1FFB"/>
    <w:rsid w:val="9BD336DC"/>
    <w:rsid w:val="9BDDE8AC"/>
    <w:rsid w:val="9BDEDDD4"/>
    <w:rsid w:val="9BEEF6AE"/>
    <w:rsid w:val="9BF59E42"/>
    <w:rsid w:val="9BFBAC34"/>
    <w:rsid w:val="9BFC72CE"/>
    <w:rsid w:val="9BFF9591"/>
    <w:rsid w:val="9C3F36D8"/>
    <w:rsid w:val="9CF3E5FA"/>
    <w:rsid w:val="9CFB246E"/>
    <w:rsid w:val="9CFD2E9C"/>
    <w:rsid w:val="9D4B5CFF"/>
    <w:rsid w:val="9D4F9626"/>
    <w:rsid w:val="9D677B28"/>
    <w:rsid w:val="9D7F44F8"/>
    <w:rsid w:val="9D991E4E"/>
    <w:rsid w:val="9DCFE39C"/>
    <w:rsid w:val="9DF686DC"/>
    <w:rsid w:val="9E373490"/>
    <w:rsid w:val="9EA6A14B"/>
    <w:rsid w:val="9ECF9F1E"/>
    <w:rsid w:val="9EE325FE"/>
    <w:rsid w:val="9EFED4AD"/>
    <w:rsid w:val="9EFF2CBC"/>
    <w:rsid w:val="9EFF6C25"/>
    <w:rsid w:val="9FB68974"/>
    <w:rsid w:val="9FBDAED6"/>
    <w:rsid w:val="9FBEEA73"/>
    <w:rsid w:val="9FBF64A1"/>
    <w:rsid w:val="9FD96EA9"/>
    <w:rsid w:val="9FDDEC4D"/>
    <w:rsid w:val="9FDF44FC"/>
    <w:rsid w:val="9FE74738"/>
    <w:rsid w:val="9FF70E66"/>
    <w:rsid w:val="9FF78C8B"/>
    <w:rsid w:val="9FF8CBEF"/>
    <w:rsid w:val="9FF95CF1"/>
    <w:rsid w:val="9FFB9FD4"/>
    <w:rsid w:val="9FFD4A26"/>
    <w:rsid w:val="9FFDEBBB"/>
    <w:rsid w:val="9FFF1D7E"/>
    <w:rsid w:val="A3737D80"/>
    <w:rsid w:val="A37753F1"/>
    <w:rsid w:val="A3F3858D"/>
    <w:rsid w:val="A5EC60D1"/>
    <w:rsid w:val="A66BB003"/>
    <w:rsid w:val="A6D5B1A5"/>
    <w:rsid w:val="A6EF4335"/>
    <w:rsid w:val="A6EF4B42"/>
    <w:rsid w:val="A6F5BAFA"/>
    <w:rsid w:val="A77D27F0"/>
    <w:rsid w:val="A7BACF6B"/>
    <w:rsid w:val="A7BF24D4"/>
    <w:rsid w:val="A7BFB94A"/>
    <w:rsid w:val="A7DADA8E"/>
    <w:rsid w:val="A7F70215"/>
    <w:rsid w:val="A7FF59E2"/>
    <w:rsid w:val="AAFB706A"/>
    <w:rsid w:val="AAFB8912"/>
    <w:rsid w:val="ABA70ED0"/>
    <w:rsid w:val="ABC7F992"/>
    <w:rsid w:val="ABDFDAB2"/>
    <w:rsid w:val="ABEA5ACC"/>
    <w:rsid w:val="AC5C424E"/>
    <w:rsid w:val="AC7602F6"/>
    <w:rsid w:val="AD5F5AE9"/>
    <w:rsid w:val="AD7B4F4E"/>
    <w:rsid w:val="ADAB7343"/>
    <w:rsid w:val="ADAF9454"/>
    <w:rsid w:val="ADF6424D"/>
    <w:rsid w:val="ADF7BB96"/>
    <w:rsid w:val="ADF7C81C"/>
    <w:rsid w:val="ADFD0489"/>
    <w:rsid w:val="AEE7F646"/>
    <w:rsid w:val="AEF3627A"/>
    <w:rsid w:val="AF1B52B2"/>
    <w:rsid w:val="AF1B541C"/>
    <w:rsid w:val="AF2E94B6"/>
    <w:rsid w:val="AF776EDE"/>
    <w:rsid w:val="AF7E5494"/>
    <w:rsid w:val="AF7EAFEC"/>
    <w:rsid w:val="AF7FFDC1"/>
    <w:rsid w:val="AF8BCC54"/>
    <w:rsid w:val="AFBC8657"/>
    <w:rsid w:val="AFD9AF8D"/>
    <w:rsid w:val="AFDA20B6"/>
    <w:rsid w:val="AFDBBD38"/>
    <w:rsid w:val="AFDD89CF"/>
    <w:rsid w:val="AFEF3898"/>
    <w:rsid w:val="AFFA9A75"/>
    <w:rsid w:val="AFFF1BAA"/>
    <w:rsid w:val="AFFFEAD6"/>
    <w:rsid w:val="B0DD86D4"/>
    <w:rsid w:val="B13DF8D2"/>
    <w:rsid w:val="B173B39B"/>
    <w:rsid w:val="B1973890"/>
    <w:rsid w:val="B1EA88E6"/>
    <w:rsid w:val="B1F39B5F"/>
    <w:rsid w:val="B27E7155"/>
    <w:rsid w:val="B2D212E6"/>
    <w:rsid w:val="B2E36D54"/>
    <w:rsid w:val="B2EBFB9E"/>
    <w:rsid w:val="B2FE47EC"/>
    <w:rsid w:val="B37BD766"/>
    <w:rsid w:val="B39B24E6"/>
    <w:rsid w:val="B3B9F9E8"/>
    <w:rsid w:val="B3BD97A4"/>
    <w:rsid w:val="B3D6922D"/>
    <w:rsid w:val="B3E55917"/>
    <w:rsid w:val="B3EF6448"/>
    <w:rsid w:val="B3FBFD62"/>
    <w:rsid w:val="B3FCA500"/>
    <w:rsid w:val="B3FEA3EB"/>
    <w:rsid w:val="B4BF170D"/>
    <w:rsid w:val="B52D25DC"/>
    <w:rsid w:val="B53E3F44"/>
    <w:rsid w:val="B54C4949"/>
    <w:rsid w:val="B5BDDB64"/>
    <w:rsid w:val="B5CDB1FC"/>
    <w:rsid w:val="B5DDF9F5"/>
    <w:rsid w:val="B5E58C28"/>
    <w:rsid w:val="B5F898A5"/>
    <w:rsid w:val="B5FF7425"/>
    <w:rsid w:val="B67FBCF0"/>
    <w:rsid w:val="B75736F1"/>
    <w:rsid w:val="B75F61BC"/>
    <w:rsid w:val="B7678046"/>
    <w:rsid w:val="B77CFB65"/>
    <w:rsid w:val="B77DFCF4"/>
    <w:rsid w:val="B77F959C"/>
    <w:rsid w:val="B77FF163"/>
    <w:rsid w:val="B79FCD73"/>
    <w:rsid w:val="B79FD7D9"/>
    <w:rsid w:val="B7A6E649"/>
    <w:rsid w:val="B7BB6917"/>
    <w:rsid w:val="B7D3F9BE"/>
    <w:rsid w:val="B7DC2A06"/>
    <w:rsid w:val="B7DFA041"/>
    <w:rsid w:val="B7E35062"/>
    <w:rsid w:val="B7EF92B0"/>
    <w:rsid w:val="B7F7625F"/>
    <w:rsid w:val="B7FB9EF1"/>
    <w:rsid w:val="B7FBFAF5"/>
    <w:rsid w:val="B7FD45A0"/>
    <w:rsid w:val="B7FE9246"/>
    <w:rsid w:val="B7FFA3E8"/>
    <w:rsid w:val="B7FFC81D"/>
    <w:rsid w:val="B8FE79B0"/>
    <w:rsid w:val="B9326A2A"/>
    <w:rsid w:val="B977BD98"/>
    <w:rsid w:val="B977CB9F"/>
    <w:rsid w:val="B9ED4A8E"/>
    <w:rsid w:val="B9F38F42"/>
    <w:rsid w:val="B9FD93D3"/>
    <w:rsid w:val="B9FDAA30"/>
    <w:rsid w:val="BA3FB301"/>
    <w:rsid w:val="BA7B23C6"/>
    <w:rsid w:val="BA8FB263"/>
    <w:rsid w:val="BA9C9A72"/>
    <w:rsid w:val="BAEF59D3"/>
    <w:rsid w:val="BB2D5481"/>
    <w:rsid w:val="BB4F95A1"/>
    <w:rsid w:val="BB55898A"/>
    <w:rsid w:val="BB68B2B9"/>
    <w:rsid w:val="BB6DDE3F"/>
    <w:rsid w:val="BB7B4A51"/>
    <w:rsid w:val="BB7FA927"/>
    <w:rsid w:val="BB7FC237"/>
    <w:rsid w:val="BB9F3E6C"/>
    <w:rsid w:val="BBBF70B2"/>
    <w:rsid w:val="BBDBD3ED"/>
    <w:rsid w:val="BBDFD1EA"/>
    <w:rsid w:val="BBE727CE"/>
    <w:rsid w:val="BBEED962"/>
    <w:rsid w:val="BBF545B9"/>
    <w:rsid w:val="BBFB5741"/>
    <w:rsid w:val="BBFC5172"/>
    <w:rsid w:val="BBFE86E2"/>
    <w:rsid w:val="BBFEE352"/>
    <w:rsid w:val="BBFF407F"/>
    <w:rsid w:val="BBFFF397"/>
    <w:rsid w:val="BC617C99"/>
    <w:rsid w:val="BC9F1BEE"/>
    <w:rsid w:val="BCBD4052"/>
    <w:rsid w:val="BCDDF05B"/>
    <w:rsid w:val="BCEDBEBB"/>
    <w:rsid w:val="BCFDBB5C"/>
    <w:rsid w:val="BCFF5C7D"/>
    <w:rsid w:val="BCFFF733"/>
    <w:rsid w:val="BD5FB966"/>
    <w:rsid w:val="BD73DE71"/>
    <w:rsid w:val="BD777A32"/>
    <w:rsid w:val="BD7F091D"/>
    <w:rsid w:val="BD7F4CE7"/>
    <w:rsid w:val="BD97FC7A"/>
    <w:rsid w:val="BD9DEDF1"/>
    <w:rsid w:val="BDAF2D5D"/>
    <w:rsid w:val="BDBF241C"/>
    <w:rsid w:val="BDDFF77D"/>
    <w:rsid w:val="BDF4B2FD"/>
    <w:rsid w:val="BDF51394"/>
    <w:rsid w:val="BDF5C2A8"/>
    <w:rsid w:val="BDF81C36"/>
    <w:rsid w:val="BDFB18FB"/>
    <w:rsid w:val="BDFBA540"/>
    <w:rsid w:val="BDFD795A"/>
    <w:rsid w:val="BDFDE51C"/>
    <w:rsid w:val="BDFDF9A6"/>
    <w:rsid w:val="BDFE720D"/>
    <w:rsid w:val="BDFFB8EE"/>
    <w:rsid w:val="BE570B0D"/>
    <w:rsid w:val="BE6FBF6C"/>
    <w:rsid w:val="BE7E1335"/>
    <w:rsid w:val="BE8B2101"/>
    <w:rsid w:val="BEB5CC99"/>
    <w:rsid w:val="BEBBC252"/>
    <w:rsid w:val="BECB17A3"/>
    <w:rsid w:val="BEDF92E2"/>
    <w:rsid w:val="BEE36D67"/>
    <w:rsid w:val="BEEFB362"/>
    <w:rsid w:val="BEF46CD6"/>
    <w:rsid w:val="BEF75C94"/>
    <w:rsid w:val="BEF8CFBF"/>
    <w:rsid w:val="BEFB55D5"/>
    <w:rsid w:val="BEFBB802"/>
    <w:rsid w:val="BEFBBB7A"/>
    <w:rsid w:val="BEFEC9E0"/>
    <w:rsid w:val="BEFED44D"/>
    <w:rsid w:val="BEFF2358"/>
    <w:rsid w:val="BEFF6376"/>
    <w:rsid w:val="BEFFC298"/>
    <w:rsid w:val="BF4DEEA1"/>
    <w:rsid w:val="BF5B0BDB"/>
    <w:rsid w:val="BF5B185D"/>
    <w:rsid w:val="BF77F010"/>
    <w:rsid w:val="BF7B160F"/>
    <w:rsid w:val="BF7BDE0E"/>
    <w:rsid w:val="BF7D9C3B"/>
    <w:rsid w:val="BF7DDB4F"/>
    <w:rsid w:val="BF7DE444"/>
    <w:rsid w:val="BF8E8BC0"/>
    <w:rsid w:val="BF9D18DA"/>
    <w:rsid w:val="BFA62F99"/>
    <w:rsid w:val="BFB7E2C6"/>
    <w:rsid w:val="BFB7F5DA"/>
    <w:rsid w:val="BFBD6E30"/>
    <w:rsid w:val="BFBF33AB"/>
    <w:rsid w:val="BFBF569B"/>
    <w:rsid w:val="BFBFDA06"/>
    <w:rsid w:val="BFC68A7D"/>
    <w:rsid w:val="BFCDF746"/>
    <w:rsid w:val="BFCF5D0F"/>
    <w:rsid w:val="BFD15B07"/>
    <w:rsid w:val="BFD71C4B"/>
    <w:rsid w:val="BFD9E8A7"/>
    <w:rsid w:val="BFDF0AD0"/>
    <w:rsid w:val="BFDF0DC6"/>
    <w:rsid w:val="BFE7E928"/>
    <w:rsid w:val="BFE9BA98"/>
    <w:rsid w:val="BFEB066E"/>
    <w:rsid w:val="BFEDB0AC"/>
    <w:rsid w:val="BFEDE997"/>
    <w:rsid w:val="BFEE411B"/>
    <w:rsid w:val="BFF2F37B"/>
    <w:rsid w:val="BFF51201"/>
    <w:rsid w:val="BFF51C0F"/>
    <w:rsid w:val="BFF8F8CF"/>
    <w:rsid w:val="BFFA43FD"/>
    <w:rsid w:val="BFFA4996"/>
    <w:rsid w:val="BFFB23BF"/>
    <w:rsid w:val="BFFB4059"/>
    <w:rsid w:val="BFFDF825"/>
    <w:rsid w:val="BFFE296E"/>
    <w:rsid w:val="BFFE3041"/>
    <w:rsid w:val="BFFF2B97"/>
    <w:rsid w:val="BFFF2FB5"/>
    <w:rsid w:val="BFFF7689"/>
    <w:rsid w:val="BFFFCDD3"/>
    <w:rsid w:val="BFFFF4A7"/>
    <w:rsid w:val="C0FF8AF4"/>
    <w:rsid w:val="C1B369B7"/>
    <w:rsid w:val="C1DDF114"/>
    <w:rsid w:val="C37DDD37"/>
    <w:rsid w:val="C5AF7F2F"/>
    <w:rsid w:val="C63D5282"/>
    <w:rsid w:val="C6DA3D6D"/>
    <w:rsid w:val="C6EF7DB2"/>
    <w:rsid w:val="C72E52CE"/>
    <w:rsid w:val="C77FC8A0"/>
    <w:rsid w:val="C7BCF733"/>
    <w:rsid w:val="C7BD7675"/>
    <w:rsid w:val="C7BE6BAB"/>
    <w:rsid w:val="C7EE6BD9"/>
    <w:rsid w:val="C9D71D9B"/>
    <w:rsid w:val="C9FB3BDF"/>
    <w:rsid w:val="C9FC8AE7"/>
    <w:rsid w:val="CABCB0F0"/>
    <w:rsid w:val="CAE595F2"/>
    <w:rsid w:val="CAF90AC3"/>
    <w:rsid w:val="CB67773C"/>
    <w:rsid w:val="CB97A5D7"/>
    <w:rsid w:val="CBAF566C"/>
    <w:rsid w:val="CBE600C4"/>
    <w:rsid w:val="CBEAF54C"/>
    <w:rsid w:val="CBFFBAAE"/>
    <w:rsid w:val="CC7F2F41"/>
    <w:rsid w:val="CD77E419"/>
    <w:rsid w:val="CDBB9521"/>
    <w:rsid w:val="CDDFF9FB"/>
    <w:rsid w:val="CDFD5B5D"/>
    <w:rsid w:val="CDFFA810"/>
    <w:rsid w:val="CE71E742"/>
    <w:rsid w:val="CE7F3860"/>
    <w:rsid w:val="CEBDBD89"/>
    <w:rsid w:val="CEFF55E0"/>
    <w:rsid w:val="CEFFDE8B"/>
    <w:rsid w:val="CF0AA1D9"/>
    <w:rsid w:val="CF33095A"/>
    <w:rsid w:val="CF3C0CE7"/>
    <w:rsid w:val="CF570D57"/>
    <w:rsid w:val="CF6B032F"/>
    <w:rsid w:val="CF6BB66F"/>
    <w:rsid w:val="CF6F4A3B"/>
    <w:rsid w:val="CF73AF5D"/>
    <w:rsid w:val="CF9FDAE4"/>
    <w:rsid w:val="CFB4191F"/>
    <w:rsid w:val="CFBCB54C"/>
    <w:rsid w:val="CFBF739A"/>
    <w:rsid w:val="CFC786F2"/>
    <w:rsid w:val="CFD70009"/>
    <w:rsid w:val="CFDB443C"/>
    <w:rsid w:val="CFDD1274"/>
    <w:rsid w:val="CFDF46A0"/>
    <w:rsid w:val="CFEE5277"/>
    <w:rsid w:val="CFEFC7C6"/>
    <w:rsid w:val="CFF50D29"/>
    <w:rsid w:val="CFF595DA"/>
    <w:rsid w:val="CFF73AB9"/>
    <w:rsid w:val="CFF8051B"/>
    <w:rsid w:val="CFFA0EAD"/>
    <w:rsid w:val="CFFA2768"/>
    <w:rsid w:val="CFFB9969"/>
    <w:rsid w:val="CFFBF9A5"/>
    <w:rsid w:val="CFFF0054"/>
    <w:rsid w:val="CFFF51FC"/>
    <w:rsid w:val="CFFF7263"/>
    <w:rsid w:val="CFFF925F"/>
    <w:rsid w:val="D17B68B0"/>
    <w:rsid w:val="D271F956"/>
    <w:rsid w:val="D2755BE7"/>
    <w:rsid w:val="D2BDE496"/>
    <w:rsid w:val="D39B02C7"/>
    <w:rsid w:val="D3FB9B60"/>
    <w:rsid w:val="D3FF4151"/>
    <w:rsid w:val="D42D6CA3"/>
    <w:rsid w:val="D46FC6B1"/>
    <w:rsid w:val="D49A4BB5"/>
    <w:rsid w:val="D49DA0A2"/>
    <w:rsid w:val="D6EBD424"/>
    <w:rsid w:val="D6F119C8"/>
    <w:rsid w:val="D6FD1E15"/>
    <w:rsid w:val="D75BF6FA"/>
    <w:rsid w:val="D75F91C4"/>
    <w:rsid w:val="D76E6CCC"/>
    <w:rsid w:val="D77BEC18"/>
    <w:rsid w:val="D77E2691"/>
    <w:rsid w:val="D7BA6051"/>
    <w:rsid w:val="D7CB00C2"/>
    <w:rsid w:val="D7D3A6D6"/>
    <w:rsid w:val="D7D730E8"/>
    <w:rsid w:val="D7DBDCAD"/>
    <w:rsid w:val="D7DFE982"/>
    <w:rsid w:val="D7ED2A18"/>
    <w:rsid w:val="D7EFCC67"/>
    <w:rsid w:val="D7F3C152"/>
    <w:rsid w:val="D7F70A22"/>
    <w:rsid w:val="D7FB35E3"/>
    <w:rsid w:val="D7FD2145"/>
    <w:rsid w:val="D7FE08E1"/>
    <w:rsid w:val="D7FF2771"/>
    <w:rsid w:val="D7FFA1ED"/>
    <w:rsid w:val="D95B7997"/>
    <w:rsid w:val="D99FFAE8"/>
    <w:rsid w:val="D9BB6662"/>
    <w:rsid w:val="D9F7115D"/>
    <w:rsid w:val="D9FD4667"/>
    <w:rsid w:val="D9FFFCAD"/>
    <w:rsid w:val="DA36B082"/>
    <w:rsid w:val="DA63B1BB"/>
    <w:rsid w:val="DAE3664B"/>
    <w:rsid w:val="DAEA0126"/>
    <w:rsid w:val="DAF3853A"/>
    <w:rsid w:val="DB379583"/>
    <w:rsid w:val="DB3E13F8"/>
    <w:rsid w:val="DB4D0533"/>
    <w:rsid w:val="DB7B6E0C"/>
    <w:rsid w:val="DB7EC3D2"/>
    <w:rsid w:val="DB7F9230"/>
    <w:rsid w:val="DB8FD3C6"/>
    <w:rsid w:val="DBB906FA"/>
    <w:rsid w:val="DBD6B561"/>
    <w:rsid w:val="DBD6EB2B"/>
    <w:rsid w:val="DBDD9843"/>
    <w:rsid w:val="DBE186AD"/>
    <w:rsid w:val="DBF7E49A"/>
    <w:rsid w:val="DBFB3CAC"/>
    <w:rsid w:val="DBFBD642"/>
    <w:rsid w:val="DBFEC75E"/>
    <w:rsid w:val="DBFF07D1"/>
    <w:rsid w:val="DBFFA9BC"/>
    <w:rsid w:val="DBFFAB40"/>
    <w:rsid w:val="DC3F3B51"/>
    <w:rsid w:val="DC7B35D3"/>
    <w:rsid w:val="DC7F254B"/>
    <w:rsid w:val="DC9F5B43"/>
    <w:rsid w:val="DCADAC3F"/>
    <w:rsid w:val="DCBEEAE5"/>
    <w:rsid w:val="DCCBD22F"/>
    <w:rsid w:val="DCEF5F24"/>
    <w:rsid w:val="DCF18D1D"/>
    <w:rsid w:val="DCFF02F9"/>
    <w:rsid w:val="DD6FD0F4"/>
    <w:rsid w:val="DDB5763F"/>
    <w:rsid w:val="DDC7B1EF"/>
    <w:rsid w:val="DDDECC46"/>
    <w:rsid w:val="DDDF21BF"/>
    <w:rsid w:val="DDE2134D"/>
    <w:rsid w:val="DDE77712"/>
    <w:rsid w:val="DDE93735"/>
    <w:rsid w:val="DDEC34A4"/>
    <w:rsid w:val="DDED7563"/>
    <w:rsid w:val="DDEEC61C"/>
    <w:rsid w:val="DDEF1201"/>
    <w:rsid w:val="DDEF730C"/>
    <w:rsid w:val="DDF76244"/>
    <w:rsid w:val="DDFBB1AB"/>
    <w:rsid w:val="DDFD4559"/>
    <w:rsid w:val="DDFF43ED"/>
    <w:rsid w:val="DE3E13B8"/>
    <w:rsid w:val="DE69C760"/>
    <w:rsid w:val="DE6B6A57"/>
    <w:rsid w:val="DE7D8769"/>
    <w:rsid w:val="DE7DD32A"/>
    <w:rsid w:val="DE9E0BBF"/>
    <w:rsid w:val="DEBC4038"/>
    <w:rsid w:val="DEBF53D2"/>
    <w:rsid w:val="DEBF894B"/>
    <w:rsid w:val="DED2C9EF"/>
    <w:rsid w:val="DEE0D068"/>
    <w:rsid w:val="DEE8051B"/>
    <w:rsid w:val="DEEBC972"/>
    <w:rsid w:val="DEF0F13E"/>
    <w:rsid w:val="DEF17BFC"/>
    <w:rsid w:val="DEF8AB0A"/>
    <w:rsid w:val="DF54AAA1"/>
    <w:rsid w:val="DF5F046C"/>
    <w:rsid w:val="DF617FF3"/>
    <w:rsid w:val="DF69EDD4"/>
    <w:rsid w:val="DF7428C0"/>
    <w:rsid w:val="DF771973"/>
    <w:rsid w:val="DF7AAD86"/>
    <w:rsid w:val="DF7BB848"/>
    <w:rsid w:val="DF7DD684"/>
    <w:rsid w:val="DF7ECFBF"/>
    <w:rsid w:val="DF7F5ECF"/>
    <w:rsid w:val="DF7F8982"/>
    <w:rsid w:val="DF7FDE13"/>
    <w:rsid w:val="DF971722"/>
    <w:rsid w:val="DF9A40C8"/>
    <w:rsid w:val="DF9F104D"/>
    <w:rsid w:val="DF9F288A"/>
    <w:rsid w:val="DFB7A651"/>
    <w:rsid w:val="DFBD1903"/>
    <w:rsid w:val="DFBD7675"/>
    <w:rsid w:val="DFBE1572"/>
    <w:rsid w:val="DFBF4AA8"/>
    <w:rsid w:val="DFBF5EC7"/>
    <w:rsid w:val="DFBF7826"/>
    <w:rsid w:val="DFC91559"/>
    <w:rsid w:val="DFDB034D"/>
    <w:rsid w:val="DFDC11E7"/>
    <w:rsid w:val="DFDDF9EB"/>
    <w:rsid w:val="DFDED71C"/>
    <w:rsid w:val="DFDF4A87"/>
    <w:rsid w:val="DFE71D84"/>
    <w:rsid w:val="DFE7326D"/>
    <w:rsid w:val="DFEF3CC8"/>
    <w:rsid w:val="DFEFD79F"/>
    <w:rsid w:val="DFEFD81E"/>
    <w:rsid w:val="DFF215D3"/>
    <w:rsid w:val="DFF303BA"/>
    <w:rsid w:val="DFF7E9E8"/>
    <w:rsid w:val="DFF83FBE"/>
    <w:rsid w:val="DFF99140"/>
    <w:rsid w:val="DFFB2D2C"/>
    <w:rsid w:val="DFFB53D6"/>
    <w:rsid w:val="DFFBC494"/>
    <w:rsid w:val="DFFC9A32"/>
    <w:rsid w:val="DFFD2055"/>
    <w:rsid w:val="DFFF315C"/>
    <w:rsid w:val="DFFF3312"/>
    <w:rsid w:val="DFFF4728"/>
    <w:rsid w:val="DFFF5619"/>
    <w:rsid w:val="DFFF6AB4"/>
    <w:rsid w:val="DFFFA6A6"/>
    <w:rsid w:val="DFFFB100"/>
    <w:rsid w:val="DFFFD663"/>
    <w:rsid w:val="DFFFE1CF"/>
    <w:rsid w:val="DFFFFE4C"/>
    <w:rsid w:val="E1BF7C43"/>
    <w:rsid w:val="E1FDC1E3"/>
    <w:rsid w:val="E2B7118F"/>
    <w:rsid w:val="E33F63D4"/>
    <w:rsid w:val="E34FF75B"/>
    <w:rsid w:val="E3BD0E91"/>
    <w:rsid w:val="E3FFC6E7"/>
    <w:rsid w:val="E4CF5AEA"/>
    <w:rsid w:val="E55FDE72"/>
    <w:rsid w:val="E56FF065"/>
    <w:rsid w:val="E5AFC128"/>
    <w:rsid w:val="E5BF5B52"/>
    <w:rsid w:val="E5DE2B59"/>
    <w:rsid w:val="E5FEBF21"/>
    <w:rsid w:val="E63BDCAC"/>
    <w:rsid w:val="E67DD27D"/>
    <w:rsid w:val="E67E3F5C"/>
    <w:rsid w:val="E69F78AE"/>
    <w:rsid w:val="E6BD34DA"/>
    <w:rsid w:val="E6DB81DD"/>
    <w:rsid w:val="E6DBC623"/>
    <w:rsid w:val="E6F3EBDA"/>
    <w:rsid w:val="E6F8321D"/>
    <w:rsid w:val="E6FD52C9"/>
    <w:rsid w:val="E6FDE433"/>
    <w:rsid w:val="E730FBEB"/>
    <w:rsid w:val="E737065A"/>
    <w:rsid w:val="E76B9216"/>
    <w:rsid w:val="E78F308A"/>
    <w:rsid w:val="E7ABC56C"/>
    <w:rsid w:val="E7B57294"/>
    <w:rsid w:val="E7B9C9E3"/>
    <w:rsid w:val="E7DD540B"/>
    <w:rsid w:val="E7EF8907"/>
    <w:rsid w:val="E7FB1738"/>
    <w:rsid w:val="E7FD6B7F"/>
    <w:rsid w:val="E7FDD86E"/>
    <w:rsid w:val="E7FE37EB"/>
    <w:rsid w:val="E7FE9D5A"/>
    <w:rsid w:val="E7FF0AE7"/>
    <w:rsid w:val="E7FFBA51"/>
    <w:rsid w:val="E8E67751"/>
    <w:rsid w:val="E9672EC3"/>
    <w:rsid w:val="E97FF22A"/>
    <w:rsid w:val="E9850B0D"/>
    <w:rsid w:val="E99F80B9"/>
    <w:rsid w:val="E9C5E430"/>
    <w:rsid w:val="E9DFDBD2"/>
    <w:rsid w:val="E9EDC8D0"/>
    <w:rsid w:val="E9F71EFB"/>
    <w:rsid w:val="E9F9A3A1"/>
    <w:rsid w:val="EA7D15EB"/>
    <w:rsid w:val="EA978C7F"/>
    <w:rsid w:val="EABF8F88"/>
    <w:rsid w:val="EAFCCCDB"/>
    <w:rsid w:val="EAFD4970"/>
    <w:rsid w:val="EAFF0395"/>
    <w:rsid w:val="EB2F6553"/>
    <w:rsid w:val="EB65A8D3"/>
    <w:rsid w:val="EB7E10F0"/>
    <w:rsid w:val="EB7F491E"/>
    <w:rsid w:val="EB9B67A4"/>
    <w:rsid w:val="EB9D8F87"/>
    <w:rsid w:val="EBB60580"/>
    <w:rsid w:val="EBBBB80F"/>
    <w:rsid w:val="EBBCCAD7"/>
    <w:rsid w:val="EBD3B0CE"/>
    <w:rsid w:val="EBD57927"/>
    <w:rsid w:val="EBEB916B"/>
    <w:rsid w:val="EBEF90D1"/>
    <w:rsid w:val="EBFD714B"/>
    <w:rsid w:val="EC9BC0C8"/>
    <w:rsid w:val="ECBB867E"/>
    <w:rsid w:val="ECBFAD9E"/>
    <w:rsid w:val="ECDE53A2"/>
    <w:rsid w:val="ECF5C1ED"/>
    <w:rsid w:val="ECF714EC"/>
    <w:rsid w:val="ECF7EF57"/>
    <w:rsid w:val="ECFF8EE9"/>
    <w:rsid w:val="ED071B52"/>
    <w:rsid w:val="ED4FEC97"/>
    <w:rsid w:val="ED7A78EB"/>
    <w:rsid w:val="ED7F3F49"/>
    <w:rsid w:val="ED7FF232"/>
    <w:rsid w:val="EDBD3CB4"/>
    <w:rsid w:val="EDBD6F5B"/>
    <w:rsid w:val="EDD71511"/>
    <w:rsid w:val="EDED32A7"/>
    <w:rsid w:val="EDEF2BDC"/>
    <w:rsid w:val="EDEFDA9B"/>
    <w:rsid w:val="EDFBE73C"/>
    <w:rsid w:val="EDFD7931"/>
    <w:rsid w:val="EDFD842D"/>
    <w:rsid w:val="EDFDC7B1"/>
    <w:rsid w:val="EDFE5730"/>
    <w:rsid w:val="EE274260"/>
    <w:rsid w:val="EE53B1DB"/>
    <w:rsid w:val="EE5E81C3"/>
    <w:rsid w:val="EE6E9B4E"/>
    <w:rsid w:val="EE6F1B83"/>
    <w:rsid w:val="EE7782E1"/>
    <w:rsid w:val="EE79E8DA"/>
    <w:rsid w:val="EEB77CF9"/>
    <w:rsid w:val="EEBF7062"/>
    <w:rsid w:val="EEBFF8D1"/>
    <w:rsid w:val="EED66394"/>
    <w:rsid w:val="EEDD270E"/>
    <w:rsid w:val="EEDD63F4"/>
    <w:rsid w:val="EEDEB466"/>
    <w:rsid w:val="EEDF05CB"/>
    <w:rsid w:val="EEE78909"/>
    <w:rsid w:val="EEFB81B4"/>
    <w:rsid w:val="EEFB8B1B"/>
    <w:rsid w:val="EEFD1089"/>
    <w:rsid w:val="EEFD71A4"/>
    <w:rsid w:val="EEFDBC6C"/>
    <w:rsid w:val="EEFFC593"/>
    <w:rsid w:val="EEFFE5A2"/>
    <w:rsid w:val="EF39F48C"/>
    <w:rsid w:val="EF3EA90E"/>
    <w:rsid w:val="EF3F7213"/>
    <w:rsid w:val="EF4D659D"/>
    <w:rsid w:val="EF51279F"/>
    <w:rsid w:val="EF57006F"/>
    <w:rsid w:val="EF5DFDC0"/>
    <w:rsid w:val="EF6BB1F8"/>
    <w:rsid w:val="EF6DD3CB"/>
    <w:rsid w:val="EF7734F7"/>
    <w:rsid w:val="EF77B48A"/>
    <w:rsid w:val="EF7D1CE6"/>
    <w:rsid w:val="EF7E2617"/>
    <w:rsid w:val="EF7F9519"/>
    <w:rsid w:val="EF7FA1B3"/>
    <w:rsid w:val="EF8F0CC7"/>
    <w:rsid w:val="EF8F910A"/>
    <w:rsid w:val="EF8FCD3D"/>
    <w:rsid w:val="EF92799C"/>
    <w:rsid w:val="EF99D58A"/>
    <w:rsid w:val="EFA7312F"/>
    <w:rsid w:val="EFABFBA3"/>
    <w:rsid w:val="EFACDB36"/>
    <w:rsid w:val="EFADDB4C"/>
    <w:rsid w:val="EFB3EB48"/>
    <w:rsid w:val="EFBD1A03"/>
    <w:rsid w:val="EFBDBAAE"/>
    <w:rsid w:val="EFBF2428"/>
    <w:rsid w:val="EFC22A61"/>
    <w:rsid w:val="EFD4D0DB"/>
    <w:rsid w:val="EFD600FA"/>
    <w:rsid w:val="EFDBAB11"/>
    <w:rsid w:val="EFDBBD0A"/>
    <w:rsid w:val="EFDC4762"/>
    <w:rsid w:val="EFDD5514"/>
    <w:rsid w:val="EFDDDCE6"/>
    <w:rsid w:val="EFDF1ABF"/>
    <w:rsid w:val="EFDF2C0D"/>
    <w:rsid w:val="EFDF4EEB"/>
    <w:rsid w:val="EFDF8089"/>
    <w:rsid w:val="EFE765B4"/>
    <w:rsid w:val="EFEAB98B"/>
    <w:rsid w:val="EFEBB63C"/>
    <w:rsid w:val="EFEEF65E"/>
    <w:rsid w:val="EFF7749B"/>
    <w:rsid w:val="EFF7F824"/>
    <w:rsid w:val="EFF8B29E"/>
    <w:rsid w:val="EFFB3CB7"/>
    <w:rsid w:val="EFFBED6C"/>
    <w:rsid w:val="EFFC37BB"/>
    <w:rsid w:val="EFFD05C8"/>
    <w:rsid w:val="EFFD2F56"/>
    <w:rsid w:val="EFFE356F"/>
    <w:rsid w:val="EFFE4F12"/>
    <w:rsid w:val="EFFED744"/>
    <w:rsid w:val="EFFF1279"/>
    <w:rsid w:val="EFFF3A0A"/>
    <w:rsid w:val="EFFF9B10"/>
    <w:rsid w:val="EFFFFA03"/>
    <w:rsid w:val="EFFFFD12"/>
    <w:rsid w:val="F0DE5263"/>
    <w:rsid w:val="F0EB558C"/>
    <w:rsid w:val="F0FE793C"/>
    <w:rsid w:val="F12F72DC"/>
    <w:rsid w:val="F16F065B"/>
    <w:rsid w:val="F19B60CE"/>
    <w:rsid w:val="F1D580AF"/>
    <w:rsid w:val="F1F0E539"/>
    <w:rsid w:val="F1F1E026"/>
    <w:rsid w:val="F23BD505"/>
    <w:rsid w:val="F29F2236"/>
    <w:rsid w:val="F2B3C86F"/>
    <w:rsid w:val="F2D75BD8"/>
    <w:rsid w:val="F2E7E82B"/>
    <w:rsid w:val="F2E7E913"/>
    <w:rsid w:val="F2FDE850"/>
    <w:rsid w:val="F2FF62E1"/>
    <w:rsid w:val="F35EF451"/>
    <w:rsid w:val="F36DEEFB"/>
    <w:rsid w:val="F36FCFBD"/>
    <w:rsid w:val="F38D895D"/>
    <w:rsid w:val="F39F072A"/>
    <w:rsid w:val="F3B51597"/>
    <w:rsid w:val="F3B76A09"/>
    <w:rsid w:val="F3BF75B4"/>
    <w:rsid w:val="F3EEC789"/>
    <w:rsid w:val="F3EF1205"/>
    <w:rsid w:val="F3F672A9"/>
    <w:rsid w:val="F3F745B5"/>
    <w:rsid w:val="F3FB5AD6"/>
    <w:rsid w:val="F3FF0A79"/>
    <w:rsid w:val="F47712A5"/>
    <w:rsid w:val="F4D75EBA"/>
    <w:rsid w:val="F4EE1476"/>
    <w:rsid w:val="F52B08E6"/>
    <w:rsid w:val="F52FEA57"/>
    <w:rsid w:val="F55FF3DA"/>
    <w:rsid w:val="F5769C1A"/>
    <w:rsid w:val="F577DE0E"/>
    <w:rsid w:val="F577F4DA"/>
    <w:rsid w:val="F59D28C5"/>
    <w:rsid w:val="F59E9F84"/>
    <w:rsid w:val="F5ADC275"/>
    <w:rsid w:val="F5BBBEB2"/>
    <w:rsid w:val="F5DF1700"/>
    <w:rsid w:val="F5E7F5E6"/>
    <w:rsid w:val="F5F617AF"/>
    <w:rsid w:val="F5FB5EFD"/>
    <w:rsid w:val="F5FBE3DE"/>
    <w:rsid w:val="F5FE5432"/>
    <w:rsid w:val="F5FE95D6"/>
    <w:rsid w:val="F5FF33C2"/>
    <w:rsid w:val="F5FFD31F"/>
    <w:rsid w:val="F63C70B1"/>
    <w:rsid w:val="F64B7664"/>
    <w:rsid w:val="F659083D"/>
    <w:rsid w:val="F65F3E00"/>
    <w:rsid w:val="F66BF0C2"/>
    <w:rsid w:val="F66FA8D9"/>
    <w:rsid w:val="F67B99FF"/>
    <w:rsid w:val="F67FAFF6"/>
    <w:rsid w:val="F6AD1347"/>
    <w:rsid w:val="F6BB64AE"/>
    <w:rsid w:val="F6BFBA0A"/>
    <w:rsid w:val="F6BFD523"/>
    <w:rsid w:val="F6DD5843"/>
    <w:rsid w:val="F6DF0778"/>
    <w:rsid w:val="F6DF9F51"/>
    <w:rsid w:val="F6E737A0"/>
    <w:rsid w:val="F6EF0A03"/>
    <w:rsid w:val="F6F76AF8"/>
    <w:rsid w:val="F6F8A41F"/>
    <w:rsid w:val="F6FABCED"/>
    <w:rsid w:val="F6FDF6D1"/>
    <w:rsid w:val="F6FF217F"/>
    <w:rsid w:val="F6FF3897"/>
    <w:rsid w:val="F6FFBC18"/>
    <w:rsid w:val="F71EBB79"/>
    <w:rsid w:val="F726C01F"/>
    <w:rsid w:val="F74DEC2B"/>
    <w:rsid w:val="F756BCA2"/>
    <w:rsid w:val="F7571D27"/>
    <w:rsid w:val="F75F8AB6"/>
    <w:rsid w:val="F7678ED2"/>
    <w:rsid w:val="F7837747"/>
    <w:rsid w:val="F796FEF2"/>
    <w:rsid w:val="F797D5B3"/>
    <w:rsid w:val="F79CBF64"/>
    <w:rsid w:val="F7A6BB33"/>
    <w:rsid w:val="F7AF3EC8"/>
    <w:rsid w:val="F7B53830"/>
    <w:rsid w:val="F7B65158"/>
    <w:rsid w:val="F7BB6BBA"/>
    <w:rsid w:val="F7BBE7AF"/>
    <w:rsid w:val="F7BF74B2"/>
    <w:rsid w:val="F7CD977A"/>
    <w:rsid w:val="F7DF5104"/>
    <w:rsid w:val="F7EA6B19"/>
    <w:rsid w:val="F7EAEE8A"/>
    <w:rsid w:val="F7EE7219"/>
    <w:rsid w:val="F7F3B7B2"/>
    <w:rsid w:val="F7F605D4"/>
    <w:rsid w:val="F7F6D2FD"/>
    <w:rsid w:val="F7F7141E"/>
    <w:rsid w:val="F7F7F63F"/>
    <w:rsid w:val="F7F85E79"/>
    <w:rsid w:val="F7F91E89"/>
    <w:rsid w:val="F7F921B6"/>
    <w:rsid w:val="F7F99F8A"/>
    <w:rsid w:val="F7F9ACF4"/>
    <w:rsid w:val="F7FA6D05"/>
    <w:rsid w:val="F7FADDB8"/>
    <w:rsid w:val="F7FCFF48"/>
    <w:rsid w:val="F7FD05D8"/>
    <w:rsid w:val="F7FD1167"/>
    <w:rsid w:val="F7FD2E16"/>
    <w:rsid w:val="F7FD7B72"/>
    <w:rsid w:val="F7FD88A0"/>
    <w:rsid w:val="F7FF3480"/>
    <w:rsid w:val="F7FFB4DA"/>
    <w:rsid w:val="F7FFCA43"/>
    <w:rsid w:val="F85551F5"/>
    <w:rsid w:val="F87F4A9D"/>
    <w:rsid w:val="F8B6EB25"/>
    <w:rsid w:val="F8BFD1FC"/>
    <w:rsid w:val="F8D0222D"/>
    <w:rsid w:val="F8D783F9"/>
    <w:rsid w:val="F8ED426B"/>
    <w:rsid w:val="F8F7C015"/>
    <w:rsid w:val="F8FBDCDF"/>
    <w:rsid w:val="F9132960"/>
    <w:rsid w:val="F91F19AB"/>
    <w:rsid w:val="F97F516A"/>
    <w:rsid w:val="F9A96D13"/>
    <w:rsid w:val="F9B904BB"/>
    <w:rsid w:val="F9BE3A20"/>
    <w:rsid w:val="F9BF7E60"/>
    <w:rsid w:val="F9CF8CB2"/>
    <w:rsid w:val="F9DD2B8D"/>
    <w:rsid w:val="F9DF34F6"/>
    <w:rsid w:val="F9EFAD76"/>
    <w:rsid w:val="F9F32529"/>
    <w:rsid w:val="F9FC3AE7"/>
    <w:rsid w:val="F9FDCE36"/>
    <w:rsid w:val="F9FFEE52"/>
    <w:rsid w:val="FA1FA06F"/>
    <w:rsid w:val="FA3FD207"/>
    <w:rsid w:val="FA5DA317"/>
    <w:rsid w:val="FAB3C52C"/>
    <w:rsid w:val="FABA991E"/>
    <w:rsid w:val="FADE4BE9"/>
    <w:rsid w:val="FADEC0F8"/>
    <w:rsid w:val="FADF1386"/>
    <w:rsid w:val="FADFF22C"/>
    <w:rsid w:val="FAEF3C8E"/>
    <w:rsid w:val="FAF3507B"/>
    <w:rsid w:val="FAF5471E"/>
    <w:rsid w:val="FAF9783F"/>
    <w:rsid w:val="FAFEAC1E"/>
    <w:rsid w:val="FAFECAFF"/>
    <w:rsid w:val="FAFFB9FD"/>
    <w:rsid w:val="FB3BD7B7"/>
    <w:rsid w:val="FB3BE8EE"/>
    <w:rsid w:val="FB3F0E5E"/>
    <w:rsid w:val="FB3F7E46"/>
    <w:rsid w:val="FB3FF8F8"/>
    <w:rsid w:val="FB598528"/>
    <w:rsid w:val="FB5AC843"/>
    <w:rsid w:val="FB5B45EF"/>
    <w:rsid w:val="FB5DE469"/>
    <w:rsid w:val="FB5F4C5F"/>
    <w:rsid w:val="FB5F55C3"/>
    <w:rsid w:val="FB6D470E"/>
    <w:rsid w:val="FB6E079A"/>
    <w:rsid w:val="FB6F09F3"/>
    <w:rsid w:val="FB7AA278"/>
    <w:rsid w:val="FB7D7C39"/>
    <w:rsid w:val="FB7E255A"/>
    <w:rsid w:val="FB7EBA9E"/>
    <w:rsid w:val="FB7F1974"/>
    <w:rsid w:val="FB8FB0BB"/>
    <w:rsid w:val="FB9F0003"/>
    <w:rsid w:val="FBA9926D"/>
    <w:rsid w:val="FBAB2EF8"/>
    <w:rsid w:val="FBAF38DF"/>
    <w:rsid w:val="FBB397AB"/>
    <w:rsid w:val="FBB63CC7"/>
    <w:rsid w:val="FBB8F18F"/>
    <w:rsid w:val="FBBF35C6"/>
    <w:rsid w:val="FBC4BAAF"/>
    <w:rsid w:val="FBC71FC3"/>
    <w:rsid w:val="FBCBD543"/>
    <w:rsid w:val="FBCCD166"/>
    <w:rsid w:val="FBD35DA8"/>
    <w:rsid w:val="FBDE1AAA"/>
    <w:rsid w:val="FBDF37DB"/>
    <w:rsid w:val="FBDF8792"/>
    <w:rsid w:val="FBDFD162"/>
    <w:rsid w:val="FBE5BA41"/>
    <w:rsid w:val="FBE63981"/>
    <w:rsid w:val="FBEE94B7"/>
    <w:rsid w:val="FBEF0C55"/>
    <w:rsid w:val="FBF2253A"/>
    <w:rsid w:val="FBF355AC"/>
    <w:rsid w:val="FBF4FA03"/>
    <w:rsid w:val="FBF669D8"/>
    <w:rsid w:val="FBF7A3F4"/>
    <w:rsid w:val="FBF7ACC7"/>
    <w:rsid w:val="FBFDBE93"/>
    <w:rsid w:val="FBFECF9D"/>
    <w:rsid w:val="FBFF0DDE"/>
    <w:rsid w:val="FBFF20C0"/>
    <w:rsid w:val="FBFF4A5F"/>
    <w:rsid w:val="FBFF92DD"/>
    <w:rsid w:val="FBFFD73C"/>
    <w:rsid w:val="FBFFE8EB"/>
    <w:rsid w:val="FBFFF997"/>
    <w:rsid w:val="FC1B77F5"/>
    <w:rsid w:val="FC1FDA50"/>
    <w:rsid w:val="FC3F4A4F"/>
    <w:rsid w:val="FC6DB93B"/>
    <w:rsid w:val="FC7A661C"/>
    <w:rsid w:val="FC7BCA12"/>
    <w:rsid w:val="FC7FD7A7"/>
    <w:rsid w:val="FCA59E4C"/>
    <w:rsid w:val="FCAED58B"/>
    <w:rsid w:val="FCDE166F"/>
    <w:rsid w:val="FCDF64D7"/>
    <w:rsid w:val="FCDFAD7E"/>
    <w:rsid w:val="FCE79443"/>
    <w:rsid w:val="FCE7D4F6"/>
    <w:rsid w:val="FCEEDBBC"/>
    <w:rsid w:val="FCF1284E"/>
    <w:rsid w:val="FCF9F02A"/>
    <w:rsid w:val="FCFB7F4F"/>
    <w:rsid w:val="FCFCEB6B"/>
    <w:rsid w:val="FCFD03FE"/>
    <w:rsid w:val="FCFDA721"/>
    <w:rsid w:val="FCFE5C93"/>
    <w:rsid w:val="FCFF8FEA"/>
    <w:rsid w:val="FD0F352E"/>
    <w:rsid w:val="FD153F73"/>
    <w:rsid w:val="FD232C30"/>
    <w:rsid w:val="FD2BBD5F"/>
    <w:rsid w:val="FD36624F"/>
    <w:rsid w:val="FD3FBDB9"/>
    <w:rsid w:val="FD6B5B59"/>
    <w:rsid w:val="FD6B8415"/>
    <w:rsid w:val="FD6CCC39"/>
    <w:rsid w:val="FD6E8D13"/>
    <w:rsid w:val="FD6EDCCE"/>
    <w:rsid w:val="FD6FA733"/>
    <w:rsid w:val="FD79BA57"/>
    <w:rsid w:val="FD7D4273"/>
    <w:rsid w:val="FD7F10F8"/>
    <w:rsid w:val="FD7F7398"/>
    <w:rsid w:val="FD7FCC19"/>
    <w:rsid w:val="FD9F726C"/>
    <w:rsid w:val="FDABA8D4"/>
    <w:rsid w:val="FDAF060E"/>
    <w:rsid w:val="FDBB400B"/>
    <w:rsid w:val="FDBEB20E"/>
    <w:rsid w:val="FDBF3366"/>
    <w:rsid w:val="FDD371CD"/>
    <w:rsid w:val="FDD6859F"/>
    <w:rsid w:val="FDDD7B40"/>
    <w:rsid w:val="FDDED45D"/>
    <w:rsid w:val="FDDF1E79"/>
    <w:rsid w:val="FDF50101"/>
    <w:rsid w:val="FDF51624"/>
    <w:rsid w:val="FDF7B96B"/>
    <w:rsid w:val="FDFB3EF4"/>
    <w:rsid w:val="FDFB425F"/>
    <w:rsid w:val="FDFB477C"/>
    <w:rsid w:val="FDFC32A1"/>
    <w:rsid w:val="FDFE0207"/>
    <w:rsid w:val="FDFE3D8A"/>
    <w:rsid w:val="FDFF4265"/>
    <w:rsid w:val="FDFF624F"/>
    <w:rsid w:val="FDFF6898"/>
    <w:rsid w:val="FDFFC41B"/>
    <w:rsid w:val="FDFFC6D6"/>
    <w:rsid w:val="FDFFFA29"/>
    <w:rsid w:val="FE1F20BD"/>
    <w:rsid w:val="FE23631B"/>
    <w:rsid w:val="FE34D43A"/>
    <w:rsid w:val="FE49A8E1"/>
    <w:rsid w:val="FE4F2BA4"/>
    <w:rsid w:val="FE5C7338"/>
    <w:rsid w:val="FE5F0ED3"/>
    <w:rsid w:val="FE6563AD"/>
    <w:rsid w:val="FE67E4B2"/>
    <w:rsid w:val="FE71A85F"/>
    <w:rsid w:val="FE734873"/>
    <w:rsid w:val="FE764763"/>
    <w:rsid w:val="FE76588F"/>
    <w:rsid w:val="FE768031"/>
    <w:rsid w:val="FE77905C"/>
    <w:rsid w:val="FE7FFB85"/>
    <w:rsid w:val="FE8FC0EE"/>
    <w:rsid w:val="FE8FE5AD"/>
    <w:rsid w:val="FE9758BE"/>
    <w:rsid w:val="FEAF02D0"/>
    <w:rsid w:val="FEB14741"/>
    <w:rsid w:val="FEB398EB"/>
    <w:rsid w:val="FEB5DE08"/>
    <w:rsid w:val="FEB60FC1"/>
    <w:rsid w:val="FEB72DEC"/>
    <w:rsid w:val="FEBB323B"/>
    <w:rsid w:val="FEBC2288"/>
    <w:rsid w:val="FEBD7665"/>
    <w:rsid w:val="FEBD81EC"/>
    <w:rsid w:val="FEBEF941"/>
    <w:rsid w:val="FEBFDF2C"/>
    <w:rsid w:val="FECABB20"/>
    <w:rsid w:val="FECF2A79"/>
    <w:rsid w:val="FECF765C"/>
    <w:rsid w:val="FED6B344"/>
    <w:rsid w:val="FED72F75"/>
    <w:rsid w:val="FEDE59BD"/>
    <w:rsid w:val="FEDFBBFD"/>
    <w:rsid w:val="FEDFF6F7"/>
    <w:rsid w:val="FEE4FF96"/>
    <w:rsid w:val="FEEA32C9"/>
    <w:rsid w:val="FEEB06CD"/>
    <w:rsid w:val="FEEE4FE3"/>
    <w:rsid w:val="FEEF65CF"/>
    <w:rsid w:val="FEF16A9B"/>
    <w:rsid w:val="FEF5E198"/>
    <w:rsid w:val="FEF601CA"/>
    <w:rsid w:val="FEF61BD0"/>
    <w:rsid w:val="FEF9F4B5"/>
    <w:rsid w:val="FEFB4806"/>
    <w:rsid w:val="FEFB51E7"/>
    <w:rsid w:val="FEFBD128"/>
    <w:rsid w:val="FEFBD46E"/>
    <w:rsid w:val="FEFC8FB3"/>
    <w:rsid w:val="FEFC9840"/>
    <w:rsid w:val="FEFD2936"/>
    <w:rsid w:val="FEFD352B"/>
    <w:rsid w:val="FEFD6ADE"/>
    <w:rsid w:val="FEFE6E45"/>
    <w:rsid w:val="FEFEE289"/>
    <w:rsid w:val="FEFF1562"/>
    <w:rsid w:val="FEFF23B2"/>
    <w:rsid w:val="FEFF3B9C"/>
    <w:rsid w:val="FEFF8743"/>
    <w:rsid w:val="FEFF952A"/>
    <w:rsid w:val="FF0F0A86"/>
    <w:rsid w:val="FF0FEDD4"/>
    <w:rsid w:val="FF18FD46"/>
    <w:rsid w:val="FF1F3D6D"/>
    <w:rsid w:val="FF236977"/>
    <w:rsid w:val="FF23BBFF"/>
    <w:rsid w:val="FF27413D"/>
    <w:rsid w:val="FF2D605C"/>
    <w:rsid w:val="FF331209"/>
    <w:rsid w:val="FF37276D"/>
    <w:rsid w:val="FF3A875B"/>
    <w:rsid w:val="FF3B36B1"/>
    <w:rsid w:val="FF3C4852"/>
    <w:rsid w:val="FF3DCC55"/>
    <w:rsid w:val="FF3E9061"/>
    <w:rsid w:val="FF3F1B2B"/>
    <w:rsid w:val="FF3F6B67"/>
    <w:rsid w:val="FF3FD466"/>
    <w:rsid w:val="FF4F7893"/>
    <w:rsid w:val="FF55967B"/>
    <w:rsid w:val="FF5BEA51"/>
    <w:rsid w:val="FF5DB146"/>
    <w:rsid w:val="FF5E0AC0"/>
    <w:rsid w:val="FF5F1684"/>
    <w:rsid w:val="FF5F7D9B"/>
    <w:rsid w:val="FF5FC686"/>
    <w:rsid w:val="FF62C96E"/>
    <w:rsid w:val="FF657CB8"/>
    <w:rsid w:val="FF6F52C6"/>
    <w:rsid w:val="FF74F33E"/>
    <w:rsid w:val="FF772D98"/>
    <w:rsid w:val="FF776005"/>
    <w:rsid w:val="FF778A82"/>
    <w:rsid w:val="FF79E89C"/>
    <w:rsid w:val="FF7DFBC6"/>
    <w:rsid w:val="FF7F425E"/>
    <w:rsid w:val="FF7F4469"/>
    <w:rsid w:val="FF7F46A8"/>
    <w:rsid w:val="FF7F9D8B"/>
    <w:rsid w:val="FF7FA6B9"/>
    <w:rsid w:val="FF7FA70C"/>
    <w:rsid w:val="FF7FAA54"/>
    <w:rsid w:val="FF97A644"/>
    <w:rsid w:val="FF9DA8D6"/>
    <w:rsid w:val="FF9DB034"/>
    <w:rsid w:val="FF9E055E"/>
    <w:rsid w:val="FF9E31AD"/>
    <w:rsid w:val="FF9E7443"/>
    <w:rsid w:val="FF9FCDA2"/>
    <w:rsid w:val="FFA6115D"/>
    <w:rsid w:val="FFA72DE0"/>
    <w:rsid w:val="FFAE3F0C"/>
    <w:rsid w:val="FFAE8307"/>
    <w:rsid w:val="FFAEF3E8"/>
    <w:rsid w:val="FFB6DEDD"/>
    <w:rsid w:val="FFB7D1A2"/>
    <w:rsid w:val="FFB901B6"/>
    <w:rsid w:val="FFBA001B"/>
    <w:rsid w:val="FFBB3533"/>
    <w:rsid w:val="FFBD6C6F"/>
    <w:rsid w:val="FFBDFAC5"/>
    <w:rsid w:val="FFBE1C76"/>
    <w:rsid w:val="FFBF0C5B"/>
    <w:rsid w:val="FFBF2544"/>
    <w:rsid w:val="FFBF4C05"/>
    <w:rsid w:val="FFBF6839"/>
    <w:rsid w:val="FFBF8DAC"/>
    <w:rsid w:val="FFBF97B7"/>
    <w:rsid w:val="FFBFCFEF"/>
    <w:rsid w:val="FFBFFB7F"/>
    <w:rsid w:val="FFC52006"/>
    <w:rsid w:val="FFC65D87"/>
    <w:rsid w:val="FFC776E1"/>
    <w:rsid w:val="FFD3C89D"/>
    <w:rsid w:val="FFD3EC65"/>
    <w:rsid w:val="FFD513B1"/>
    <w:rsid w:val="FFD54462"/>
    <w:rsid w:val="FFD55711"/>
    <w:rsid w:val="FFD7DE39"/>
    <w:rsid w:val="FFD94EB2"/>
    <w:rsid w:val="FFDBAA2E"/>
    <w:rsid w:val="FFDD4487"/>
    <w:rsid w:val="FFDD9125"/>
    <w:rsid w:val="FFDE51E6"/>
    <w:rsid w:val="FFDEE6BC"/>
    <w:rsid w:val="FFDEEE6D"/>
    <w:rsid w:val="FFDF203B"/>
    <w:rsid w:val="FFDF77C5"/>
    <w:rsid w:val="FFDFB6C1"/>
    <w:rsid w:val="FFE39615"/>
    <w:rsid w:val="FFE69A27"/>
    <w:rsid w:val="FFE6F005"/>
    <w:rsid w:val="FFE7E343"/>
    <w:rsid w:val="FFEC929E"/>
    <w:rsid w:val="FFED161C"/>
    <w:rsid w:val="FFED1A91"/>
    <w:rsid w:val="FFEDD455"/>
    <w:rsid w:val="FFEDF550"/>
    <w:rsid w:val="FFEEF547"/>
    <w:rsid w:val="FFEF1D1C"/>
    <w:rsid w:val="FFEF22EC"/>
    <w:rsid w:val="FFEF28A5"/>
    <w:rsid w:val="FFEF5CF5"/>
    <w:rsid w:val="FFEF68F6"/>
    <w:rsid w:val="FFEF89F2"/>
    <w:rsid w:val="FFEFBE7B"/>
    <w:rsid w:val="FFEFFA57"/>
    <w:rsid w:val="FFF3760B"/>
    <w:rsid w:val="FFF5698D"/>
    <w:rsid w:val="FFF5C4E1"/>
    <w:rsid w:val="FFF61BF4"/>
    <w:rsid w:val="FFF68299"/>
    <w:rsid w:val="FFF7BA7F"/>
    <w:rsid w:val="FFF7BE5B"/>
    <w:rsid w:val="FFF7F2FC"/>
    <w:rsid w:val="FFF7FCC5"/>
    <w:rsid w:val="FFF99846"/>
    <w:rsid w:val="FFFA9856"/>
    <w:rsid w:val="FFFADCB8"/>
    <w:rsid w:val="FFFAF1CE"/>
    <w:rsid w:val="FFFAF78F"/>
    <w:rsid w:val="FFFB51BE"/>
    <w:rsid w:val="FFFB8056"/>
    <w:rsid w:val="FFFB96B0"/>
    <w:rsid w:val="FFFBC32B"/>
    <w:rsid w:val="FFFBDB87"/>
    <w:rsid w:val="FFFC0007"/>
    <w:rsid w:val="FFFC7707"/>
    <w:rsid w:val="FFFD2173"/>
    <w:rsid w:val="FFFD4A1A"/>
    <w:rsid w:val="FFFDAF9E"/>
    <w:rsid w:val="FFFDE3D6"/>
    <w:rsid w:val="FFFDFC16"/>
    <w:rsid w:val="FFFE180D"/>
    <w:rsid w:val="FFFE1DC7"/>
    <w:rsid w:val="FFFE7A32"/>
    <w:rsid w:val="FFFEC0CF"/>
    <w:rsid w:val="FFFEC4D3"/>
    <w:rsid w:val="FFFED3A5"/>
    <w:rsid w:val="FFFED8FC"/>
    <w:rsid w:val="FFFEE24C"/>
    <w:rsid w:val="FFFEE7FF"/>
    <w:rsid w:val="FFFEF51E"/>
    <w:rsid w:val="FFFF0BBC"/>
    <w:rsid w:val="FFFF0C3A"/>
    <w:rsid w:val="FFFF174A"/>
    <w:rsid w:val="FFFF20DC"/>
    <w:rsid w:val="FFFF23C3"/>
    <w:rsid w:val="FFFF2BCD"/>
    <w:rsid w:val="FFFF2D5E"/>
    <w:rsid w:val="FFFF32D1"/>
    <w:rsid w:val="FFFF45A1"/>
    <w:rsid w:val="FFFF5295"/>
    <w:rsid w:val="FFFF5D01"/>
    <w:rsid w:val="FFFF6A0A"/>
    <w:rsid w:val="FFFF78AE"/>
    <w:rsid w:val="FFFF8EC2"/>
    <w:rsid w:val="FFFFB498"/>
    <w:rsid w:val="FFFFB8F0"/>
    <w:rsid w:val="FFFFBCE6"/>
    <w:rsid w:val="FFFFBD89"/>
    <w:rsid w:val="FFFFC1D8"/>
    <w:rsid w:val="FFFFF6C9"/>
    <w:rsid w:val="FFFFFACC"/>
    <w:rsid w:val="FFFFFD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tabs>
        <w:tab w:val="left" w:pos="900"/>
      </w:tabs>
      <w:spacing w:before="260" w:after="260" w:line="416" w:lineRule="auto"/>
      <w:ind w:left="900" w:hanging="720"/>
      <w:outlineLvl w:val="2"/>
    </w:pPr>
  </w:style>
  <w:style w:type="paragraph" w:styleId="5">
    <w:name w:val="heading 4"/>
    <w:basedOn w:val="1"/>
    <w:next w:val="1"/>
    <w:link w:val="34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20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1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5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26"/>
    <w:qFormat/>
    <w:uiPriority w:val="0"/>
    <w:pPr>
      <w:shd w:val="clear" w:color="auto" w:fill="000080"/>
    </w:pPr>
  </w:style>
  <w:style w:type="paragraph" w:styleId="19">
    <w:name w:val="toa heading"/>
    <w:basedOn w:val="1"/>
    <w:next w:val="1"/>
    <w:qFormat/>
    <w:uiPriority w:val="0"/>
    <w:pPr>
      <w:spacing w:before="120" w:line="360" w:lineRule="auto"/>
    </w:pPr>
    <w:rPr>
      <w:rFonts w:ascii="Arial" w:hAnsi="Arial" w:eastAsia="楷体_GB2312" w:cs="Arial"/>
      <w:sz w:val="24"/>
    </w:rPr>
  </w:style>
  <w:style w:type="paragraph" w:styleId="20">
    <w:name w:val="annotation text"/>
    <w:basedOn w:val="1"/>
    <w:link w:val="366"/>
    <w:qFormat/>
    <w:uiPriority w:val="99"/>
    <w:pPr>
      <w:jc w:val="left"/>
    </w:pPr>
  </w:style>
  <w:style w:type="paragraph" w:styleId="21">
    <w:name w:val="Salutation"/>
    <w:basedOn w:val="1"/>
    <w:next w:val="1"/>
    <w:link w:val="320"/>
    <w:qFormat/>
    <w:uiPriority w:val="0"/>
    <w:rPr>
      <w:rFonts w:ascii="仿宋_GB2312" w:eastAsia="仿宋_GB2312"/>
      <w:sz w:val="28"/>
      <w:szCs w:val="20"/>
    </w:rPr>
  </w:style>
  <w:style w:type="paragraph" w:styleId="22">
    <w:name w:val="Body Text 3"/>
    <w:basedOn w:val="1"/>
    <w:link w:val="35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5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4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Body Text Indent"/>
    <w:basedOn w:val="1"/>
    <w:next w:val="1"/>
    <w:link w:val="289"/>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4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4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205"/>
    <w:qFormat/>
    <w:uiPriority w:val="0"/>
    <w:pPr>
      <w:ind w:left="100" w:leftChars="2500"/>
    </w:pPr>
    <w:rPr>
      <w:rFonts w:ascii="宋体"/>
      <w:sz w:val="24"/>
      <w:szCs w:val="21"/>
      <w:lang w:val="zh-CN"/>
    </w:rPr>
  </w:style>
  <w:style w:type="paragraph" w:styleId="39">
    <w:name w:val="Body Text Indent 2"/>
    <w:basedOn w:val="1"/>
    <w:link w:val="330"/>
    <w:qFormat/>
    <w:uiPriority w:val="0"/>
    <w:pPr>
      <w:spacing w:line="360" w:lineRule="auto"/>
      <w:ind w:firstLine="601"/>
      <w:textAlignment w:val="baseline"/>
    </w:pPr>
    <w:rPr>
      <w:rFonts w:ascii="宋体"/>
      <w:kern w:val="0"/>
      <w:sz w:val="28"/>
      <w:szCs w:val="20"/>
    </w:rPr>
  </w:style>
  <w:style w:type="paragraph" w:styleId="40">
    <w:name w:val="endnote text"/>
    <w:basedOn w:val="1"/>
    <w:link w:val="940"/>
    <w:qFormat/>
    <w:uiPriority w:val="0"/>
    <w:rPr>
      <w:lang w:val="zh-CN"/>
    </w:rPr>
  </w:style>
  <w:style w:type="paragraph" w:styleId="41">
    <w:name w:val="Balloon Text"/>
    <w:basedOn w:val="1"/>
    <w:link w:val="212"/>
    <w:qFormat/>
    <w:uiPriority w:val="0"/>
    <w:rPr>
      <w:sz w:val="18"/>
      <w:szCs w:val="18"/>
    </w:rPr>
  </w:style>
  <w:style w:type="paragraph" w:styleId="42">
    <w:name w:val="footer"/>
    <w:basedOn w:val="1"/>
    <w:link w:val="404"/>
    <w:qFormat/>
    <w:uiPriority w:val="99"/>
    <w:pPr>
      <w:tabs>
        <w:tab w:val="center" w:pos="4153"/>
        <w:tab w:val="right" w:pos="8306"/>
      </w:tabs>
      <w:snapToGrid w:val="0"/>
      <w:jc w:val="left"/>
    </w:pPr>
    <w:rPr>
      <w:sz w:val="18"/>
      <w:szCs w:val="18"/>
    </w:rPr>
  </w:style>
  <w:style w:type="paragraph" w:styleId="43">
    <w:name w:val="envelope return"/>
    <w:basedOn w:val="1"/>
    <w:qFormat/>
    <w:uiPriority w:val="0"/>
    <w:pPr>
      <w:widowControl/>
      <w:spacing w:line="220" w:lineRule="atLeast"/>
      <w:ind w:firstLine="181"/>
      <w:jc w:val="left"/>
      <w:textAlignment w:val="baseline"/>
    </w:pPr>
    <w:rPr>
      <w:rFonts w:ascii="Arial" w:hAnsi="Arial"/>
      <w:kern w:val="0"/>
      <w:sz w:val="18"/>
      <w:szCs w:val="20"/>
    </w:rPr>
  </w:style>
  <w:style w:type="paragraph" w:styleId="44">
    <w:name w:val="header"/>
    <w:basedOn w:val="1"/>
    <w:link w:val="41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6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5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32"/>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9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24"/>
    <w:qFormat/>
    <w:uiPriority w:val="0"/>
    <w:pPr>
      <w:spacing w:after="120" w:line="480" w:lineRule="auto"/>
    </w:pPr>
  </w:style>
  <w:style w:type="paragraph" w:styleId="59">
    <w:name w:val="HTML Preformatted"/>
    <w:basedOn w:val="1"/>
    <w:link w:val="3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310"/>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20"/>
    <w:qFormat/>
    <w:uiPriority w:val="0"/>
    <w:rPr>
      <w:b/>
      <w:bCs/>
    </w:rPr>
  </w:style>
  <w:style w:type="paragraph" w:styleId="63">
    <w:name w:val="Body Text First Indent 2"/>
    <w:basedOn w:val="27"/>
    <w:link w:val="145"/>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TML Definition"/>
    <w:basedOn w:val="71"/>
    <w:qFormat/>
    <w:uiPriority w:val="0"/>
    <w:rPr>
      <w:i/>
      <w:iCs/>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Keyboard"/>
    <w:basedOn w:val="71"/>
    <w:qFormat/>
    <w:uiPriority w:val="0"/>
    <w:rPr>
      <w:rFonts w:ascii="Segoe UI" w:hAnsi="Segoe UI" w:eastAsia="Segoe UI" w:cs="Segoe UI"/>
      <w:sz w:val="21"/>
      <w:szCs w:val="21"/>
    </w:rPr>
  </w:style>
  <w:style w:type="character" w:styleId="83">
    <w:name w:val="HTML Sample"/>
    <w:basedOn w:val="71"/>
    <w:qFormat/>
    <w:uiPriority w:val="0"/>
    <w:rPr>
      <w:rFonts w:hint="default" w:ascii="Segoe UI" w:hAnsi="Segoe UI" w:eastAsia="Segoe UI" w:cs="Segoe UI"/>
      <w:sz w:val="21"/>
      <w:szCs w:val="21"/>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表格文字"/>
    <w:basedOn w:val="1"/>
    <w:next w:val="24"/>
    <w:qFormat/>
    <w:uiPriority w:val="0"/>
    <w:pPr>
      <w:adjustRightInd/>
      <w:ind w:firstLine="200" w:firstLineChars="200"/>
    </w:pPr>
    <w:rPr>
      <w:rFonts w:ascii="Arial" w:hAnsi="Arial"/>
      <w:spacing w:val="-5"/>
      <w:kern w:val="0"/>
      <w:sz w:val="24"/>
      <w:szCs w:val="20"/>
    </w:rPr>
  </w:style>
  <w:style w:type="paragraph" w:customStyle="1" w:styleId="86">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paragraph" w:customStyle="1" w:styleId="89">
    <w:name w:val="_Style 3"/>
    <w:basedOn w:val="1"/>
    <w:qFormat/>
    <w:uiPriority w:val="0"/>
    <w:pPr>
      <w:adjustRightInd/>
      <w:ind w:firstLine="420" w:firstLineChars="200"/>
    </w:pPr>
    <w:rPr>
      <w:rFonts w:eastAsia="仿宋_GB2312"/>
      <w:sz w:val="28"/>
    </w:rPr>
  </w:style>
  <w:style w:type="character" w:customStyle="1" w:styleId="90">
    <w:name w:val="标题 2 Char"/>
    <w:qFormat/>
    <w:uiPriority w:val="0"/>
    <w:rPr>
      <w:rFonts w:ascii="Arial" w:hAnsi="Arial" w:eastAsia="黑体"/>
      <w:b/>
      <w:kern w:val="2"/>
      <w:sz w:val="32"/>
      <w:lang w:val="en-US" w:eastAsia="zh-CN"/>
    </w:rPr>
  </w:style>
  <w:style w:type="character" w:customStyle="1" w:styleId="91">
    <w:name w:val="标题 1 字符"/>
    <w:qFormat/>
    <w:uiPriority w:val="9"/>
    <w:rPr>
      <w:rFonts w:ascii="Arial" w:hAnsi="Arial" w:eastAsia="黑体" w:cs="Arial"/>
      <w:b/>
      <w:bCs/>
      <w:snapToGrid w:val="0"/>
      <w:kern w:val="44"/>
      <w:sz w:val="44"/>
      <w:szCs w:val="44"/>
    </w:rPr>
  </w:style>
  <w:style w:type="character" w:customStyle="1" w:styleId="92">
    <w:name w:val="标题 4 字符"/>
    <w:qFormat/>
    <w:uiPriority w:val="9"/>
    <w:rPr>
      <w:rFonts w:ascii="等线 Light" w:hAnsi="等线 Light" w:eastAsia="等线 Light" w:cs="Times New Roman"/>
      <w:b/>
      <w:bCs/>
      <w:snapToGrid w:val="0"/>
      <w:kern w:val="0"/>
      <w:sz w:val="28"/>
      <w:szCs w:val="28"/>
    </w:rPr>
  </w:style>
  <w:style w:type="character" w:customStyle="1" w:styleId="93">
    <w:name w:val="标题 5 Char"/>
    <w:link w:val="6"/>
    <w:qFormat/>
    <w:uiPriority w:val="9"/>
    <w:rPr>
      <w:b/>
      <w:bCs/>
      <w:kern w:val="2"/>
      <w:sz w:val="28"/>
      <w:szCs w:val="28"/>
    </w:rPr>
  </w:style>
  <w:style w:type="paragraph" w:customStyle="1" w:styleId="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9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96">
    <w:name w:val="样式9"/>
    <w:basedOn w:val="1"/>
    <w:next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7">
    <w:name w:val="表格"/>
    <w:basedOn w:val="1"/>
    <w:qFormat/>
    <w:uiPriority w:val="0"/>
    <w:pPr>
      <w:snapToGrid w:val="0"/>
      <w:ind w:firstLine="42" w:firstLineChars="21"/>
    </w:pPr>
    <w:rPr>
      <w:rFonts w:ascii="宋体" w:hAnsi="宋体"/>
      <w:kern w:val="0"/>
      <w:sz w:val="20"/>
      <w:szCs w:val="20"/>
    </w:rPr>
  </w:style>
  <w:style w:type="character" w:customStyle="1" w:styleId="98">
    <w:name w:val="表格 Char Char"/>
    <w:qFormat/>
    <w:uiPriority w:val="0"/>
    <w:rPr>
      <w:rFonts w:ascii="宋体" w:hAnsi="宋体" w:eastAsia="宋体"/>
      <w:lang w:bidi="ar-SA"/>
    </w:rPr>
  </w:style>
  <w:style w:type="paragraph" w:customStyle="1" w:styleId="9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10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1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04">
    <w:name w:val="样式 标题 1 + 四号 加粗"/>
    <w:basedOn w:val="2"/>
    <w:qFormat/>
    <w:uiPriority w:val="0"/>
    <w:pPr>
      <w:tabs>
        <w:tab w:val="clear" w:pos="432"/>
      </w:tabs>
      <w:adjustRightInd/>
      <w:ind w:left="0" w:firstLine="0"/>
    </w:pPr>
    <w:rPr>
      <w:rFonts w:eastAsia="黑体"/>
    </w:rPr>
  </w:style>
  <w:style w:type="paragraph" w:customStyle="1" w:styleId="105">
    <w:name w:val="[Normal]"/>
    <w:qFormat/>
    <w:uiPriority w:val="0"/>
    <w:rPr>
      <w:rFonts w:ascii="宋体" w:hAnsi="宋体" w:eastAsia="宋体" w:cs="Times New Roman"/>
      <w:sz w:val="24"/>
      <w:szCs w:val="22"/>
      <w:lang w:val="zh-CN" w:eastAsia="zh-CN" w:bidi="ar-SA"/>
    </w:rPr>
  </w:style>
  <w:style w:type="character" w:customStyle="1" w:styleId="106">
    <w:name w:val="表格非标题文字 Char"/>
    <w:link w:val="107"/>
    <w:qFormat/>
    <w:uiPriority w:val="0"/>
    <w:rPr>
      <w:rFonts w:ascii="Futura Bk" w:hAnsi="Futura Bk"/>
      <w:kern w:val="2"/>
      <w:sz w:val="18"/>
      <w:szCs w:val="21"/>
      <w:lang w:val="en-US" w:eastAsia="zh-CN" w:bidi="ar-SA"/>
    </w:rPr>
  </w:style>
  <w:style w:type="paragraph" w:customStyle="1" w:styleId="107">
    <w:name w:val="表格非标题文字"/>
    <w:link w:val="10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08">
    <w:name w:val="*正文 Char"/>
    <w:link w:val="109"/>
    <w:qFormat/>
    <w:locked/>
    <w:uiPriority w:val="0"/>
    <w:rPr>
      <w:rFonts w:ascii="宋体" w:hAnsi="宋体"/>
      <w:sz w:val="24"/>
    </w:rPr>
  </w:style>
  <w:style w:type="paragraph" w:customStyle="1" w:styleId="109">
    <w:name w:val="*正文"/>
    <w:basedOn w:val="1"/>
    <w:link w:val="108"/>
    <w:qFormat/>
    <w:uiPriority w:val="0"/>
    <w:pPr>
      <w:snapToGrid w:val="0"/>
      <w:spacing w:line="360" w:lineRule="auto"/>
      <w:ind w:firstLine="482"/>
      <w:jc w:val="left"/>
    </w:pPr>
    <w:rPr>
      <w:rFonts w:ascii="宋体" w:hAnsi="宋体"/>
      <w:kern w:val="0"/>
      <w:sz w:val="24"/>
      <w:szCs w:val="20"/>
    </w:rPr>
  </w:style>
  <w:style w:type="character" w:customStyle="1" w:styleId="110">
    <w:name w:val="Char Char71"/>
    <w:semiHidden/>
    <w:qFormat/>
    <w:uiPriority w:val="0"/>
    <w:rPr>
      <w:rFonts w:eastAsia="宋体"/>
      <w:kern w:val="2"/>
      <w:sz w:val="21"/>
      <w:szCs w:val="24"/>
      <w:lang w:val="en-US" w:eastAsia="zh-CN" w:bidi="ar-SA"/>
    </w:rPr>
  </w:style>
  <w:style w:type="character" w:customStyle="1" w:styleId="111">
    <w:name w:val="Char Char6"/>
    <w:qFormat/>
    <w:uiPriority w:val="0"/>
    <w:rPr>
      <w:rFonts w:eastAsia="宋体"/>
      <w:kern w:val="2"/>
      <w:sz w:val="21"/>
      <w:szCs w:val="24"/>
      <w:lang w:val="en-US" w:eastAsia="zh-CN" w:bidi="ar-SA"/>
    </w:rPr>
  </w:style>
  <w:style w:type="character" w:customStyle="1" w:styleId="112">
    <w:name w:val="正文缩进 Char"/>
    <w:qFormat/>
    <w:uiPriority w:val="0"/>
    <w:rPr>
      <w:rFonts w:eastAsia="宋体"/>
      <w:kern w:val="2"/>
      <w:sz w:val="21"/>
      <w:lang w:val="en-US" w:eastAsia="zh-CN"/>
    </w:rPr>
  </w:style>
  <w:style w:type="character" w:customStyle="1" w:styleId="113">
    <w:name w:val="正文首行缩进 Char1"/>
    <w:qFormat/>
    <w:uiPriority w:val="0"/>
    <w:rPr>
      <w:rFonts w:ascii="宋体" w:hAnsi="Times New Roman" w:eastAsia="宋体" w:cs="Times New Roman"/>
      <w:snapToGrid w:val="0"/>
      <w:kern w:val="2"/>
      <w:sz w:val="24"/>
      <w:szCs w:val="21"/>
      <w:lang w:val="zh-CN"/>
    </w:rPr>
  </w:style>
  <w:style w:type="character" w:customStyle="1" w:styleId="114">
    <w:name w:val="Char Char28"/>
    <w:qFormat/>
    <w:uiPriority w:val="6"/>
    <w:rPr>
      <w:rFonts w:ascii="仿宋_GB2312" w:hAnsi="仿宋_GB2312" w:eastAsia="仿宋_GB2312"/>
      <w:kern w:val="1"/>
      <w:sz w:val="28"/>
    </w:rPr>
  </w:style>
  <w:style w:type="character" w:customStyle="1" w:styleId="11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16">
    <w:name w:val="Heading 1 Char"/>
    <w:qFormat/>
    <w:uiPriority w:val="6"/>
    <w:rPr>
      <w:rFonts w:ascii="Times New Roman" w:hAnsi="Times New Roman" w:eastAsia="黑体" w:cs="Times New Roman"/>
      <w:b/>
      <w:kern w:val="0"/>
      <w:sz w:val="24"/>
      <w:szCs w:val="24"/>
    </w:rPr>
  </w:style>
  <w:style w:type="character" w:customStyle="1" w:styleId="117">
    <w:name w:val="U_正文 Char"/>
    <w:link w:val="118"/>
    <w:qFormat/>
    <w:uiPriority w:val="0"/>
    <w:rPr>
      <w:sz w:val="24"/>
      <w:szCs w:val="24"/>
    </w:rPr>
  </w:style>
  <w:style w:type="paragraph" w:customStyle="1" w:styleId="118">
    <w:name w:val="U_正文"/>
    <w:basedOn w:val="1"/>
    <w:link w:val="117"/>
    <w:qFormat/>
    <w:uiPriority w:val="0"/>
    <w:pPr>
      <w:adjustRightInd/>
      <w:spacing w:beforeLines="20" w:afterLines="20" w:line="300" w:lineRule="auto"/>
      <w:ind w:firstLine="200" w:firstLineChars="200"/>
    </w:pPr>
    <w:rPr>
      <w:kern w:val="0"/>
      <w:sz w:val="24"/>
    </w:rPr>
  </w:style>
  <w:style w:type="character" w:customStyle="1" w:styleId="119">
    <w:name w:val="HTML 地址 Char1"/>
    <w:qFormat/>
    <w:uiPriority w:val="0"/>
    <w:rPr>
      <w:rFonts w:ascii="Times New Roman" w:hAnsi="Times New Roman" w:eastAsia="宋体" w:cs="Times New Roman"/>
      <w:i/>
      <w:iCs/>
      <w:szCs w:val="24"/>
    </w:rPr>
  </w:style>
  <w:style w:type="character" w:customStyle="1" w:styleId="120">
    <w:name w:val="批注主题 Char1"/>
    <w:link w:val="62"/>
    <w:qFormat/>
    <w:uiPriority w:val="0"/>
    <w:rPr>
      <w:b/>
      <w:bCs/>
      <w:kern w:val="2"/>
      <w:sz w:val="21"/>
      <w:szCs w:val="24"/>
    </w:rPr>
  </w:style>
  <w:style w:type="character" w:customStyle="1" w:styleId="121">
    <w:name w:val="Char Char51"/>
    <w:qFormat/>
    <w:uiPriority w:val="0"/>
    <w:rPr>
      <w:rFonts w:ascii="宋体" w:hAnsi="Courier New" w:eastAsia="宋体"/>
      <w:kern w:val="2"/>
      <w:sz w:val="21"/>
      <w:lang w:val="en-US" w:eastAsia="zh-CN"/>
    </w:rPr>
  </w:style>
  <w:style w:type="character" w:customStyle="1" w:styleId="122">
    <w:name w:val="表正文 Char"/>
    <w:qFormat/>
    <w:uiPriority w:val="0"/>
    <w:rPr>
      <w:rFonts w:ascii="宋体" w:eastAsia="宋体"/>
      <w:snapToGrid w:val="0"/>
      <w:color w:val="000000"/>
      <w:kern w:val="28"/>
      <w:sz w:val="28"/>
      <w:lang w:val="en-US" w:eastAsia="zh-CN" w:bidi="ar-SA"/>
    </w:rPr>
  </w:style>
  <w:style w:type="character" w:customStyle="1" w:styleId="123">
    <w:name w:val="Char Char34"/>
    <w:qFormat/>
    <w:uiPriority w:val="6"/>
    <w:rPr>
      <w:b/>
      <w:kern w:val="1"/>
      <w:sz w:val="28"/>
      <w:szCs w:val="28"/>
    </w:rPr>
  </w:style>
  <w:style w:type="character" w:customStyle="1" w:styleId="12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25">
    <w:name w:val="哈哈正文 Char"/>
    <w:link w:val="126"/>
    <w:qFormat/>
    <w:uiPriority w:val="0"/>
    <w:rPr>
      <w:rFonts w:ascii="宋体" w:hAnsi="宋体" w:eastAsia="宋体"/>
      <w:kern w:val="2"/>
      <w:sz w:val="24"/>
      <w:lang w:bidi="ar-SA"/>
    </w:rPr>
  </w:style>
  <w:style w:type="paragraph" w:customStyle="1" w:styleId="126">
    <w:name w:val="哈哈正文"/>
    <w:basedOn w:val="1"/>
    <w:link w:val="125"/>
    <w:qFormat/>
    <w:uiPriority w:val="0"/>
    <w:pPr>
      <w:adjustRightInd/>
      <w:spacing w:line="360" w:lineRule="auto"/>
      <w:ind w:firstLine="200" w:firstLineChars="200"/>
    </w:pPr>
    <w:rPr>
      <w:rFonts w:ascii="宋体" w:hAnsi="宋体"/>
      <w:sz w:val="24"/>
      <w:szCs w:val="20"/>
    </w:rPr>
  </w:style>
  <w:style w:type="character" w:customStyle="1" w:styleId="127">
    <w:name w:val="未处理的提及1"/>
    <w:qFormat/>
    <w:uiPriority w:val="0"/>
    <w:rPr>
      <w:color w:val="808080"/>
      <w:shd w:val="clear" w:color="auto" w:fill="E6E6E6"/>
    </w:rPr>
  </w:style>
  <w:style w:type="character" w:customStyle="1" w:styleId="128">
    <w:name w:val="txt"/>
    <w:qFormat/>
    <w:uiPriority w:val="0"/>
    <w:rPr>
      <w:rFonts w:ascii="仿宋_GB2312" w:eastAsia="微软雅黑"/>
      <w:b/>
      <w:kern w:val="2"/>
      <w:sz w:val="32"/>
      <w:szCs w:val="32"/>
      <w:lang w:val="en-US" w:eastAsia="zh-CN" w:bidi="ar-SA"/>
    </w:rPr>
  </w:style>
  <w:style w:type="character" w:customStyle="1" w:styleId="129">
    <w:name w:val="二级标题 Char Char"/>
    <w:qFormat/>
    <w:uiPriority w:val="0"/>
    <w:rPr>
      <w:rFonts w:ascii="宋体" w:hAnsi="宋体" w:eastAsia="宋体"/>
      <w:b/>
      <w:snapToGrid w:val="0"/>
      <w:kern w:val="2"/>
      <w:sz w:val="24"/>
      <w:szCs w:val="24"/>
      <w:lang w:val="en-US" w:eastAsia="zh-CN" w:bidi="ar-SA"/>
    </w:rPr>
  </w:style>
  <w:style w:type="character" w:customStyle="1" w:styleId="130">
    <w:name w:val="Char Char32"/>
    <w:qFormat/>
    <w:uiPriority w:val="6"/>
    <w:rPr>
      <w:b/>
      <w:kern w:val="1"/>
      <w:sz w:val="24"/>
      <w:szCs w:val="24"/>
    </w:rPr>
  </w:style>
  <w:style w:type="character" w:customStyle="1" w:styleId="131">
    <w:name w:val="PI Char1"/>
    <w:qFormat/>
    <w:uiPriority w:val="0"/>
    <w:rPr>
      <w:rFonts w:ascii="宋体" w:hAnsi="宋体"/>
      <w:kern w:val="2"/>
      <w:sz w:val="24"/>
      <w:szCs w:val="24"/>
    </w:rPr>
  </w:style>
  <w:style w:type="character" w:customStyle="1" w:styleId="132">
    <w:name w:val="tw4winTerm"/>
    <w:qFormat/>
    <w:uiPriority w:val="0"/>
    <w:rPr>
      <w:color w:val="0000FF"/>
    </w:rPr>
  </w:style>
  <w:style w:type="character" w:customStyle="1" w:styleId="133">
    <w:name w:val="Footer Char"/>
    <w:qFormat/>
    <w:locked/>
    <w:uiPriority w:val="0"/>
    <w:rPr>
      <w:rFonts w:eastAsia="宋体"/>
      <w:kern w:val="2"/>
      <w:sz w:val="18"/>
      <w:lang w:val="en-US" w:eastAsia="zh-CN" w:bidi="ar-SA"/>
    </w:rPr>
  </w:style>
  <w:style w:type="character" w:customStyle="1" w:styleId="134">
    <w:name w:val="普通文字 Char Char1"/>
    <w:qFormat/>
    <w:uiPriority w:val="0"/>
    <w:rPr>
      <w:rFonts w:ascii="宋体" w:hAnsi="Courier New"/>
      <w:kern w:val="2"/>
      <w:sz w:val="21"/>
    </w:rPr>
  </w:style>
  <w:style w:type="character" w:customStyle="1" w:styleId="135">
    <w:name w:val="Char Char101"/>
    <w:qFormat/>
    <w:uiPriority w:val="6"/>
    <w:rPr>
      <w:rFonts w:ascii="宋体" w:hAnsi="宋体"/>
      <w:kern w:val="2"/>
      <w:sz w:val="21"/>
      <w:szCs w:val="24"/>
      <w:lang w:val="en-US" w:eastAsia="zh-CN"/>
    </w:rPr>
  </w:style>
  <w:style w:type="character" w:customStyle="1" w:styleId="136">
    <w:name w:val="标题 4 Char"/>
    <w:qFormat/>
    <w:uiPriority w:val="0"/>
    <w:rPr>
      <w:rFonts w:ascii="Arial" w:hAnsi="Arial" w:eastAsia="黑体"/>
      <w:b/>
      <w:kern w:val="2"/>
      <w:sz w:val="28"/>
    </w:rPr>
  </w:style>
  <w:style w:type="character" w:customStyle="1" w:styleId="137">
    <w:name w:val="链接"/>
    <w:qFormat/>
    <w:uiPriority w:val="0"/>
    <w:rPr>
      <w:color w:val="0000FF"/>
      <w:sz w:val="21"/>
      <w:szCs w:val="21"/>
      <w:u w:val="single"/>
    </w:rPr>
  </w:style>
  <w:style w:type="character" w:customStyle="1" w:styleId="138">
    <w:name w:val="h4 Char"/>
    <w:qFormat/>
    <w:uiPriority w:val="0"/>
    <w:rPr>
      <w:rFonts w:ascii="Arial" w:hAnsi="Arial" w:eastAsia="黑体"/>
      <w:b/>
      <w:bCs/>
      <w:kern w:val="2"/>
      <w:sz w:val="28"/>
      <w:szCs w:val="28"/>
      <w:lang w:val="zh-CN" w:eastAsia="zh-CN" w:bidi="ar-SA"/>
    </w:rPr>
  </w:style>
  <w:style w:type="character" w:customStyle="1" w:styleId="139">
    <w:name w:val="5正文 Char"/>
    <w:link w:val="140"/>
    <w:qFormat/>
    <w:uiPriority w:val="0"/>
    <w:rPr>
      <w:rFonts w:ascii="仿宋_GB2312" w:hAnsi="微软雅黑" w:eastAsia="仿宋_GB2312"/>
      <w:sz w:val="28"/>
      <w:szCs w:val="21"/>
    </w:rPr>
  </w:style>
  <w:style w:type="paragraph" w:customStyle="1" w:styleId="140">
    <w:name w:val="5正文"/>
    <w:basedOn w:val="1"/>
    <w:link w:val="13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1">
    <w:name w:val="标题 3 字符"/>
    <w:qFormat/>
    <w:uiPriority w:val="9"/>
    <w:rPr>
      <w:b/>
      <w:bCs/>
      <w:kern w:val="2"/>
      <w:sz w:val="32"/>
      <w:szCs w:val="32"/>
    </w:rPr>
  </w:style>
  <w:style w:type="character" w:customStyle="1" w:styleId="142">
    <w:name w:val="样式6 Char"/>
    <w:qFormat/>
    <w:uiPriority w:val="0"/>
    <w:rPr>
      <w:rFonts w:ascii="仿宋_GB2312" w:hAnsi="宋体" w:eastAsia="仿宋_GB2312"/>
      <w:b/>
      <w:bCs/>
      <w:kern w:val="2"/>
      <w:sz w:val="24"/>
      <w:szCs w:val="24"/>
      <w:lang w:val="en-US" w:eastAsia="zh-CN" w:bidi="ar-SA"/>
    </w:rPr>
  </w:style>
  <w:style w:type="character" w:customStyle="1" w:styleId="143">
    <w:name w:val="Char Char14"/>
    <w:qFormat/>
    <w:uiPriority w:val="6"/>
    <w:rPr>
      <w:rFonts w:ascii="黑体" w:hAnsi="黑体" w:eastAsia="黑体"/>
    </w:rPr>
  </w:style>
  <w:style w:type="character" w:customStyle="1" w:styleId="144">
    <w:name w:val="Heading 2 Hidden Char"/>
    <w:qFormat/>
    <w:uiPriority w:val="0"/>
    <w:rPr>
      <w:rFonts w:ascii="仿宋_GB2312" w:eastAsia="仿宋_GB2312"/>
      <w:b/>
      <w:bCs/>
      <w:kern w:val="2"/>
      <w:sz w:val="24"/>
      <w:szCs w:val="24"/>
      <w:lang w:val="zh-CN" w:eastAsia="zh-CN" w:bidi="ar-SA"/>
    </w:rPr>
  </w:style>
  <w:style w:type="character" w:customStyle="1" w:styleId="145">
    <w:name w:val="正文首行缩进 2 Char"/>
    <w:link w:val="63"/>
    <w:qFormat/>
    <w:uiPriority w:val="0"/>
    <w:rPr>
      <w:rFonts w:ascii="宋体" w:hAnsi="宋体"/>
      <w:kern w:val="2"/>
      <w:sz w:val="21"/>
      <w:szCs w:val="24"/>
    </w:rPr>
  </w:style>
  <w:style w:type="character" w:customStyle="1" w:styleId="146">
    <w:name w:val="font11"/>
    <w:basedOn w:val="71"/>
    <w:qFormat/>
    <w:uiPriority w:val="0"/>
    <w:rPr>
      <w:rFonts w:hint="default" w:ascii="Times New Roman" w:hAnsi="Times New Roman" w:cs="Times New Roman"/>
      <w:color w:val="000000"/>
      <w:sz w:val="22"/>
      <w:szCs w:val="22"/>
      <w:u w:val="none"/>
    </w:rPr>
  </w:style>
  <w:style w:type="character" w:customStyle="1" w:styleId="147">
    <w:name w:val="表正文 Char1"/>
    <w:qFormat/>
    <w:uiPriority w:val="0"/>
    <w:rPr>
      <w:rFonts w:ascii="宋体" w:eastAsia="宋体"/>
      <w:snapToGrid w:val="0"/>
      <w:color w:val="000000"/>
      <w:kern w:val="28"/>
      <w:sz w:val="28"/>
    </w:rPr>
  </w:style>
  <w:style w:type="character" w:customStyle="1" w:styleId="148">
    <w:name w:val="blue1"/>
    <w:basedOn w:val="71"/>
    <w:qFormat/>
    <w:uiPriority w:val="0"/>
    <w:rPr>
      <w:rFonts w:ascii="Arial" w:hAnsi="Arial" w:eastAsia="黑体" w:cs="Arial"/>
      <w:snapToGrid w:val="0"/>
      <w:kern w:val="0"/>
      <w:szCs w:val="21"/>
    </w:rPr>
  </w:style>
  <w:style w:type="character" w:customStyle="1" w:styleId="14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50">
    <w:name w:val="标书1 Char"/>
    <w:qFormat/>
    <w:uiPriority w:val="0"/>
    <w:rPr>
      <w:rFonts w:eastAsia="宋体"/>
      <w:b/>
      <w:bCs/>
      <w:kern w:val="44"/>
      <w:sz w:val="44"/>
      <w:szCs w:val="44"/>
      <w:lang w:val="en-US" w:eastAsia="zh-CN" w:bidi="ar-SA"/>
    </w:rPr>
  </w:style>
  <w:style w:type="character" w:customStyle="1" w:styleId="151">
    <w:name w:val="样式5 Char"/>
    <w:qFormat/>
    <w:uiPriority w:val="0"/>
    <w:rPr>
      <w:rFonts w:ascii="仿宋_GB2312" w:hAnsi="仿宋" w:eastAsia="仿宋_GB2312"/>
      <w:kern w:val="2"/>
      <w:sz w:val="24"/>
      <w:szCs w:val="24"/>
    </w:rPr>
  </w:style>
  <w:style w:type="character" w:customStyle="1" w:styleId="152">
    <w:name w:val="样式4 Char"/>
    <w:qFormat/>
    <w:uiPriority w:val="0"/>
    <w:rPr>
      <w:rFonts w:ascii="仿宋_GB2312" w:hAnsi="仿宋" w:eastAsia="仿宋_GB2312"/>
      <w:b/>
      <w:kern w:val="2"/>
      <w:sz w:val="32"/>
      <w:szCs w:val="32"/>
      <w:lang w:bidi="ar-SA"/>
    </w:rPr>
  </w:style>
  <w:style w:type="character" w:customStyle="1" w:styleId="153">
    <w:name w:val="插图说明 Char"/>
    <w:qFormat/>
    <w:uiPriority w:val="0"/>
    <w:rPr>
      <w:rFonts w:eastAsia="黑体"/>
      <w:sz w:val="24"/>
      <w:lang w:val="en-US" w:eastAsia="zh-CN"/>
    </w:rPr>
  </w:style>
  <w:style w:type="character" w:customStyle="1" w:styleId="154">
    <w:name w:val="正文2 Char Char"/>
    <w:link w:val="155"/>
    <w:qFormat/>
    <w:uiPriority w:val="0"/>
    <w:rPr>
      <w:rFonts w:eastAsia="宋体"/>
      <w:kern w:val="2"/>
      <w:sz w:val="24"/>
      <w:lang w:val="en-US" w:eastAsia="zh-CN" w:bidi="ar-SA"/>
    </w:rPr>
  </w:style>
  <w:style w:type="paragraph" w:customStyle="1" w:styleId="155">
    <w:name w:val="正文2"/>
    <w:basedOn w:val="1"/>
    <w:link w:val="154"/>
    <w:qFormat/>
    <w:uiPriority w:val="0"/>
    <w:pPr>
      <w:spacing w:before="156" w:line="360" w:lineRule="auto"/>
      <w:ind w:firstLine="510" w:firstLineChars="200"/>
    </w:pPr>
    <w:rPr>
      <w:sz w:val="24"/>
      <w:szCs w:val="20"/>
    </w:rPr>
  </w:style>
  <w:style w:type="character" w:customStyle="1" w:styleId="156">
    <w:name w:val="Char Char24"/>
    <w:qFormat/>
    <w:uiPriority w:val="6"/>
    <w:rPr>
      <w:kern w:val="1"/>
      <w:sz w:val="21"/>
    </w:rPr>
  </w:style>
  <w:style w:type="character" w:customStyle="1" w:styleId="157">
    <w:name w:val="副标题 Char"/>
    <w:link w:val="50"/>
    <w:qFormat/>
    <w:uiPriority w:val="0"/>
    <w:rPr>
      <w:rFonts w:ascii="Arial" w:hAnsi="Arial" w:eastAsia="隶书"/>
      <w:b/>
      <w:bCs/>
      <w:kern w:val="28"/>
      <w:sz w:val="44"/>
      <w:szCs w:val="32"/>
      <w:lang w:val="en-US" w:eastAsia="zh-CN" w:bidi="ar-SA"/>
    </w:rPr>
  </w:style>
  <w:style w:type="character" w:customStyle="1" w:styleId="158">
    <w:name w:val="普通文字 Char1 Char"/>
    <w:qFormat/>
    <w:uiPriority w:val="0"/>
    <w:rPr>
      <w:rFonts w:ascii="宋体" w:hAnsi="Courier New" w:eastAsia="宋体"/>
      <w:kern w:val="2"/>
      <w:sz w:val="21"/>
      <w:szCs w:val="24"/>
      <w:lang w:val="en-US" w:eastAsia="zh-CN" w:bidi="ar-SA"/>
    </w:rPr>
  </w:style>
  <w:style w:type="character" w:customStyle="1" w:styleId="159">
    <w:name w:val="h3 Char1"/>
    <w:qFormat/>
    <w:uiPriority w:val="0"/>
    <w:rPr>
      <w:rFonts w:eastAsia="宋体"/>
      <w:b/>
      <w:bCs/>
      <w:kern w:val="2"/>
      <w:sz w:val="32"/>
      <w:szCs w:val="32"/>
      <w:lang w:bidi="ar-SA"/>
    </w:rPr>
  </w:style>
  <w:style w:type="character" w:customStyle="1" w:styleId="160">
    <w:name w:val="标题 Char1"/>
    <w:qFormat/>
    <w:uiPriority w:val="0"/>
    <w:rPr>
      <w:rFonts w:ascii="Cambria" w:hAnsi="Cambria" w:eastAsia="宋体" w:cs="Times New Roman"/>
      <w:b/>
      <w:bCs/>
      <w:sz w:val="32"/>
      <w:szCs w:val="32"/>
      <w:lang w:bidi="ar-SA"/>
    </w:rPr>
  </w:style>
  <w:style w:type="character" w:customStyle="1" w:styleId="161">
    <w:name w:val="gf正文1 Char"/>
    <w:qFormat/>
    <w:uiPriority w:val="0"/>
    <w:rPr>
      <w:rFonts w:ascii="宋体" w:hAnsi="宋体" w:eastAsia="宋体" w:cs="宋体"/>
      <w:kern w:val="2"/>
      <w:sz w:val="24"/>
      <w:szCs w:val="24"/>
      <w:lang w:val="en-US" w:eastAsia="zh-CN" w:bidi="ar-SA"/>
    </w:rPr>
  </w:style>
  <w:style w:type="character" w:customStyle="1" w:styleId="162">
    <w:name w:val="正文文本缩进 Char1"/>
    <w:qFormat/>
    <w:uiPriority w:val="0"/>
    <w:rPr>
      <w:rFonts w:ascii="Calibri" w:hAnsi="Calibri"/>
      <w:sz w:val="28"/>
    </w:rPr>
  </w:style>
  <w:style w:type="character" w:customStyle="1" w:styleId="163">
    <w:name w:val="No Spacing Char"/>
    <w:link w:val="164"/>
    <w:qFormat/>
    <w:uiPriority w:val="1"/>
    <w:rPr>
      <w:sz w:val="22"/>
      <w:szCs w:val="22"/>
      <w:lang w:val="en-US" w:eastAsia="zh-CN" w:bidi="ar-SA"/>
    </w:rPr>
  </w:style>
  <w:style w:type="paragraph" w:customStyle="1" w:styleId="164">
    <w:name w:val="无间隔1"/>
    <w:link w:val="163"/>
    <w:qFormat/>
    <w:uiPriority w:val="1"/>
    <w:rPr>
      <w:rFonts w:ascii="Times New Roman" w:hAnsi="Times New Roman" w:eastAsia="宋体" w:cs="Times New Roman"/>
      <w:sz w:val="22"/>
      <w:szCs w:val="22"/>
      <w:lang w:val="en-US" w:eastAsia="zh-CN" w:bidi="ar-SA"/>
    </w:rPr>
  </w:style>
  <w:style w:type="character" w:customStyle="1" w:styleId="165">
    <w:name w:val="样式7 Char"/>
    <w:qFormat/>
    <w:uiPriority w:val="0"/>
    <w:rPr>
      <w:rFonts w:ascii="仿宋_GB2312" w:hAnsi="仿宋" w:eastAsia="仿宋_GB2312"/>
      <w:b/>
      <w:kern w:val="2"/>
      <w:sz w:val="24"/>
      <w:szCs w:val="24"/>
    </w:rPr>
  </w:style>
  <w:style w:type="character" w:customStyle="1" w:styleId="166">
    <w:name w:val="font12gray1"/>
    <w:qFormat/>
    <w:uiPriority w:val="0"/>
    <w:rPr>
      <w:rFonts w:ascii="仿宋_GB2312" w:eastAsia="微软雅黑"/>
      <w:b/>
      <w:spacing w:val="300"/>
      <w:kern w:val="2"/>
      <w:sz w:val="18"/>
      <w:szCs w:val="18"/>
      <w:lang w:val="en-US" w:eastAsia="zh-CN" w:bidi="ar-SA"/>
    </w:rPr>
  </w:style>
  <w:style w:type="character" w:customStyle="1" w:styleId="167">
    <w:name w:val="Char Char7"/>
    <w:semiHidden/>
    <w:qFormat/>
    <w:uiPriority w:val="0"/>
    <w:rPr>
      <w:rFonts w:eastAsia="宋体"/>
      <w:kern w:val="2"/>
      <w:sz w:val="21"/>
      <w:szCs w:val="24"/>
      <w:lang w:val="en-US" w:eastAsia="zh-CN" w:bidi="ar-SA"/>
    </w:rPr>
  </w:style>
  <w:style w:type="character" w:customStyle="1" w:styleId="168">
    <w:name w:val="表名 Char"/>
    <w:qFormat/>
    <w:uiPriority w:val="0"/>
    <w:rPr>
      <w:rFonts w:eastAsia="宋体"/>
      <w:b/>
      <w:bCs/>
      <w:kern w:val="2"/>
      <w:sz w:val="24"/>
      <w:szCs w:val="24"/>
      <w:lang w:val="en-US" w:eastAsia="zh-CN" w:bidi="ar-SA"/>
    </w:rPr>
  </w:style>
  <w:style w:type="character" w:customStyle="1" w:styleId="169">
    <w:name w:val="Document Map Char"/>
    <w:qFormat/>
    <w:locked/>
    <w:uiPriority w:val="0"/>
    <w:rPr>
      <w:rFonts w:eastAsia="宋体"/>
      <w:kern w:val="2"/>
      <w:sz w:val="21"/>
      <w:szCs w:val="24"/>
      <w:lang w:val="en-US" w:eastAsia="zh-CN" w:bidi="ar-SA"/>
    </w:rPr>
  </w:style>
  <w:style w:type="character" w:customStyle="1" w:styleId="170">
    <w:name w:val="font41"/>
    <w:basedOn w:val="71"/>
    <w:qFormat/>
    <w:uiPriority w:val="0"/>
    <w:rPr>
      <w:rFonts w:hint="eastAsia" w:ascii="仿宋_GB2312" w:eastAsia="仿宋_GB2312" w:cs="仿宋_GB2312"/>
      <w:color w:val="000000"/>
      <w:sz w:val="22"/>
      <w:szCs w:val="22"/>
      <w:u w:val="none"/>
    </w:rPr>
  </w:style>
  <w:style w:type="character" w:customStyle="1" w:styleId="171">
    <w:name w:val="标题 6 Char"/>
    <w:link w:val="7"/>
    <w:qFormat/>
    <w:uiPriority w:val="0"/>
    <w:rPr>
      <w:rFonts w:ascii="Arial" w:hAnsi="Arial" w:eastAsia="黑体"/>
      <w:b/>
      <w:bCs/>
      <w:kern w:val="2"/>
      <w:sz w:val="24"/>
      <w:szCs w:val="24"/>
    </w:rPr>
  </w:style>
  <w:style w:type="character" w:customStyle="1" w:styleId="172">
    <w:name w:val="纯文本 Char_0"/>
    <w:link w:val="173"/>
    <w:qFormat/>
    <w:uiPriority w:val="0"/>
    <w:rPr>
      <w:rFonts w:ascii="宋体" w:hAnsi="Courier New"/>
      <w:kern w:val="2"/>
      <w:sz w:val="21"/>
      <w:szCs w:val="21"/>
      <w:lang w:val="en-US" w:eastAsia="zh-CN"/>
    </w:rPr>
  </w:style>
  <w:style w:type="paragraph" w:customStyle="1" w:styleId="173">
    <w:name w:val="纯文本_0_0"/>
    <w:basedOn w:val="174"/>
    <w:link w:val="172"/>
    <w:qFormat/>
    <w:uiPriority w:val="0"/>
    <w:rPr>
      <w:rFonts w:ascii="宋体" w:hAnsi="Courier New"/>
      <w:szCs w:val="21"/>
    </w:rPr>
  </w:style>
  <w:style w:type="paragraph" w:customStyle="1" w:styleId="1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5">
    <w:name w:val="Balloon Text Char"/>
    <w:qFormat/>
    <w:locked/>
    <w:uiPriority w:val="0"/>
    <w:rPr>
      <w:rFonts w:eastAsia="宋体"/>
      <w:kern w:val="2"/>
      <w:sz w:val="18"/>
      <w:szCs w:val="18"/>
      <w:lang w:val="en-US" w:eastAsia="zh-CN" w:bidi="ar-SA"/>
    </w:rPr>
  </w:style>
  <w:style w:type="character" w:customStyle="1" w:styleId="176">
    <w:name w:val="正文 项目2 Char"/>
    <w:basedOn w:val="177"/>
    <w:qFormat/>
    <w:uiPriority w:val="0"/>
    <w:rPr>
      <w:rFonts w:ascii="仿宋_GB2312" w:hAnsi="仿宋_GB2312" w:eastAsia="仿宋_GB2312"/>
      <w:kern w:val="2"/>
      <w:sz w:val="24"/>
      <w:lang w:bidi="ar-SA"/>
    </w:rPr>
  </w:style>
  <w:style w:type="character" w:customStyle="1" w:styleId="177">
    <w:name w:val="正文 项目 Char"/>
    <w:qFormat/>
    <w:uiPriority w:val="0"/>
    <w:rPr>
      <w:rFonts w:ascii="仿宋_GB2312" w:hAnsi="仿宋_GB2312" w:eastAsia="仿宋_GB2312"/>
      <w:kern w:val="2"/>
      <w:sz w:val="24"/>
      <w:lang w:bidi="ar-SA"/>
    </w:rPr>
  </w:style>
  <w:style w:type="character" w:customStyle="1" w:styleId="178">
    <w:name w:val="h Char Char1"/>
    <w:qFormat/>
    <w:uiPriority w:val="0"/>
    <w:rPr>
      <w:rFonts w:eastAsia="宋体"/>
      <w:kern w:val="2"/>
      <w:sz w:val="18"/>
      <w:szCs w:val="18"/>
      <w:lang w:val="en-US" w:eastAsia="zh-CN" w:bidi="ar-SA"/>
    </w:rPr>
  </w:style>
  <w:style w:type="character" w:customStyle="1" w:styleId="179">
    <w:name w:val="Char Char27"/>
    <w:qFormat/>
    <w:uiPriority w:val="6"/>
    <w:rPr>
      <w:rFonts w:ascii="宋体" w:hAnsi="宋体" w:eastAsia="宋体"/>
      <w:color w:val="000000"/>
      <w:kern w:val="1"/>
      <w:sz w:val="28"/>
      <w:lang w:val="en-US" w:eastAsia="zh-CN" w:bidi="ar-SA"/>
    </w:rPr>
  </w:style>
  <w:style w:type="character" w:customStyle="1" w:styleId="180">
    <w:name w:val="px14"/>
    <w:qFormat/>
    <w:uiPriority w:val="0"/>
    <w:rPr>
      <w:rFonts w:ascii="仿宋_GB2312" w:eastAsia="微软雅黑" w:cs="Times New Roman"/>
      <w:b/>
      <w:kern w:val="2"/>
      <w:sz w:val="32"/>
      <w:szCs w:val="32"/>
      <w:lang w:val="en-US" w:eastAsia="zh-CN" w:bidi="ar-SA"/>
    </w:rPr>
  </w:style>
  <w:style w:type="character" w:customStyle="1" w:styleId="181">
    <w:name w:val="HTML 预设格式 Char1"/>
    <w:qFormat/>
    <w:uiPriority w:val="0"/>
    <w:rPr>
      <w:rFonts w:ascii="Courier New" w:hAnsi="Courier New" w:eastAsia="宋体" w:cs="Courier New"/>
      <w:sz w:val="20"/>
      <w:szCs w:val="20"/>
    </w:rPr>
  </w:style>
  <w:style w:type="character" w:customStyle="1" w:styleId="182">
    <w:name w:val="普通文字 Char1"/>
    <w:qFormat/>
    <w:uiPriority w:val="0"/>
    <w:rPr>
      <w:rFonts w:ascii="宋体" w:hAnsi="Courier New" w:eastAsia="宋体"/>
      <w:kern w:val="2"/>
      <w:sz w:val="21"/>
      <w:lang w:val="en-US" w:eastAsia="zh-CN"/>
    </w:rPr>
  </w:style>
  <w:style w:type="character" w:customStyle="1" w:styleId="183">
    <w:name w:val="hei16b1"/>
    <w:qFormat/>
    <w:uiPriority w:val="0"/>
    <w:rPr>
      <w:rFonts w:hint="default" w:ascii="Arial" w:hAnsi="Arial" w:cs="Arial"/>
      <w:b/>
      <w:bCs/>
      <w:color w:val="000000"/>
      <w:sz w:val="24"/>
      <w:szCs w:val="24"/>
    </w:rPr>
  </w:style>
  <w:style w:type="character" w:customStyle="1" w:styleId="184">
    <w:name w:val="正文（绿盟科技） Char"/>
    <w:link w:val="185"/>
    <w:qFormat/>
    <w:uiPriority w:val="0"/>
    <w:rPr>
      <w:rFonts w:ascii="Arial" w:hAnsi="Arial"/>
      <w:sz w:val="21"/>
      <w:szCs w:val="21"/>
    </w:rPr>
  </w:style>
  <w:style w:type="paragraph" w:customStyle="1" w:styleId="185">
    <w:name w:val="正文（绿盟科技）"/>
    <w:link w:val="184"/>
    <w:qFormat/>
    <w:uiPriority w:val="0"/>
    <w:pPr>
      <w:spacing w:line="300" w:lineRule="auto"/>
    </w:pPr>
    <w:rPr>
      <w:rFonts w:ascii="Arial" w:hAnsi="Arial" w:eastAsia="宋体" w:cs="Times New Roman"/>
      <w:sz w:val="21"/>
      <w:szCs w:val="21"/>
      <w:lang w:val="en-US" w:eastAsia="zh-CN" w:bidi="ar-SA"/>
    </w:rPr>
  </w:style>
  <w:style w:type="character" w:customStyle="1" w:styleId="186">
    <w:name w:val="Char Char19"/>
    <w:qFormat/>
    <w:uiPriority w:val="6"/>
    <w:rPr>
      <w:rFonts w:ascii="宋体" w:hAnsi="宋体"/>
      <w:i/>
      <w:sz w:val="24"/>
      <w:szCs w:val="24"/>
    </w:rPr>
  </w:style>
  <w:style w:type="character" w:customStyle="1" w:styleId="187">
    <w:name w:val="页脚 Char"/>
    <w:qFormat/>
    <w:uiPriority w:val="0"/>
    <w:rPr>
      <w:rFonts w:eastAsia="仿宋_GB2312"/>
      <w:kern w:val="2"/>
      <w:sz w:val="18"/>
      <w:lang w:val="en-US" w:eastAsia="zh-CN"/>
    </w:rPr>
  </w:style>
  <w:style w:type="character" w:customStyle="1" w:styleId="188">
    <w:name w:val="批注主题 Char"/>
    <w:qFormat/>
    <w:uiPriority w:val="0"/>
    <w:rPr>
      <w:rFonts w:eastAsia="宋体"/>
      <w:b/>
      <w:bCs/>
      <w:kern w:val="2"/>
      <w:sz w:val="21"/>
      <w:szCs w:val="24"/>
      <w:lang w:val="en-US" w:eastAsia="zh-CN" w:bidi="ar-SA"/>
    </w:rPr>
  </w:style>
  <w:style w:type="character" w:customStyle="1" w:styleId="189">
    <w:name w:val="Comment Text Char"/>
    <w:qFormat/>
    <w:locked/>
    <w:uiPriority w:val="0"/>
    <w:rPr>
      <w:rFonts w:ascii="宋体" w:hAnsi="宋体" w:eastAsia="宋体"/>
      <w:kern w:val="2"/>
      <w:sz w:val="24"/>
      <w:lang w:val="en-US" w:eastAsia="zh-CN" w:bidi="ar-SA"/>
    </w:rPr>
  </w:style>
  <w:style w:type="character" w:customStyle="1" w:styleId="190">
    <w:name w:val="标题 2 字符"/>
    <w:qFormat/>
    <w:uiPriority w:val="1"/>
    <w:rPr>
      <w:rFonts w:ascii="仿宋_GB2312" w:hAnsi="Times New Roman" w:eastAsia="仿宋_GB2312" w:cs="Times New Roman"/>
      <w:b/>
      <w:kern w:val="2"/>
      <w:sz w:val="24"/>
      <w:lang w:val="zh-CN"/>
    </w:rPr>
  </w:style>
  <w:style w:type="character" w:customStyle="1" w:styleId="191">
    <w:name w:val="Char Char72"/>
    <w:qFormat/>
    <w:uiPriority w:val="0"/>
    <w:rPr>
      <w:rFonts w:eastAsia="宋体"/>
      <w:kern w:val="2"/>
      <w:sz w:val="21"/>
      <w:szCs w:val="24"/>
      <w:lang w:val="en-US" w:eastAsia="zh-CN" w:bidi="ar-SA"/>
    </w:rPr>
  </w:style>
  <w:style w:type="character" w:customStyle="1" w:styleId="192">
    <w:name w:val="正文文本缩进 Char2"/>
    <w:qFormat/>
    <w:uiPriority w:val="0"/>
    <w:rPr>
      <w:rFonts w:ascii="Times New Roman" w:hAnsi="Times New Roman" w:eastAsia="宋体" w:cs="Times New Roman"/>
      <w:snapToGrid w:val="0"/>
      <w:kern w:val="0"/>
      <w:szCs w:val="24"/>
    </w:rPr>
  </w:style>
  <w:style w:type="character" w:customStyle="1" w:styleId="193">
    <w:name w:val="样式2 Char"/>
    <w:qFormat/>
    <w:uiPriority w:val="0"/>
    <w:rPr>
      <w:rFonts w:ascii="仿宋_GB2312" w:hAnsi="仿宋" w:eastAsia="仿宋_GB2312" w:cs="仿宋_GB2312"/>
      <w:b/>
      <w:bCs/>
      <w:sz w:val="32"/>
      <w:szCs w:val="30"/>
      <w:lang w:val="zh-CN"/>
    </w:rPr>
  </w:style>
  <w:style w:type="character" w:customStyle="1" w:styleId="194">
    <w:name w:val="表格名称[858D7CFB-ED40-4347-BF05-701D383B685F]"/>
    <w:link w:val="195"/>
    <w:qFormat/>
    <w:uiPriority w:val="0"/>
    <w:rPr>
      <w:sz w:val="32"/>
    </w:rPr>
  </w:style>
  <w:style w:type="paragraph" w:customStyle="1" w:styleId="195">
    <w:name w:val="表格名称"/>
    <w:basedOn w:val="3"/>
    <w:link w:val="19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6">
    <w:name w:val="Char Char4"/>
    <w:qFormat/>
    <w:uiPriority w:val="0"/>
    <w:rPr>
      <w:rFonts w:eastAsia="宋体"/>
      <w:b/>
      <w:sz w:val="24"/>
      <w:lang w:val="en-GB" w:eastAsia="zh-CN" w:bidi="ar-SA"/>
    </w:rPr>
  </w:style>
  <w:style w:type="character" w:customStyle="1" w:styleId="197">
    <w:name w:val="c7 style3"/>
    <w:qFormat/>
    <w:uiPriority w:val="0"/>
  </w:style>
  <w:style w:type="character" w:customStyle="1" w:styleId="198">
    <w:name w:val="正文文本 3 Char1"/>
    <w:semiHidden/>
    <w:qFormat/>
    <w:uiPriority w:val="99"/>
    <w:rPr>
      <w:rFonts w:ascii="Times New Roman" w:hAnsi="Times New Roman" w:eastAsia="宋体" w:cs="Times New Roman"/>
      <w:sz w:val="16"/>
      <w:szCs w:val="16"/>
    </w:rPr>
  </w:style>
  <w:style w:type="character" w:customStyle="1" w:styleId="199">
    <w:name w:val="tw4winInternal"/>
    <w:qFormat/>
    <w:uiPriority w:val="0"/>
    <w:rPr>
      <w:rFonts w:ascii="Courier New" w:hAnsi="Courier New" w:cs="Courier New"/>
      <w:color w:val="FF0000"/>
      <w:lang w:val="en-US" w:eastAsia="zh-CN"/>
    </w:rPr>
  </w:style>
  <w:style w:type="character" w:customStyle="1" w:styleId="200">
    <w:name w:val="Char Char10"/>
    <w:semiHidden/>
    <w:qFormat/>
    <w:uiPriority w:val="0"/>
    <w:rPr>
      <w:rFonts w:ascii="宋体" w:hAnsi="宋体"/>
      <w:kern w:val="2"/>
      <w:sz w:val="21"/>
      <w:szCs w:val="24"/>
      <w:lang w:val="en-US" w:eastAsia="zh-CN"/>
    </w:rPr>
  </w:style>
  <w:style w:type="character" w:customStyle="1" w:styleId="201">
    <w:name w:val="shadow11"/>
    <w:qFormat/>
    <w:uiPriority w:val="0"/>
    <w:rPr>
      <w:color w:val="000000"/>
      <w:sz w:val="21"/>
    </w:rPr>
  </w:style>
  <w:style w:type="character" w:customStyle="1" w:styleId="202">
    <w:name w:val="正文非缩进 Char3"/>
    <w:qFormat/>
    <w:uiPriority w:val="0"/>
    <w:rPr>
      <w:rFonts w:ascii="宋体" w:eastAsia="宋体"/>
      <w:snapToGrid w:val="0"/>
      <w:color w:val="000000"/>
      <w:kern w:val="28"/>
      <w:sz w:val="28"/>
      <w:lang w:val="en-US" w:eastAsia="zh-CN" w:bidi="ar-SA"/>
    </w:rPr>
  </w:style>
  <w:style w:type="character" w:customStyle="1" w:styleId="203">
    <w:name w:val="Char Char"/>
    <w:qFormat/>
    <w:uiPriority w:val="0"/>
    <w:rPr>
      <w:rFonts w:ascii="宋体" w:hAnsi="Courier New" w:eastAsia="宋体"/>
      <w:kern w:val="2"/>
      <w:sz w:val="21"/>
      <w:lang w:val="en-US" w:eastAsia="zh-CN" w:bidi="ar-SA"/>
    </w:rPr>
  </w:style>
  <w:style w:type="character" w:customStyle="1" w:styleId="204">
    <w:name w:val="签名 Char1"/>
    <w:qFormat/>
    <w:uiPriority w:val="0"/>
    <w:rPr>
      <w:rFonts w:ascii="Times New Roman" w:hAnsi="Times New Roman" w:eastAsia="宋体" w:cs="Times New Roman"/>
      <w:szCs w:val="24"/>
    </w:rPr>
  </w:style>
  <w:style w:type="character" w:customStyle="1" w:styleId="205">
    <w:name w:val="日期 Char"/>
    <w:link w:val="38"/>
    <w:qFormat/>
    <w:uiPriority w:val="0"/>
    <w:rPr>
      <w:rFonts w:ascii="宋体"/>
      <w:kern w:val="2"/>
      <w:sz w:val="24"/>
      <w:szCs w:val="21"/>
      <w:lang w:val="zh-CN"/>
    </w:rPr>
  </w:style>
  <w:style w:type="character" w:customStyle="1" w:styleId="206">
    <w:name w:val="标题 9 Char"/>
    <w:link w:val="10"/>
    <w:qFormat/>
    <w:uiPriority w:val="0"/>
    <w:rPr>
      <w:rFonts w:ascii="Arial" w:hAnsi="Arial" w:eastAsia="黑体"/>
      <w:kern w:val="2"/>
      <w:sz w:val="21"/>
      <w:szCs w:val="21"/>
    </w:rPr>
  </w:style>
  <w:style w:type="character" w:customStyle="1" w:styleId="207">
    <w:name w:val="Char Char18"/>
    <w:qFormat/>
    <w:uiPriority w:val="6"/>
    <w:rPr>
      <w:rFonts w:ascii="宋体" w:hAnsi="宋体"/>
      <w:sz w:val="28"/>
    </w:rPr>
  </w:style>
  <w:style w:type="character" w:customStyle="1" w:styleId="208">
    <w:name w:val="批注文字 Char"/>
    <w:qFormat/>
    <w:uiPriority w:val="99"/>
    <w:rPr>
      <w:kern w:val="2"/>
      <w:sz w:val="21"/>
      <w:szCs w:val="24"/>
    </w:rPr>
  </w:style>
  <w:style w:type="character" w:customStyle="1" w:styleId="209">
    <w:name w:val="Char Char22"/>
    <w:qFormat/>
    <w:uiPriority w:val="6"/>
    <w:rPr>
      <w:rFonts w:ascii="宋体" w:hAnsi="宋体"/>
      <w:kern w:val="1"/>
      <w:sz w:val="24"/>
      <w:szCs w:val="24"/>
    </w:rPr>
  </w:style>
  <w:style w:type="character" w:customStyle="1" w:styleId="210">
    <w:name w:val="pt141"/>
    <w:qFormat/>
    <w:uiPriority w:val="0"/>
    <w:rPr>
      <w:color w:val="330066"/>
      <w:sz w:val="22"/>
      <w:szCs w:val="22"/>
    </w:rPr>
  </w:style>
  <w:style w:type="character" w:customStyle="1" w:styleId="211">
    <w:name w:val="正文文本缩进 2 Char1"/>
    <w:semiHidden/>
    <w:qFormat/>
    <w:uiPriority w:val="99"/>
    <w:rPr>
      <w:rFonts w:ascii="Times New Roman" w:hAnsi="Times New Roman" w:eastAsia="宋体" w:cs="Times New Roman"/>
      <w:szCs w:val="24"/>
    </w:rPr>
  </w:style>
  <w:style w:type="character" w:customStyle="1" w:styleId="212">
    <w:name w:val="批注框文本 Char"/>
    <w:link w:val="41"/>
    <w:qFormat/>
    <w:uiPriority w:val="0"/>
    <w:rPr>
      <w:kern w:val="2"/>
      <w:sz w:val="18"/>
      <w:szCs w:val="18"/>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正文缩进 Char2"/>
    <w:link w:val="15"/>
    <w:qFormat/>
    <w:uiPriority w:val="0"/>
    <w:rPr>
      <w:rFonts w:ascii="宋体" w:eastAsia="宋体"/>
      <w:snapToGrid w:val="0"/>
      <w:color w:val="000000"/>
      <w:kern w:val="28"/>
      <w:sz w:val="28"/>
      <w:lang w:val="en-US" w:eastAsia="zh-CN" w:bidi="ar-SA"/>
    </w:rPr>
  </w:style>
  <w:style w:type="character" w:customStyle="1" w:styleId="218">
    <w:name w:val="Used by Word for text of Help footnotes Char Char1"/>
    <w:qFormat/>
    <w:uiPriority w:val="0"/>
    <w:rPr>
      <w:color w:val="0000FF"/>
      <w:sz w:val="21"/>
    </w:rPr>
  </w:style>
  <w:style w:type="character" w:customStyle="1" w:styleId="219">
    <w:name w:val="页眉 Char"/>
    <w:qFormat/>
    <w:uiPriority w:val="0"/>
    <w:rPr>
      <w:rFonts w:eastAsia="仿宋_GB2312"/>
      <w:kern w:val="2"/>
      <w:sz w:val="18"/>
      <w:lang w:val="en-US" w:eastAsia="zh-CN"/>
    </w:rPr>
  </w:style>
  <w:style w:type="character" w:customStyle="1" w:styleId="220">
    <w:name w:val="FA正文 Char Char"/>
    <w:qFormat/>
    <w:uiPriority w:val="0"/>
    <w:rPr>
      <w:rFonts w:hAnsi="宋体"/>
      <w:kern w:val="2"/>
      <w:sz w:val="24"/>
      <w:lang w:bidi="ar-SA"/>
    </w:rPr>
  </w:style>
  <w:style w:type="character" w:customStyle="1" w:styleId="221">
    <w:name w:val="纯文本 字符"/>
    <w:qFormat/>
    <w:uiPriority w:val="0"/>
    <w:rPr>
      <w:rFonts w:ascii="宋体" w:hAnsi="Courier New" w:eastAsia="宋体" w:cs="Arial"/>
      <w:snapToGrid w:val="0"/>
      <w:kern w:val="2"/>
      <w:sz w:val="21"/>
      <w:szCs w:val="21"/>
      <w:lang w:val="en-US" w:eastAsia="zh-CN" w:bidi="ar-SA"/>
    </w:rPr>
  </w:style>
  <w:style w:type="character" w:customStyle="1" w:styleId="222">
    <w:name w:val="3级 Char"/>
    <w:link w:val="223"/>
    <w:qFormat/>
    <w:uiPriority w:val="0"/>
    <w:rPr>
      <w:rFonts w:ascii="宋体" w:hAnsi="宋体"/>
      <w:b/>
      <w:bCs/>
      <w:snapToGrid/>
      <w:sz w:val="28"/>
    </w:rPr>
  </w:style>
  <w:style w:type="paragraph" w:customStyle="1" w:styleId="223">
    <w:name w:val="3级"/>
    <w:basedOn w:val="224"/>
    <w:link w:val="222"/>
    <w:qFormat/>
    <w:uiPriority w:val="0"/>
    <w:pPr>
      <w:ind w:left="0" w:right="466" w:firstLine="288"/>
    </w:pPr>
    <w:rPr>
      <w:rFonts w:hAnsi="宋体"/>
      <w:snapToGrid/>
    </w:rPr>
  </w:style>
  <w:style w:type="paragraph" w:customStyle="1" w:styleId="224">
    <w:name w:val="样式 标题 3h33rd level3BOD 0H3l3CTHeading 3 - oldLevel 3 He..."/>
    <w:basedOn w:val="4"/>
    <w:qFormat/>
    <w:uiPriority w:val="99"/>
    <w:pPr>
      <w:widowControl/>
      <w:tabs>
        <w:tab w:val="clear" w:pos="900"/>
      </w:tabs>
      <w:spacing w:before="240" w:after="240" w:line="360" w:lineRule="auto"/>
      <w:ind w:left="851" w:right="407" w:rightChars="194" w:hanging="851"/>
    </w:pPr>
    <w:rPr>
      <w:rFonts w:ascii="宋体" w:hAnsi="Arial"/>
      <w:snapToGrid w:val="0"/>
      <w:kern w:val="0"/>
      <w:sz w:val="28"/>
      <w:szCs w:val="20"/>
    </w:rPr>
  </w:style>
  <w:style w:type="character" w:customStyle="1" w:styleId="225">
    <w:name w:val="myp11"/>
    <w:qFormat/>
    <w:uiPriority w:val="0"/>
    <w:rPr>
      <w:rFonts w:ascii="仿宋_GB2312" w:eastAsia="微软雅黑"/>
      <w:b/>
      <w:kern w:val="2"/>
      <w:sz w:val="32"/>
      <w:szCs w:val="32"/>
      <w:lang w:val="en-US" w:eastAsia="zh-CN" w:bidi="ar-SA"/>
    </w:rPr>
  </w:style>
  <w:style w:type="character" w:customStyle="1" w:styleId="226">
    <w:name w:val="文档结构图 Char1"/>
    <w:link w:val="18"/>
    <w:qFormat/>
    <w:uiPriority w:val="0"/>
    <w:rPr>
      <w:kern w:val="2"/>
      <w:sz w:val="21"/>
      <w:szCs w:val="24"/>
      <w:shd w:val="clear" w:color="auto" w:fill="000080"/>
    </w:rPr>
  </w:style>
  <w:style w:type="character" w:customStyle="1" w:styleId="227">
    <w:name w:val="H6 Char"/>
    <w:qFormat/>
    <w:uiPriority w:val="0"/>
    <w:rPr>
      <w:rFonts w:ascii="Arial" w:hAnsi="Arial" w:eastAsia="黑体"/>
      <w:b/>
      <w:bCs/>
      <w:kern w:val="2"/>
      <w:sz w:val="24"/>
      <w:szCs w:val="24"/>
    </w:rPr>
  </w:style>
  <w:style w:type="character" w:customStyle="1" w:styleId="228">
    <w:name w:val="Char Char91"/>
    <w:qFormat/>
    <w:uiPriority w:val="0"/>
    <w:rPr>
      <w:rFonts w:eastAsia="宋体"/>
      <w:kern w:val="2"/>
      <w:sz w:val="18"/>
      <w:szCs w:val="18"/>
      <w:lang w:val="en-US" w:eastAsia="zh-CN" w:bidi="ar-SA"/>
    </w:rPr>
  </w:style>
  <w:style w:type="character" w:customStyle="1" w:styleId="229">
    <w:name w:val="副标题 Char1"/>
    <w:qFormat/>
    <w:uiPriority w:val="0"/>
    <w:rPr>
      <w:rFonts w:ascii="Cambria" w:hAnsi="Cambria" w:eastAsia="宋体" w:cs="Times New Roman"/>
      <w:b/>
      <w:bCs/>
      <w:snapToGrid w:val="0"/>
      <w:kern w:val="28"/>
      <w:sz w:val="32"/>
      <w:szCs w:val="32"/>
    </w:rPr>
  </w:style>
  <w:style w:type="character" w:customStyle="1" w:styleId="230">
    <w:name w:val="font61"/>
    <w:basedOn w:val="71"/>
    <w:qFormat/>
    <w:uiPriority w:val="0"/>
    <w:rPr>
      <w:rFonts w:hint="eastAsia" w:ascii="仿宋" w:hAnsi="仿宋" w:eastAsia="仿宋" w:cs="仿宋"/>
      <w:color w:val="000000"/>
      <w:sz w:val="20"/>
      <w:szCs w:val="20"/>
      <w:u w:val="none"/>
    </w:rPr>
  </w:style>
  <w:style w:type="character" w:customStyle="1" w:styleId="2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2">
    <w:name w:val="Char Char211"/>
    <w:qFormat/>
    <w:uiPriority w:val="0"/>
    <w:rPr>
      <w:rFonts w:eastAsia="宋体"/>
      <w:b/>
      <w:bCs/>
      <w:kern w:val="2"/>
      <w:sz w:val="21"/>
      <w:szCs w:val="24"/>
      <w:lang w:val="en-US" w:eastAsia="zh-CN" w:bidi="ar-SA"/>
    </w:rPr>
  </w:style>
  <w:style w:type="character" w:customStyle="1" w:styleId="233">
    <w:name w:val="maywed421"/>
    <w:qFormat/>
    <w:uiPriority w:val="0"/>
    <w:rPr>
      <w:color w:val="366FB6"/>
      <w:u w:val="none"/>
    </w:rPr>
  </w:style>
  <w:style w:type="character" w:customStyle="1" w:styleId="234">
    <w:name w:val="正文文本缩进 Char"/>
    <w:qFormat/>
    <w:uiPriority w:val="0"/>
    <w:rPr>
      <w:rFonts w:ascii="宋体" w:hAnsi="宋体"/>
      <w:kern w:val="2"/>
      <w:sz w:val="24"/>
      <w:szCs w:val="24"/>
    </w:rPr>
  </w:style>
  <w:style w:type="character" w:customStyle="1" w:styleId="235">
    <w:name w:val="Char Char102"/>
    <w:semiHidden/>
    <w:qFormat/>
    <w:uiPriority w:val="0"/>
    <w:rPr>
      <w:rFonts w:ascii="宋体" w:hAnsi="宋体"/>
      <w:kern w:val="2"/>
      <w:sz w:val="21"/>
      <w:szCs w:val="24"/>
      <w:lang w:val="en-US" w:eastAsia="zh-CN"/>
    </w:rPr>
  </w:style>
  <w:style w:type="character" w:customStyle="1" w:styleId="236">
    <w:name w:val="页眉 Char1"/>
    <w:qFormat/>
    <w:uiPriority w:val="0"/>
    <w:rPr>
      <w:rFonts w:eastAsia="宋体"/>
      <w:kern w:val="2"/>
      <w:sz w:val="18"/>
      <w:szCs w:val="18"/>
      <w:lang w:val="en-US" w:eastAsia="zh-CN" w:bidi="ar-SA"/>
    </w:rPr>
  </w:style>
  <w:style w:type="character" w:customStyle="1" w:styleId="237">
    <w:name w:val="md"/>
    <w:basedOn w:val="71"/>
    <w:qFormat/>
    <w:uiPriority w:val="0"/>
    <w:rPr>
      <w:rFonts w:ascii="Arial" w:hAnsi="Arial" w:eastAsia="黑体" w:cs="Arial"/>
      <w:snapToGrid w:val="0"/>
      <w:kern w:val="0"/>
      <w:szCs w:val="21"/>
    </w:rPr>
  </w:style>
  <w:style w:type="character" w:customStyle="1" w:styleId="238">
    <w:name w:val="big1"/>
    <w:qFormat/>
    <w:uiPriority w:val="0"/>
    <w:rPr>
      <w:rFonts w:hint="eastAsia" w:ascii="宋体" w:hAnsi="宋体" w:eastAsia="宋体"/>
      <w:color w:val="333333"/>
      <w:sz w:val="22"/>
      <w:szCs w:val="22"/>
    </w:rPr>
  </w:style>
  <w:style w:type="character" w:customStyle="1" w:styleId="239">
    <w:name w:val="Char Char311"/>
    <w:qFormat/>
    <w:uiPriority w:val="0"/>
    <w:rPr>
      <w:rFonts w:eastAsia="宋体"/>
      <w:kern w:val="2"/>
      <w:sz w:val="21"/>
      <w:szCs w:val="24"/>
      <w:lang w:val="en-US" w:eastAsia="zh-CN" w:bidi="ar-SA"/>
    </w:rPr>
  </w:style>
  <w:style w:type="character" w:customStyle="1" w:styleId="240">
    <w:name w:val="Char Char81"/>
    <w:qFormat/>
    <w:uiPriority w:val="6"/>
    <w:rPr>
      <w:rFonts w:eastAsia="宋体"/>
      <w:b/>
      <w:sz w:val="24"/>
      <w:lang w:val="en-GB" w:eastAsia="zh-CN"/>
    </w:rPr>
  </w:style>
  <w:style w:type="character" w:customStyle="1" w:styleId="241">
    <w:name w:val="样式3 Char"/>
    <w:basedOn w:val="193"/>
    <w:qFormat/>
    <w:uiPriority w:val="0"/>
    <w:rPr>
      <w:rFonts w:ascii="仿宋_GB2312" w:hAnsi="仿宋" w:eastAsia="仿宋_GB2312" w:cs="仿宋_GB2312"/>
      <w:sz w:val="32"/>
      <w:szCs w:val="30"/>
      <w:lang w:val="zh-CN"/>
    </w:rPr>
  </w:style>
  <w:style w:type="character" w:customStyle="1" w:styleId="242">
    <w:name w:val="HTML 地址 Char"/>
    <w:link w:val="32"/>
    <w:qFormat/>
    <w:uiPriority w:val="0"/>
    <w:rPr>
      <w:rFonts w:ascii="宋体" w:hAnsi="宋体"/>
      <w:i/>
      <w:iCs/>
      <w:sz w:val="24"/>
      <w:szCs w:val="24"/>
    </w:rPr>
  </w:style>
  <w:style w:type="character" w:customStyle="1" w:styleId="243">
    <w:name w:val="正文首行缩进 2 Char1"/>
    <w:qFormat/>
    <w:uiPriority w:val="0"/>
    <w:rPr>
      <w:rFonts w:ascii="Times New Roman" w:hAnsi="Times New Roman" w:eastAsia="宋体" w:cs="Times New Roman"/>
      <w:kern w:val="2"/>
      <w:sz w:val="24"/>
      <w:szCs w:val="24"/>
    </w:rPr>
  </w:style>
  <w:style w:type="character" w:customStyle="1" w:styleId="244">
    <w:name w:val="副标题 Char2"/>
    <w:qFormat/>
    <w:uiPriority w:val="0"/>
    <w:rPr>
      <w:rFonts w:ascii="Cambria" w:hAnsi="Cambria" w:eastAsia="宋体" w:cs="Times New Roman"/>
      <w:b/>
      <w:bCs/>
      <w:snapToGrid w:val="0"/>
      <w:kern w:val="28"/>
      <w:sz w:val="32"/>
      <w:szCs w:val="32"/>
    </w:rPr>
  </w:style>
  <w:style w:type="character" w:customStyle="1" w:styleId="245">
    <w:name w:val="标题4-dyf Char"/>
    <w:link w:val="246"/>
    <w:qFormat/>
    <w:uiPriority w:val="0"/>
    <w:rPr>
      <w:rFonts w:ascii="Cambria" w:hAnsi="Cambria"/>
      <w:b/>
      <w:bCs/>
      <w:color w:val="000000"/>
      <w:kern w:val="2"/>
      <w:sz w:val="21"/>
      <w:szCs w:val="21"/>
    </w:rPr>
  </w:style>
  <w:style w:type="paragraph" w:customStyle="1" w:styleId="246">
    <w:name w:val="标题4-dyf"/>
    <w:basedOn w:val="5"/>
    <w:link w:val="2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7">
    <w:name w:val="dectext1"/>
    <w:qFormat/>
    <w:uiPriority w:val="0"/>
    <w:rPr>
      <w:rFonts w:ascii="宋体" w:hAnsi="宋体" w:eastAsia="宋体"/>
      <w:color w:val="333333"/>
      <w:sz w:val="21"/>
      <w:szCs w:val="21"/>
      <w:u w:val="none"/>
    </w:rPr>
  </w:style>
  <w:style w:type="character" w:customStyle="1" w:styleId="248">
    <w:name w:val="冯 Char"/>
    <w:link w:val="249"/>
    <w:qFormat/>
    <w:uiPriority w:val="0"/>
    <w:rPr>
      <w:rFonts w:ascii="宋体" w:hAnsi="宋体"/>
      <w:color w:val="000000"/>
      <w:sz w:val="24"/>
      <w:szCs w:val="24"/>
    </w:rPr>
  </w:style>
  <w:style w:type="paragraph" w:customStyle="1" w:styleId="249">
    <w:name w:val="冯"/>
    <w:basedOn w:val="1"/>
    <w:link w:val="248"/>
    <w:qFormat/>
    <w:uiPriority w:val="0"/>
    <w:pPr>
      <w:widowControl/>
      <w:adjustRightInd/>
      <w:spacing w:line="360" w:lineRule="auto"/>
      <w:ind w:firstLine="480" w:firstLineChars="200"/>
    </w:pPr>
    <w:rPr>
      <w:rFonts w:ascii="宋体" w:hAnsi="宋体"/>
      <w:color w:val="000000"/>
      <w:kern w:val="0"/>
      <w:sz w:val="24"/>
    </w:rPr>
  </w:style>
  <w:style w:type="character" w:customStyle="1" w:styleId="250">
    <w:name w:val="Header Char"/>
    <w:qFormat/>
    <w:locked/>
    <w:uiPriority w:val="0"/>
    <w:rPr>
      <w:rFonts w:eastAsia="宋体"/>
      <w:kern w:val="2"/>
      <w:sz w:val="18"/>
      <w:szCs w:val="18"/>
      <w:lang w:val="en-US" w:eastAsia="zh-CN" w:bidi="ar-SA"/>
    </w:rPr>
  </w:style>
  <w:style w:type="character" w:customStyle="1" w:styleId="251">
    <w:name w:val="Char Char12"/>
    <w:qFormat/>
    <w:uiPriority w:val="0"/>
    <w:rPr>
      <w:rFonts w:ascii="仿宋_GB2312" w:eastAsia="仿宋_GB2312"/>
      <w:b/>
      <w:bCs/>
      <w:kern w:val="2"/>
      <w:sz w:val="24"/>
      <w:szCs w:val="24"/>
      <w:lang w:val="zh-CN" w:eastAsia="zh-CN" w:bidi="ar-SA"/>
    </w:rPr>
  </w:style>
  <w:style w:type="character" w:customStyle="1" w:styleId="252">
    <w:name w:val="题注 Char"/>
    <w:link w:val="16"/>
    <w:qFormat/>
    <w:uiPriority w:val="0"/>
    <w:rPr>
      <w:b/>
      <w:kern w:val="2"/>
      <w:sz w:val="28"/>
    </w:rPr>
  </w:style>
  <w:style w:type="character" w:customStyle="1" w:styleId="253">
    <w:name w:val="普通文字 Char3"/>
    <w:qFormat/>
    <w:uiPriority w:val="0"/>
    <w:rPr>
      <w:rFonts w:ascii="宋体" w:hAnsi="Courier New" w:eastAsia="宋体"/>
      <w:kern w:val="2"/>
      <w:sz w:val="21"/>
      <w:lang w:val="en-US" w:eastAsia="zh-CN" w:bidi="ar-SA"/>
    </w:rPr>
  </w:style>
  <w:style w:type="character" w:customStyle="1" w:styleId="254">
    <w:name w:val="公文正文 Char"/>
    <w:qFormat/>
    <w:uiPriority w:val="0"/>
    <w:rPr>
      <w:rFonts w:ascii="仿宋_GB2312" w:eastAsia="仿宋_GB2312"/>
      <w:kern w:val="2"/>
      <w:sz w:val="24"/>
      <w:szCs w:val="24"/>
      <w:lang w:val="en-US" w:eastAsia="zh-CN" w:bidi="ar-SA"/>
    </w:rPr>
  </w:style>
  <w:style w:type="character" w:customStyle="1" w:styleId="255">
    <w:name w:val="正文首行缩进 Char Char Char Char Char"/>
    <w:qFormat/>
    <w:uiPriority w:val="0"/>
    <w:rPr>
      <w:rFonts w:ascii="宋体"/>
      <w:kern w:val="2"/>
      <w:sz w:val="24"/>
      <w:lang w:val="zh-CN"/>
    </w:rPr>
  </w:style>
  <w:style w:type="character" w:customStyle="1" w:styleId="256">
    <w:name w:val="PI Char"/>
    <w:qFormat/>
    <w:uiPriority w:val="0"/>
    <w:rPr>
      <w:rFonts w:ascii="宋体" w:hAnsi="宋体" w:eastAsia="宋体"/>
      <w:kern w:val="2"/>
      <w:sz w:val="24"/>
      <w:szCs w:val="24"/>
      <w:lang w:val="en-US" w:eastAsia="zh-CN" w:bidi="ar-SA"/>
    </w:rPr>
  </w:style>
  <w:style w:type="character" w:customStyle="1" w:styleId="257">
    <w:name w:val="Default Char"/>
    <w:link w:val="258"/>
    <w:qFormat/>
    <w:uiPriority w:val="0"/>
    <w:rPr>
      <w:rFonts w:ascii="仿宋_GB2312" w:eastAsia="仿宋_GB2312" w:cs="仿宋_GB2312"/>
      <w:color w:val="000000"/>
      <w:sz w:val="24"/>
      <w:szCs w:val="24"/>
      <w:lang w:val="en-US" w:eastAsia="zh-CN" w:bidi="ar-SA"/>
    </w:rPr>
  </w:style>
  <w:style w:type="paragraph" w:customStyle="1" w:styleId="258">
    <w:name w:val="Default"/>
    <w:next w:val="1"/>
    <w:link w:val="25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60">
    <w:name w:val="style91"/>
    <w:qFormat/>
    <w:uiPriority w:val="0"/>
    <w:rPr>
      <w:color w:val="333333"/>
    </w:rPr>
  </w:style>
  <w:style w:type="character" w:customStyle="1" w:styleId="261">
    <w:name w:val="列出段落 Char2"/>
    <w:qFormat/>
    <w:uiPriority w:val="34"/>
    <w:rPr>
      <w:rFonts w:ascii="Calibri" w:hAnsi="Calibri"/>
      <w:kern w:val="2"/>
      <w:sz w:val="28"/>
    </w:rPr>
  </w:style>
  <w:style w:type="character" w:customStyle="1" w:styleId="262">
    <w:name w:val="mdeck"/>
    <w:qFormat/>
    <w:uiPriority w:val="0"/>
    <w:rPr>
      <w:rFonts w:ascii="仿宋_GB2312" w:eastAsia="微软雅黑"/>
      <w:b/>
      <w:kern w:val="2"/>
      <w:sz w:val="32"/>
      <w:szCs w:val="32"/>
      <w:lang w:val="en-US" w:eastAsia="zh-CN" w:bidi="ar-SA"/>
    </w:rPr>
  </w:style>
  <w:style w:type="character" w:customStyle="1" w:styleId="263">
    <w:name w:val="unnamed11"/>
    <w:qFormat/>
    <w:uiPriority w:val="0"/>
    <w:rPr>
      <w:sz w:val="20"/>
      <w:szCs w:val="20"/>
    </w:rPr>
  </w:style>
  <w:style w:type="character" w:customStyle="1" w:styleId="264">
    <w:name w:val="正文文本 Char2"/>
    <w:semiHidden/>
    <w:qFormat/>
    <w:uiPriority w:val="99"/>
    <w:rPr>
      <w:rFonts w:ascii="Times New Roman" w:hAnsi="Times New Roman" w:eastAsia="宋体" w:cs="Times New Roman"/>
      <w:snapToGrid w:val="0"/>
      <w:kern w:val="0"/>
      <w:szCs w:val="24"/>
    </w:rPr>
  </w:style>
  <w:style w:type="character" w:customStyle="1" w:styleId="265">
    <w:name w:val="标书正文格式 Char"/>
    <w:qFormat/>
    <w:uiPriority w:val="0"/>
    <w:rPr>
      <w:rFonts w:eastAsia="楷体_GB2312"/>
      <w:kern w:val="2"/>
      <w:sz w:val="24"/>
      <w:szCs w:val="24"/>
      <w:lang w:bidi="ar-SA"/>
    </w:rPr>
  </w:style>
  <w:style w:type="character" w:customStyle="1" w:styleId="266">
    <w:name w:val="Char Char11"/>
    <w:qFormat/>
    <w:locked/>
    <w:uiPriority w:val="0"/>
    <w:rPr>
      <w:rFonts w:ascii="宋体" w:hAnsi="宋体" w:eastAsia="宋体"/>
      <w:b/>
      <w:kern w:val="2"/>
      <w:sz w:val="24"/>
      <w:szCs w:val="24"/>
      <w:lang w:val="en-US" w:eastAsia="zh-CN" w:bidi="ar-SA"/>
    </w:rPr>
  </w:style>
  <w:style w:type="character" w:customStyle="1" w:styleId="267">
    <w:name w:val="ca-131"/>
    <w:qFormat/>
    <w:uiPriority w:val="0"/>
    <w:rPr>
      <w:rFonts w:hint="eastAsia" w:ascii="仿宋_GB2312" w:eastAsia="仿宋_GB2312"/>
      <w:b/>
      <w:bCs/>
      <w:color w:val="000000"/>
      <w:spacing w:val="-20"/>
      <w:sz w:val="24"/>
      <w:szCs w:val="24"/>
    </w:rPr>
  </w:style>
  <w:style w:type="character" w:customStyle="1" w:styleId="268">
    <w:name w:val="tw4winMark"/>
    <w:qFormat/>
    <w:uiPriority w:val="0"/>
    <w:rPr>
      <w:rFonts w:ascii="Courier New" w:hAnsi="Courier New" w:cs="Courier New"/>
      <w:vanish/>
      <w:color w:val="800080"/>
      <w:sz w:val="24"/>
      <w:szCs w:val="24"/>
      <w:vertAlign w:val="subscript"/>
    </w:rPr>
  </w:style>
  <w:style w:type="character" w:customStyle="1" w:styleId="269">
    <w:name w:val="正文样式 Char"/>
    <w:link w:val="270"/>
    <w:qFormat/>
    <w:uiPriority w:val="0"/>
    <w:rPr>
      <w:rFonts w:ascii="Calibri" w:hAnsi="Calibri"/>
      <w:sz w:val="24"/>
      <w:szCs w:val="24"/>
    </w:rPr>
  </w:style>
  <w:style w:type="paragraph" w:customStyle="1" w:styleId="270">
    <w:name w:val="正文样式"/>
    <w:basedOn w:val="1"/>
    <w:link w:val="269"/>
    <w:qFormat/>
    <w:uiPriority w:val="0"/>
    <w:pPr>
      <w:adjustRightInd/>
      <w:spacing w:line="360" w:lineRule="auto"/>
      <w:ind w:firstLine="480" w:firstLineChars="200"/>
    </w:pPr>
    <w:rPr>
      <w:kern w:val="0"/>
      <w:sz w:val="24"/>
    </w:rPr>
  </w:style>
  <w:style w:type="character" w:customStyle="1" w:styleId="271">
    <w:name w:val="表正文 Char3"/>
    <w:qFormat/>
    <w:uiPriority w:val="0"/>
    <w:rPr>
      <w:rFonts w:eastAsia="宋体"/>
    </w:rPr>
  </w:style>
  <w:style w:type="character" w:customStyle="1" w:styleId="272">
    <w:name w:val="H5 Char"/>
    <w:qFormat/>
    <w:uiPriority w:val="0"/>
    <w:rPr>
      <w:b/>
      <w:bCs/>
      <w:kern w:val="2"/>
      <w:sz w:val="28"/>
      <w:szCs w:val="28"/>
    </w:rPr>
  </w:style>
  <w:style w:type="character" w:customStyle="1" w:styleId="273">
    <w:name w:val="Char Char3"/>
    <w:qFormat/>
    <w:uiPriority w:val="0"/>
    <w:rPr>
      <w:rFonts w:eastAsia="宋体"/>
      <w:kern w:val="2"/>
      <w:sz w:val="21"/>
      <w:szCs w:val="24"/>
      <w:lang w:val="en-US" w:eastAsia="zh-CN" w:bidi="ar-SA"/>
    </w:rPr>
  </w:style>
  <w:style w:type="character" w:customStyle="1" w:styleId="274">
    <w:name w:val="正文 编号 Char"/>
    <w:qFormat/>
    <w:uiPriority w:val="0"/>
    <w:rPr>
      <w:rFonts w:ascii="仿宋_GB2312" w:hAnsi="仿宋_GB2312" w:eastAsia="仿宋_GB2312"/>
      <w:kern w:val="2"/>
      <w:sz w:val="24"/>
      <w:lang w:bidi="ar-SA"/>
    </w:rPr>
  </w:style>
  <w:style w:type="character" w:customStyle="1" w:styleId="275">
    <w:name w:val="question-title2"/>
    <w:qFormat/>
    <w:uiPriority w:val="6"/>
    <w:rPr>
      <w:rFonts w:ascii="Arial" w:hAnsi="Arial" w:eastAsia="黑体" w:cs="Arial"/>
      <w:snapToGrid w:val="0"/>
      <w:kern w:val="0"/>
      <w:szCs w:val="21"/>
    </w:rPr>
  </w:style>
  <w:style w:type="character" w:customStyle="1" w:styleId="276">
    <w:name w:val="gf正文1 Char Char"/>
    <w:link w:val="277"/>
    <w:qFormat/>
    <w:uiPriority w:val="0"/>
    <w:rPr>
      <w:rFonts w:ascii="宋体" w:hAnsi="宋体" w:cs="宋体"/>
      <w:kern w:val="2"/>
      <w:sz w:val="24"/>
      <w:szCs w:val="24"/>
    </w:rPr>
  </w:style>
  <w:style w:type="paragraph" w:customStyle="1" w:styleId="277">
    <w:name w:val="gf正文1"/>
    <w:basedOn w:val="1"/>
    <w:link w:val="27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8">
    <w:name w:val="Char Char15"/>
    <w:qFormat/>
    <w:uiPriority w:val="6"/>
    <w:rPr>
      <w:rFonts w:ascii="宋体" w:hAnsi="宋体"/>
      <w:kern w:val="1"/>
      <w:sz w:val="21"/>
    </w:rPr>
  </w:style>
  <w:style w:type="character" w:customStyle="1" w:styleId="279">
    <w:name w:val="正文缩进 Char3"/>
    <w:qFormat/>
    <w:uiPriority w:val="0"/>
    <w:rPr>
      <w:rFonts w:ascii="宋体" w:eastAsia="宋体"/>
      <w:snapToGrid w:val="0"/>
      <w:color w:val="000000"/>
      <w:kern w:val="28"/>
      <w:sz w:val="28"/>
      <w:lang w:val="en-US" w:eastAsia="zh-CN" w:bidi="ar-SA"/>
    </w:rPr>
  </w:style>
  <w:style w:type="character" w:customStyle="1" w:styleId="280">
    <w:name w:val="列出段落 Char1"/>
    <w:link w:val="281"/>
    <w:qFormat/>
    <w:uiPriority w:val="0"/>
    <w:rPr>
      <w:rFonts w:ascii="Calibri" w:hAnsi="Calibri"/>
      <w:sz w:val="24"/>
      <w:lang w:eastAsia="en-US"/>
    </w:rPr>
  </w:style>
  <w:style w:type="paragraph" w:customStyle="1" w:styleId="281">
    <w:name w:val="列表1"/>
    <w:basedOn w:val="1"/>
    <w:next w:val="282"/>
    <w:link w:val="2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82">
    <w:name w:val="列表段落1"/>
    <w:basedOn w:val="1"/>
    <w:qFormat/>
    <w:uiPriority w:val="34"/>
    <w:pPr>
      <w:spacing w:line="360" w:lineRule="auto"/>
      <w:ind w:firstLine="200" w:firstLineChars="200"/>
    </w:pPr>
    <w:rPr>
      <w:rFonts w:eastAsia="楷体_GB2312" w:cs="Lucida Sans"/>
      <w:sz w:val="24"/>
    </w:rPr>
  </w:style>
  <w:style w:type="character" w:customStyle="1" w:styleId="283">
    <w:name w:val="Char Char8"/>
    <w:qFormat/>
    <w:uiPriority w:val="0"/>
    <w:rPr>
      <w:rFonts w:eastAsia="宋体"/>
      <w:b/>
      <w:sz w:val="24"/>
      <w:lang w:val="en-GB" w:eastAsia="zh-CN"/>
    </w:rPr>
  </w:style>
  <w:style w:type="character" w:customStyle="1" w:styleId="284">
    <w:name w:val="Normal Indent Char Char"/>
    <w:qFormat/>
    <w:uiPriority w:val="0"/>
    <w:rPr>
      <w:rFonts w:eastAsia="宋体"/>
      <w:kern w:val="2"/>
      <w:sz w:val="21"/>
      <w:lang w:val="en-US" w:eastAsia="zh-CN" w:bidi="ar-SA"/>
    </w:rPr>
  </w:style>
  <w:style w:type="character" w:customStyle="1" w:styleId="285">
    <w:name w:val="列表段落 字符"/>
    <w:qFormat/>
    <w:uiPriority w:val="99"/>
  </w:style>
  <w:style w:type="character" w:customStyle="1" w:styleId="286">
    <w:name w:val="Ò³Ã¼ Char Char1"/>
    <w:qFormat/>
    <w:uiPriority w:val="0"/>
    <w:rPr>
      <w:rFonts w:eastAsia="宋体"/>
      <w:kern w:val="2"/>
      <w:sz w:val="18"/>
      <w:szCs w:val="18"/>
      <w:lang w:val="en-US" w:eastAsia="zh-CN" w:bidi="ar-SA"/>
    </w:rPr>
  </w:style>
  <w:style w:type="character" w:customStyle="1" w:styleId="287">
    <w:name w:val="方案正文 Char"/>
    <w:qFormat/>
    <w:uiPriority w:val="0"/>
    <w:rPr>
      <w:rFonts w:ascii="仿宋_GB2312" w:eastAsia="仿宋_GB2312"/>
      <w:b/>
      <w:color w:val="000000"/>
      <w:kern w:val="2"/>
      <w:sz w:val="24"/>
      <w:lang w:val="en-US" w:eastAsia="zh-CN" w:bidi="ar-SA"/>
    </w:rPr>
  </w:style>
  <w:style w:type="character" w:customStyle="1" w:styleId="288">
    <w:name w:val="Char Char30"/>
    <w:qFormat/>
    <w:uiPriority w:val="6"/>
    <w:rPr>
      <w:rFonts w:ascii="Arial" w:hAnsi="Arial" w:eastAsia="黑体"/>
      <w:kern w:val="1"/>
      <w:sz w:val="21"/>
      <w:szCs w:val="21"/>
    </w:rPr>
  </w:style>
  <w:style w:type="character" w:customStyle="1" w:styleId="289">
    <w:name w:val="正文文本缩进 Char3"/>
    <w:link w:val="27"/>
    <w:qFormat/>
    <w:uiPriority w:val="0"/>
    <w:rPr>
      <w:rFonts w:ascii="宋体" w:hAnsi="宋体"/>
      <w:kern w:val="2"/>
      <w:sz w:val="24"/>
      <w:szCs w:val="24"/>
    </w:rPr>
  </w:style>
  <w:style w:type="character" w:customStyle="1" w:styleId="290">
    <w:name w:val="font01"/>
    <w:qFormat/>
    <w:uiPriority w:val="0"/>
    <w:rPr>
      <w:rFonts w:hint="eastAsia" w:ascii="微软雅黑" w:hAnsi="微软雅黑" w:eastAsia="微软雅黑" w:cs="微软雅黑"/>
      <w:color w:val="000000"/>
      <w:sz w:val="20"/>
      <w:szCs w:val="20"/>
      <w:u w:val="none"/>
    </w:rPr>
  </w:style>
  <w:style w:type="character" w:customStyle="1" w:styleId="291">
    <w:name w:val="Char Char20"/>
    <w:qFormat/>
    <w:uiPriority w:val="6"/>
    <w:rPr>
      <w:kern w:val="1"/>
      <w:sz w:val="24"/>
    </w:rPr>
  </w:style>
  <w:style w:type="character" w:customStyle="1" w:styleId="292">
    <w:name w:val="tw4winExternal"/>
    <w:qFormat/>
    <w:uiPriority w:val="0"/>
    <w:rPr>
      <w:rFonts w:ascii="Courier New" w:hAnsi="Courier New" w:cs="Courier New"/>
      <w:color w:val="808080"/>
      <w:lang w:val="en-US" w:eastAsia="zh-CN"/>
    </w:rPr>
  </w:style>
  <w:style w:type="character" w:customStyle="1" w:styleId="293">
    <w:name w:val="标题 4 Char1"/>
    <w:qFormat/>
    <w:uiPriority w:val="9"/>
    <w:rPr>
      <w:rFonts w:ascii="Cambria" w:hAnsi="Cambria" w:eastAsia="宋体" w:cs="Times New Roman"/>
      <w:b/>
      <w:bCs/>
      <w:kern w:val="2"/>
      <w:sz w:val="28"/>
      <w:szCs w:val="28"/>
    </w:rPr>
  </w:style>
  <w:style w:type="character" w:customStyle="1" w:styleId="294">
    <w:name w:val="批注文字 Char2"/>
    <w:qFormat/>
    <w:uiPriority w:val="99"/>
    <w:rPr>
      <w:rFonts w:ascii="Times New Roman" w:hAnsi="Times New Roman" w:eastAsia="宋体" w:cs="Times New Roman"/>
      <w:snapToGrid w:val="0"/>
      <w:kern w:val="0"/>
      <w:szCs w:val="24"/>
    </w:rPr>
  </w:style>
  <w:style w:type="character" w:customStyle="1" w:styleId="295">
    <w:name w:val="正文文本 2 Char"/>
    <w:qFormat/>
    <w:uiPriority w:val="0"/>
    <w:rPr>
      <w:rFonts w:eastAsia="宋体"/>
      <w:kern w:val="2"/>
      <w:sz w:val="21"/>
      <w:szCs w:val="24"/>
      <w:lang w:val="en-US" w:eastAsia="zh-CN" w:bidi="ar-SA"/>
    </w:rPr>
  </w:style>
  <w:style w:type="character" w:customStyle="1" w:styleId="296">
    <w:name w:val="Ò³Ã¼ Char Char"/>
    <w:qFormat/>
    <w:uiPriority w:val="0"/>
    <w:rPr>
      <w:rFonts w:eastAsia="宋体"/>
      <w:kern w:val="2"/>
      <w:sz w:val="18"/>
      <w:lang w:val="en-US" w:eastAsia="zh-CN" w:bidi="ar-SA"/>
    </w:rPr>
  </w:style>
  <w:style w:type="character" w:customStyle="1" w:styleId="297">
    <w:name w:val="message1"/>
    <w:qFormat/>
    <w:uiPriority w:val="0"/>
    <w:rPr>
      <w:rFonts w:hint="default" w:ascii="Tahoma" w:hAnsi="Tahoma" w:cs="Tahoma"/>
      <w:sz w:val="18"/>
      <w:szCs w:val="18"/>
    </w:rPr>
  </w:style>
  <w:style w:type="character" w:customStyle="1" w:styleId="298">
    <w:name w:val="Char Char23"/>
    <w:qFormat/>
    <w:uiPriority w:val="6"/>
    <w:rPr>
      <w:color w:val="0000FF"/>
      <w:sz w:val="21"/>
    </w:rPr>
  </w:style>
  <w:style w:type="character" w:customStyle="1" w:styleId="299">
    <w:name w:val="批注框文本 字符"/>
    <w:qFormat/>
    <w:uiPriority w:val="0"/>
    <w:rPr>
      <w:rFonts w:ascii="Arial" w:hAnsi="Arial" w:eastAsia="黑体" w:cs="Arial"/>
      <w:snapToGrid w:val="0"/>
      <w:kern w:val="0"/>
      <w:sz w:val="18"/>
      <w:szCs w:val="18"/>
    </w:rPr>
  </w:style>
  <w:style w:type="character" w:customStyle="1" w:styleId="300">
    <w:name w:val="纯文本 Char2"/>
    <w:semiHidden/>
    <w:qFormat/>
    <w:uiPriority w:val="99"/>
    <w:rPr>
      <w:rFonts w:ascii="宋体" w:hAnsi="Courier New" w:eastAsia="宋体" w:cs="Courier New"/>
    </w:rPr>
  </w:style>
  <w:style w:type="character" w:customStyle="1" w:styleId="301">
    <w:name w:val="Char Char25"/>
    <w:qFormat/>
    <w:uiPriority w:val="6"/>
    <w:rPr>
      <w:rFonts w:ascii="宋体" w:hAnsi="宋体"/>
      <w:kern w:val="1"/>
      <w:sz w:val="24"/>
      <w:lang w:val="zh-CN"/>
    </w:rPr>
  </w:style>
  <w:style w:type="character" w:customStyle="1" w:styleId="302">
    <w:name w:val="Char Char411"/>
    <w:qFormat/>
    <w:uiPriority w:val="0"/>
    <w:rPr>
      <w:rFonts w:eastAsia="宋体"/>
      <w:b/>
      <w:sz w:val="24"/>
      <w:lang w:val="en-GB" w:eastAsia="zh-CN" w:bidi="ar-SA"/>
    </w:rPr>
  </w:style>
  <w:style w:type="character" w:customStyle="1" w:styleId="303">
    <w:name w:val="Heading 7 Char"/>
    <w:qFormat/>
    <w:locked/>
    <w:uiPriority w:val="0"/>
    <w:rPr>
      <w:rFonts w:ascii="宋体" w:hAnsi="宋体" w:eastAsia="宋体"/>
      <w:b/>
      <w:bCs/>
      <w:kern w:val="2"/>
      <w:sz w:val="24"/>
      <w:szCs w:val="24"/>
      <w:lang w:val="en-US" w:eastAsia="zh-CN" w:bidi="ar-SA"/>
    </w:rPr>
  </w:style>
  <w:style w:type="character" w:customStyle="1" w:styleId="304">
    <w:name w:val="此正文 Char"/>
    <w:link w:val="305"/>
    <w:qFormat/>
    <w:uiPriority w:val="0"/>
    <w:rPr>
      <w:kern w:val="2"/>
      <w:sz w:val="24"/>
      <w:szCs w:val="24"/>
    </w:rPr>
  </w:style>
  <w:style w:type="paragraph" w:customStyle="1" w:styleId="305">
    <w:name w:val="此正文"/>
    <w:basedOn w:val="1"/>
    <w:link w:val="304"/>
    <w:qFormat/>
    <w:uiPriority w:val="0"/>
    <w:pPr>
      <w:adjustRightInd/>
      <w:spacing w:line="360" w:lineRule="auto"/>
      <w:ind w:firstLine="200" w:firstLineChars="200"/>
    </w:pPr>
    <w:rPr>
      <w:sz w:val="24"/>
    </w:rPr>
  </w:style>
  <w:style w:type="character" w:customStyle="1" w:styleId="306">
    <w:name w:val="Char Char2"/>
    <w:qFormat/>
    <w:uiPriority w:val="0"/>
    <w:rPr>
      <w:rFonts w:eastAsia="宋体"/>
      <w:b/>
      <w:bCs/>
      <w:kern w:val="2"/>
      <w:sz w:val="21"/>
      <w:szCs w:val="24"/>
      <w:lang w:val="en-US" w:eastAsia="zh-CN" w:bidi="ar-SA"/>
    </w:rPr>
  </w:style>
  <w:style w:type="character" w:customStyle="1" w:styleId="307">
    <w:name w:val="标题 1 Char"/>
    <w:link w:val="2"/>
    <w:qFormat/>
    <w:uiPriority w:val="9"/>
    <w:rPr>
      <w:b/>
      <w:bCs/>
      <w:kern w:val="44"/>
      <w:sz w:val="44"/>
      <w:szCs w:val="44"/>
    </w:rPr>
  </w:style>
  <w:style w:type="character" w:customStyle="1" w:styleId="308">
    <w:name w:val="Footer-Even Char1"/>
    <w:qFormat/>
    <w:uiPriority w:val="0"/>
    <w:rPr>
      <w:rFonts w:eastAsia="宋体"/>
      <w:kern w:val="2"/>
      <w:sz w:val="18"/>
      <w:szCs w:val="18"/>
      <w:lang w:val="en-US" w:eastAsia="zh-CN" w:bidi="ar-SA"/>
    </w:rPr>
  </w:style>
  <w:style w:type="character" w:customStyle="1" w:styleId="309">
    <w:name w:val="Char Char29"/>
    <w:qFormat/>
    <w:uiPriority w:val="6"/>
    <w:rPr>
      <w:rFonts w:ascii="Arial" w:hAnsi="Arial" w:eastAsia="微软雅黑"/>
      <w:b/>
      <w:kern w:val="1"/>
      <w:sz w:val="44"/>
      <w:szCs w:val="32"/>
      <w:lang w:val="en-US" w:eastAsia="zh-CN" w:bidi="ar-SA"/>
    </w:rPr>
  </w:style>
  <w:style w:type="character" w:customStyle="1" w:styleId="310">
    <w:name w:val="标题 Char2"/>
    <w:link w:val="61"/>
    <w:qFormat/>
    <w:uiPriority w:val="10"/>
    <w:rPr>
      <w:b/>
      <w:sz w:val="24"/>
      <w:lang w:val="en-GB"/>
    </w:rPr>
  </w:style>
  <w:style w:type="character" w:customStyle="1" w:styleId="311">
    <w:name w:val="font81"/>
    <w:basedOn w:val="71"/>
    <w:qFormat/>
    <w:uiPriority w:val="0"/>
    <w:rPr>
      <w:rFonts w:ascii="微软雅黑" w:hAnsi="微软雅黑" w:eastAsia="微软雅黑" w:cs="微软雅黑"/>
      <w:color w:val="000000"/>
      <w:sz w:val="20"/>
      <w:szCs w:val="20"/>
      <w:u w:val="none"/>
    </w:rPr>
  </w:style>
  <w:style w:type="character" w:customStyle="1" w:styleId="312">
    <w:name w:val="Char Char312"/>
    <w:qFormat/>
    <w:uiPriority w:val="0"/>
    <w:rPr>
      <w:rFonts w:ascii="Times New Roman" w:hAnsi="Times New Roman" w:eastAsia="宋体" w:cs="Times New Roman"/>
      <w:b/>
      <w:kern w:val="2"/>
      <w:sz w:val="32"/>
      <w:szCs w:val="24"/>
      <w:lang w:val="en-US" w:eastAsia="zh-CN" w:bidi="ar-SA"/>
    </w:rPr>
  </w:style>
  <w:style w:type="character" w:customStyle="1" w:styleId="313">
    <w:name w:val="t21"/>
    <w:qFormat/>
    <w:uiPriority w:val="0"/>
    <w:rPr>
      <w:rFonts w:ascii="仿宋_GB2312" w:eastAsia="微软雅黑"/>
      <w:b/>
      <w:kern w:val="2"/>
      <w:sz w:val="23"/>
      <w:szCs w:val="23"/>
      <w:lang w:val="en-US" w:eastAsia="zh-CN" w:bidi="ar-SA"/>
    </w:rPr>
  </w:style>
  <w:style w:type="character" w:customStyle="1" w:styleId="314">
    <w:name w:val="样式8 Char"/>
    <w:qFormat/>
    <w:uiPriority w:val="0"/>
    <w:rPr>
      <w:rFonts w:ascii="仿宋_GB2312" w:hAnsi="宋体" w:eastAsia="仿宋_GB2312"/>
      <w:b/>
      <w:bCs/>
      <w:kern w:val="2"/>
      <w:sz w:val="24"/>
      <w:szCs w:val="24"/>
    </w:rPr>
  </w:style>
  <w:style w:type="character" w:customStyle="1" w:styleId="315">
    <w:name w:val="正文文本 字符1"/>
    <w:qFormat/>
    <w:uiPriority w:val="0"/>
    <w:rPr>
      <w:rFonts w:ascii="Calibri" w:hAnsi="Calibri" w:eastAsia="黑体" w:cs="Arial"/>
      <w:snapToGrid w:val="0"/>
      <w:kern w:val="2"/>
      <w:sz w:val="28"/>
      <w:szCs w:val="21"/>
    </w:rPr>
  </w:style>
  <w:style w:type="character" w:customStyle="1" w:styleId="316">
    <w:name w:val="标题 6 Char1"/>
    <w:qFormat/>
    <w:uiPriority w:val="0"/>
    <w:rPr>
      <w:rFonts w:ascii="Arial" w:hAnsi="Arial" w:eastAsia="黑体" w:cs="Times New Roman"/>
      <w:b/>
      <w:sz w:val="24"/>
      <w:szCs w:val="20"/>
      <w:lang w:bidi="ar-SA"/>
    </w:rPr>
  </w:style>
  <w:style w:type="character" w:customStyle="1" w:styleId="317">
    <w:name w:val="带编号样式 Char"/>
    <w:qFormat/>
    <w:uiPriority w:val="0"/>
    <w:rPr>
      <w:rFonts w:ascii="仿宋_GB2312" w:eastAsia="仿宋_GB2312"/>
      <w:color w:val="000000"/>
      <w:sz w:val="24"/>
      <w:lang w:bidi="ar-SA"/>
    </w:rPr>
  </w:style>
  <w:style w:type="character" w:customStyle="1" w:styleId="318">
    <w:name w:val="unnamed31"/>
    <w:qFormat/>
    <w:uiPriority w:val="0"/>
    <w:rPr>
      <w:rFonts w:ascii="Tahoma" w:hAnsi="Tahoma" w:eastAsia="宋体"/>
      <w:b/>
      <w:kern w:val="2"/>
      <w:sz w:val="24"/>
      <w:szCs w:val="32"/>
      <w:u w:val="none"/>
      <w:lang w:val="en-US" w:eastAsia="zh-CN" w:bidi="ar-SA"/>
    </w:rPr>
  </w:style>
  <w:style w:type="character" w:customStyle="1" w:styleId="319">
    <w:name w:val="正文首行缩进 Char Char Char Char Char Char1"/>
    <w:qFormat/>
    <w:uiPriority w:val="0"/>
    <w:rPr>
      <w:rFonts w:ascii="宋体" w:eastAsia="宋体"/>
      <w:kern w:val="2"/>
      <w:sz w:val="24"/>
      <w:szCs w:val="24"/>
      <w:lang w:val="zh-CN" w:bidi="ar-SA"/>
    </w:rPr>
  </w:style>
  <w:style w:type="character" w:customStyle="1" w:styleId="320">
    <w:name w:val="称呼 Char"/>
    <w:link w:val="21"/>
    <w:qFormat/>
    <w:uiPriority w:val="0"/>
    <w:rPr>
      <w:rFonts w:ascii="仿宋_GB2312" w:eastAsia="仿宋_GB2312"/>
      <w:kern w:val="2"/>
      <w:sz w:val="28"/>
    </w:rPr>
  </w:style>
  <w:style w:type="character" w:customStyle="1" w:styleId="321">
    <w:name w:val="文本正文 Char Char"/>
    <w:qFormat/>
    <w:locked/>
    <w:uiPriority w:val="0"/>
    <w:rPr>
      <w:sz w:val="24"/>
      <w:lang w:bidi="ar-SA"/>
    </w:rPr>
  </w:style>
  <w:style w:type="character" w:customStyle="1" w:styleId="322">
    <w:name w:val="正文缩进 字符"/>
    <w:qFormat/>
    <w:uiPriority w:val="0"/>
    <w:rPr>
      <w:rFonts w:ascii="宋体" w:eastAsia="宋体"/>
      <w:snapToGrid w:val="0"/>
      <w:color w:val="000000"/>
      <w:kern w:val="28"/>
      <w:sz w:val="28"/>
      <w:lang w:val="en-US" w:eastAsia="zh-CN" w:bidi="ar-SA"/>
    </w:rPr>
  </w:style>
  <w:style w:type="character" w:customStyle="1" w:styleId="323">
    <w:name w:val="HTML 预设格式 Char"/>
    <w:link w:val="59"/>
    <w:qFormat/>
    <w:uiPriority w:val="0"/>
    <w:rPr>
      <w:rFonts w:ascii="黑体" w:hAnsi="Courier New" w:eastAsia="黑体"/>
    </w:rPr>
  </w:style>
  <w:style w:type="character" w:customStyle="1" w:styleId="324">
    <w:name w:val="正文文本 2 Char1"/>
    <w:link w:val="58"/>
    <w:qFormat/>
    <w:uiPriority w:val="0"/>
    <w:rPr>
      <w:kern w:val="2"/>
      <w:sz w:val="21"/>
      <w:szCs w:val="24"/>
    </w:rPr>
  </w:style>
  <w:style w:type="character" w:customStyle="1" w:styleId="325">
    <w:name w:val="样式 样式 标题 4h4H4Fab-4T5Ref Heading 1rh1Heading sqlsect 1.2.3.... +... Char"/>
    <w:link w:val="326"/>
    <w:qFormat/>
    <w:uiPriority w:val="0"/>
    <w:rPr>
      <w:rFonts w:ascii="微软雅黑" w:hAnsi="微软雅黑" w:eastAsia="微软雅黑"/>
      <w:b/>
      <w:bCs/>
      <w:kern w:val="2"/>
      <w:sz w:val="24"/>
      <w:szCs w:val="28"/>
    </w:rPr>
  </w:style>
  <w:style w:type="paragraph" w:customStyle="1" w:styleId="326">
    <w:name w:val="样式 样式 标题 4h4H4Fab-4T5Ref Heading 1rh1Heading sqlsect 1.2.3.... +..."/>
    <w:basedOn w:val="327"/>
    <w:link w:val="325"/>
    <w:qFormat/>
    <w:uiPriority w:val="0"/>
    <w:pPr>
      <w:tabs>
        <w:tab w:val="left" w:pos="2356"/>
      </w:tabs>
    </w:pPr>
  </w:style>
  <w:style w:type="paragraph" w:customStyle="1" w:styleId="327">
    <w:name w:val="样式 标题 4h4H4Fab-4T5Ref Heading 1rh1Heading sqlsect 1.2.3...."/>
    <w:basedOn w:val="5"/>
    <w:link w:val="43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28">
    <w:name w:val="正文非缩进 Char"/>
    <w:qFormat/>
    <w:uiPriority w:val="0"/>
    <w:rPr>
      <w:rFonts w:ascii="宋体" w:eastAsia="宋体"/>
      <w:snapToGrid w:val="0"/>
      <w:color w:val="000000"/>
      <w:kern w:val="28"/>
      <w:sz w:val="28"/>
      <w:lang w:val="en-US" w:eastAsia="zh-CN" w:bidi="ar-SA"/>
    </w:rPr>
  </w:style>
  <w:style w:type="character" w:customStyle="1" w:styleId="329">
    <w:name w:val="标题 7 Char"/>
    <w:link w:val="8"/>
    <w:qFormat/>
    <w:uiPriority w:val="0"/>
    <w:rPr>
      <w:b/>
      <w:bCs/>
      <w:kern w:val="2"/>
      <w:sz w:val="24"/>
      <w:szCs w:val="24"/>
    </w:rPr>
  </w:style>
  <w:style w:type="character" w:customStyle="1" w:styleId="330">
    <w:name w:val="正文文本缩进 2 Char"/>
    <w:link w:val="39"/>
    <w:qFormat/>
    <w:uiPriority w:val="0"/>
    <w:rPr>
      <w:rFonts w:ascii="宋体"/>
      <w:sz w:val="28"/>
    </w:rPr>
  </w:style>
  <w:style w:type="character" w:customStyle="1" w:styleId="331">
    <w:name w:val="Char Char5"/>
    <w:qFormat/>
    <w:uiPriority w:val="0"/>
    <w:rPr>
      <w:rFonts w:ascii="宋体" w:hAnsi="Courier New" w:eastAsia="宋体"/>
      <w:kern w:val="2"/>
      <w:sz w:val="21"/>
      <w:lang w:val="en-US" w:eastAsia="zh-CN"/>
    </w:rPr>
  </w:style>
  <w:style w:type="character" w:customStyle="1" w:styleId="332">
    <w:name w:val="脚注文本 Char"/>
    <w:link w:val="53"/>
    <w:qFormat/>
    <w:uiPriority w:val="0"/>
    <w:rPr>
      <w:color w:val="0000FF"/>
      <w:sz w:val="21"/>
    </w:rPr>
  </w:style>
  <w:style w:type="character" w:customStyle="1" w:styleId="333">
    <w:name w:val="称呼 Char1"/>
    <w:qFormat/>
    <w:uiPriority w:val="0"/>
    <w:rPr>
      <w:rFonts w:ascii="Times New Roman" w:hAnsi="Times New Roman" w:eastAsia="宋体" w:cs="Times New Roman"/>
      <w:szCs w:val="24"/>
    </w:rPr>
  </w:style>
  <w:style w:type="character" w:customStyle="1" w:styleId="334">
    <w:name w:val="正文1 Char"/>
    <w:qFormat/>
    <w:uiPriority w:val="0"/>
    <w:rPr>
      <w:rFonts w:ascii="宋体" w:eastAsia="宋体"/>
      <w:snapToGrid w:val="0"/>
      <w:color w:val="000000"/>
      <w:kern w:val="28"/>
      <w:sz w:val="28"/>
      <w:lang w:val="en-US" w:eastAsia="zh-CN" w:bidi="ar-SA"/>
    </w:rPr>
  </w:style>
  <w:style w:type="character" w:customStyle="1" w:styleId="335">
    <w:name w:val="正文缩进 Char1"/>
    <w:qFormat/>
    <w:uiPriority w:val="0"/>
    <w:rPr>
      <w:rFonts w:ascii="宋体" w:eastAsia="宋体"/>
      <w:snapToGrid w:val="0"/>
      <w:color w:val="000000"/>
      <w:kern w:val="28"/>
      <w:sz w:val="28"/>
      <w:lang w:val="en-US" w:eastAsia="zh-CN" w:bidi="ar-SA"/>
    </w:rPr>
  </w:style>
  <w:style w:type="character" w:customStyle="1" w:styleId="336">
    <w:name w:val="font21"/>
    <w:basedOn w:val="71"/>
    <w:qFormat/>
    <w:uiPriority w:val="0"/>
    <w:rPr>
      <w:rFonts w:hint="eastAsia" w:ascii="宋体" w:hAnsi="宋体" w:eastAsia="宋体"/>
      <w:kern w:val="2"/>
      <w:sz w:val="28"/>
      <w:szCs w:val="28"/>
      <w:lang w:val="en-US" w:eastAsia="zh-CN" w:bidi="ar-SA"/>
    </w:rPr>
  </w:style>
  <w:style w:type="character" w:customStyle="1" w:styleId="337">
    <w:name w:val="Char Char26"/>
    <w:qFormat/>
    <w:uiPriority w:val="6"/>
    <w:rPr>
      <w:kern w:val="1"/>
      <w:sz w:val="21"/>
      <w:szCs w:val="24"/>
    </w:rPr>
  </w:style>
  <w:style w:type="character" w:customStyle="1" w:styleId="338">
    <w:name w:val="Item List Char"/>
    <w:link w:val="339"/>
    <w:qFormat/>
    <w:uiPriority w:val="0"/>
    <w:rPr>
      <w:rFonts w:ascii="Arial"/>
      <w:bCs/>
      <w:sz w:val="21"/>
      <w:szCs w:val="21"/>
      <w:lang w:val="en-US" w:eastAsia="zh-CN" w:bidi="ar-SA"/>
    </w:rPr>
  </w:style>
  <w:style w:type="paragraph" w:customStyle="1" w:styleId="339">
    <w:name w:val="Item List"/>
    <w:link w:val="3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40">
    <w:name w:val="批注框文本 Char1"/>
    <w:qFormat/>
    <w:uiPriority w:val="0"/>
    <w:rPr>
      <w:rFonts w:ascii="Times New Roman" w:hAnsi="Times New Roman" w:eastAsia="宋体" w:cs="Times New Roman"/>
      <w:sz w:val="18"/>
      <w:szCs w:val="18"/>
    </w:rPr>
  </w:style>
  <w:style w:type="character" w:customStyle="1" w:styleId="341">
    <w:name w:val="纯文本 Char1"/>
    <w:link w:val="342"/>
    <w:qFormat/>
    <w:uiPriority w:val="0"/>
    <w:rPr>
      <w:rFonts w:ascii="宋体" w:hAnsi="Courier New"/>
    </w:rPr>
  </w:style>
  <w:style w:type="paragraph" w:customStyle="1" w:styleId="342">
    <w:name w:val="纯文本1"/>
    <w:basedOn w:val="1"/>
    <w:link w:val="341"/>
    <w:qFormat/>
    <w:uiPriority w:val="0"/>
    <w:pPr>
      <w:adjustRightInd/>
    </w:pPr>
    <w:rPr>
      <w:rFonts w:ascii="宋体" w:hAnsi="Courier New"/>
      <w:kern w:val="0"/>
      <w:sz w:val="20"/>
      <w:szCs w:val="20"/>
    </w:rPr>
  </w:style>
  <w:style w:type="character" w:customStyle="1" w:styleId="343">
    <w:name w:val="正文首行缩进 Char"/>
    <w:link w:val="25"/>
    <w:qFormat/>
    <w:uiPriority w:val="0"/>
    <w:rPr>
      <w:rFonts w:ascii="宋体"/>
      <w:kern w:val="2"/>
      <w:sz w:val="24"/>
      <w:lang w:val="zh-CN"/>
    </w:rPr>
  </w:style>
  <w:style w:type="character" w:customStyle="1" w:styleId="344">
    <w:name w:val="h3 Char"/>
    <w:qFormat/>
    <w:uiPriority w:val="0"/>
    <w:rPr>
      <w:rFonts w:eastAsia="宋体"/>
      <w:b/>
      <w:kern w:val="2"/>
      <w:sz w:val="32"/>
      <w:lang w:val="en-US" w:eastAsia="zh-CN" w:bidi="ar-SA"/>
    </w:rPr>
  </w:style>
  <w:style w:type="character" w:customStyle="1" w:styleId="345">
    <w:name w:val="dandyren_title1"/>
    <w:qFormat/>
    <w:uiPriority w:val="0"/>
    <w:rPr>
      <w:b/>
      <w:bCs/>
      <w:color w:val="FF6633"/>
      <w:sz w:val="18"/>
      <w:szCs w:val="18"/>
    </w:rPr>
  </w:style>
  <w:style w:type="character" w:customStyle="1" w:styleId="346">
    <w:name w:val="Char Char31"/>
    <w:qFormat/>
    <w:uiPriority w:val="6"/>
    <w:rPr>
      <w:rFonts w:ascii="Arial" w:hAnsi="Arial" w:eastAsia="黑体"/>
      <w:kern w:val="1"/>
      <w:sz w:val="24"/>
      <w:szCs w:val="24"/>
    </w:rPr>
  </w:style>
  <w:style w:type="character" w:customStyle="1" w:styleId="347">
    <w:name w:val="h Char1"/>
    <w:qFormat/>
    <w:uiPriority w:val="0"/>
    <w:rPr>
      <w:sz w:val="18"/>
      <w:szCs w:val="18"/>
    </w:rPr>
  </w:style>
  <w:style w:type="character" w:customStyle="1" w:styleId="348">
    <w:name w:val="solutionfonts"/>
    <w:qFormat/>
    <w:uiPriority w:val="0"/>
  </w:style>
  <w:style w:type="character" w:customStyle="1" w:styleId="349">
    <w:name w:val="标题 4 Char2"/>
    <w:link w:val="5"/>
    <w:qFormat/>
    <w:uiPriority w:val="9"/>
    <w:rPr>
      <w:rFonts w:ascii="Arial" w:hAnsi="Arial" w:eastAsia="黑体"/>
      <w:b/>
      <w:bCs/>
      <w:kern w:val="2"/>
      <w:sz w:val="28"/>
      <w:szCs w:val="28"/>
      <w:lang w:val="zh-CN"/>
    </w:rPr>
  </w:style>
  <w:style w:type="character" w:customStyle="1" w:styleId="350">
    <w:name w:val="首行缩进 Char"/>
    <w:qFormat/>
    <w:uiPriority w:val="0"/>
    <w:rPr>
      <w:rFonts w:ascii="宋体" w:eastAsia="宋体"/>
      <w:kern w:val="2"/>
      <w:sz w:val="24"/>
      <w:lang w:val="en-US" w:eastAsia="zh-CN" w:bidi="ar-SA"/>
    </w:rPr>
  </w:style>
  <w:style w:type="character" w:customStyle="1" w:styleId="351">
    <w:name w:val="Char Char52"/>
    <w:qFormat/>
    <w:uiPriority w:val="0"/>
    <w:rPr>
      <w:rFonts w:ascii="宋体" w:hAnsi="Courier New" w:eastAsia="宋体"/>
      <w:kern w:val="2"/>
      <w:sz w:val="21"/>
      <w:lang w:val="en-US" w:eastAsia="zh-CN"/>
    </w:rPr>
  </w:style>
  <w:style w:type="character" w:customStyle="1" w:styleId="352">
    <w:name w:val="正文文本 3 Char"/>
    <w:link w:val="22"/>
    <w:qFormat/>
    <w:uiPriority w:val="0"/>
    <w:rPr>
      <w:kern w:val="2"/>
      <w:sz w:val="21"/>
    </w:rPr>
  </w:style>
  <w:style w:type="character" w:customStyle="1" w:styleId="353">
    <w:name w:val="font31"/>
    <w:basedOn w:val="71"/>
    <w:qFormat/>
    <w:uiPriority w:val="0"/>
    <w:rPr>
      <w:rFonts w:hint="eastAsia" w:ascii="仿宋" w:hAnsi="仿宋" w:eastAsia="仿宋" w:cs="仿宋"/>
      <w:color w:val="000000"/>
      <w:sz w:val="20"/>
      <w:szCs w:val="20"/>
      <w:u w:val="none"/>
    </w:rPr>
  </w:style>
  <w:style w:type="character" w:customStyle="1" w:styleId="354">
    <w:name w:val="正文说明 Char"/>
    <w:link w:val="355"/>
    <w:qFormat/>
    <w:uiPriority w:val="0"/>
    <w:rPr>
      <w:sz w:val="24"/>
      <w:szCs w:val="24"/>
    </w:rPr>
  </w:style>
  <w:style w:type="paragraph" w:customStyle="1" w:styleId="355">
    <w:name w:val="正文说明"/>
    <w:basedOn w:val="1"/>
    <w:link w:val="354"/>
    <w:qFormat/>
    <w:uiPriority w:val="0"/>
    <w:pPr>
      <w:adjustRightInd/>
      <w:spacing w:line="360" w:lineRule="auto"/>
    </w:pPr>
    <w:rPr>
      <w:kern w:val="0"/>
      <w:sz w:val="24"/>
    </w:rPr>
  </w:style>
  <w:style w:type="character" w:customStyle="1" w:styleId="356">
    <w:name w:val="脚注文本 Char1"/>
    <w:qFormat/>
    <w:uiPriority w:val="0"/>
    <w:rPr>
      <w:rFonts w:ascii="Times New Roman" w:hAnsi="Times New Roman" w:eastAsia="宋体" w:cs="Times New Roman"/>
      <w:sz w:val="18"/>
      <w:szCs w:val="18"/>
    </w:rPr>
  </w:style>
  <w:style w:type="character" w:customStyle="1" w:styleId="357">
    <w:name w:val="Char Char1211"/>
    <w:qFormat/>
    <w:uiPriority w:val="0"/>
    <w:rPr>
      <w:rFonts w:ascii="仿宋_GB2312" w:eastAsia="仿宋_GB2312"/>
      <w:b/>
      <w:bCs/>
      <w:kern w:val="2"/>
      <w:sz w:val="24"/>
      <w:szCs w:val="24"/>
      <w:lang w:val="zh-CN" w:eastAsia="zh-CN" w:bidi="ar-SA"/>
    </w:rPr>
  </w:style>
  <w:style w:type="character" w:customStyle="1" w:styleId="358">
    <w:name w:val="标题 Char"/>
    <w:qFormat/>
    <w:uiPriority w:val="0"/>
    <w:rPr>
      <w:rFonts w:eastAsia="宋体"/>
      <w:b/>
      <w:sz w:val="24"/>
      <w:lang w:val="en-GB" w:eastAsia="zh-CN" w:bidi="ar-SA"/>
    </w:rPr>
  </w:style>
  <w:style w:type="character" w:customStyle="1" w:styleId="359">
    <w:name w:val="Char Char35"/>
    <w:qFormat/>
    <w:uiPriority w:val="6"/>
    <w:rPr>
      <w:rFonts w:ascii="Arial" w:hAnsi="Arial" w:eastAsia="黑体"/>
      <w:b/>
      <w:kern w:val="1"/>
      <w:sz w:val="28"/>
      <w:szCs w:val="28"/>
      <w:lang w:val="zh-CN"/>
    </w:rPr>
  </w:style>
  <w:style w:type="character" w:customStyle="1" w:styleId="360">
    <w:name w:val="纯文本 Char Char Char"/>
    <w:qFormat/>
    <w:uiPriority w:val="0"/>
    <w:rPr>
      <w:rFonts w:ascii="宋体" w:hAnsi="Courier New" w:eastAsia="宋体"/>
      <w:kern w:val="2"/>
      <w:sz w:val="21"/>
      <w:lang w:val="en-US" w:eastAsia="zh-CN" w:bidi="ar-SA"/>
    </w:rPr>
  </w:style>
  <w:style w:type="character" w:customStyle="1" w:styleId="361">
    <w:name w:val="Table Text Char"/>
    <w:link w:val="362"/>
    <w:qFormat/>
    <w:uiPriority w:val="0"/>
    <w:rPr>
      <w:sz w:val="24"/>
      <w:szCs w:val="24"/>
    </w:rPr>
  </w:style>
  <w:style w:type="paragraph" w:customStyle="1" w:styleId="362">
    <w:name w:val="Table Text"/>
    <w:basedOn w:val="1"/>
    <w:link w:val="361"/>
    <w:qFormat/>
    <w:uiPriority w:val="0"/>
    <w:pPr>
      <w:widowControl/>
      <w:spacing w:before="60" w:after="60"/>
      <w:jc w:val="left"/>
    </w:pPr>
    <w:rPr>
      <w:kern w:val="0"/>
      <w:sz w:val="24"/>
    </w:rPr>
  </w:style>
  <w:style w:type="character" w:customStyle="1" w:styleId="363">
    <w:name w:val="正文1 Char1"/>
    <w:qFormat/>
    <w:uiPriority w:val="0"/>
    <w:rPr>
      <w:rFonts w:ascii="仿宋_GB2312" w:hAnsi="Courier New" w:eastAsia="仿宋_GB2312"/>
      <w:kern w:val="28"/>
      <w:sz w:val="24"/>
      <w:szCs w:val="24"/>
      <w:lang w:val="en-US" w:eastAsia="zh-CN"/>
    </w:rPr>
  </w:style>
  <w:style w:type="character" w:customStyle="1" w:styleId="364">
    <w:name w:val="页脚 Char1"/>
    <w:qFormat/>
    <w:uiPriority w:val="0"/>
    <w:rPr>
      <w:rFonts w:eastAsia="宋体"/>
      <w:kern w:val="2"/>
      <w:sz w:val="18"/>
      <w:szCs w:val="18"/>
      <w:lang w:val="en-US" w:eastAsia="zh-CN" w:bidi="ar-SA"/>
    </w:rPr>
  </w:style>
  <w:style w:type="character" w:customStyle="1" w:styleId="365">
    <w:name w:val="Bold"/>
    <w:qFormat/>
    <w:uiPriority w:val="0"/>
    <w:rPr>
      <w:rFonts w:ascii="Arial" w:hAnsi="Arial" w:eastAsia="黑体" w:cs="Times New Roman"/>
      <w:b/>
      <w:kern w:val="2"/>
      <w:sz w:val="32"/>
      <w:szCs w:val="32"/>
      <w:lang w:val="en-US" w:eastAsia="zh-CN" w:bidi="ar-SA"/>
    </w:rPr>
  </w:style>
  <w:style w:type="character" w:customStyle="1" w:styleId="366">
    <w:name w:val="批注文字 Char1"/>
    <w:link w:val="20"/>
    <w:qFormat/>
    <w:uiPriority w:val="99"/>
    <w:rPr>
      <w:kern w:val="2"/>
      <w:sz w:val="21"/>
      <w:szCs w:val="24"/>
    </w:rPr>
  </w:style>
  <w:style w:type="character" w:customStyle="1" w:styleId="367">
    <w:name w:val="签名 Char"/>
    <w:link w:val="45"/>
    <w:qFormat/>
    <w:uiPriority w:val="0"/>
    <w:rPr>
      <w:rFonts w:eastAsia="仿宋_GB2312"/>
      <w:sz w:val="24"/>
    </w:rPr>
  </w:style>
  <w:style w:type="character" w:customStyle="1" w:styleId="368">
    <w:name w:val="hui3"/>
    <w:qFormat/>
    <w:uiPriority w:val="0"/>
    <w:rPr>
      <w:color w:val="333333"/>
    </w:rPr>
  </w:style>
  <w:style w:type="character" w:customStyle="1" w:styleId="369">
    <w:name w:val="Char Char17"/>
    <w:qFormat/>
    <w:uiPriority w:val="6"/>
    <w:rPr>
      <w:rFonts w:eastAsia="仿宋_GB2312"/>
      <w:sz w:val="24"/>
    </w:rPr>
  </w:style>
  <w:style w:type="character" w:customStyle="1" w:styleId="370">
    <w:name w:val="Char Char37"/>
    <w:qFormat/>
    <w:uiPriority w:val="6"/>
    <w:rPr>
      <w:b/>
      <w:kern w:val="1"/>
      <w:sz w:val="44"/>
      <w:szCs w:val="44"/>
    </w:rPr>
  </w:style>
  <w:style w:type="character" w:customStyle="1" w:styleId="371">
    <w:name w:val="列出段落 Char"/>
    <w:qFormat/>
    <w:uiPriority w:val="0"/>
    <w:rPr>
      <w:rFonts w:eastAsia="楷体_GB2312" w:cs="Lucida Sans"/>
      <w:kern w:val="2"/>
      <w:sz w:val="24"/>
      <w:szCs w:val="24"/>
      <w:lang w:val="en-US" w:eastAsia="zh-CN" w:bidi="ar-SA"/>
    </w:rPr>
  </w:style>
  <w:style w:type="character" w:customStyle="1" w:styleId="372">
    <w:name w:val="正文文本缩进 3 Char1"/>
    <w:semiHidden/>
    <w:qFormat/>
    <w:uiPriority w:val="99"/>
    <w:rPr>
      <w:rFonts w:ascii="Times New Roman" w:hAnsi="Times New Roman" w:eastAsia="宋体" w:cs="Times New Roman"/>
      <w:sz w:val="16"/>
      <w:szCs w:val="16"/>
    </w:rPr>
  </w:style>
  <w:style w:type="character" w:customStyle="1" w:styleId="373">
    <w:name w:val="公文正文 Char Char"/>
    <w:link w:val="374"/>
    <w:qFormat/>
    <w:uiPriority w:val="0"/>
    <w:rPr>
      <w:rFonts w:ascii="仿宋_GB2312" w:eastAsia="仿宋_GB2312"/>
      <w:kern w:val="2"/>
      <w:sz w:val="24"/>
      <w:szCs w:val="24"/>
    </w:rPr>
  </w:style>
  <w:style w:type="paragraph" w:customStyle="1" w:styleId="374">
    <w:name w:val="公文正文"/>
    <w:basedOn w:val="1"/>
    <w:link w:val="373"/>
    <w:qFormat/>
    <w:uiPriority w:val="0"/>
    <w:pPr>
      <w:adjustRightInd/>
      <w:spacing w:before="156" w:line="360" w:lineRule="auto"/>
      <w:ind w:firstLine="360" w:firstLineChars="200"/>
    </w:pPr>
    <w:rPr>
      <w:rFonts w:ascii="仿宋_GB2312" w:eastAsia="仿宋_GB2312"/>
      <w:sz w:val="24"/>
    </w:rPr>
  </w:style>
  <w:style w:type="character" w:customStyle="1" w:styleId="375">
    <w:name w:val="Table Text Char1"/>
    <w:qFormat/>
    <w:uiPriority w:val="0"/>
    <w:rPr>
      <w:rFonts w:eastAsia="宋体"/>
      <w:sz w:val="24"/>
      <w:szCs w:val="24"/>
      <w:lang w:val="en-US" w:eastAsia="zh-CN" w:bidi="ar-SA"/>
    </w:rPr>
  </w:style>
  <w:style w:type="character" w:customStyle="1" w:styleId="376">
    <w:name w:val="标题 1 Char Char"/>
    <w:qFormat/>
    <w:uiPriority w:val="0"/>
    <w:rPr>
      <w:rFonts w:hint="eastAsia" w:ascii="宋体" w:hAnsi="宋体" w:eastAsia="宋体"/>
      <w:b/>
      <w:spacing w:val="-2"/>
      <w:sz w:val="24"/>
      <w:lang w:val="en-US" w:eastAsia="zh-CN" w:bidi="ar-SA"/>
    </w:rPr>
  </w:style>
  <w:style w:type="character" w:customStyle="1" w:styleId="377">
    <w:name w:val="正文（缩进2汉字） Char"/>
    <w:link w:val="378"/>
    <w:qFormat/>
    <w:uiPriority w:val="0"/>
    <w:rPr>
      <w:rFonts w:ascii="宋体"/>
    </w:rPr>
  </w:style>
  <w:style w:type="paragraph" w:customStyle="1" w:styleId="378">
    <w:name w:val="正文（缩进2汉字）"/>
    <w:basedOn w:val="1"/>
    <w:link w:val="37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9">
    <w:name w:val="标题 8 Char"/>
    <w:link w:val="9"/>
    <w:qFormat/>
    <w:uiPriority w:val="0"/>
    <w:rPr>
      <w:rFonts w:ascii="Arial" w:hAnsi="Arial" w:eastAsia="黑体"/>
      <w:kern w:val="2"/>
      <w:sz w:val="24"/>
      <w:szCs w:val="24"/>
    </w:rPr>
  </w:style>
  <w:style w:type="character" w:customStyle="1" w:styleId="380">
    <w:name w:val="标书表格字体格式 Char"/>
    <w:qFormat/>
    <w:uiPriority w:val="0"/>
    <w:rPr>
      <w:kern w:val="2"/>
      <w:sz w:val="21"/>
      <w:szCs w:val="24"/>
      <w:lang w:bidi="ar-SA"/>
    </w:rPr>
  </w:style>
  <w:style w:type="character" w:customStyle="1" w:styleId="381">
    <w:name w:val="tw4winError"/>
    <w:qFormat/>
    <w:uiPriority w:val="0"/>
    <w:rPr>
      <w:rFonts w:ascii="Courier New" w:hAnsi="Courier New" w:cs="Courier New"/>
      <w:color w:val="00FF00"/>
      <w:sz w:val="40"/>
      <w:szCs w:val="40"/>
    </w:rPr>
  </w:style>
  <w:style w:type="character" w:customStyle="1" w:styleId="382">
    <w:name w:val="Body Text(ch) Char Char"/>
    <w:qFormat/>
    <w:uiPriority w:val="0"/>
    <w:rPr>
      <w:rFonts w:ascii="宋体"/>
      <w:kern w:val="2"/>
      <w:sz w:val="24"/>
      <w:szCs w:val="21"/>
      <w:lang w:val="zh-CN"/>
    </w:rPr>
  </w:style>
  <w:style w:type="character" w:customStyle="1" w:styleId="383">
    <w:name w:val="正文首行缩进两字 Char"/>
    <w:qFormat/>
    <w:uiPriority w:val="0"/>
    <w:rPr>
      <w:sz w:val="24"/>
      <w:szCs w:val="24"/>
      <w:lang w:val="en-US" w:eastAsia="zh-CN" w:bidi="ar-SA"/>
    </w:rPr>
  </w:style>
  <w:style w:type="character" w:customStyle="1" w:styleId="384">
    <w:name w:val="正文文本 Char"/>
    <w:qFormat/>
    <w:uiPriority w:val="0"/>
    <w:rPr>
      <w:rFonts w:eastAsia="宋体"/>
      <w:kern w:val="2"/>
      <w:sz w:val="24"/>
      <w:szCs w:val="24"/>
      <w:lang w:val="en-US" w:eastAsia="zh-CN" w:bidi="ar-SA"/>
    </w:rPr>
  </w:style>
  <w:style w:type="character" w:customStyle="1" w:styleId="385">
    <w:name w:val="文档结构图 字符1"/>
    <w:qFormat/>
    <w:uiPriority w:val="0"/>
    <w:rPr>
      <w:rFonts w:ascii="宋体" w:hAnsi="Calibri" w:eastAsia="黑体" w:cs="Arial"/>
      <w:snapToGrid w:val="0"/>
      <w:kern w:val="2"/>
      <w:sz w:val="18"/>
      <w:szCs w:val="18"/>
    </w:rPr>
  </w:style>
  <w:style w:type="character" w:customStyle="1" w:styleId="386">
    <w:name w:val="content"/>
    <w:qFormat/>
    <w:uiPriority w:val="0"/>
  </w:style>
  <w:style w:type="character" w:customStyle="1" w:styleId="387">
    <w:name w:val="tw4winPopup"/>
    <w:qFormat/>
    <w:uiPriority w:val="0"/>
    <w:rPr>
      <w:rFonts w:ascii="Courier New" w:hAnsi="Courier New" w:cs="Courier New"/>
      <w:color w:val="008000"/>
      <w:lang w:val="en-US" w:eastAsia="zh-CN"/>
    </w:rPr>
  </w:style>
  <w:style w:type="character" w:customStyle="1" w:styleId="388">
    <w:name w:val="param-name"/>
    <w:qFormat/>
    <w:uiPriority w:val="99"/>
    <w:rPr>
      <w:rFonts w:ascii="Arial" w:hAnsi="Arial" w:eastAsia="黑体" w:cs="Arial"/>
      <w:snapToGrid w:val="0"/>
      <w:kern w:val="0"/>
      <w:szCs w:val="21"/>
    </w:rPr>
  </w:style>
  <w:style w:type="character" w:customStyle="1" w:styleId="389">
    <w:name w:val="标准正文格式 Char"/>
    <w:qFormat/>
    <w:uiPriority w:val="0"/>
    <w:rPr>
      <w:rFonts w:ascii="宋体" w:eastAsia="仿宋_GB2312" w:cs="宋体"/>
      <w:color w:val="000000"/>
      <w:sz w:val="24"/>
      <w:lang w:val="en-US" w:eastAsia="zh-CN" w:bidi="ar-SA"/>
    </w:rPr>
  </w:style>
  <w:style w:type="character" w:customStyle="1" w:styleId="390">
    <w:name w:val="Char Char212"/>
    <w:qFormat/>
    <w:uiPriority w:val="0"/>
    <w:rPr>
      <w:rFonts w:eastAsia="宋体"/>
      <w:b/>
      <w:bCs/>
      <w:kern w:val="2"/>
      <w:sz w:val="21"/>
      <w:szCs w:val="24"/>
      <w:lang w:val="en-US" w:eastAsia="zh-CN" w:bidi="ar-SA"/>
    </w:rPr>
  </w:style>
  <w:style w:type="character" w:customStyle="1" w:styleId="391">
    <w:name w:val="文档结构图 Char"/>
    <w:qFormat/>
    <w:uiPriority w:val="0"/>
    <w:rPr>
      <w:rFonts w:eastAsia="宋体"/>
      <w:kern w:val="2"/>
      <w:sz w:val="21"/>
      <w:szCs w:val="24"/>
      <w:lang w:val="en-US" w:eastAsia="zh-CN" w:bidi="ar-SA"/>
    </w:rPr>
  </w:style>
  <w:style w:type="character" w:customStyle="1" w:styleId="392">
    <w:name w:val="zbggmain style9"/>
    <w:qFormat/>
    <w:uiPriority w:val="0"/>
  </w:style>
  <w:style w:type="character" w:customStyle="1" w:styleId="393">
    <w:name w:val="Char Char16"/>
    <w:qFormat/>
    <w:uiPriority w:val="6"/>
    <w:rPr>
      <w:kern w:val="1"/>
      <w:sz w:val="18"/>
      <w:szCs w:val="18"/>
    </w:rPr>
  </w:style>
  <w:style w:type="character" w:customStyle="1" w:styleId="394">
    <w:name w:val="font51"/>
    <w:basedOn w:val="71"/>
    <w:qFormat/>
    <w:uiPriority w:val="0"/>
    <w:rPr>
      <w:rFonts w:hint="eastAsia" w:ascii="仿宋" w:hAnsi="仿宋" w:eastAsia="仿宋" w:cs="仿宋"/>
      <w:color w:val="000000"/>
      <w:sz w:val="20"/>
      <w:szCs w:val="20"/>
      <w:u w:val="none"/>
    </w:rPr>
  </w:style>
  <w:style w:type="character" w:customStyle="1" w:styleId="395">
    <w:name w:val="Char Char82"/>
    <w:qFormat/>
    <w:uiPriority w:val="0"/>
    <w:rPr>
      <w:rFonts w:eastAsia="宋体"/>
      <w:b/>
      <w:sz w:val="24"/>
      <w:lang w:val="en-GB" w:eastAsia="zh-CN"/>
    </w:rPr>
  </w:style>
  <w:style w:type="character" w:customStyle="1" w:styleId="396">
    <w:name w:val="正文文本缩进 3 Char"/>
    <w:link w:val="55"/>
    <w:qFormat/>
    <w:uiPriority w:val="0"/>
    <w:rPr>
      <w:kern w:val="2"/>
      <w:sz w:val="24"/>
    </w:rPr>
  </w:style>
  <w:style w:type="character" w:customStyle="1" w:styleId="397">
    <w:name w:val="日期 Char1"/>
    <w:semiHidden/>
    <w:qFormat/>
    <w:uiPriority w:val="99"/>
    <w:rPr>
      <w:rFonts w:ascii="Times New Roman" w:hAnsi="Times New Roman" w:eastAsia="宋体" w:cs="Times New Roman"/>
      <w:szCs w:val="24"/>
    </w:rPr>
  </w:style>
  <w:style w:type="character" w:customStyle="1" w:styleId="398">
    <w:name w:val="页眉 字符"/>
    <w:qFormat/>
    <w:uiPriority w:val="99"/>
    <w:rPr>
      <w:kern w:val="2"/>
      <w:sz w:val="18"/>
      <w:szCs w:val="18"/>
    </w:rPr>
  </w:style>
  <w:style w:type="character" w:customStyle="1" w:styleId="399">
    <w:name w:val="Char Char33"/>
    <w:qFormat/>
    <w:uiPriority w:val="6"/>
    <w:rPr>
      <w:rFonts w:ascii="Arial" w:hAnsi="Arial" w:eastAsia="黑体"/>
      <w:b/>
      <w:kern w:val="1"/>
      <w:sz w:val="24"/>
      <w:szCs w:val="24"/>
    </w:rPr>
  </w:style>
  <w:style w:type="character" w:customStyle="1" w:styleId="400">
    <w:name w:val="b11_01b Char"/>
    <w:link w:val="401"/>
    <w:qFormat/>
    <w:uiPriority w:val="0"/>
    <w:rPr>
      <w:rFonts w:ascii="Verdana" w:hAnsi="Verdana"/>
      <w:b/>
      <w:bCs/>
      <w:color w:val="4A82CA"/>
      <w:sz w:val="17"/>
      <w:szCs w:val="17"/>
    </w:rPr>
  </w:style>
  <w:style w:type="paragraph" w:customStyle="1" w:styleId="401">
    <w:name w:val="b11_01b"/>
    <w:basedOn w:val="1"/>
    <w:next w:val="1"/>
    <w:link w:val="4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02">
    <w:name w:val="Char Char121"/>
    <w:qFormat/>
    <w:uiPriority w:val="6"/>
    <w:rPr>
      <w:rFonts w:ascii="仿宋_GB2312" w:eastAsia="仿宋_GB2312"/>
      <w:b/>
      <w:bCs/>
      <w:kern w:val="2"/>
      <w:sz w:val="24"/>
      <w:szCs w:val="24"/>
      <w:lang w:val="zh-CN" w:eastAsia="zh-CN" w:bidi="ar-SA"/>
    </w:rPr>
  </w:style>
  <w:style w:type="character" w:customStyle="1" w:styleId="403">
    <w:name w:val="Footer-Even Char"/>
    <w:qFormat/>
    <w:uiPriority w:val="0"/>
    <w:rPr>
      <w:rFonts w:eastAsia="宋体"/>
      <w:kern w:val="2"/>
      <w:sz w:val="18"/>
      <w:lang w:val="en-US" w:eastAsia="zh-CN" w:bidi="ar-SA"/>
    </w:rPr>
  </w:style>
  <w:style w:type="character" w:customStyle="1" w:styleId="404">
    <w:name w:val="页脚 Char2"/>
    <w:link w:val="42"/>
    <w:qFormat/>
    <w:locked/>
    <w:uiPriority w:val="99"/>
    <w:rPr>
      <w:kern w:val="2"/>
      <w:sz w:val="18"/>
      <w:szCs w:val="18"/>
    </w:rPr>
  </w:style>
  <w:style w:type="character" w:customStyle="1" w:styleId="405">
    <w:name w:val="Char Char36"/>
    <w:qFormat/>
    <w:uiPriority w:val="6"/>
    <w:rPr>
      <w:rFonts w:ascii="仿宋_GB2312" w:hAnsi="仿宋_GB2312" w:eastAsia="仿宋_GB2312" w:cs="Arial"/>
      <w:b/>
      <w:kern w:val="1"/>
      <w:sz w:val="32"/>
      <w:szCs w:val="32"/>
      <w:lang w:val="zh-CN" w:eastAsia="zh-CN" w:bidi="ar-SA"/>
    </w:rPr>
  </w:style>
  <w:style w:type="character" w:customStyle="1" w:styleId="406">
    <w:name w:val="Char Char61"/>
    <w:qFormat/>
    <w:uiPriority w:val="6"/>
    <w:rPr>
      <w:rFonts w:eastAsia="宋体"/>
      <w:kern w:val="2"/>
      <w:sz w:val="21"/>
      <w:szCs w:val="24"/>
      <w:lang w:val="en-US" w:eastAsia="zh-CN" w:bidi="ar-SA"/>
    </w:rPr>
  </w:style>
  <w:style w:type="character" w:customStyle="1" w:styleId="407">
    <w:name w:val="正文文字缩进 2 Char Char"/>
    <w:qFormat/>
    <w:uiPriority w:val="0"/>
    <w:rPr>
      <w:rFonts w:ascii="宋体"/>
      <w:sz w:val="28"/>
    </w:rPr>
  </w:style>
  <w:style w:type="character" w:customStyle="1" w:styleId="408">
    <w:name w:val="f141"/>
    <w:qFormat/>
    <w:uiPriority w:val="0"/>
    <w:rPr>
      <w:rFonts w:ascii="Tahoma" w:hAnsi="Tahoma" w:eastAsia="宋体"/>
      <w:b/>
      <w:kern w:val="2"/>
      <w:sz w:val="21"/>
      <w:szCs w:val="21"/>
      <w:lang w:val="en-US" w:eastAsia="zh-CN" w:bidi="ar-SA"/>
    </w:rPr>
  </w:style>
  <w:style w:type="character" w:customStyle="1" w:styleId="409">
    <w:name w:val="段落 Char Char"/>
    <w:link w:val="410"/>
    <w:qFormat/>
    <w:uiPriority w:val="0"/>
    <w:rPr>
      <w:rFonts w:ascii="宋体" w:hAnsi="宋体"/>
      <w:sz w:val="24"/>
    </w:rPr>
  </w:style>
  <w:style w:type="paragraph" w:customStyle="1" w:styleId="410">
    <w:name w:val="段落"/>
    <w:basedOn w:val="1"/>
    <w:link w:val="409"/>
    <w:qFormat/>
    <w:uiPriority w:val="0"/>
    <w:pPr>
      <w:adjustRightInd/>
      <w:spacing w:line="360" w:lineRule="auto"/>
      <w:ind w:firstLine="480" w:firstLineChars="200"/>
    </w:pPr>
    <w:rPr>
      <w:rFonts w:ascii="宋体" w:hAnsi="宋体"/>
      <w:kern w:val="0"/>
      <w:sz w:val="24"/>
      <w:szCs w:val="20"/>
    </w:rPr>
  </w:style>
  <w:style w:type="character" w:customStyle="1" w:styleId="411">
    <w:name w:val="标题 3 Char2"/>
    <w:qFormat/>
    <w:uiPriority w:val="0"/>
    <w:rPr>
      <w:rFonts w:eastAsia="宋体"/>
      <w:b/>
      <w:bCs/>
      <w:kern w:val="2"/>
      <w:sz w:val="32"/>
      <w:szCs w:val="32"/>
      <w:lang w:val="en-US" w:eastAsia="zh-CN" w:bidi="ar-SA"/>
    </w:rPr>
  </w:style>
  <w:style w:type="character" w:customStyle="1" w:styleId="412">
    <w:name w:val="apple-converted-space"/>
    <w:qFormat/>
    <w:uiPriority w:val="0"/>
  </w:style>
  <w:style w:type="character" w:customStyle="1" w:styleId="413">
    <w:name w:val="页眉 Char2"/>
    <w:link w:val="44"/>
    <w:qFormat/>
    <w:uiPriority w:val="99"/>
    <w:rPr>
      <w:kern w:val="2"/>
      <w:sz w:val="18"/>
      <w:szCs w:val="18"/>
    </w:rPr>
  </w:style>
  <w:style w:type="character" w:customStyle="1" w:styleId="414">
    <w:name w:val="Char Char9"/>
    <w:qFormat/>
    <w:uiPriority w:val="0"/>
    <w:rPr>
      <w:rFonts w:eastAsia="宋体"/>
      <w:kern w:val="2"/>
      <w:sz w:val="18"/>
      <w:szCs w:val="18"/>
      <w:lang w:val="en-US" w:eastAsia="zh-CN" w:bidi="ar-SA"/>
    </w:rPr>
  </w:style>
  <w:style w:type="character" w:customStyle="1" w:styleId="415">
    <w:name w:val="Char Char41"/>
    <w:qFormat/>
    <w:uiPriority w:val="0"/>
    <w:rPr>
      <w:rFonts w:eastAsia="宋体"/>
      <w:b/>
      <w:sz w:val="24"/>
      <w:lang w:val="en-GB" w:eastAsia="zh-CN" w:bidi="ar-SA"/>
    </w:rPr>
  </w:style>
  <w:style w:type="character" w:customStyle="1" w:styleId="416">
    <w:name w:val="large1"/>
    <w:qFormat/>
    <w:uiPriority w:val="0"/>
    <w:rPr>
      <w:rFonts w:hint="eastAsia" w:ascii="宋体" w:hAnsi="宋体" w:eastAsia="宋体"/>
      <w:sz w:val="21"/>
      <w:szCs w:val="21"/>
    </w:rPr>
  </w:style>
  <w:style w:type="character" w:customStyle="1" w:styleId="417">
    <w:name w:val="正文段 Char"/>
    <w:link w:val="418"/>
    <w:qFormat/>
    <w:uiPriority w:val="0"/>
    <w:rPr>
      <w:sz w:val="24"/>
    </w:rPr>
  </w:style>
  <w:style w:type="paragraph" w:customStyle="1" w:styleId="418">
    <w:name w:val="正文段"/>
    <w:basedOn w:val="1"/>
    <w:link w:val="417"/>
    <w:qFormat/>
    <w:uiPriority w:val="0"/>
    <w:pPr>
      <w:widowControl/>
      <w:snapToGrid w:val="0"/>
      <w:spacing w:after="156" w:afterLines="50"/>
      <w:ind w:firstLine="200" w:firstLineChars="200"/>
    </w:pPr>
    <w:rPr>
      <w:kern w:val="0"/>
      <w:sz w:val="24"/>
      <w:szCs w:val="20"/>
    </w:rPr>
  </w:style>
  <w:style w:type="character" w:customStyle="1" w:styleId="419">
    <w:name w:val="Char Char13"/>
    <w:qFormat/>
    <w:uiPriority w:val="6"/>
    <w:rPr>
      <w:rFonts w:ascii="宋体" w:hAnsi="宋体"/>
      <w:kern w:val="1"/>
      <w:sz w:val="21"/>
      <w:szCs w:val="24"/>
    </w:rPr>
  </w:style>
  <w:style w:type="character" w:customStyle="1" w:styleId="42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21">
    <w:name w:val="冯广丽 Char"/>
    <w:link w:val="422"/>
    <w:qFormat/>
    <w:uiPriority w:val="0"/>
    <w:rPr>
      <w:rFonts w:ascii="宋体" w:hAnsi="宋体"/>
      <w:kern w:val="2"/>
      <w:sz w:val="24"/>
      <w:szCs w:val="22"/>
    </w:rPr>
  </w:style>
  <w:style w:type="paragraph" w:customStyle="1" w:styleId="422">
    <w:name w:val="冯广丽"/>
    <w:basedOn w:val="1"/>
    <w:link w:val="421"/>
    <w:qFormat/>
    <w:uiPriority w:val="0"/>
    <w:pPr>
      <w:adjustRightInd/>
      <w:spacing w:line="360" w:lineRule="auto"/>
      <w:ind w:firstLine="480" w:firstLineChars="200"/>
    </w:pPr>
    <w:rPr>
      <w:rFonts w:ascii="宋体" w:hAnsi="宋体"/>
      <w:sz w:val="24"/>
      <w:szCs w:val="22"/>
    </w:rPr>
  </w:style>
  <w:style w:type="character" w:customStyle="1" w:styleId="423">
    <w:name w:val="批注文字 字符"/>
    <w:qFormat/>
    <w:uiPriority w:val="0"/>
    <w:rPr>
      <w:rFonts w:ascii="Arial" w:hAnsi="Arial" w:eastAsia="黑体" w:cs="Arial"/>
      <w:snapToGrid w:val="0"/>
      <w:kern w:val="0"/>
      <w:szCs w:val="21"/>
    </w:rPr>
  </w:style>
  <w:style w:type="character" w:customStyle="1" w:styleId="424">
    <w:name w:val="Char Char161"/>
    <w:qFormat/>
    <w:uiPriority w:val="0"/>
    <w:rPr>
      <w:rFonts w:eastAsia="宋体"/>
      <w:b/>
      <w:kern w:val="2"/>
      <w:sz w:val="32"/>
      <w:lang w:val="en-US" w:eastAsia="zh-CN"/>
    </w:rPr>
  </w:style>
  <w:style w:type="character" w:customStyle="1" w:styleId="425">
    <w:name w:val="javascript"/>
    <w:qFormat/>
    <w:uiPriority w:val="0"/>
  </w:style>
  <w:style w:type="character" w:customStyle="1" w:styleId="426">
    <w:name w:val="图名 Char"/>
    <w:qFormat/>
    <w:uiPriority w:val="0"/>
    <w:rPr>
      <w:rFonts w:ascii="Arial" w:hAnsi="Arial" w:eastAsia="黑体"/>
      <w:kern w:val="2"/>
      <w:sz w:val="24"/>
      <w:szCs w:val="24"/>
      <w:lang w:val="en-US" w:eastAsia="zh-CN" w:bidi="ar-SA"/>
    </w:rPr>
  </w:style>
  <w:style w:type="character" w:customStyle="1" w:styleId="427">
    <w:name w:val="Used by Word for text of Help footnotes Char Char"/>
    <w:qFormat/>
    <w:uiPriority w:val="0"/>
    <w:rPr>
      <w:rFonts w:ascii="Times New Roman" w:hAnsi="Times New Roman" w:eastAsia="宋体" w:cs="Times New Roman"/>
      <w:sz w:val="20"/>
      <w:szCs w:val="20"/>
    </w:rPr>
  </w:style>
  <w:style w:type="character" w:customStyle="1" w:styleId="428">
    <w:name w:val="编号，小四 Char"/>
    <w:link w:val="429"/>
    <w:qFormat/>
    <w:uiPriority w:val="0"/>
    <w:rPr>
      <w:rFonts w:ascii="Arial" w:hAnsi="Arial"/>
      <w:sz w:val="24"/>
    </w:rPr>
  </w:style>
  <w:style w:type="paragraph" w:customStyle="1" w:styleId="429">
    <w:name w:val="编号，小四"/>
    <w:basedOn w:val="1"/>
    <w:link w:val="428"/>
    <w:qFormat/>
    <w:uiPriority w:val="0"/>
    <w:pPr>
      <w:tabs>
        <w:tab w:val="left" w:pos="432"/>
      </w:tabs>
      <w:adjustRightInd/>
      <w:spacing w:line="360" w:lineRule="auto"/>
      <w:ind w:left="432" w:hanging="432"/>
    </w:pPr>
    <w:rPr>
      <w:rFonts w:ascii="Arial" w:hAnsi="Arial"/>
      <w:kern w:val="0"/>
      <w:sz w:val="24"/>
      <w:szCs w:val="20"/>
    </w:rPr>
  </w:style>
  <w:style w:type="character" w:customStyle="1" w:styleId="430">
    <w:name w:val="Font Style82"/>
    <w:qFormat/>
    <w:uiPriority w:val="99"/>
    <w:rPr>
      <w:rFonts w:ascii="宋体" w:eastAsia="宋体" w:cs="宋体"/>
      <w:color w:val="000000"/>
      <w:sz w:val="14"/>
      <w:szCs w:val="14"/>
    </w:rPr>
  </w:style>
  <w:style w:type="character" w:customStyle="1" w:styleId="431">
    <w:name w:val="标题 2 Char Char"/>
    <w:qFormat/>
    <w:uiPriority w:val="0"/>
    <w:rPr>
      <w:rFonts w:ascii="楷体_GB2312" w:hAnsi="Arial" w:eastAsia="楷体_GB2312"/>
      <w:b/>
      <w:bCs/>
      <w:kern w:val="2"/>
      <w:sz w:val="24"/>
      <w:szCs w:val="32"/>
      <w:lang w:val="en-US" w:eastAsia="zh-CN" w:bidi="ar-SA"/>
    </w:rPr>
  </w:style>
  <w:style w:type="character" w:customStyle="1" w:styleId="432">
    <w:name w:val="未用 Char"/>
    <w:qFormat/>
    <w:uiPriority w:val="0"/>
    <w:rPr>
      <w:rFonts w:ascii="Arial" w:hAnsi="Arial" w:eastAsia="黑体"/>
      <w:kern w:val="2"/>
      <w:sz w:val="21"/>
      <w:szCs w:val="21"/>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样式 标题 4h4H4Fab-4T5Ref Heading 1rh1Heading sqlsect 1.2.3.... Char"/>
    <w:link w:val="327"/>
    <w:qFormat/>
    <w:uiPriority w:val="0"/>
    <w:rPr>
      <w:rFonts w:ascii="微软雅黑" w:hAnsi="微软雅黑" w:eastAsia="微软雅黑"/>
      <w:b/>
      <w:bCs/>
      <w:kern w:val="2"/>
      <w:sz w:val="24"/>
      <w:szCs w:val="28"/>
    </w:rPr>
  </w:style>
  <w:style w:type="character" w:customStyle="1" w:styleId="435">
    <w:name w:val="h Char Char"/>
    <w:qFormat/>
    <w:uiPriority w:val="0"/>
    <w:rPr>
      <w:rFonts w:eastAsia="宋体"/>
      <w:kern w:val="2"/>
      <w:sz w:val="18"/>
      <w:lang w:val="en-US" w:eastAsia="zh-CN" w:bidi="ar-SA"/>
    </w:rPr>
  </w:style>
  <w:style w:type="character" w:customStyle="1" w:styleId="436">
    <w:name w:val="仿宋正文 Char"/>
    <w:link w:val="437"/>
    <w:qFormat/>
    <w:uiPriority w:val="0"/>
    <w:rPr>
      <w:rFonts w:ascii="仿宋_GB2312" w:eastAsia="仿宋_GB2312"/>
      <w:kern w:val="2"/>
      <w:sz w:val="24"/>
      <w:lang w:val="en-US" w:eastAsia="zh-CN" w:bidi="ar-SA"/>
    </w:rPr>
  </w:style>
  <w:style w:type="paragraph" w:customStyle="1" w:styleId="437">
    <w:name w:val="仿宋正文"/>
    <w:basedOn w:val="1"/>
    <w:link w:val="436"/>
    <w:qFormat/>
    <w:uiPriority w:val="0"/>
    <w:pPr>
      <w:adjustRightInd/>
      <w:spacing w:line="360" w:lineRule="auto"/>
      <w:ind w:firstLine="480" w:firstLineChars="200"/>
    </w:pPr>
    <w:rPr>
      <w:rFonts w:ascii="仿宋_GB2312" w:eastAsia="仿宋_GB2312"/>
      <w:sz w:val="24"/>
      <w:szCs w:val="20"/>
    </w:rPr>
  </w:style>
  <w:style w:type="character" w:customStyle="1" w:styleId="438">
    <w:name w:val="正文首行缩进 Char Char Char Char Char Char"/>
    <w:qFormat/>
    <w:uiPriority w:val="0"/>
    <w:rPr>
      <w:rFonts w:ascii="宋体" w:eastAsia="宋体"/>
      <w:kern w:val="2"/>
      <w:sz w:val="24"/>
      <w:lang w:val="zh-CN" w:bidi="ar-SA"/>
    </w:rPr>
  </w:style>
  <w:style w:type="character" w:customStyle="1" w:styleId="439">
    <w:name w:val="样式 宋体"/>
    <w:qFormat/>
    <w:uiPriority w:val="0"/>
    <w:rPr>
      <w:rFonts w:ascii="宋体" w:hAnsi="宋体"/>
      <w:sz w:val="24"/>
    </w:rPr>
  </w:style>
  <w:style w:type="character" w:customStyle="1" w:styleId="440">
    <w:name w:val="tw4winJump"/>
    <w:qFormat/>
    <w:uiPriority w:val="0"/>
    <w:rPr>
      <w:rFonts w:ascii="Courier New" w:hAnsi="Courier New" w:cs="Courier New"/>
      <w:color w:val="008080"/>
      <w:lang w:val="en-US" w:eastAsia="zh-CN"/>
    </w:rPr>
  </w:style>
  <w:style w:type="character" w:customStyle="1" w:styleId="441">
    <w:name w:val="style36"/>
    <w:basedOn w:val="71"/>
    <w:qFormat/>
    <w:uiPriority w:val="0"/>
    <w:rPr>
      <w:rFonts w:ascii="Arial" w:hAnsi="Arial" w:eastAsia="黑体" w:cs="Arial"/>
      <w:snapToGrid w:val="0"/>
      <w:kern w:val="0"/>
      <w:szCs w:val="21"/>
    </w:rPr>
  </w:style>
  <w:style w:type="character" w:customStyle="1" w:styleId="442">
    <w:name w:val="pt9"/>
    <w:qFormat/>
    <w:uiPriority w:val="0"/>
    <w:rPr>
      <w:rFonts w:ascii="仿宋_GB2312" w:eastAsia="微软雅黑"/>
      <w:b/>
      <w:kern w:val="2"/>
      <w:sz w:val="32"/>
      <w:szCs w:val="32"/>
      <w:lang w:val="en-US" w:eastAsia="zh-CN" w:bidi="ar-SA"/>
    </w:rPr>
  </w:style>
  <w:style w:type="character" w:customStyle="1" w:styleId="443">
    <w:name w:val="DO_NOT_TRANSLATE"/>
    <w:qFormat/>
    <w:uiPriority w:val="0"/>
    <w:rPr>
      <w:rFonts w:ascii="Courier New" w:hAnsi="Courier New" w:cs="Courier New"/>
      <w:color w:val="800000"/>
      <w:lang w:val="en-US" w:eastAsia="zh-CN"/>
    </w:rPr>
  </w:style>
  <w:style w:type="character" w:customStyle="1" w:styleId="444">
    <w:name w:val="标书1 Char1"/>
    <w:qFormat/>
    <w:uiPriority w:val="0"/>
    <w:rPr>
      <w:rFonts w:eastAsia="宋体"/>
      <w:b/>
      <w:bCs/>
      <w:kern w:val="44"/>
      <w:sz w:val="44"/>
      <w:szCs w:val="44"/>
      <w:lang w:val="en-US" w:eastAsia="zh-CN" w:bidi="ar-SA"/>
    </w:rPr>
  </w:style>
  <w:style w:type="character" w:customStyle="1" w:styleId="445">
    <w:name w:val="页脚 字符"/>
    <w:qFormat/>
    <w:uiPriority w:val="99"/>
    <w:rPr>
      <w:kern w:val="2"/>
      <w:sz w:val="18"/>
      <w:szCs w:val="18"/>
    </w:rPr>
  </w:style>
  <w:style w:type="character" w:customStyle="1" w:styleId="446">
    <w:name w:val="正文2 Char"/>
    <w:qFormat/>
    <w:uiPriority w:val="0"/>
    <w:rPr>
      <w:rFonts w:eastAsia="宋体"/>
      <w:kern w:val="2"/>
      <w:sz w:val="24"/>
      <w:lang w:val="en-US" w:eastAsia="zh-CN" w:bidi="ar-SA"/>
    </w:rPr>
  </w:style>
  <w:style w:type="character" w:customStyle="1" w:styleId="447">
    <w:name w:val="Char Char21"/>
    <w:qFormat/>
    <w:uiPriority w:val="6"/>
    <w:rPr>
      <w:rFonts w:ascii="宋体" w:hAnsi="宋体"/>
      <w:kern w:val="1"/>
      <w:sz w:val="24"/>
      <w:szCs w:val="21"/>
      <w:lang w:val="zh-CN"/>
    </w:rPr>
  </w:style>
  <w:style w:type="character" w:customStyle="1" w:styleId="448">
    <w:name w:val="样式 正文缩进 + 首行缩进:  2 字符 Char Char"/>
    <w:link w:val="449"/>
    <w:qFormat/>
    <w:uiPriority w:val="0"/>
    <w:rPr>
      <w:rFonts w:cs="宋体"/>
      <w:kern w:val="2"/>
      <w:sz w:val="24"/>
    </w:rPr>
  </w:style>
  <w:style w:type="paragraph" w:customStyle="1" w:styleId="449">
    <w:name w:val="样式 正文缩进 + 首行缩进:  2 字符"/>
    <w:basedOn w:val="15"/>
    <w:link w:val="44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5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51">
    <w:name w:val="gray6"/>
    <w:basedOn w:val="71"/>
    <w:qFormat/>
    <w:uiPriority w:val="0"/>
    <w:rPr>
      <w:rFonts w:ascii="Arial" w:hAnsi="Arial" w:eastAsia="黑体" w:cs="Arial"/>
      <w:snapToGrid w:val="0"/>
      <w:kern w:val="0"/>
      <w:szCs w:val="21"/>
    </w:rPr>
  </w:style>
  <w:style w:type="character" w:customStyle="1" w:styleId="452">
    <w:name w:val="hui"/>
    <w:basedOn w:val="71"/>
    <w:qFormat/>
    <w:uiPriority w:val="0"/>
    <w:rPr>
      <w:rFonts w:ascii="Arial" w:hAnsi="Arial" w:eastAsia="黑体" w:cs="Arial"/>
      <w:snapToGrid w:val="0"/>
      <w:kern w:val="0"/>
      <w:szCs w:val="21"/>
    </w:rPr>
  </w:style>
  <w:style w:type="character" w:customStyle="1" w:styleId="453">
    <w:name w:val="哈哈正文 Char Char"/>
    <w:qFormat/>
    <w:uiPriority w:val="0"/>
    <w:rPr>
      <w:rFonts w:ascii="宋体" w:hAnsi="宋体" w:eastAsia="宋体" w:cs="宋体"/>
      <w:kern w:val="2"/>
      <w:sz w:val="24"/>
      <w:lang w:val="en-US" w:eastAsia="zh-CN" w:bidi="ar-SA"/>
    </w:rPr>
  </w:style>
  <w:style w:type="paragraph" w:customStyle="1" w:styleId="454">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5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5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6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61">
    <w:name w:val="标题4_自定义"/>
    <w:basedOn w:val="5"/>
    <w:qFormat/>
    <w:uiPriority w:val="0"/>
    <w:pPr>
      <w:adjustRightInd/>
      <w:spacing w:before="0" w:after="0" w:line="360" w:lineRule="auto"/>
    </w:pPr>
    <w:rPr>
      <w:rFonts w:ascii="Verdana" w:eastAsia="Verdana"/>
      <w:sz w:val="21"/>
      <w:lang w:val="en-US"/>
    </w:rPr>
  </w:style>
  <w:style w:type="paragraph" w:customStyle="1" w:styleId="462">
    <w:name w:val="正文 内标 序号标"/>
    <w:basedOn w:val="463"/>
    <w:qFormat/>
    <w:uiPriority w:val="0"/>
    <w:pPr>
      <w:tabs>
        <w:tab w:val="left" w:pos="0"/>
      </w:tabs>
      <w:adjustRightInd/>
      <w:spacing w:before="0"/>
      <w:ind w:firstLine="482"/>
    </w:pPr>
    <w:rPr>
      <w:rFonts w:ascii="微软雅黑" w:hAnsi="微软雅黑"/>
      <w:sz w:val="24"/>
      <w:szCs w:val="24"/>
    </w:rPr>
  </w:style>
  <w:style w:type="paragraph" w:customStyle="1" w:styleId="463">
    <w:name w:val="My正文"/>
    <w:basedOn w:val="1"/>
    <w:qFormat/>
    <w:uiPriority w:val="0"/>
    <w:pPr>
      <w:spacing w:before="120" w:line="360" w:lineRule="auto"/>
      <w:ind w:firstLine="567"/>
    </w:pPr>
    <w:rPr>
      <w:rFonts w:ascii="Arial" w:hAnsi="Arial"/>
      <w:sz w:val="20"/>
      <w:szCs w:val="20"/>
    </w:rPr>
  </w:style>
  <w:style w:type="paragraph" w:customStyle="1" w:styleId="46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6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6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7">
    <w:name w:val="修订2"/>
    <w:qFormat/>
    <w:uiPriority w:val="0"/>
    <w:rPr>
      <w:rFonts w:ascii="Times New Roman" w:hAnsi="Times New Roman" w:eastAsia="宋体" w:cs="Times New Roman"/>
      <w:kern w:val="2"/>
      <w:sz w:val="21"/>
      <w:lang w:val="en-US" w:eastAsia="zh-CN" w:bidi="ar-SA"/>
    </w:rPr>
  </w:style>
  <w:style w:type="paragraph" w:customStyle="1" w:styleId="46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文章标题"/>
    <w:next w:val="47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71">
    <w:name w:val="封面公司名"/>
    <w:qFormat/>
    <w:uiPriority w:val="0"/>
    <w:pPr>
      <w:jc w:val="center"/>
    </w:pPr>
    <w:rPr>
      <w:rFonts w:ascii="Arial" w:hAnsi="Arial" w:eastAsia="楷体_GB2312" w:cs="宋体"/>
      <w:bCs/>
      <w:kern w:val="2"/>
      <w:sz w:val="28"/>
      <w:lang w:val="en-US" w:eastAsia="zh-CN" w:bidi="ar-SA"/>
    </w:rPr>
  </w:style>
  <w:style w:type="paragraph" w:customStyle="1" w:styleId="472">
    <w:name w:val="Char1 Char Char Char5"/>
    <w:basedOn w:val="1"/>
    <w:qFormat/>
    <w:uiPriority w:val="0"/>
    <w:pPr>
      <w:adjustRightInd/>
      <w:ind w:firstLine="200" w:firstLineChars="200"/>
    </w:pPr>
    <w:rPr>
      <w:rFonts w:ascii="Tahoma" w:hAnsi="Tahoma"/>
      <w:sz w:val="24"/>
      <w:szCs w:val="20"/>
    </w:rPr>
  </w:style>
  <w:style w:type="paragraph" w:customStyle="1" w:styleId="47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7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75">
    <w:name w:val="Char Char Char Char Char Char Char Char"/>
    <w:basedOn w:val="1"/>
    <w:qFormat/>
    <w:uiPriority w:val="0"/>
    <w:pPr>
      <w:tabs>
        <w:tab w:val="left" w:pos="360"/>
      </w:tabs>
    </w:pPr>
    <w:rPr>
      <w:sz w:val="24"/>
      <w:szCs w:val="20"/>
    </w:rPr>
  </w:style>
  <w:style w:type="paragraph" w:customStyle="1" w:styleId="476">
    <w:name w:val="Char Char11 Char Char Char"/>
    <w:basedOn w:val="1"/>
    <w:qFormat/>
    <w:uiPriority w:val="0"/>
    <w:pPr>
      <w:spacing w:line="360" w:lineRule="auto"/>
    </w:pPr>
    <w:rPr>
      <w:szCs w:val="20"/>
    </w:rPr>
  </w:style>
  <w:style w:type="paragraph" w:customStyle="1" w:styleId="47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79">
    <w:name w:val="样式3"/>
    <w:basedOn w:val="101"/>
    <w:qFormat/>
    <w:uiPriority w:val="0"/>
    <w:pPr>
      <w:spacing w:before="312" w:beforeLines="100"/>
      <w:jc w:val="left"/>
    </w:pPr>
  </w:style>
  <w:style w:type="paragraph" w:customStyle="1" w:styleId="480">
    <w:name w:val="Char Char1 Char Char1 Char Char1"/>
    <w:basedOn w:val="1"/>
    <w:qFormat/>
    <w:uiPriority w:val="0"/>
    <w:pPr>
      <w:tabs>
        <w:tab w:val="left" w:pos="840"/>
      </w:tabs>
      <w:ind w:left="840" w:hanging="420"/>
    </w:pPr>
    <w:rPr>
      <w:rFonts w:ascii="Tahoma" w:hAnsi="Tahoma"/>
      <w:sz w:val="24"/>
    </w:rPr>
  </w:style>
  <w:style w:type="paragraph" w:customStyle="1" w:styleId="48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2">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8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84">
    <w:name w:val="正文21"/>
    <w:basedOn w:val="1"/>
    <w:qFormat/>
    <w:uiPriority w:val="0"/>
    <w:pPr>
      <w:adjustRightInd/>
      <w:spacing w:before="156" w:line="360" w:lineRule="auto"/>
      <w:ind w:firstLine="510" w:firstLineChars="200"/>
    </w:pPr>
    <w:rPr>
      <w:sz w:val="24"/>
      <w:szCs w:val="20"/>
    </w:rPr>
  </w:style>
  <w:style w:type="paragraph" w:customStyle="1" w:styleId="48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8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7">
    <w:name w:val="Char1"/>
    <w:basedOn w:val="1"/>
    <w:qFormat/>
    <w:uiPriority w:val="0"/>
    <w:rPr>
      <w:rFonts w:ascii="仿宋_GB2312" w:eastAsia="仿宋_GB2312"/>
      <w:b/>
      <w:sz w:val="32"/>
      <w:szCs w:val="32"/>
    </w:rPr>
  </w:style>
  <w:style w:type="paragraph" w:customStyle="1" w:styleId="48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9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9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92">
    <w:name w:val="6级标题"/>
    <w:basedOn w:val="493"/>
    <w:qFormat/>
    <w:uiPriority w:val="0"/>
    <w:pPr>
      <w:keepNext/>
      <w:tabs>
        <w:tab w:val="left" w:pos="360"/>
      </w:tabs>
      <w:spacing w:before="0" w:after="0"/>
      <w:outlineLvl w:val="5"/>
    </w:pPr>
  </w:style>
  <w:style w:type="paragraph" w:customStyle="1" w:styleId="493">
    <w:name w:val="5级标题"/>
    <w:basedOn w:val="49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94">
    <w:name w:val="4级标题"/>
    <w:basedOn w:val="28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95">
    <w:name w:val="样式 正文文本缩进 + 段前: 2 字符"/>
    <w:basedOn w:val="1"/>
    <w:qFormat/>
    <w:uiPriority w:val="0"/>
    <w:pPr>
      <w:adjustRightInd/>
      <w:ind w:left="420" w:leftChars="200"/>
      <w:jc w:val="left"/>
    </w:pPr>
    <w:rPr>
      <w:sz w:val="28"/>
      <w:szCs w:val="20"/>
      <w:lang w:eastAsia="zh-TW"/>
    </w:rPr>
  </w:style>
  <w:style w:type="paragraph" w:customStyle="1" w:styleId="496">
    <w:name w:val="Char2 Char Char"/>
    <w:basedOn w:val="1"/>
    <w:qFormat/>
    <w:uiPriority w:val="0"/>
    <w:pPr>
      <w:adjustRightInd/>
    </w:pPr>
    <w:rPr>
      <w:rFonts w:ascii="Tahoma" w:hAnsi="Tahoma"/>
      <w:sz w:val="24"/>
      <w:szCs w:val="20"/>
    </w:rPr>
  </w:style>
  <w:style w:type="paragraph" w:customStyle="1" w:styleId="497">
    <w:name w:val="_Style 11"/>
    <w:basedOn w:val="1"/>
    <w:qFormat/>
    <w:uiPriority w:val="34"/>
    <w:pPr>
      <w:adjustRightInd/>
      <w:ind w:firstLine="420" w:firstLineChars="200"/>
    </w:pPr>
    <w:rPr>
      <w:rFonts w:eastAsia="仿宋_GB2312"/>
      <w:sz w:val="28"/>
    </w:rPr>
  </w:style>
  <w:style w:type="paragraph" w:customStyle="1" w:styleId="49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9">
    <w:name w:val="Char Char Char"/>
    <w:basedOn w:val="1"/>
    <w:qFormat/>
    <w:uiPriority w:val="0"/>
    <w:rPr>
      <w:rFonts w:ascii="Tahoma" w:hAnsi="Tahoma"/>
      <w:sz w:val="24"/>
      <w:szCs w:val="20"/>
    </w:rPr>
  </w:style>
  <w:style w:type="paragraph" w:customStyle="1" w:styleId="500">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50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2">
    <w:name w:val="无间隔2"/>
    <w:basedOn w:val="1"/>
    <w:link w:val="941"/>
    <w:qFormat/>
    <w:uiPriority w:val="99"/>
    <w:rPr>
      <w:szCs w:val="22"/>
    </w:rPr>
  </w:style>
  <w:style w:type="paragraph" w:customStyle="1" w:styleId="50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04">
    <w:name w:val="Char Char Char Char Char Char Char Char Char Char Char Char1 Char1"/>
    <w:basedOn w:val="1"/>
    <w:qFormat/>
    <w:uiPriority w:val="6"/>
    <w:rPr>
      <w:rFonts w:ascii="Tahoma" w:hAnsi="Tahoma" w:cs="仿宋_GB2312"/>
      <w:sz w:val="24"/>
      <w:szCs w:val="20"/>
    </w:rPr>
  </w:style>
  <w:style w:type="paragraph" w:customStyle="1" w:styleId="50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0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8">
    <w:name w:val="MM Topic 2"/>
    <w:basedOn w:val="3"/>
    <w:qFormat/>
    <w:uiPriority w:val="0"/>
    <w:pPr>
      <w:tabs>
        <w:tab w:val="left" w:pos="1260"/>
      </w:tabs>
      <w:ind w:left="1260" w:hanging="420"/>
    </w:pPr>
    <w:rPr>
      <w:rFonts w:ascii="Arial" w:hAnsi="Arial" w:eastAsia="黑体"/>
      <w:lang w:val="en-US"/>
    </w:rPr>
  </w:style>
  <w:style w:type="paragraph" w:customStyle="1" w:styleId="509">
    <w:name w:val="五级无标题条"/>
    <w:basedOn w:val="1"/>
    <w:qFormat/>
    <w:uiPriority w:val="0"/>
    <w:pPr>
      <w:adjustRightInd/>
    </w:pPr>
  </w:style>
  <w:style w:type="paragraph" w:customStyle="1" w:styleId="510">
    <w:name w:val="Char5"/>
    <w:basedOn w:val="1"/>
    <w:qFormat/>
    <w:uiPriority w:val="0"/>
    <w:rPr>
      <w:rFonts w:ascii="仿宋_GB2312" w:eastAsia="仿宋_GB2312"/>
      <w:b/>
      <w:sz w:val="32"/>
      <w:szCs w:val="32"/>
    </w:rPr>
  </w:style>
  <w:style w:type="paragraph" w:customStyle="1" w:styleId="51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2">
    <w:name w:val="彩色列表 - 强调文字颜色 12"/>
    <w:basedOn w:val="1"/>
    <w:qFormat/>
    <w:uiPriority w:val="0"/>
    <w:pPr>
      <w:adjustRightInd/>
      <w:ind w:firstLine="420" w:firstLineChars="200"/>
    </w:pPr>
    <w:rPr>
      <w:rFonts w:ascii="Calibri" w:hAnsi="Calibri"/>
      <w:szCs w:val="22"/>
    </w:rPr>
  </w:style>
  <w:style w:type="paragraph" w:customStyle="1" w:styleId="51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14">
    <w:name w:val="Char2"/>
    <w:basedOn w:val="1"/>
    <w:qFormat/>
    <w:uiPriority w:val="0"/>
    <w:rPr>
      <w:rFonts w:ascii="仿宋_GB2312" w:eastAsia="仿宋_GB2312"/>
      <w:b/>
      <w:sz w:val="32"/>
      <w:szCs w:val="32"/>
    </w:rPr>
  </w:style>
  <w:style w:type="paragraph" w:customStyle="1" w:styleId="515">
    <w:name w:val="数字标题3"/>
    <w:basedOn w:val="4"/>
    <w:next w:val="1"/>
    <w:qFormat/>
    <w:uiPriority w:val="0"/>
    <w:pPr>
      <w:spacing w:line="240" w:lineRule="auto"/>
    </w:pPr>
    <w:rPr>
      <w:sz w:val="28"/>
      <w:szCs w:val="28"/>
    </w:rPr>
  </w:style>
  <w:style w:type="paragraph" w:customStyle="1" w:styleId="516">
    <w:name w:val="FA正文"/>
    <w:basedOn w:val="1"/>
    <w:qFormat/>
    <w:uiPriority w:val="0"/>
    <w:pPr>
      <w:spacing w:line="360" w:lineRule="auto"/>
      <w:ind w:firstLine="480" w:firstLineChars="200"/>
    </w:pPr>
    <w:rPr>
      <w:rFonts w:hAnsi="宋体"/>
      <w:sz w:val="24"/>
      <w:szCs w:val="20"/>
    </w:rPr>
  </w:style>
  <w:style w:type="paragraph" w:customStyle="1" w:styleId="517">
    <w:name w:val="MM Topic 5"/>
    <w:basedOn w:val="6"/>
    <w:qFormat/>
    <w:uiPriority w:val="0"/>
    <w:pPr>
      <w:tabs>
        <w:tab w:val="left" w:pos="2520"/>
      </w:tabs>
      <w:adjustRightInd/>
      <w:ind w:left="2520" w:hanging="420"/>
    </w:pPr>
  </w:style>
  <w:style w:type="paragraph" w:customStyle="1" w:styleId="518">
    <w:name w:val="Char Char Char Char Char Char Char Char Char Char1"/>
    <w:basedOn w:val="1"/>
    <w:qFormat/>
    <w:uiPriority w:val="0"/>
    <w:rPr>
      <w:rFonts w:ascii="仿宋_GB2312" w:eastAsia="仿宋_GB2312"/>
      <w:b/>
      <w:sz w:val="32"/>
      <w:szCs w:val="32"/>
    </w:rPr>
  </w:style>
  <w:style w:type="paragraph" w:customStyle="1" w:styleId="5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20">
    <w:name w:val="修订1"/>
    <w:qFormat/>
    <w:uiPriority w:val="3"/>
    <w:rPr>
      <w:rFonts w:ascii="Times New Roman" w:hAnsi="Times New Roman" w:eastAsia="宋体" w:cs="Times New Roman"/>
      <w:color w:val="000000"/>
      <w:kern w:val="1"/>
      <w:sz w:val="21"/>
      <w:lang w:val="en-US" w:eastAsia="zh-CN" w:bidi="ar-SA"/>
    </w:rPr>
  </w:style>
  <w:style w:type="paragraph" w:customStyle="1" w:styleId="521">
    <w:name w:val="Char2 Char Char Char"/>
    <w:basedOn w:val="1"/>
    <w:qFormat/>
    <w:uiPriority w:val="0"/>
    <w:rPr>
      <w:rFonts w:ascii="仿宋_GB2312" w:eastAsia="仿宋_GB2312"/>
      <w:b/>
      <w:sz w:val="32"/>
      <w:szCs w:val="32"/>
    </w:rPr>
  </w:style>
  <w:style w:type="paragraph" w:customStyle="1" w:styleId="522">
    <w:name w:val="Char2 Char Char Char1"/>
    <w:basedOn w:val="1"/>
    <w:qFormat/>
    <w:uiPriority w:val="6"/>
    <w:rPr>
      <w:rFonts w:ascii="仿宋_GB2312" w:eastAsia="仿宋_GB2312"/>
      <w:b/>
      <w:sz w:val="32"/>
      <w:szCs w:val="32"/>
    </w:rPr>
  </w:style>
  <w:style w:type="paragraph" w:customStyle="1" w:styleId="523">
    <w:name w:val="默认段落样式"/>
    <w:basedOn w:val="155"/>
    <w:qFormat/>
    <w:uiPriority w:val="0"/>
    <w:pPr>
      <w:spacing w:before="0"/>
      <w:ind w:firstLine="480"/>
      <w:outlineLvl w:val="2"/>
    </w:pPr>
    <w:rPr>
      <w:rFonts w:ascii="仿宋_GB2312" w:hAnsi="宋体" w:eastAsia="仿宋_GB2312"/>
      <w:color w:val="000000"/>
      <w:szCs w:val="24"/>
    </w:rPr>
  </w:style>
  <w:style w:type="paragraph" w:customStyle="1" w:styleId="524">
    <w:name w:val="图中文字"/>
    <w:basedOn w:val="1"/>
    <w:qFormat/>
    <w:uiPriority w:val="0"/>
    <w:pPr>
      <w:snapToGrid w:val="0"/>
      <w:spacing w:line="0" w:lineRule="atLeast"/>
      <w:ind w:firstLine="200" w:firstLineChars="200"/>
      <w:jc w:val="center"/>
    </w:pPr>
    <w:rPr>
      <w:sz w:val="24"/>
      <w:szCs w:val="20"/>
    </w:rPr>
  </w:style>
  <w:style w:type="paragraph" w:customStyle="1" w:styleId="52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MM Topic 3"/>
    <w:basedOn w:val="4"/>
    <w:qFormat/>
    <w:uiPriority w:val="0"/>
    <w:pPr>
      <w:tabs>
        <w:tab w:val="left" w:pos="1680"/>
      </w:tabs>
      <w:ind w:left="1680" w:hanging="420"/>
    </w:pPr>
  </w:style>
  <w:style w:type="paragraph" w:customStyle="1" w:styleId="527">
    <w:name w:val="标准小四"/>
    <w:basedOn w:val="1"/>
    <w:qFormat/>
    <w:uiPriority w:val="0"/>
    <w:pPr>
      <w:spacing w:line="360" w:lineRule="auto"/>
      <w:ind w:firstLine="480" w:firstLineChars="200"/>
    </w:pPr>
    <w:rPr>
      <w:rFonts w:ascii="Arial" w:hAnsi="Arial"/>
      <w:sz w:val="24"/>
      <w:szCs w:val="21"/>
    </w:rPr>
  </w:style>
  <w:style w:type="paragraph" w:customStyle="1" w:styleId="52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29">
    <w:name w:val="表格（小）"/>
    <w:basedOn w:val="1"/>
    <w:qFormat/>
    <w:uiPriority w:val="0"/>
    <w:pPr>
      <w:adjustRightInd/>
      <w:snapToGrid w:val="0"/>
      <w:spacing w:line="300" w:lineRule="auto"/>
    </w:pPr>
    <w:rPr>
      <w:rFonts w:eastAsia="仿宋"/>
      <w:szCs w:val="21"/>
    </w:rPr>
  </w:style>
  <w:style w:type="paragraph" w:customStyle="1" w:styleId="53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31">
    <w:name w:val="Char2 Char Char1"/>
    <w:basedOn w:val="1"/>
    <w:qFormat/>
    <w:uiPriority w:val="6"/>
    <w:pPr>
      <w:adjustRightInd/>
    </w:pPr>
    <w:rPr>
      <w:rFonts w:ascii="Tahoma" w:hAnsi="Tahoma"/>
      <w:sz w:val="24"/>
      <w:szCs w:val="20"/>
    </w:rPr>
  </w:style>
  <w:style w:type="paragraph" w:customStyle="1" w:styleId="532">
    <w:name w:val="列出段落5"/>
    <w:basedOn w:val="1"/>
    <w:qFormat/>
    <w:uiPriority w:val="0"/>
    <w:pPr>
      <w:spacing w:line="360" w:lineRule="auto"/>
      <w:ind w:firstLine="200" w:firstLineChars="200"/>
    </w:pPr>
    <w:rPr>
      <w:rFonts w:eastAsia="楷体_GB2312" w:cs="Lucida Sans"/>
      <w:sz w:val="24"/>
    </w:rPr>
  </w:style>
  <w:style w:type="paragraph" w:customStyle="1" w:styleId="53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3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3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3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41">
    <w:name w:val="左对齐表格文字"/>
    <w:basedOn w:val="1"/>
    <w:qFormat/>
    <w:uiPriority w:val="0"/>
    <w:pPr>
      <w:adjustRightInd/>
      <w:ind w:firstLine="200" w:firstLineChars="200"/>
      <w:jc w:val="right"/>
    </w:pPr>
  </w:style>
  <w:style w:type="paragraph" w:customStyle="1" w:styleId="542">
    <w:name w:val="Char Char11 Char Char Char Char Char Char Char Char Char"/>
    <w:basedOn w:val="1"/>
    <w:qFormat/>
    <w:uiPriority w:val="0"/>
    <w:pPr>
      <w:spacing w:line="360" w:lineRule="auto"/>
    </w:pPr>
    <w:rPr>
      <w:szCs w:val="20"/>
    </w:rPr>
  </w:style>
  <w:style w:type="paragraph" w:customStyle="1" w:styleId="543">
    <w:name w:val="正文1.25"/>
    <w:basedOn w:val="1"/>
    <w:qFormat/>
    <w:uiPriority w:val="0"/>
    <w:pPr>
      <w:adjustRightInd/>
      <w:spacing w:line="300" w:lineRule="auto"/>
      <w:ind w:firstLine="480" w:firstLineChars="200"/>
    </w:pPr>
    <w:rPr>
      <w:sz w:val="24"/>
      <w:szCs w:val="20"/>
    </w:rPr>
  </w:style>
  <w:style w:type="paragraph" w:customStyle="1" w:styleId="54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4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4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 Char Char Char1"/>
    <w:basedOn w:val="1"/>
    <w:qFormat/>
    <w:uiPriority w:val="6"/>
    <w:rPr>
      <w:rFonts w:ascii="仿宋_GB2312" w:eastAsia="仿宋_GB2312"/>
      <w:b/>
      <w:sz w:val="32"/>
      <w:szCs w:val="20"/>
    </w:rPr>
  </w:style>
  <w:style w:type="paragraph" w:customStyle="1" w:styleId="548">
    <w:name w:val="列出段落2"/>
    <w:basedOn w:val="1"/>
    <w:qFormat/>
    <w:uiPriority w:val="0"/>
    <w:pPr>
      <w:adjustRightInd/>
      <w:ind w:firstLine="420" w:firstLineChars="200"/>
    </w:pPr>
    <w:rPr>
      <w:rFonts w:ascii="宋体" w:hAnsi="宋体"/>
      <w:sz w:val="24"/>
    </w:rPr>
  </w:style>
  <w:style w:type="paragraph" w:customStyle="1" w:styleId="549">
    <w:name w:val="默认段落字体 Para Char Char Char Char Char Char Char"/>
    <w:basedOn w:val="1"/>
    <w:qFormat/>
    <w:uiPriority w:val="0"/>
    <w:rPr>
      <w:rFonts w:eastAsia="仿宋_GB2312"/>
      <w:sz w:val="28"/>
      <w:szCs w:val="20"/>
    </w:rPr>
  </w:style>
  <w:style w:type="paragraph" w:customStyle="1" w:styleId="55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51">
    <w:name w:val="样式 标题 4PIM 4H4h4bulletblbbH41H42H43H44H45H46H47H48...1"/>
    <w:basedOn w:val="5"/>
    <w:qFormat/>
    <w:uiPriority w:val="0"/>
    <w:pPr>
      <w:widowControl/>
      <w:jc w:val="left"/>
    </w:pPr>
    <w:rPr>
      <w:rFonts w:cs="宋体"/>
      <w:sz w:val="24"/>
      <w:szCs w:val="20"/>
    </w:rPr>
  </w:style>
  <w:style w:type="paragraph" w:customStyle="1" w:styleId="552">
    <w:name w:val="彩色列表 - 强调文字颜色 11"/>
    <w:basedOn w:val="1"/>
    <w:qFormat/>
    <w:uiPriority w:val="0"/>
    <w:pPr>
      <w:adjustRightInd/>
      <w:ind w:firstLine="420" w:firstLineChars="200"/>
    </w:pPr>
    <w:rPr>
      <w:rFonts w:ascii="Calibri" w:hAnsi="Calibri"/>
      <w:szCs w:val="22"/>
    </w:rPr>
  </w:style>
  <w:style w:type="paragraph" w:customStyle="1" w:styleId="55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5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56">
    <w:name w:val="Char Char Char1 Char1"/>
    <w:basedOn w:val="1"/>
    <w:qFormat/>
    <w:uiPriority w:val="6"/>
    <w:rPr>
      <w:szCs w:val="20"/>
    </w:rPr>
  </w:style>
  <w:style w:type="paragraph" w:customStyle="1" w:styleId="55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6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6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2">
    <w:name w:val="CM14"/>
    <w:basedOn w:val="258"/>
    <w:next w:val="258"/>
    <w:qFormat/>
    <w:uiPriority w:val="0"/>
    <w:pPr>
      <w:spacing w:after="68"/>
    </w:pPr>
    <w:rPr>
      <w:rFonts w:ascii="FHLHE E+ Futura Bk" w:eastAsia="FHLHE E+ Futura Bk" w:cs="Times New Roman"/>
      <w:color w:val="auto"/>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6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6">
    <w:name w:val="正文文字 2"/>
    <w:basedOn w:val="258"/>
    <w:next w:val="258"/>
    <w:qFormat/>
    <w:uiPriority w:val="0"/>
    <w:rPr>
      <w:rFonts w:ascii="宋体" w:eastAsia="宋体" w:cs="Times New Roman"/>
      <w:color w:val="auto"/>
    </w:rPr>
  </w:style>
  <w:style w:type="paragraph" w:customStyle="1" w:styleId="56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68">
    <w:name w:val="Char Char1 Char"/>
    <w:basedOn w:val="1"/>
    <w:qFormat/>
    <w:uiPriority w:val="0"/>
    <w:rPr>
      <w:rFonts w:ascii="仿宋_GB2312" w:eastAsia="仿宋_GB2312"/>
      <w:b/>
      <w:sz w:val="32"/>
      <w:szCs w:val="32"/>
    </w:rPr>
  </w:style>
  <w:style w:type="paragraph" w:customStyle="1" w:styleId="56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7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71">
    <w:name w:val="Char Char111"/>
    <w:basedOn w:val="1"/>
    <w:qFormat/>
    <w:uiPriority w:val="0"/>
    <w:pPr>
      <w:spacing w:line="360" w:lineRule="auto"/>
    </w:pPr>
    <w:rPr>
      <w:szCs w:val="20"/>
    </w:rPr>
  </w:style>
  <w:style w:type="paragraph" w:customStyle="1" w:styleId="572">
    <w:name w:val="Char"/>
    <w:basedOn w:val="1"/>
    <w:qFormat/>
    <w:uiPriority w:val="0"/>
    <w:rPr>
      <w:rFonts w:ascii="仿宋_GB2312" w:eastAsia="仿宋_GB2312"/>
      <w:b/>
      <w:sz w:val="32"/>
      <w:szCs w:val="32"/>
    </w:rPr>
  </w:style>
  <w:style w:type="paragraph" w:customStyle="1" w:styleId="57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5">
    <w:name w:val="Char Char Char1 Char"/>
    <w:basedOn w:val="1"/>
    <w:qFormat/>
    <w:uiPriority w:val="0"/>
    <w:rPr>
      <w:szCs w:val="20"/>
    </w:rPr>
  </w:style>
  <w:style w:type="paragraph" w:customStyle="1" w:styleId="576">
    <w:name w:val="正文标准"/>
    <w:basedOn w:val="1"/>
    <w:qFormat/>
    <w:uiPriority w:val="0"/>
    <w:pPr>
      <w:adjustRightInd/>
      <w:spacing w:line="360" w:lineRule="auto"/>
      <w:ind w:firstLine="200" w:firstLineChars="200"/>
    </w:pPr>
    <w:rPr>
      <w:rFonts w:ascii="宋体" w:hAnsi="Calibri"/>
      <w:sz w:val="24"/>
    </w:rPr>
  </w:style>
  <w:style w:type="paragraph" w:customStyle="1" w:styleId="57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8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8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8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8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8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8">
    <w:name w:val="Char Char Char Char Char Char Char Char Char Char"/>
    <w:basedOn w:val="1"/>
    <w:qFormat/>
    <w:uiPriority w:val="0"/>
    <w:rPr>
      <w:rFonts w:ascii="仿宋_GB2312" w:eastAsia="仿宋_GB2312"/>
      <w:b/>
      <w:sz w:val="32"/>
      <w:szCs w:val="32"/>
    </w:rPr>
  </w:style>
  <w:style w:type="paragraph" w:customStyle="1" w:styleId="58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90">
    <w:name w:val="_正文段落"/>
    <w:basedOn w:val="1"/>
    <w:qFormat/>
    <w:uiPriority w:val="0"/>
    <w:pPr>
      <w:adjustRightInd/>
      <w:ind w:firstLine="560"/>
    </w:pPr>
    <w:rPr>
      <w:rFonts w:ascii="仿宋_GB2312" w:hAnsi="仿宋" w:eastAsia="仿宋_GB2312"/>
      <w:kern w:val="0"/>
      <w:sz w:val="28"/>
      <w:szCs w:val="28"/>
    </w:rPr>
  </w:style>
  <w:style w:type="paragraph" w:customStyle="1" w:styleId="59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9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93">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9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9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97">
    <w:name w:val="Char Char Char1 Char2"/>
    <w:basedOn w:val="1"/>
    <w:qFormat/>
    <w:uiPriority w:val="0"/>
    <w:rPr>
      <w:szCs w:val="20"/>
    </w:rPr>
  </w:style>
  <w:style w:type="paragraph" w:customStyle="1" w:styleId="59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9">
    <w:name w:val="默认段落字体 Para Char"/>
    <w:basedOn w:val="1"/>
    <w:qFormat/>
    <w:uiPriority w:val="0"/>
    <w:rPr>
      <w:rFonts w:ascii="Tahoma" w:hAnsi="Tahoma"/>
      <w:sz w:val="24"/>
      <w:szCs w:val="20"/>
    </w:rPr>
  </w:style>
  <w:style w:type="paragraph" w:customStyle="1" w:styleId="600">
    <w:name w:val="标题五"/>
    <w:basedOn w:val="1"/>
    <w:qFormat/>
    <w:uiPriority w:val="0"/>
    <w:pPr>
      <w:adjustRightInd/>
      <w:spacing w:before="156" w:beforeLines="50" w:line="360" w:lineRule="auto"/>
    </w:pPr>
    <w:rPr>
      <w:b/>
      <w:sz w:val="24"/>
    </w:rPr>
  </w:style>
  <w:style w:type="paragraph" w:customStyle="1" w:styleId="601">
    <w:name w:val="Char Char1101"/>
    <w:basedOn w:val="1"/>
    <w:qFormat/>
    <w:uiPriority w:val="0"/>
    <w:pPr>
      <w:spacing w:line="360" w:lineRule="auto"/>
    </w:pPr>
    <w:rPr>
      <w:rFonts w:ascii="Tahoma" w:hAnsi="Tahoma"/>
      <w:sz w:val="24"/>
      <w:szCs w:val="20"/>
    </w:rPr>
  </w:style>
  <w:style w:type="paragraph" w:customStyle="1" w:styleId="602">
    <w:name w:val="Char Char Char Char Char Char Char Char1"/>
    <w:basedOn w:val="1"/>
    <w:qFormat/>
    <w:uiPriority w:val="0"/>
    <w:pPr>
      <w:tabs>
        <w:tab w:val="left" w:pos="360"/>
      </w:tabs>
    </w:pPr>
    <w:rPr>
      <w:sz w:val="24"/>
      <w:szCs w:val="20"/>
    </w:rPr>
  </w:style>
  <w:style w:type="paragraph" w:customStyle="1" w:styleId="603">
    <w:name w:val="Char Char Char 字元 字元"/>
    <w:basedOn w:val="1"/>
    <w:qFormat/>
    <w:uiPriority w:val="0"/>
    <w:pPr>
      <w:adjustRightInd/>
      <w:spacing w:line="360" w:lineRule="auto"/>
      <w:ind w:firstLine="200" w:firstLineChars="200"/>
    </w:pPr>
    <w:rPr>
      <w:szCs w:val="20"/>
    </w:rPr>
  </w:style>
  <w:style w:type="paragraph" w:customStyle="1" w:styleId="60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Char Char Char Char Char Char Char"/>
    <w:basedOn w:val="1"/>
    <w:qFormat/>
    <w:uiPriority w:val="0"/>
    <w:rPr>
      <w:rFonts w:ascii="仿宋_GB2312" w:eastAsia="仿宋_GB2312"/>
      <w:b/>
      <w:sz w:val="32"/>
      <w:szCs w:val="32"/>
    </w:rPr>
  </w:style>
  <w:style w:type="paragraph" w:customStyle="1" w:styleId="60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08">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9">
    <w:name w:val="批注框文本 Char Char"/>
    <w:basedOn w:val="1"/>
    <w:qFormat/>
    <w:uiPriority w:val="0"/>
    <w:pPr>
      <w:adjustRightInd/>
    </w:pPr>
    <w:rPr>
      <w:sz w:val="18"/>
      <w:szCs w:val="20"/>
    </w:rPr>
  </w:style>
  <w:style w:type="paragraph" w:customStyle="1" w:styleId="61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1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1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4">
    <w:name w:val="索引 11"/>
    <w:basedOn w:val="1"/>
    <w:next w:val="1"/>
    <w:qFormat/>
    <w:uiPriority w:val="99"/>
    <w:pPr>
      <w:adjustRightInd/>
      <w:spacing w:line="360" w:lineRule="auto"/>
    </w:pPr>
    <w:rPr>
      <w:rFonts w:ascii="仿宋_GB2312" w:eastAsia="仿宋_GB2312"/>
      <w:sz w:val="24"/>
      <w:szCs w:val="20"/>
    </w:rPr>
  </w:style>
  <w:style w:type="paragraph" w:customStyle="1" w:styleId="61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17">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8">
    <w:name w:val="文档正文"/>
    <w:basedOn w:val="1"/>
    <w:qFormat/>
    <w:uiPriority w:val="0"/>
    <w:pPr>
      <w:spacing w:line="480" w:lineRule="atLeast"/>
      <w:ind w:firstLine="567"/>
      <w:textAlignment w:val="baseline"/>
    </w:pPr>
    <w:rPr>
      <w:kern w:val="0"/>
      <w:sz w:val="24"/>
      <w:szCs w:val="20"/>
    </w:rPr>
  </w:style>
  <w:style w:type="paragraph" w:customStyle="1" w:styleId="619">
    <w:name w:val="正文文字表格居中"/>
    <w:basedOn w:val="1"/>
    <w:next w:val="58"/>
    <w:qFormat/>
    <w:uiPriority w:val="0"/>
    <w:pPr>
      <w:snapToGrid w:val="0"/>
      <w:spacing w:line="360" w:lineRule="auto"/>
    </w:pPr>
    <w:rPr>
      <w:rFonts w:ascii="宋体"/>
      <w:b/>
      <w:sz w:val="24"/>
      <w:szCs w:val="20"/>
    </w:rPr>
  </w:style>
  <w:style w:type="paragraph" w:customStyle="1" w:styleId="62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21">
    <w:name w:val="小节"/>
    <w:basedOn w:val="4"/>
    <w:qFormat/>
    <w:uiPriority w:val="0"/>
    <w:pPr>
      <w:spacing w:before="200" w:after="200" w:line="560" w:lineRule="exact"/>
    </w:pPr>
    <w:rPr>
      <w:rFonts w:ascii="宋体" w:hAnsi="宋体"/>
      <w:color w:val="000000"/>
      <w:spacing w:val="10"/>
      <w:kern w:val="24"/>
      <w:sz w:val="28"/>
    </w:rPr>
  </w:style>
  <w:style w:type="paragraph" w:customStyle="1" w:styleId="622">
    <w:name w:val="Plain Text1"/>
    <w:basedOn w:val="1"/>
    <w:qFormat/>
    <w:uiPriority w:val="7"/>
    <w:pPr>
      <w:adjustRightInd/>
    </w:pPr>
    <w:rPr>
      <w:rFonts w:ascii="宋体" w:hAnsi="Courier New"/>
    </w:rPr>
  </w:style>
  <w:style w:type="paragraph" w:customStyle="1" w:styleId="623">
    <w:name w:val="Char3"/>
    <w:basedOn w:val="1"/>
    <w:qFormat/>
    <w:uiPriority w:val="0"/>
    <w:pPr>
      <w:adjustRightInd/>
    </w:pPr>
    <w:rPr>
      <w:rFonts w:ascii="仿宋_GB2312" w:eastAsia="仿宋_GB2312"/>
      <w:b/>
      <w:sz w:val="32"/>
      <w:szCs w:val="32"/>
    </w:rPr>
  </w:style>
  <w:style w:type="paragraph" w:customStyle="1" w:styleId="62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26">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27">
    <w:name w:val="List Paragraph1"/>
    <w:basedOn w:val="1"/>
    <w:qFormat/>
    <w:uiPriority w:val="0"/>
    <w:pPr>
      <w:spacing w:line="360" w:lineRule="auto"/>
      <w:ind w:firstLine="200" w:firstLineChars="200"/>
    </w:pPr>
    <w:rPr>
      <w:rFonts w:eastAsia="楷体_GB2312" w:cs="Lucida Sans"/>
      <w:sz w:val="24"/>
    </w:rPr>
  </w:style>
  <w:style w:type="paragraph" w:customStyle="1" w:styleId="62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color w:val="000000"/>
      <w:kern w:val="0"/>
      <w:sz w:val="28"/>
      <w:szCs w:val="20"/>
    </w:rPr>
  </w:style>
  <w:style w:type="paragraph" w:customStyle="1" w:styleId="62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31">
    <w:name w:val="Char3 Char Char Char"/>
    <w:basedOn w:val="1"/>
    <w:qFormat/>
    <w:uiPriority w:val="0"/>
    <w:pPr>
      <w:widowControl/>
      <w:adjustRightInd/>
      <w:spacing w:after="160" w:line="240" w:lineRule="exact"/>
      <w:jc w:val="left"/>
    </w:pPr>
    <w:rPr>
      <w:szCs w:val="20"/>
    </w:rPr>
  </w:style>
  <w:style w:type="paragraph" w:customStyle="1" w:styleId="632">
    <w:name w:val="表格标题2"/>
    <w:basedOn w:val="633"/>
    <w:qFormat/>
    <w:uiPriority w:val="0"/>
    <w:rPr>
      <w:b/>
    </w:rPr>
  </w:style>
  <w:style w:type="paragraph" w:customStyle="1" w:styleId="633">
    <w:name w:val="表格内文"/>
    <w:basedOn w:val="1"/>
    <w:qFormat/>
    <w:uiPriority w:val="0"/>
    <w:pPr>
      <w:adjustRightInd/>
      <w:spacing w:line="360" w:lineRule="auto"/>
    </w:pPr>
    <w:rPr>
      <w:rFonts w:ascii="宋体" w:hAnsi="宋体" w:cs="宋体"/>
      <w:color w:val="000000"/>
      <w:szCs w:val="20"/>
    </w:rPr>
  </w:style>
  <w:style w:type="paragraph" w:customStyle="1" w:styleId="634">
    <w:name w:val="Char Char Char Char Char Char Char Char Char Char2"/>
    <w:basedOn w:val="1"/>
    <w:qFormat/>
    <w:uiPriority w:val="0"/>
    <w:rPr>
      <w:rFonts w:ascii="仿宋_GB2312" w:eastAsia="仿宋_GB2312"/>
      <w:b/>
      <w:sz w:val="32"/>
      <w:szCs w:val="32"/>
    </w:rPr>
  </w:style>
  <w:style w:type="paragraph" w:customStyle="1" w:styleId="63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7">
    <w:name w:val="Char Char11 Char Char Char Char Char Char Char Char Char11"/>
    <w:basedOn w:val="1"/>
    <w:qFormat/>
    <w:uiPriority w:val="0"/>
    <w:pPr>
      <w:spacing w:line="360" w:lineRule="auto"/>
    </w:pPr>
    <w:rPr>
      <w:szCs w:val="20"/>
    </w:rPr>
  </w:style>
  <w:style w:type="paragraph" w:customStyle="1" w:styleId="63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40">
    <w:name w:val="MM Topic 1"/>
    <w:basedOn w:val="2"/>
    <w:qFormat/>
    <w:uiPriority w:val="0"/>
    <w:pPr>
      <w:tabs>
        <w:tab w:val="left" w:pos="840"/>
      </w:tabs>
      <w:adjustRightInd/>
      <w:ind w:left="840" w:hanging="420"/>
    </w:pPr>
  </w:style>
  <w:style w:type="paragraph" w:customStyle="1" w:styleId="64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42">
    <w:name w:val="文本正文 Char"/>
    <w:basedOn w:val="1"/>
    <w:qFormat/>
    <w:uiPriority w:val="0"/>
    <w:pPr>
      <w:spacing w:line="360" w:lineRule="auto"/>
      <w:ind w:firstLine="200" w:firstLineChars="200"/>
    </w:pPr>
    <w:rPr>
      <w:kern w:val="0"/>
      <w:sz w:val="24"/>
      <w:szCs w:val="20"/>
    </w:rPr>
  </w:style>
  <w:style w:type="paragraph" w:customStyle="1" w:styleId="643">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4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6">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7">
    <w:name w:val="EB_表格"/>
    <w:basedOn w:val="1"/>
    <w:qFormat/>
    <w:uiPriority w:val="0"/>
    <w:pPr>
      <w:adjustRightInd/>
      <w:spacing w:line="300" w:lineRule="auto"/>
      <w:jc w:val="center"/>
    </w:pPr>
  </w:style>
  <w:style w:type="paragraph" w:customStyle="1" w:styleId="648">
    <w:name w:val="_Style 6"/>
    <w:basedOn w:val="1"/>
    <w:qFormat/>
    <w:uiPriority w:val="34"/>
    <w:pPr>
      <w:adjustRightInd/>
      <w:ind w:firstLine="420" w:firstLineChars="200"/>
    </w:pPr>
    <w:rPr>
      <w:rFonts w:eastAsia="仿宋_GB2312"/>
      <w:sz w:val="28"/>
    </w:rPr>
  </w:style>
  <w:style w:type="paragraph" w:customStyle="1" w:styleId="64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5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1">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5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53">
    <w:name w:val="正文表标题"/>
    <w:next w:val="65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56">
    <w:name w:val="trademark"/>
    <w:qFormat/>
    <w:uiPriority w:val="0"/>
    <w:pPr>
      <w:spacing w:after="60"/>
    </w:pPr>
    <w:rPr>
      <w:rFonts w:ascii="Futura Bk" w:hAnsi="Futura Bk" w:eastAsia="宋体" w:cs="Times New Roman"/>
      <w:sz w:val="15"/>
      <w:lang w:val="en-US" w:eastAsia="en-US" w:bidi="ar-SA"/>
    </w:rPr>
  </w:style>
  <w:style w:type="paragraph" w:customStyle="1" w:styleId="65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8">
    <w:name w:val="Char Char1 Char Char Char Char Char Char1"/>
    <w:basedOn w:val="1"/>
    <w:qFormat/>
    <w:uiPriority w:val="0"/>
    <w:rPr>
      <w:rFonts w:ascii="仿宋_GB2312" w:eastAsia="仿宋_GB2312"/>
      <w:b/>
      <w:sz w:val="32"/>
      <w:szCs w:val="20"/>
    </w:rPr>
  </w:style>
  <w:style w:type="paragraph" w:customStyle="1" w:styleId="65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60">
    <w:name w:val="Char1 Char Char Char1"/>
    <w:basedOn w:val="1"/>
    <w:qFormat/>
    <w:uiPriority w:val="0"/>
    <w:pPr>
      <w:adjustRightInd/>
      <w:ind w:firstLine="200" w:firstLineChars="200"/>
    </w:pPr>
    <w:rPr>
      <w:rFonts w:ascii="Tahoma" w:hAnsi="Tahoma"/>
      <w:sz w:val="24"/>
      <w:szCs w:val="20"/>
    </w:rPr>
  </w:style>
  <w:style w:type="paragraph" w:customStyle="1" w:styleId="661">
    <w:name w:val="a1"/>
    <w:basedOn w:val="1"/>
    <w:qFormat/>
    <w:uiPriority w:val="0"/>
    <w:pPr>
      <w:widowControl/>
      <w:spacing w:line="300" w:lineRule="atLeast"/>
      <w:jc w:val="left"/>
    </w:pPr>
    <w:rPr>
      <w:rFonts w:ascii="宋体" w:hAnsi="宋体"/>
      <w:kern w:val="0"/>
      <w:sz w:val="18"/>
      <w:szCs w:val="20"/>
    </w:rPr>
  </w:style>
  <w:style w:type="paragraph" w:customStyle="1" w:styleId="662">
    <w:name w:val="样式7"/>
    <w:basedOn w:val="102"/>
    <w:next w:val="1"/>
    <w:qFormat/>
    <w:uiPriority w:val="0"/>
    <w:pPr>
      <w:spacing w:after="156" w:afterLines="50"/>
      <w:jc w:val="left"/>
      <w:outlineLvl w:val="3"/>
    </w:pPr>
    <w:rPr>
      <w:sz w:val="24"/>
      <w:szCs w:val="24"/>
    </w:rPr>
  </w:style>
  <w:style w:type="paragraph" w:customStyle="1" w:styleId="66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6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65">
    <w:name w:val="样式 样式2 + 左侧:  1 字符 右侧:  1 字符"/>
    <w:basedOn w:val="10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6">
    <w:name w:val="Char2 Char Char2"/>
    <w:basedOn w:val="1"/>
    <w:qFormat/>
    <w:uiPriority w:val="0"/>
    <w:pPr>
      <w:adjustRightInd/>
    </w:pPr>
    <w:rPr>
      <w:rFonts w:ascii="Tahoma" w:hAnsi="Tahoma"/>
      <w:sz w:val="24"/>
      <w:szCs w:val="20"/>
    </w:rPr>
  </w:style>
  <w:style w:type="paragraph" w:customStyle="1" w:styleId="66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8">
    <w:name w:val="三级条标题"/>
    <w:basedOn w:val="669"/>
    <w:next w:val="654"/>
    <w:qFormat/>
    <w:uiPriority w:val="0"/>
    <w:pPr>
      <w:tabs>
        <w:tab w:val="left" w:pos="1260"/>
        <w:tab w:val="left" w:pos="1680"/>
        <w:tab w:val="left" w:pos="2100"/>
        <w:tab w:val="left" w:pos="2520"/>
      </w:tabs>
      <w:ind w:left="2520"/>
      <w:outlineLvl w:val="4"/>
    </w:pPr>
  </w:style>
  <w:style w:type="paragraph" w:customStyle="1" w:styleId="669">
    <w:name w:val="二级条标题"/>
    <w:basedOn w:val="670"/>
    <w:next w:val="654"/>
    <w:qFormat/>
    <w:uiPriority w:val="0"/>
    <w:pPr>
      <w:tabs>
        <w:tab w:val="left" w:pos="1260"/>
        <w:tab w:val="left" w:pos="1680"/>
        <w:tab w:val="left" w:pos="2100"/>
      </w:tabs>
      <w:ind w:left="0"/>
      <w:outlineLvl w:val="3"/>
    </w:pPr>
  </w:style>
  <w:style w:type="paragraph" w:customStyle="1" w:styleId="670">
    <w:name w:val="一级条标题"/>
    <w:basedOn w:val="671"/>
    <w:next w:val="654"/>
    <w:qFormat/>
    <w:uiPriority w:val="0"/>
    <w:pPr>
      <w:tabs>
        <w:tab w:val="left" w:pos="1260"/>
        <w:tab w:val="left" w:pos="1680"/>
      </w:tabs>
      <w:spacing w:before="0" w:beforeLines="0" w:after="0" w:afterLines="0"/>
      <w:ind w:left="1680"/>
      <w:outlineLvl w:val="2"/>
    </w:pPr>
  </w:style>
  <w:style w:type="paragraph" w:customStyle="1" w:styleId="671">
    <w:name w:val="章标题"/>
    <w:next w:val="65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7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7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7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8">
    <w:name w:val="正文 项目2"/>
    <w:basedOn w:val="679"/>
    <w:qFormat/>
    <w:uiPriority w:val="0"/>
    <w:pPr>
      <w:tabs>
        <w:tab w:val="left" w:pos="840"/>
      </w:tabs>
      <w:spacing w:after="0"/>
      <w:ind w:left="900"/>
    </w:pPr>
  </w:style>
  <w:style w:type="paragraph" w:customStyle="1" w:styleId="67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80">
    <w:name w:val="Body Text 2*"/>
    <w:basedOn w:val="1"/>
    <w:qFormat/>
    <w:uiPriority w:val="6"/>
    <w:pPr>
      <w:widowControl/>
      <w:adjustRightInd/>
      <w:ind w:left="720" w:hanging="720"/>
    </w:pPr>
    <w:rPr>
      <w:color w:val="000000"/>
      <w:kern w:val="0"/>
      <w:sz w:val="24"/>
      <w:szCs w:val="20"/>
      <w:lang w:val="en-GB"/>
    </w:rPr>
  </w:style>
  <w:style w:type="paragraph" w:customStyle="1" w:styleId="681">
    <w:name w:val="表1"/>
    <w:basedOn w:val="1"/>
    <w:qFormat/>
    <w:uiPriority w:val="0"/>
    <w:pPr>
      <w:tabs>
        <w:tab w:val="left" w:pos="703"/>
      </w:tabs>
      <w:adjustRightInd/>
      <w:spacing w:line="360" w:lineRule="auto"/>
      <w:ind w:left="703"/>
      <w:jc w:val="center"/>
    </w:pPr>
  </w:style>
  <w:style w:type="paragraph" w:customStyle="1" w:styleId="68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8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8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85">
    <w:name w:val="2级标题"/>
    <w:basedOn w:val="686"/>
    <w:qFormat/>
    <w:uiPriority w:val="0"/>
    <w:pPr>
      <w:jc w:val="left"/>
      <w:outlineLvl w:val="1"/>
    </w:pPr>
    <w:rPr>
      <w:rFonts w:ascii="Times New Roman" w:hAnsi="Times New Roman" w:eastAsia="仿宋"/>
      <w:sz w:val="30"/>
    </w:rPr>
  </w:style>
  <w:style w:type="paragraph" w:customStyle="1" w:styleId="68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9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1">
    <w:name w:val="bullet"/>
    <w:basedOn w:val="1"/>
    <w:qFormat/>
    <w:uiPriority w:val="0"/>
    <w:pPr>
      <w:tabs>
        <w:tab w:val="left" w:pos="840"/>
      </w:tabs>
      <w:adjustRightInd/>
      <w:ind w:left="840" w:hanging="420"/>
    </w:p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9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9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9">
    <w:name w:val="MM Topic 4"/>
    <w:basedOn w:val="5"/>
    <w:qFormat/>
    <w:uiPriority w:val="0"/>
    <w:pPr>
      <w:tabs>
        <w:tab w:val="left" w:pos="2100"/>
      </w:tabs>
      <w:adjustRightInd/>
      <w:ind w:left="2100" w:hanging="420"/>
    </w:pPr>
    <w:rPr>
      <w:lang w:val="en-US"/>
    </w:rPr>
  </w:style>
  <w:style w:type="paragraph" w:customStyle="1" w:styleId="70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70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2">
    <w:name w:val="Char Char11 Char Char Char Char Char Char Char Char Char1"/>
    <w:basedOn w:val="1"/>
    <w:qFormat/>
    <w:uiPriority w:val="6"/>
    <w:pPr>
      <w:spacing w:line="360" w:lineRule="auto"/>
    </w:pPr>
    <w:rPr>
      <w:szCs w:val="20"/>
    </w:rPr>
  </w:style>
  <w:style w:type="paragraph" w:customStyle="1" w:styleId="70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0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70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2">
    <w:name w:val="单元格居中"/>
    <w:basedOn w:val="1"/>
    <w:qFormat/>
    <w:uiPriority w:val="0"/>
    <w:pPr>
      <w:adjustRightInd/>
      <w:spacing w:line="360" w:lineRule="auto"/>
      <w:jc w:val="center"/>
    </w:pPr>
    <w:rPr>
      <w:sz w:val="24"/>
    </w:rPr>
  </w:style>
  <w:style w:type="paragraph" w:customStyle="1" w:styleId="71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14">
    <w:name w:val="Char Char Char Char Char Char Char1"/>
    <w:basedOn w:val="1"/>
    <w:qFormat/>
    <w:uiPriority w:val="6"/>
    <w:rPr>
      <w:rFonts w:ascii="仿宋_GB2312" w:eastAsia="仿宋_GB2312"/>
      <w:b/>
      <w:sz w:val="32"/>
      <w:szCs w:val="32"/>
    </w:rPr>
  </w:style>
  <w:style w:type="paragraph" w:customStyle="1" w:styleId="71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6">
    <w:name w:val="Char3 Char Char Char11"/>
    <w:basedOn w:val="1"/>
    <w:qFormat/>
    <w:uiPriority w:val="0"/>
    <w:pPr>
      <w:widowControl/>
      <w:adjustRightInd/>
      <w:spacing w:after="160" w:line="240" w:lineRule="exact"/>
      <w:jc w:val="left"/>
    </w:pPr>
    <w:rPr>
      <w:szCs w:val="20"/>
    </w:rPr>
  </w:style>
  <w:style w:type="paragraph" w:customStyle="1" w:styleId="717">
    <w:name w:val="Char Char1121"/>
    <w:basedOn w:val="1"/>
    <w:qFormat/>
    <w:uiPriority w:val="0"/>
    <w:pPr>
      <w:spacing w:line="360" w:lineRule="auto"/>
    </w:pPr>
    <w:rPr>
      <w:szCs w:val="20"/>
    </w:rPr>
  </w:style>
  <w:style w:type="paragraph" w:customStyle="1" w:styleId="7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20">
    <w:name w:val="Normal0"/>
    <w:qFormat/>
    <w:uiPriority w:val="0"/>
    <w:rPr>
      <w:rFonts w:ascii="Times New Roman" w:hAnsi="Times New Roman" w:eastAsia="宋体" w:cs="Times New Roman"/>
      <w:lang w:val="en-US" w:eastAsia="en-US" w:bidi="ar-SA"/>
    </w:rPr>
  </w:style>
  <w:style w:type="paragraph" w:customStyle="1" w:styleId="721">
    <w:name w:val="带编号样式"/>
    <w:basedOn w:val="642"/>
    <w:qFormat/>
    <w:uiPriority w:val="0"/>
    <w:pPr>
      <w:tabs>
        <w:tab w:val="left" w:pos="840"/>
      </w:tabs>
      <w:snapToGrid w:val="0"/>
      <w:ind w:left="840" w:hanging="420" w:firstLineChars="0"/>
    </w:pPr>
    <w:rPr>
      <w:rFonts w:ascii="仿宋_GB2312" w:eastAsia="仿宋_GB2312"/>
      <w:color w:val="000000"/>
    </w:rPr>
  </w:style>
  <w:style w:type="paragraph" w:customStyle="1" w:styleId="72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4">
    <w:name w:val="封面"/>
    <w:basedOn w:val="1"/>
    <w:qFormat/>
    <w:uiPriority w:val="0"/>
    <w:pPr>
      <w:spacing w:line="360" w:lineRule="atLeast"/>
      <w:jc w:val="right"/>
      <w:textAlignment w:val="baseline"/>
    </w:pPr>
    <w:rPr>
      <w:rFonts w:ascii="Symbol" w:hAnsi="Symbol"/>
      <w:kern w:val="0"/>
      <w:szCs w:val="20"/>
    </w:rPr>
  </w:style>
  <w:style w:type="paragraph" w:customStyle="1" w:styleId="72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7">
    <w:name w:val="默认段落字体 Para Char Char Char1 Char"/>
    <w:basedOn w:val="1"/>
    <w:qFormat/>
    <w:uiPriority w:val="0"/>
    <w:pPr>
      <w:spacing w:line="240" w:lineRule="atLeast"/>
      <w:ind w:left="420" w:firstLine="420"/>
    </w:pPr>
    <w:rPr>
      <w:sz w:val="24"/>
    </w:rPr>
  </w:style>
  <w:style w:type="paragraph" w:customStyle="1" w:styleId="728">
    <w:name w:val="WW-正文文字缩进 2"/>
    <w:basedOn w:val="1"/>
    <w:qFormat/>
    <w:uiPriority w:val="0"/>
    <w:pPr>
      <w:suppressAutoHyphens/>
      <w:adjustRightInd/>
      <w:ind w:firstLine="420"/>
    </w:pPr>
    <w:rPr>
      <w:kern w:val="1"/>
      <w:szCs w:val="20"/>
    </w:rPr>
  </w:style>
  <w:style w:type="paragraph" w:customStyle="1" w:styleId="72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3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31">
    <w:name w:val="有符号正文"/>
    <w:basedOn w:val="1"/>
    <w:qFormat/>
    <w:uiPriority w:val="0"/>
    <w:pPr>
      <w:adjustRightInd/>
      <w:spacing w:line="400" w:lineRule="exact"/>
      <w:ind w:firstLine="200" w:firstLineChars="200"/>
    </w:pPr>
    <w:rPr>
      <w:rFonts w:ascii="Arial" w:hAnsi="Arial"/>
    </w:rPr>
  </w:style>
  <w:style w:type="paragraph" w:customStyle="1" w:styleId="73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3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34">
    <w:name w:val="4"/>
    <w:basedOn w:val="1"/>
    <w:next w:val="39"/>
    <w:qFormat/>
    <w:uiPriority w:val="0"/>
    <w:pPr>
      <w:spacing w:after="120" w:line="480" w:lineRule="auto"/>
      <w:ind w:left="420" w:leftChars="200"/>
    </w:pPr>
    <w:rPr>
      <w:sz w:val="24"/>
      <w:szCs w:val="20"/>
    </w:rPr>
  </w:style>
  <w:style w:type="paragraph" w:customStyle="1" w:styleId="73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6">
    <w:name w:val="样式 标题 3H3 + 两端对齐"/>
    <w:basedOn w:val="4"/>
    <w:qFormat/>
    <w:uiPriority w:val="0"/>
    <w:pPr>
      <w:spacing w:before="0" w:after="0" w:line="240" w:lineRule="auto"/>
    </w:pPr>
    <w:rPr>
      <w:rFonts w:cs="宋体"/>
      <w:szCs w:val="20"/>
    </w:rPr>
  </w:style>
  <w:style w:type="paragraph" w:customStyle="1" w:styleId="7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4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4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2">
    <w:name w:val="Char Char1 Char Char Char"/>
    <w:basedOn w:val="1"/>
    <w:qFormat/>
    <w:uiPriority w:val="0"/>
    <w:rPr>
      <w:rFonts w:ascii="仿宋_GB2312" w:eastAsia="仿宋_GB2312"/>
      <w:b/>
      <w:sz w:val="32"/>
      <w:szCs w:val="20"/>
    </w:rPr>
  </w:style>
  <w:style w:type="paragraph" w:customStyle="1" w:styleId="74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6">
    <w:name w:val="Char Char1 Char Char Char2"/>
    <w:basedOn w:val="1"/>
    <w:qFormat/>
    <w:uiPriority w:val="0"/>
    <w:rPr>
      <w:rFonts w:ascii="仿宋_GB2312" w:eastAsia="仿宋_GB2312"/>
      <w:b/>
      <w:sz w:val="32"/>
      <w:szCs w:val="32"/>
    </w:rPr>
  </w:style>
  <w:style w:type="paragraph" w:customStyle="1" w:styleId="747">
    <w:name w:val="Char3 Char Char Char1"/>
    <w:basedOn w:val="1"/>
    <w:qFormat/>
    <w:uiPriority w:val="6"/>
    <w:pPr>
      <w:widowControl/>
      <w:adjustRightInd/>
      <w:spacing w:after="160" w:line="240" w:lineRule="exact"/>
      <w:jc w:val="left"/>
    </w:pPr>
    <w:rPr>
      <w:szCs w:val="20"/>
    </w:rPr>
  </w:style>
  <w:style w:type="paragraph" w:customStyle="1" w:styleId="748">
    <w:name w:val="Char1 Char Char Char21"/>
    <w:basedOn w:val="1"/>
    <w:qFormat/>
    <w:uiPriority w:val="0"/>
    <w:rPr>
      <w:rFonts w:ascii="Tahoma" w:hAnsi="Tahoma"/>
      <w:sz w:val="24"/>
      <w:szCs w:val="20"/>
    </w:rPr>
  </w:style>
  <w:style w:type="paragraph" w:customStyle="1" w:styleId="74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50">
    <w:name w:val="正文（标题三）"/>
    <w:basedOn w:val="1"/>
    <w:qFormat/>
    <w:uiPriority w:val="0"/>
    <w:pPr>
      <w:spacing w:line="360" w:lineRule="auto"/>
      <w:ind w:firstLine="200" w:firstLineChars="200"/>
    </w:pPr>
    <w:rPr>
      <w:sz w:val="24"/>
    </w:rPr>
  </w:style>
  <w:style w:type="paragraph" w:customStyle="1" w:styleId="75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5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6">
    <w:name w:val="Char1 Char Char Char4"/>
    <w:basedOn w:val="1"/>
    <w:qFormat/>
    <w:uiPriority w:val="0"/>
    <w:pPr>
      <w:adjustRightInd/>
      <w:ind w:firstLine="200" w:firstLineChars="200"/>
    </w:pPr>
    <w:rPr>
      <w:rFonts w:ascii="Tahoma" w:hAnsi="Tahoma"/>
      <w:sz w:val="24"/>
      <w:szCs w:val="20"/>
    </w:rPr>
  </w:style>
  <w:style w:type="paragraph" w:customStyle="1" w:styleId="757">
    <w:name w:val="_标题2"/>
    <w:basedOn w:val="725"/>
    <w:next w:val="72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8">
    <w:name w:val="样式1 + (中宋体"/>
    <w:basedOn w:val="9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62">
    <w:name w:val="四号　首行缩进"/>
    <w:basedOn w:val="1"/>
    <w:qFormat/>
    <w:uiPriority w:val="0"/>
    <w:pPr>
      <w:adjustRightInd/>
      <w:spacing w:line="360" w:lineRule="auto"/>
    </w:pPr>
    <w:rPr>
      <w:rFonts w:ascii="宋体" w:hAnsi="宋体"/>
      <w:szCs w:val="20"/>
    </w:rPr>
  </w:style>
  <w:style w:type="paragraph" w:customStyle="1" w:styleId="76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4">
    <w:name w:val="Char Char Char Char Char Char Char Char Char Char Char1 Char"/>
    <w:basedOn w:val="1"/>
    <w:qFormat/>
    <w:uiPriority w:val="0"/>
    <w:pPr>
      <w:adjustRightInd/>
    </w:pPr>
    <w:rPr>
      <w:rFonts w:ascii="Tahoma" w:hAnsi="Tahoma"/>
      <w:sz w:val="24"/>
    </w:rPr>
  </w:style>
  <w:style w:type="paragraph" w:customStyle="1" w:styleId="765">
    <w:name w:val="Char Char Char Char11"/>
    <w:basedOn w:val="1"/>
    <w:qFormat/>
    <w:uiPriority w:val="0"/>
    <w:rPr>
      <w:rFonts w:ascii="Tahoma" w:hAnsi="Tahoma"/>
      <w:sz w:val="24"/>
      <w:szCs w:val="20"/>
    </w:rPr>
  </w:style>
  <w:style w:type="paragraph" w:customStyle="1" w:styleId="76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7">
    <w:name w:val="Char Char Char Char"/>
    <w:basedOn w:val="1"/>
    <w:qFormat/>
    <w:uiPriority w:val="0"/>
    <w:rPr>
      <w:rFonts w:ascii="Tahoma" w:hAnsi="Tahoma"/>
      <w:sz w:val="24"/>
      <w:szCs w:val="20"/>
    </w:rPr>
  </w:style>
  <w:style w:type="paragraph" w:customStyle="1" w:styleId="76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9">
    <w:name w:val="Char19"/>
    <w:basedOn w:val="1"/>
    <w:qFormat/>
    <w:uiPriority w:val="0"/>
    <w:pPr>
      <w:adjustRightInd/>
    </w:pPr>
    <w:rPr>
      <w:szCs w:val="20"/>
    </w:rPr>
  </w:style>
  <w:style w:type="paragraph" w:customStyle="1" w:styleId="77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72">
    <w:name w:val="_Style 5"/>
    <w:basedOn w:val="1"/>
    <w:qFormat/>
    <w:uiPriority w:val="34"/>
    <w:pPr>
      <w:adjustRightInd/>
      <w:ind w:firstLine="420" w:firstLineChars="200"/>
    </w:pPr>
    <w:rPr>
      <w:rFonts w:eastAsia="仿宋_GB2312"/>
      <w:sz w:val="28"/>
    </w:rPr>
  </w:style>
  <w:style w:type="paragraph" w:customStyle="1" w:styleId="77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6">
    <w:name w:val="标书表格字体格式"/>
    <w:next w:val="770"/>
    <w:qFormat/>
    <w:uiPriority w:val="0"/>
    <w:rPr>
      <w:rFonts w:ascii="Times New Roman" w:hAnsi="Times New Roman" w:eastAsia="宋体" w:cs="Times New Roman"/>
      <w:kern w:val="2"/>
      <w:sz w:val="21"/>
      <w:szCs w:val="24"/>
      <w:lang w:val="en-US" w:eastAsia="zh-CN" w:bidi="ar-SA"/>
    </w:rPr>
  </w:style>
  <w:style w:type="paragraph" w:customStyle="1" w:styleId="77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9">
    <w:name w:val="修订3"/>
    <w:qFormat/>
    <w:uiPriority w:val="0"/>
    <w:rPr>
      <w:rFonts w:ascii="Times New Roman" w:hAnsi="Times New Roman" w:eastAsia="宋体" w:cs="Times New Roman"/>
      <w:kern w:val="2"/>
      <w:sz w:val="21"/>
      <w:lang w:val="en-US" w:eastAsia="zh-CN" w:bidi="ar-SA"/>
    </w:rPr>
  </w:style>
  <w:style w:type="paragraph" w:customStyle="1" w:styleId="78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8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82">
    <w:name w:val="表文字"/>
    <w:qFormat/>
    <w:uiPriority w:val="0"/>
    <w:rPr>
      <w:rFonts w:ascii="宋体" w:hAnsi="Times New Roman" w:eastAsia="宋体" w:cs="Times New Roman"/>
      <w:kern w:val="2"/>
      <w:lang w:val="en-US" w:eastAsia="zh-CN" w:bidi="ar-SA"/>
    </w:rPr>
  </w:style>
  <w:style w:type="paragraph" w:customStyle="1" w:styleId="78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6">
    <w:name w:val="Char Char Char Char Char Char Char Char2"/>
    <w:basedOn w:val="1"/>
    <w:qFormat/>
    <w:uiPriority w:val="0"/>
    <w:pPr>
      <w:tabs>
        <w:tab w:val="left" w:pos="360"/>
      </w:tabs>
    </w:pPr>
    <w:rPr>
      <w:sz w:val="24"/>
      <w:szCs w:val="20"/>
    </w:rPr>
  </w:style>
  <w:style w:type="paragraph" w:customStyle="1" w:styleId="78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9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9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5">
    <w:name w:val="p0"/>
    <w:basedOn w:val="1"/>
    <w:qFormat/>
    <w:uiPriority w:val="0"/>
    <w:pPr>
      <w:widowControl/>
      <w:adjustRightInd/>
    </w:pPr>
    <w:rPr>
      <w:kern w:val="0"/>
      <w:szCs w:val="21"/>
    </w:rPr>
  </w:style>
  <w:style w:type="paragraph" w:customStyle="1" w:styleId="796">
    <w:name w:val="Char6"/>
    <w:basedOn w:val="1"/>
    <w:qFormat/>
    <w:uiPriority w:val="0"/>
    <w:rPr>
      <w:rFonts w:ascii="仿宋_GB2312" w:eastAsia="仿宋_GB2312"/>
      <w:b/>
      <w:sz w:val="32"/>
      <w:szCs w:val="32"/>
    </w:rPr>
  </w:style>
  <w:style w:type="paragraph" w:customStyle="1" w:styleId="797">
    <w:name w:val="Char111"/>
    <w:basedOn w:val="1"/>
    <w:qFormat/>
    <w:uiPriority w:val="0"/>
    <w:rPr>
      <w:rFonts w:ascii="仿宋_GB2312" w:eastAsia="仿宋_GB2312"/>
      <w:b/>
      <w:sz w:val="32"/>
      <w:szCs w:val="32"/>
    </w:rPr>
  </w:style>
  <w:style w:type="paragraph" w:customStyle="1" w:styleId="798">
    <w:name w:val="标题3"/>
    <w:basedOn w:val="4"/>
    <w:next w:val="55"/>
    <w:qFormat/>
    <w:uiPriority w:val="0"/>
    <w:pPr>
      <w:tabs>
        <w:tab w:val="clear" w:pos="900"/>
      </w:tabs>
      <w:spacing w:after="0" w:line="360" w:lineRule="auto"/>
    </w:pPr>
    <w:rPr>
      <w:rFonts w:ascii="仿宋" w:eastAsia="仿宋" w:cs="仿宋"/>
    </w:rPr>
  </w:style>
  <w:style w:type="paragraph" w:customStyle="1" w:styleId="79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01">
    <w:name w:val="Char1 Char Char Char2"/>
    <w:basedOn w:val="1"/>
    <w:qFormat/>
    <w:uiPriority w:val="0"/>
    <w:pPr>
      <w:adjustRightInd/>
      <w:ind w:firstLine="200" w:firstLineChars="200"/>
    </w:pPr>
    <w:rPr>
      <w:rFonts w:ascii="Tahoma" w:hAnsi="Tahoma"/>
      <w:sz w:val="24"/>
      <w:szCs w:val="20"/>
    </w:rPr>
  </w:style>
  <w:style w:type="paragraph" w:customStyle="1" w:styleId="80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80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4">
    <w:name w:val="Char Char Char Char Char Char Char2"/>
    <w:basedOn w:val="1"/>
    <w:qFormat/>
    <w:uiPriority w:val="0"/>
    <w:rPr>
      <w:rFonts w:ascii="仿宋_GB2312" w:eastAsia="仿宋_GB2312"/>
      <w:b/>
      <w:sz w:val="32"/>
      <w:szCs w:val="32"/>
    </w:rPr>
  </w:style>
  <w:style w:type="paragraph" w:customStyle="1" w:styleId="805">
    <w:name w:val="五级条标题"/>
    <w:basedOn w:val="806"/>
    <w:next w:val="654"/>
    <w:qFormat/>
    <w:uiPriority w:val="0"/>
    <w:pPr>
      <w:tabs>
        <w:tab w:val="left" w:pos="1260"/>
        <w:tab w:val="left" w:pos="1680"/>
        <w:tab w:val="left" w:pos="2100"/>
        <w:tab w:val="left" w:pos="2940"/>
        <w:tab w:val="left" w:pos="3360"/>
      </w:tabs>
      <w:ind w:left="3360"/>
      <w:outlineLvl w:val="6"/>
    </w:pPr>
  </w:style>
  <w:style w:type="paragraph" w:customStyle="1" w:styleId="806">
    <w:name w:val="四级条标题"/>
    <w:basedOn w:val="668"/>
    <w:next w:val="654"/>
    <w:qFormat/>
    <w:uiPriority w:val="0"/>
    <w:pPr>
      <w:tabs>
        <w:tab w:val="left" w:pos="2940"/>
        <w:tab w:val="clear" w:pos="2520"/>
      </w:tabs>
      <w:ind w:left="2940"/>
      <w:outlineLvl w:val="5"/>
    </w:pPr>
  </w:style>
  <w:style w:type="paragraph" w:customStyle="1" w:styleId="80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0"/>
    <w:rPr>
      <w:rFonts w:ascii="仿宋_GB2312" w:eastAsia="仿宋_GB2312"/>
      <w:b/>
      <w:sz w:val="32"/>
      <w:szCs w:val="32"/>
    </w:rPr>
  </w:style>
  <w:style w:type="paragraph" w:customStyle="1" w:styleId="80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0"/>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13">
    <w:name w:val="单元格左对齐"/>
    <w:basedOn w:val="1"/>
    <w:qFormat/>
    <w:uiPriority w:val="0"/>
    <w:pPr>
      <w:adjustRightInd/>
      <w:spacing w:line="360" w:lineRule="auto"/>
    </w:pPr>
    <w:rPr>
      <w:sz w:val="24"/>
    </w:rPr>
  </w:style>
  <w:style w:type="paragraph" w:customStyle="1" w:styleId="814">
    <w:name w:val="正文主体"/>
    <w:basedOn w:val="639"/>
    <w:qFormat/>
    <w:uiPriority w:val="0"/>
  </w:style>
  <w:style w:type="paragraph" w:customStyle="1" w:styleId="81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0"/>
    <w:pPr>
      <w:adjustRightInd/>
      <w:spacing w:line="360" w:lineRule="auto"/>
      <w:ind w:firstLine="480" w:firstLineChars="200"/>
    </w:pPr>
    <w:rPr>
      <w:sz w:val="24"/>
      <w:szCs w:val="20"/>
    </w:rPr>
  </w:style>
  <w:style w:type="paragraph" w:customStyle="1" w:styleId="819">
    <w:name w:val="P1"/>
    <w:basedOn w:val="1"/>
    <w:qFormat/>
    <w:uiPriority w:val="0"/>
    <w:pPr>
      <w:adjustRightInd/>
      <w:spacing w:line="288" w:lineRule="auto"/>
      <w:ind w:firstLine="425" w:firstLineChars="200"/>
    </w:pPr>
  </w:style>
  <w:style w:type="paragraph" w:customStyle="1" w:styleId="820">
    <w:name w:val="列表内容"/>
    <w:basedOn w:val="1"/>
    <w:next w:val="1"/>
    <w:qFormat/>
    <w:uiPriority w:val="0"/>
    <w:pPr>
      <w:widowControl/>
      <w:tabs>
        <w:tab w:val="left" w:pos="840"/>
      </w:tabs>
      <w:ind w:left="840" w:hanging="420"/>
      <w:jc w:val="left"/>
    </w:pPr>
    <w:rPr>
      <w:kern w:val="0"/>
      <w:sz w:val="18"/>
    </w:rPr>
  </w:style>
  <w:style w:type="paragraph" w:customStyle="1" w:styleId="821">
    <w:name w:val="Char Char11 Char Char Char1"/>
    <w:basedOn w:val="1"/>
    <w:qFormat/>
    <w:uiPriority w:val="6"/>
    <w:pPr>
      <w:spacing w:line="360" w:lineRule="auto"/>
    </w:pPr>
    <w:rPr>
      <w:szCs w:val="20"/>
    </w:rPr>
  </w:style>
  <w:style w:type="paragraph" w:customStyle="1" w:styleId="82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2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0"/>
    <w:pPr>
      <w:spacing w:line="360" w:lineRule="auto"/>
    </w:pPr>
    <w:rPr>
      <w:szCs w:val="20"/>
    </w:rPr>
  </w:style>
  <w:style w:type="paragraph" w:customStyle="1" w:styleId="82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0"/>
    <w:rPr>
      <w:rFonts w:ascii="仿宋_GB2312" w:eastAsia="仿宋_GB2312"/>
      <w:b/>
      <w:sz w:val="32"/>
      <w:szCs w:val="32"/>
    </w:rPr>
  </w:style>
  <w:style w:type="paragraph" w:customStyle="1" w:styleId="8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33">
    <w:name w:val="正文 首行缩进:  2 字符 Char"/>
    <w:basedOn w:val="1"/>
    <w:qFormat/>
    <w:uiPriority w:val="0"/>
    <w:pPr>
      <w:adjustRightInd/>
      <w:spacing w:line="360" w:lineRule="auto"/>
      <w:ind w:firstLine="480"/>
    </w:pPr>
    <w:rPr>
      <w:rFonts w:cs="宋体"/>
      <w:sz w:val="24"/>
      <w:szCs w:val="20"/>
    </w:rPr>
  </w:style>
  <w:style w:type="paragraph" w:customStyle="1" w:styleId="834">
    <w:name w:val="Char Char4 Char Char"/>
    <w:basedOn w:val="1"/>
    <w:qFormat/>
    <w:uiPriority w:val="0"/>
    <w:pPr>
      <w:widowControl/>
      <w:adjustRightInd/>
      <w:spacing w:after="160" w:line="240" w:lineRule="exact"/>
      <w:jc w:val="left"/>
    </w:pPr>
  </w:style>
  <w:style w:type="paragraph" w:customStyle="1" w:styleId="8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0"/>
    <w:pPr>
      <w:spacing w:line="360" w:lineRule="auto"/>
    </w:pPr>
    <w:rPr>
      <w:szCs w:val="20"/>
    </w:rPr>
  </w:style>
  <w:style w:type="paragraph" w:customStyle="1" w:styleId="83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4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4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3">
    <w:name w:val="Char311"/>
    <w:basedOn w:val="1"/>
    <w:qFormat/>
    <w:uiPriority w:val="0"/>
    <w:pPr>
      <w:adjustRightInd/>
      <w:ind w:firstLine="200" w:firstLineChars="200"/>
    </w:pPr>
    <w:rPr>
      <w:rFonts w:ascii="Tahoma" w:hAnsi="Tahoma"/>
      <w:sz w:val="24"/>
      <w:szCs w:val="20"/>
    </w:rPr>
  </w:style>
  <w:style w:type="paragraph" w:customStyle="1" w:styleId="84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6">
    <w:name w:val="正文 内标"/>
    <w:basedOn w:val="761"/>
    <w:qFormat/>
    <w:uiPriority w:val="0"/>
    <w:pPr>
      <w:tabs>
        <w:tab w:val="left" w:pos="0"/>
      </w:tabs>
      <w:ind w:left="900" w:firstLine="0" w:firstLineChars="0"/>
    </w:pPr>
  </w:style>
  <w:style w:type="paragraph" w:customStyle="1" w:styleId="847">
    <w:name w:val="Bulleted List"/>
    <w:basedOn w:val="1"/>
    <w:qFormat/>
    <w:uiPriority w:val="0"/>
    <w:pPr>
      <w:tabs>
        <w:tab w:val="left" w:pos="1260"/>
      </w:tabs>
      <w:adjustRightInd/>
      <w:ind w:left="1260" w:hanging="420"/>
    </w:pPr>
  </w:style>
  <w:style w:type="paragraph" w:customStyle="1" w:styleId="84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49">
    <w:name w:val="样式 左侧:  0.85 厘米"/>
    <w:basedOn w:val="1"/>
    <w:qFormat/>
    <w:uiPriority w:val="2"/>
    <w:pPr>
      <w:adjustRightInd/>
      <w:spacing w:line="360" w:lineRule="auto"/>
    </w:pPr>
    <w:rPr>
      <w:rFonts w:cs="宋体"/>
      <w:sz w:val="24"/>
      <w:szCs w:val="20"/>
    </w:rPr>
  </w:style>
  <w:style w:type="paragraph" w:customStyle="1" w:styleId="850">
    <w:name w:val="Char Char Char Char Char Char Char Char Char Char Char Char1 Char"/>
    <w:basedOn w:val="1"/>
    <w:qFormat/>
    <w:uiPriority w:val="0"/>
    <w:rPr>
      <w:rFonts w:ascii="Tahoma" w:hAnsi="Tahoma" w:cs="仿宋_GB2312"/>
      <w:sz w:val="24"/>
      <w:szCs w:val="20"/>
    </w:rPr>
  </w:style>
  <w:style w:type="paragraph" w:customStyle="1" w:styleId="85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5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5">
    <w:name w:val="Char Char1 Char Char Char Char Char Char"/>
    <w:basedOn w:val="1"/>
    <w:qFormat/>
    <w:uiPriority w:val="0"/>
    <w:rPr>
      <w:rFonts w:ascii="仿宋_GB2312" w:eastAsia="仿宋_GB2312"/>
      <w:b/>
      <w:sz w:val="32"/>
      <w:szCs w:val="20"/>
    </w:rPr>
  </w:style>
  <w:style w:type="paragraph" w:customStyle="1" w:styleId="85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7">
    <w:name w:val="Char Char1 Char Char Char Char Char Char2"/>
    <w:basedOn w:val="1"/>
    <w:qFormat/>
    <w:uiPriority w:val="0"/>
    <w:rPr>
      <w:rFonts w:ascii="仿宋_GB2312" w:eastAsia="仿宋_GB2312"/>
      <w:b/>
      <w:sz w:val="32"/>
      <w:szCs w:val="20"/>
    </w:rPr>
  </w:style>
  <w:style w:type="paragraph" w:customStyle="1" w:styleId="85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6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6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6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7">
    <w:name w:val="Char31"/>
    <w:basedOn w:val="1"/>
    <w:qFormat/>
    <w:uiPriority w:val="0"/>
    <w:pPr>
      <w:adjustRightInd/>
    </w:pPr>
    <w:rPr>
      <w:rFonts w:ascii="仿宋_GB2312" w:eastAsia="仿宋_GB2312"/>
      <w:b/>
      <w:sz w:val="32"/>
      <w:szCs w:val="32"/>
    </w:rPr>
  </w:style>
  <w:style w:type="paragraph" w:customStyle="1" w:styleId="868">
    <w:name w:val="样式 标题 3h33rd level3Heading 3 - oldH3l3CTheading 3Headin..."/>
    <w:basedOn w:val="4"/>
    <w:qFormat/>
    <w:uiPriority w:val="0"/>
    <w:pPr>
      <w:snapToGrid w:val="0"/>
      <w:ind w:left="0" w:firstLine="0"/>
    </w:pPr>
    <w:rPr>
      <w:rFonts w:eastAsia="黑体" w:cs="宋体"/>
      <w:sz w:val="28"/>
      <w:szCs w:val="20"/>
    </w:rPr>
  </w:style>
  <w:style w:type="paragraph" w:customStyle="1" w:styleId="86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7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1"/>
    <w:basedOn w:val="1"/>
    <w:qFormat/>
    <w:uiPriority w:val="0"/>
    <w:pPr>
      <w:widowControl/>
      <w:spacing w:after="160" w:line="240" w:lineRule="exact"/>
      <w:jc w:val="left"/>
    </w:pPr>
    <w:rPr>
      <w:rFonts w:eastAsia="仿宋_GB2312"/>
      <w:sz w:val="28"/>
    </w:rPr>
  </w:style>
  <w:style w:type="paragraph" w:customStyle="1" w:styleId="872">
    <w:name w:val="Char21"/>
    <w:basedOn w:val="1"/>
    <w:qFormat/>
    <w:uiPriority w:val="0"/>
    <w:pPr>
      <w:adjustRightInd/>
      <w:ind w:firstLine="200" w:firstLineChars="200"/>
    </w:pPr>
    <w:rPr>
      <w:rFonts w:ascii="仿宋_GB2312" w:eastAsia="仿宋_GB2312"/>
      <w:b/>
      <w:sz w:val="32"/>
      <w:szCs w:val="32"/>
    </w:rPr>
  </w:style>
  <w:style w:type="paragraph" w:customStyle="1" w:styleId="873">
    <w:name w:val="列表段落11"/>
    <w:basedOn w:val="1"/>
    <w:qFormat/>
    <w:uiPriority w:val="34"/>
    <w:pPr>
      <w:adjustRightInd/>
      <w:ind w:right="238" w:firstLine="420"/>
    </w:pPr>
    <w:rPr>
      <w:rFonts w:ascii="Calibri" w:hAnsi="Calibri"/>
      <w:sz w:val="24"/>
    </w:rPr>
  </w:style>
  <w:style w:type="paragraph" w:customStyle="1" w:styleId="874">
    <w:name w:val="Char Char110"/>
    <w:basedOn w:val="1"/>
    <w:qFormat/>
    <w:uiPriority w:val="6"/>
    <w:pPr>
      <w:spacing w:line="360" w:lineRule="auto"/>
    </w:pPr>
    <w:rPr>
      <w:rFonts w:ascii="Tahoma" w:hAnsi="Tahoma"/>
      <w:sz w:val="24"/>
      <w:szCs w:val="20"/>
    </w:rPr>
  </w:style>
  <w:style w:type="paragraph" w:customStyle="1" w:styleId="87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9">
    <w:name w:val="Char Char Char Char Char Char Char Char Char Char Char Char1 Char2"/>
    <w:basedOn w:val="1"/>
    <w:qFormat/>
    <w:uiPriority w:val="0"/>
    <w:rPr>
      <w:rFonts w:ascii="Tahoma" w:hAnsi="Tahoma" w:cs="仿宋_GB2312"/>
      <w:sz w:val="24"/>
      <w:szCs w:val="20"/>
    </w:rPr>
  </w:style>
  <w:style w:type="paragraph" w:customStyle="1" w:styleId="88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8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8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3">
    <w:name w:val="_Style 12"/>
    <w:basedOn w:val="18"/>
    <w:qFormat/>
    <w:uiPriority w:val="0"/>
    <w:pPr>
      <w:snapToGrid w:val="0"/>
      <w:spacing w:line="360" w:lineRule="auto"/>
    </w:pPr>
  </w:style>
  <w:style w:type="paragraph" w:customStyle="1" w:styleId="88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2"/>
    <w:qFormat/>
    <w:uiPriority w:val="34"/>
    <w:pPr>
      <w:adjustRightInd/>
      <w:spacing w:line="360" w:lineRule="auto"/>
      <w:ind w:firstLine="200" w:firstLineChars="200"/>
    </w:pPr>
    <w:rPr>
      <w:rFonts w:ascii="Calibri" w:hAnsi="Calibri"/>
      <w:sz w:val="28"/>
      <w:szCs w:val="20"/>
    </w:rPr>
  </w:style>
  <w:style w:type="paragraph" w:customStyle="1" w:styleId="8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5"/>
    <w:qFormat/>
    <w:uiPriority w:val="0"/>
    <w:pPr>
      <w:outlineLvl w:val="2"/>
    </w:pPr>
  </w:style>
  <w:style w:type="paragraph" w:customStyle="1" w:styleId="89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qFormat/>
    <w:uiPriority w:val="0"/>
    <w:pPr>
      <w:adjustRightInd/>
      <w:ind w:firstLine="200" w:firstLineChars="200"/>
    </w:pPr>
    <w:rPr>
      <w:rFonts w:ascii="Tahoma" w:hAnsi="Tahoma"/>
      <w:sz w:val="24"/>
      <w:szCs w:val="20"/>
    </w:rPr>
  </w:style>
  <w:style w:type="paragraph" w:customStyle="1" w:styleId="89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4">
    <w:name w:val="MM Empty"/>
    <w:basedOn w:val="1"/>
    <w:qFormat/>
    <w:uiPriority w:val="0"/>
    <w:pPr>
      <w:adjustRightInd/>
    </w:pPr>
  </w:style>
  <w:style w:type="paragraph" w:customStyle="1" w:styleId="895">
    <w:name w:val="Char24"/>
    <w:basedOn w:val="1"/>
    <w:qFormat/>
    <w:uiPriority w:val="0"/>
    <w:rPr>
      <w:rFonts w:ascii="仿宋_GB2312" w:eastAsia="仿宋_GB2312"/>
      <w:b/>
      <w:sz w:val="32"/>
      <w:szCs w:val="32"/>
    </w:rPr>
  </w:style>
  <w:style w:type="paragraph" w:customStyle="1" w:styleId="896">
    <w:name w:val="正文箭头"/>
    <w:basedOn w:val="555"/>
    <w:qFormat/>
    <w:uiPriority w:val="0"/>
  </w:style>
  <w:style w:type="paragraph" w:customStyle="1" w:styleId="897">
    <w:name w:val="U_编号2"/>
    <w:basedOn w:val="1"/>
    <w:qFormat/>
    <w:uiPriority w:val="0"/>
    <w:pPr>
      <w:tabs>
        <w:tab w:val="left" w:pos="785"/>
      </w:tabs>
      <w:adjustRightInd/>
      <w:spacing w:beforeLines="10" w:afterLines="10" w:line="300" w:lineRule="auto"/>
    </w:pPr>
    <w:rPr>
      <w:sz w:val="24"/>
    </w:rPr>
  </w:style>
  <w:style w:type="paragraph" w:customStyle="1" w:styleId="89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4"/>
    <w:qFormat/>
    <w:uiPriority w:val="0"/>
    <w:pPr>
      <w:widowControl/>
      <w:snapToGrid w:val="0"/>
      <w:spacing w:before="120" w:after="60" w:line="300" w:lineRule="auto"/>
    </w:pPr>
    <w:rPr>
      <w:rFonts w:ascii="Arial Narrow" w:hAnsi="Arial Narrow"/>
      <w:color w:val="000000"/>
      <w:kern w:val="0"/>
      <w:sz w:val="28"/>
    </w:rPr>
  </w:style>
  <w:style w:type="paragraph" w:customStyle="1" w:styleId="90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qFormat/>
    <w:uiPriority w:val="34"/>
    <w:pPr>
      <w:adjustRightInd/>
      <w:ind w:firstLine="420" w:firstLineChars="200"/>
    </w:pPr>
    <w:rPr>
      <w:rFonts w:eastAsia="仿宋_GB2312"/>
      <w:sz w:val="28"/>
    </w:rPr>
  </w:style>
  <w:style w:type="paragraph" w:customStyle="1" w:styleId="903">
    <w:name w:val="表格 内容"/>
    <w:basedOn w:val="740"/>
    <w:qFormat/>
    <w:uiPriority w:val="0"/>
    <w:rPr>
      <w:b w:val="0"/>
      <w:sz w:val="20"/>
    </w:rPr>
  </w:style>
  <w:style w:type="paragraph" w:customStyle="1" w:styleId="9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5">
    <w:name w:val="数字标题5"/>
    <w:basedOn w:val="6"/>
    <w:next w:val="1"/>
    <w:qFormat/>
    <w:uiPriority w:val="0"/>
    <w:pPr>
      <w:tabs>
        <w:tab w:val="left" w:pos="1080"/>
      </w:tabs>
      <w:ind w:left="1080" w:hanging="1080"/>
    </w:pPr>
  </w:style>
  <w:style w:type="paragraph" w:customStyle="1" w:styleId="906">
    <w:name w:val="数字标题1"/>
    <w:basedOn w:val="2"/>
    <w:next w:val="1"/>
    <w:qFormat/>
    <w:uiPriority w:val="0"/>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0"/>
    <w:pPr>
      <w:widowControl/>
    </w:pPr>
    <w:rPr>
      <w:kern w:val="0"/>
      <w:sz w:val="24"/>
      <w:szCs w:val="20"/>
    </w:rPr>
  </w:style>
  <w:style w:type="paragraph" w:customStyle="1" w:styleId="914">
    <w:name w:val="Char Char113"/>
    <w:basedOn w:val="1"/>
    <w:qFormat/>
    <w:uiPriority w:val="0"/>
    <w:pPr>
      <w:widowControl/>
      <w:spacing w:after="160" w:line="240" w:lineRule="exact"/>
      <w:jc w:val="left"/>
    </w:pPr>
    <w:rPr>
      <w:rFonts w:eastAsia="仿宋_GB2312"/>
      <w:sz w:val="28"/>
    </w:rPr>
  </w:style>
  <w:style w:type="paragraph" w:customStyle="1" w:styleId="915">
    <w:name w:val="_Style 8"/>
    <w:basedOn w:val="1"/>
    <w:qFormat/>
    <w:uiPriority w:val="34"/>
    <w:pPr>
      <w:adjustRightInd/>
      <w:ind w:firstLine="420" w:firstLineChars="200"/>
    </w:pPr>
    <w:rPr>
      <w:rFonts w:eastAsia="仿宋_GB2312"/>
      <w:sz w:val="28"/>
    </w:rPr>
  </w:style>
  <w:style w:type="paragraph" w:customStyle="1" w:styleId="91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2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1">
    <w:name w:val="Char Char112"/>
    <w:basedOn w:val="1"/>
    <w:qFormat/>
    <w:uiPriority w:val="6"/>
    <w:pPr>
      <w:widowControl/>
      <w:spacing w:after="160" w:line="240" w:lineRule="exact"/>
      <w:jc w:val="left"/>
    </w:pPr>
    <w:rPr>
      <w:rFonts w:eastAsia="仿宋_GB2312"/>
      <w:sz w:val="28"/>
    </w:rPr>
  </w:style>
  <w:style w:type="paragraph" w:customStyle="1" w:styleId="922">
    <w:name w:val="正文 图"/>
    <w:basedOn w:val="463"/>
    <w:qFormat/>
    <w:uiPriority w:val="0"/>
    <w:pPr>
      <w:adjustRightInd/>
      <w:spacing w:before="0"/>
      <w:ind w:firstLine="0"/>
      <w:jc w:val="center"/>
    </w:pPr>
    <w:rPr>
      <w:rFonts w:ascii="微软雅黑" w:hAnsi="微软雅黑"/>
    </w:rPr>
  </w:style>
  <w:style w:type="paragraph" w:customStyle="1" w:styleId="92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5">
    <w:name w:val="Thf"/>
    <w:basedOn w:val="578"/>
    <w:qFormat/>
    <w:uiPriority w:val="0"/>
    <w:pPr>
      <w:ind w:left="0"/>
    </w:p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8">
    <w:name w:val="注释"/>
    <w:basedOn w:val="1"/>
    <w:qFormat/>
    <w:uiPriority w:val="0"/>
    <w:pPr>
      <w:adjustRightInd/>
      <w:spacing w:line="360" w:lineRule="auto"/>
      <w:ind w:firstLine="480"/>
    </w:pPr>
    <w:rPr>
      <w:sz w:val="24"/>
    </w:rPr>
  </w:style>
  <w:style w:type="table" w:customStyle="1" w:styleId="929">
    <w:name w:val="网格型2"/>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1"/>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6"/>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3"/>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4"/>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5"/>
    <w:basedOn w:val="6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5">
    <w:name w:val="列出段落111"/>
    <w:basedOn w:val="1"/>
    <w:qFormat/>
    <w:uiPriority w:val="34"/>
    <w:pPr>
      <w:ind w:firstLine="420" w:firstLineChars="200"/>
    </w:pPr>
  </w:style>
  <w:style w:type="character" w:customStyle="1" w:styleId="936">
    <w:name w:val="交叉引用"/>
    <w:qFormat/>
    <w:uiPriority w:val="1"/>
    <w:rPr>
      <w:rFonts w:ascii="Arial" w:hAnsi="Arial" w:eastAsia="黑体"/>
      <w:snapToGrid w:val="0"/>
      <w:color w:val="0000FF"/>
      <w:kern w:val="0"/>
      <w:sz w:val="20"/>
      <w:szCs w:val="21"/>
      <w:u w:val="single"/>
      <w:lang w:val="en-US" w:eastAsia="zh-CN"/>
    </w:rPr>
  </w:style>
  <w:style w:type="character" w:customStyle="1" w:styleId="937">
    <w:name w:val="正文缩进 字符1"/>
    <w:qFormat/>
    <w:uiPriority w:val="0"/>
    <w:rPr>
      <w:rFonts w:ascii="宋体" w:eastAsia="宋体"/>
      <w:snapToGrid w:val="0"/>
      <w:color w:val="000000"/>
      <w:kern w:val="28"/>
      <w:sz w:val="28"/>
      <w:lang w:val="en-US" w:eastAsia="zh-CN" w:bidi="ar-SA"/>
    </w:rPr>
  </w:style>
  <w:style w:type="character" w:customStyle="1" w:styleId="938">
    <w:name w:val="页脚 字符1"/>
    <w:qFormat/>
    <w:locked/>
    <w:uiPriority w:val="99"/>
    <w:rPr>
      <w:kern w:val="2"/>
      <w:sz w:val="18"/>
      <w:szCs w:val="18"/>
    </w:rPr>
  </w:style>
  <w:style w:type="character" w:customStyle="1" w:styleId="939">
    <w:name w:val="页眉 字符1"/>
    <w:qFormat/>
    <w:uiPriority w:val="99"/>
    <w:rPr>
      <w:kern w:val="2"/>
      <w:sz w:val="18"/>
      <w:szCs w:val="18"/>
    </w:rPr>
  </w:style>
  <w:style w:type="character" w:customStyle="1" w:styleId="940">
    <w:name w:val="尾注文本 Char"/>
    <w:link w:val="40"/>
    <w:qFormat/>
    <w:uiPriority w:val="0"/>
    <w:rPr>
      <w:kern w:val="2"/>
      <w:sz w:val="21"/>
      <w:szCs w:val="24"/>
      <w:lang w:val="zh-CN"/>
    </w:rPr>
  </w:style>
  <w:style w:type="character" w:customStyle="1" w:styleId="941">
    <w:name w:val="无间隔 Char"/>
    <w:link w:val="502"/>
    <w:qFormat/>
    <w:uiPriority w:val="99"/>
    <w:rPr>
      <w:kern w:val="2"/>
      <w:sz w:val="21"/>
      <w:szCs w:val="22"/>
    </w:rPr>
  </w:style>
  <w:style w:type="character" w:customStyle="1" w:styleId="942">
    <w:name w:val="标准文本 Char Char"/>
    <w:link w:val="943"/>
    <w:qFormat/>
    <w:uiPriority w:val="0"/>
    <w:rPr>
      <w:rFonts w:cs="宋体"/>
      <w:kern w:val="2"/>
      <w:sz w:val="24"/>
    </w:rPr>
  </w:style>
  <w:style w:type="paragraph" w:customStyle="1" w:styleId="943">
    <w:name w:val="标准文本"/>
    <w:basedOn w:val="1"/>
    <w:link w:val="942"/>
    <w:qFormat/>
    <w:uiPriority w:val="0"/>
    <w:pPr>
      <w:adjustRightInd/>
      <w:spacing w:line="360" w:lineRule="auto"/>
      <w:ind w:firstLine="480" w:firstLineChars="200"/>
    </w:pPr>
    <w:rPr>
      <w:rFonts w:cs="宋体"/>
      <w:sz w:val="24"/>
      <w:szCs w:val="20"/>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basedOn w:val="71"/>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paragraph" w:customStyle="1" w:styleId="957">
    <w:name w:val="_Style 947"/>
    <w:basedOn w:val="1"/>
    <w:next w:val="282"/>
    <w:qFormat/>
    <w:uiPriority w:val="34"/>
    <w:pPr>
      <w:adjustRightInd/>
      <w:ind w:firstLine="420" w:firstLineChars="200"/>
    </w:pPr>
  </w:style>
  <w:style w:type="paragraph" w:customStyle="1" w:styleId="95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0"/>
    <w:pPr>
      <w:adjustRightInd/>
      <w:snapToGrid w:val="0"/>
      <w:jc w:val="left"/>
    </w:pPr>
    <w:rPr>
      <w:rFonts w:ascii="Century Gothic" w:hAnsi="楷体_GB2312" w:eastAsia="Century Gothic"/>
      <w:szCs w:val="20"/>
    </w:rPr>
  </w:style>
  <w:style w:type="paragraph" w:customStyle="1" w:styleId="96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6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0"/>
    <w:pPr>
      <w:autoSpaceDE w:val="0"/>
      <w:autoSpaceDN w:val="0"/>
      <w:spacing w:before="100" w:after="100"/>
      <w:ind w:left="360" w:right="360"/>
      <w:jc w:val="left"/>
    </w:pPr>
    <w:rPr>
      <w:kern w:val="0"/>
      <w:sz w:val="24"/>
      <w:szCs w:val="20"/>
    </w:rPr>
  </w:style>
  <w:style w:type="paragraph" w:customStyle="1" w:styleId="964">
    <w:name w:val="p1"/>
    <w:basedOn w:val="1"/>
    <w:qFormat/>
    <w:uiPriority w:val="0"/>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0"/>
    <w:pPr>
      <w:adjustRightInd/>
      <w:jc w:val="left"/>
    </w:pPr>
    <w:rPr>
      <w:rFonts w:ascii="Calibri" w:hAnsi="Calibri"/>
      <w:kern w:val="0"/>
      <w:sz w:val="22"/>
      <w:szCs w:val="22"/>
      <w:lang w:eastAsia="en-US"/>
    </w:rPr>
  </w:style>
  <w:style w:type="paragraph" w:customStyle="1" w:styleId="9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1"/>
    <w:qFormat/>
    <w:uiPriority w:val="0"/>
    <w:rPr>
      <w:color w:val="000000"/>
      <w:shd w:val="clear" w:color="auto" w:fill="EFD200"/>
    </w:rPr>
  </w:style>
  <w:style w:type="character" w:customStyle="1" w:styleId="970">
    <w:name w:val="font71"/>
    <w:basedOn w:val="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paragraph" w:customStyle="1" w:styleId="972">
    <w:name w:val="_Style 468"/>
    <w:basedOn w:val="1"/>
    <w:next w:val="282"/>
    <w:qFormat/>
    <w:uiPriority w:val="99"/>
    <w:pPr>
      <w:spacing w:line="360" w:lineRule="auto"/>
      <w:ind w:firstLine="200" w:firstLineChars="200"/>
    </w:pPr>
    <w:rPr>
      <w:rFonts w:ascii="宋体" w:hAnsi="宋体"/>
      <w:kern w:val="0"/>
      <w:sz w:val="20"/>
    </w:rPr>
  </w:style>
  <w:style w:type="character" w:customStyle="1" w:styleId="973">
    <w:name w:val="ca-1"/>
    <w:qFormat/>
    <w:uiPriority w:val="0"/>
  </w:style>
  <w:style w:type="character" w:customStyle="1" w:styleId="974">
    <w:name w:val="10"/>
    <w:basedOn w:val="71"/>
    <w:qFormat/>
    <w:uiPriority w:val="0"/>
    <w:rPr>
      <w:rFonts w:hint="default" w:ascii="Calibri" w:hAnsi="Calibri" w:cs="Calibri"/>
    </w:rPr>
  </w:style>
  <w:style w:type="paragraph" w:styleId="975">
    <w:name w:val="List Paragraph"/>
    <w:basedOn w:val="1"/>
    <w:qFormat/>
    <w:uiPriority w:val="99"/>
    <w:pPr>
      <w:ind w:firstLine="420" w:firstLineChars="200"/>
    </w:pPr>
  </w:style>
  <w:style w:type="paragraph" w:customStyle="1" w:styleId="976">
    <w:name w:val="Heading5"/>
    <w:basedOn w:val="1"/>
    <w:next w:val="1"/>
    <w:qFormat/>
    <w:uiPriority w:val="0"/>
    <w:pPr>
      <w:keepNext/>
      <w:keepLines/>
      <w:spacing w:after="120"/>
      <w:textAlignment w:val="baseline"/>
    </w:pPr>
    <w:rPr>
      <w:rFonts w:eastAsia="微软雅黑"/>
      <w:b/>
      <w:bCs/>
    </w:rPr>
  </w:style>
  <w:style w:type="character" w:customStyle="1" w:styleId="977">
    <w:name w:val="hour_pm"/>
    <w:basedOn w:val="71"/>
    <w:qFormat/>
    <w:uiPriority w:val="0"/>
  </w:style>
  <w:style w:type="character" w:customStyle="1" w:styleId="978">
    <w:name w:val="hover9"/>
    <w:basedOn w:val="71"/>
    <w:qFormat/>
    <w:uiPriority w:val="0"/>
    <w:rPr>
      <w:shd w:val="clear" w:color="auto" w:fill="EEEEEE"/>
    </w:rPr>
  </w:style>
  <w:style w:type="character" w:customStyle="1" w:styleId="979">
    <w:name w:val="old"/>
    <w:basedOn w:val="71"/>
    <w:qFormat/>
    <w:uiPriority w:val="0"/>
    <w:rPr>
      <w:color w:val="999999"/>
    </w:rPr>
  </w:style>
  <w:style w:type="character" w:customStyle="1" w:styleId="980">
    <w:name w:val="hour_am"/>
    <w:basedOn w:val="71"/>
    <w:qFormat/>
    <w:uiPriority w:val="0"/>
  </w:style>
  <w:style w:type="character" w:customStyle="1" w:styleId="981">
    <w:name w:val="hover"/>
    <w:basedOn w:val="71"/>
    <w:qFormat/>
    <w:uiPriority w:val="0"/>
    <w:rPr>
      <w:shd w:val="clear" w:color="auto" w:fill="EEEEEE"/>
    </w:rPr>
  </w:style>
  <w:style w:type="character" w:customStyle="1" w:styleId="982">
    <w:name w:val="content-right_8zs401"/>
    <w:basedOn w:val="71"/>
    <w:qFormat/>
    <w:uiPriority w:val="0"/>
  </w:style>
  <w:style w:type="paragraph" w:styleId="983">
    <w:name w:val="No Spacing"/>
    <w:basedOn w:val="1"/>
    <w:qFormat/>
    <w:uiPriority w:val="99"/>
    <w:rPr>
      <w:szCs w:val="22"/>
    </w:rPr>
  </w:style>
  <w:style w:type="character" w:customStyle="1" w:styleId="984">
    <w:name w:val="fontstyle01"/>
    <w:basedOn w:val="71"/>
    <w:qFormat/>
    <w:uiPriority w:val="0"/>
    <w:rPr>
      <w:rFonts w:hint="eastAsia" w:ascii="宋体" w:hAnsi="宋体" w:eastAsia="宋体"/>
      <w:color w:val="000000"/>
      <w:sz w:val="22"/>
      <w:szCs w:val="22"/>
    </w:rPr>
  </w:style>
  <w:style w:type="paragraph" w:customStyle="1" w:styleId="985">
    <w:name w:val="表格字体"/>
    <w:basedOn w:val="1"/>
    <w:qFormat/>
    <w:uiPriority w:val="0"/>
    <w:pPr>
      <w:widowControl/>
      <w:jc w:val="center"/>
    </w:pPr>
    <w:rPr>
      <w:rFonts w:ascii="宋体" w:hAnsi="宋体" w:cs="宋体"/>
      <w:color w:val="000000"/>
      <w:szCs w:val="22"/>
    </w:rPr>
  </w:style>
  <w:style w:type="paragraph" w:customStyle="1" w:styleId="98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87">
    <w:name w:val="“加粗”"/>
    <w:basedOn w:val="1"/>
    <w:next w:val="1"/>
    <w:qFormat/>
    <w:uiPriority w:val="0"/>
    <w:pPr>
      <w:ind w:firstLine="200" w:firstLineChars="200"/>
    </w:pPr>
    <w:rPr>
      <w:b/>
    </w:rPr>
  </w:style>
  <w:style w:type="paragraph" w:customStyle="1" w:styleId="988">
    <w:name w:val="“一”标题"/>
    <w:basedOn w:val="4"/>
    <w:next w:val="1"/>
    <w:qFormat/>
    <w:uiPriority w:val="0"/>
    <w:pPr>
      <w:spacing w:before="0" w:after="0" w:line="360" w:lineRule="auto"/>
      <w:ind w:firstLine="200" w:firstLineChars="200"/>
    </w:pPr>
    <w:rPr>
      <w:color w:val="000000" w:themeColor="text1"/>
      <w:sz w:val="28"/>
      <w14:textFill>
        <w14:solidFill>
          <w14:schemeClr w14:val="tx1"/>
        </w14:solidFill>
      </w14:textFill>
    </w:rPr>
  </w:style>
  <w:style w:type="paragraph" w:customStyle="1" w:styleId="989">
    <w:name w:val="“（一）”标题"/>
    <w:basedOn w:val="5"/>
    <w:next w:val="1"/>
    <w:qFormat/>
    <w:uiPriority w:val="0"/>
    <w:pPr>
      <w:keepNext w:val="0"/>
      <w:keepLines w:val="0"/>
      <w:spacing w:before="0" w:after="0" w:line="360" w:lineRule="auto"/>
      <w:ind w:firstLine="200" w:firstLineChars="200"/>
    </w:pPr>
    <w:rPr>
      <w:rFonts w:eastAsia="微软雅黑"/>
      <w:color w:val="000000" w:themeColor="text1"/>
      <w:sz w:val="24"/>
      <w14:textFill>
        <w14:solidFill>
          <w14:schemeClr w14:val="tx1"/>
        </w14:solidFill>
      </w14:textFill>
    </w:rPr>
  </w:style>
  <w:style w:type="paragraph" w:customStyle="1" w:styleId="990">
    <w:name w:val="图表"/>
    <w:basedOn w:val="1"/>
    <w:next w:val="1"/>
    <w:qFormat/>
    <w:uiPriority w:val="0"/>
    <w:pPr>
      <w:spacing w:line="360" w:lineRule="auto"/>
      <w:jc w:val="center"/>
    </w:pPr>
    <w:rPr>
      <w:rFonts w:eastAsia="Songti SC"/>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142</Pages>
  <Words>37677</Words>
  <Characters>40097</Characters>
  <Lines>1</Lines>
  <Paragraphs>1</Paragraphs>
  <TotalTime>49</TotalTime>
  <ScaleCrop>false</ScaleCrop>
  <LinksUpToDate>false</LinksUpToDate>
  <CharactersWithSpaces>42902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2021-10-30T16:22:00Z</dcterms:created>
  <dc:creator>玥</dc:creator>
  <cp:lastModifiedBy>Lacia</cp:lastModifiedBy>
  <cp:lastPrinted>2024-11-21T17:48:00Z</cp:lastPrinted>
  <dcterms:modified xsi:type="dcterms:W3CDTF">2025-07-11T10:23:49Z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77E8A39FCB55D052EAB621689B7BE239_43</vt:lpwstr>
  </property>
  <property fmtid="{D5CDD505-2E9C-101B-9397-08002B2CF9AE}" pid="5" name="commondata">
    <vt:lpwstr>eyJoZGlkIjoiYjI0NjI4YjUzMWZjY2QzYTEwZTc4ZjdlY2ZlYWFjNWMifQ==</vt:lpwstr>
  </property>
  <property fmtid="{D5CDD505-2E9C-101B-9397-08002B2CF9AE}" pid="6" name="woTemplateTypoMode" linkTarget="0">
    <vt:lpwstr/>
  </property>
  <property fmtid="{D5CDD505-2E9C-101B-9397-08002B2CF9AE}" pid="7" name="woTemplate" linkTarget="0">
    <vt:i4>0</vt:i4>
  </property>
  <property fmtid="{D5CDD505-2E9C-101B-9397-08002B2CF9AE}" pid="8" name="KSOTemplateDocerSaveRecord">
    <vt:lpwstr>eyJoZGlkIjoiYTA5NGUxZTEzYzAxYzFlMDQ3OGQzMzUwZjliZTU1YjIiLCJ1c2VySWQiOiIzNjIwNjIwMjcifQ==</vt:lpwstr>
  </property>
</Properties>
</file>