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outlineLvl w:val="0"/>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绍兴市轨道交通2号线一期2024-2027年度保安、安检服务项目</w:t>
      </w:r>
    </w:p>
    <w:p>
      <w:pPr>
        <w:jc w:val="center"/>
        <w:outlineLvl w:val="9"/>
        <w:rPr>
          <w:rFonts w:ascii="仿宋" w:hAnsi="仿宋" w:eastAsia="仿宋" w:cs="仿宋"/>
          <w:b/>
          <w:color w:val="auto"/>
          <w:sz w:val="72"/>
          <w:szCs w:val="72"/>
          <w:highlight w:val="none"/>
        </w:rPr>
      </w:pPr>
    </w:p>
    <w:p>
      <w:pPr>
        <w:jc w:val="center"/>
        <w:outlineLvl w:val="9"/>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9"/>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9"/>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9"/>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9"/>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9"/>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tbl>
      <w:tblPr>
        <w:tblStyle w:val="64"/>
        <w:tblpPr w:leftFromText="180" w:rightFromText="180" w:vertAnchor="text" w:horzAnchor="page" w:tblpX="1587" w:tblpY="1221"/>
        <w:tblOverlap w:val="never"/>
        <w:tblW w:w="89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70"/>
        <w:gridCol w:w="67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70"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6753" w:type="dxa"/>
            <w:vAlign w:val="center"/>
          </w:tcPr>
          <w:p>
            <w:pPr>
              <w:shd w:val="clear" w:color="auto" w:fill="auto"/>
              <w:spacing w:line="320" w:lineRule="exact"/>
              <w:outlineLvl w:val="0"/>
              <w:rPr>
                <w:rFonts w:ascii="仿宋" w:hAnsi="仿宋" w:eastAsia="仿宋" w:cs="仿宋"/>
                <w:color w:val="auto"/>
                <w:sz w:val="28"/>
                <w:szCs w:val="28"/>
                <w:highlight w:val="none"/>
              </w:rPr>
            </w:pPr>
            <w:r>
              <w:rPr>
                <w:rFonts w:hint="eastAsia" w:ascii="宋体" w:hAnsi="宋体" w:eastAsia="宋体" w:cs="宋体"/>
                <w:color w:val="auto"/>
                <w:spacing w:val="41"/>
                <w:kern w:val="0"/>
                <w:sz w:val="28"/>
                <w:szCs w:val="28"/>
                <w:highlight w:val="none"/>
                <w:fitText w:val="6440" w:id="-211444720"/>
              </w:rPr>
              <w:t>绍兴市轨道交通集团有限公司运营分公</w:t>
            </w:r>
            <w:r>
              <w:rPr>
                <w:rFonts w:hint="eastAsia" w:ascii="宋体" w:hAnsi="宋体" w:eastAsia="宋体" w:cs="宋体"/>
                <w:color w:val="auto"/>
                <w:spacing w:val="3"/>
                <w:kern w:val="0"/>
                <w:sz w:val="28"/>
                <w:szCs w:val="28"/>
                <w:highlight w:val="none"/>
                <w:fitText w:val="6440" w:id="-211444720"/>
              </w:rPr>
              <w:t>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70"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12"/>
                <w:w w:val="93"/>
                <w:kern w:val="0"/>
                <w:sz w:val="28"/>
                <w:szCs w:val="28"/>
                <w:highlight w:val="none"/>
              </w:rPr>
              <w:t>采购代理机</w:t>
            </w:r>
            <w:r>
              <w:rPr>
                <w:rFonts w:hint="eastAsia" w:ascii="仿宋" w:hAnsi="仿宋" w:eastAsia="仿宋" w:cs="仿宋"/>
                <w:color w:val="auto"/>
                <w:w w:val="93"/>
                <w:kern w:val="0"/>
                <w:sz w:val="28"/>
                <w:szCs w:val="28"/>
                <w:highlight w:val="none"/>
              </w:rPr>
              <w:t>构</w:t>
            </w:r>
            <w:r>
              <w:rPr>
                <w:rFonts w:hint="eastAsia" w:ascii="仿宋" w:hAnsi="仿宋" w:eastAsia="仿宋" w:cs="仿宋"/>
                <w:color w:val="auto"/>
                <w:sz w:val="28"/>
                <w:szCs w:val="28"/>
                <w:highlight w:val="none"/>
              </w:rPr>
              <w:t>：</w:t>
            </w:r>
          </w:p>
        </w:tc>
        <w:tc>
          <w:tcPr>
            <w:tcW w:w="6753" w:type="dxa"/>
            <w:vAlign w:val="center"/>
          </w:tcPr>
          <w:p>
            <w:pPr>
              <w:shd w:val="clear" w:color="auto" w:fill="auto"/>
              <w:spacing w:line="320" w:lineRule="exact"/>
              <w:jc w:val="both"/>
              <w:outlineLvl w:val="0"/>
              <w:rPr>
                <w:rFonts w:ascii="仿宋" w:hAnsi="仿宋" w:eastAsia="仿宋" w:cs="仿宋"/>
                <w:color w:val="auto"/>
                <w:sz w:val="28"/>
                <w:szCs w:val="28"/>
                <w:highlight w:val="none"/>
              </w:rPr>
            </w:pPr>
            <w:r>
              <w:rPr>
                <w:rFonts w:hint="eastAsia" w:ascii="宋体" w:hAnsi="宋体" w:eastAsia="宋体" w:cs="宋体"/>
                <w:color w:val="auto"/>
                <w:spacing w:val="202"/>
                <w:kern w:val="0"/>
                <w:sz w:val="28"/>
                <w:szCs w:val="28"/>
                <w:highlight w:val="none"/>
                <w:fitText w:val="6440" w:id="1538737512"/>
              </w:rPr>
              <w:t>融华工程管理有限公</w:t>
            </w:r>
            <w:r>
              <w:rPr>
                <w:rFonts w:hint="eastAsia" w:ascii="宋体" w:hAnsi="宋体" w:eastAsia="宋体" w:cs="宋体"/>
                <w:color w:val="auto"/>
                <w:spacing w:val="2"/>
                <w:kern w:val="0"/>
                <w:sz w:val="28"/>
                <w:szCs w:val="28"/>
                <w:highlight w:val="none"/>
                <w:fitText w:val="6440" w:id="1538737512"/>
              </w:rPr>
              <w:t>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70"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6871363"/>
              </w:rPr>
              <w:t>监督单</w:t>
            </w:r>
            <w:r>
              <w:rPr>
                <w:rFonts w:hint="eastAsia" w:ascii="仿宋" w:hAnsi="仿宋" w:eastAsia="仿宋" w:cs="仿宋"/>
                <w:color w:val="auto"/>
                <w:spacing w:val="1"/>
                <w:kern w:val="0"/>
                <w:sz w:val="28"/>
                <w:szCs w:val="28"/>
                <w:highlight w:val="none"/>
                <w:fitText w:val="1680" w:id="-16871363"/>
              </w:rPr>
              <w:t>位</w:t>
            </w:r>
            <w:r>
              <w:rPr>
                <w:rFonts w:hint="eastAsia" w:ascii="仿宋" w:hAnsi="仿宋" w:eastAsia="仿宋" w:cs="仿宋"/>
                <w:color w:val="auto"/>
                <w:sz w:val="28"/>
                <w:szCs w:val="28"/>
                <w:highlight w:val="none"/>
              </w:rPr>
              <w:t>：</w:t>
            </w:r>
          </w:p>
        </w:tc>
        <w:tc>
          <w:tcPr>
            <w:tcW w:w="6753" w:type="dxa"/>
            <w:vAlign w:val="top"/>
          </w:tcPr>
          <w:p>
            <w:pPr>
              <w:shd w:val="clear" w:color="auto" w:fill="auto"/>
              <w:spacing w:after="100" w:afterAutospacing="1" w:line="440" w:lineRule="exact"/>
              <w:rPr>
                <w:rFonts w:ascii="仿宋" w:hAnsi="仿宋" w:eastAsia="仿宋" w:cs="仿宋"/>
                <w:color w:val="auto"/>
                <w:sz w:val="28"/>
                <w:szCs w:val="28"/>
                <w:highlight w:val="none"/>
              </w:rPr>
            </w:pPr>
            <w:r>
              <w:rPr>
                <w:rFonts w:hint="eastAsia" w:ascii="宋体" w:hAnsi="宋体" w:eastAsia="宋体" w:cs="宋体"/>
                <w:color w:val="auto"/>
                <w:spacing w:val="116"/>
                <w:kern w:val="0"/>
                <w:sz w:val="28"/>
                <w:szCs w:val="28"/>
                <w:highlight w:val="none"/>
                <w:fitText w:val="6440" w:id="2059269657"/>
              </w:rPr>
              <w:t>绍兴市轨道交通集团有限公</w:t>
            </w:r>
            <w:r>
              <w:rPr>
                <w:rFonts w:hint="eastAsia" w:ascii="宋体" w:hAnsi="宋体" w:eastAsia="宋体" w:cs="宋体"/>
                <w:color w:val="auto"/>
                <w:spacing w:val="8"/>
                <w:kern w:val="0"/>
                <w:sz w:val="28"/>
                <w:szCs w:val="28"/>
                <w:highlight w:val="none"/>
                <w:fitText w:val="6440" w:id="2059269657"/>
              </w:rPr>
              <w:t>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8923"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月</w:t>
            </w:r>
          </w:p>
        </w:tc>
      </w:tr>
    </w:tbl>
    <w:p>
      <w:pPr>
        <w:jc w:val="center"/>
        <w:rPr>
          <w:rFonts w:hint="default" w:ascii="仿宋" w:hAnsi="仿宋" w:eastAsia="仿宋" w:cs="仿宋"/>
          <w:b/>
          <w:color w:val="auto"/>
          <w:sz w:val="28"/>
          <w:szCs w:val="28"/>
          <w:highlight w:val="none"/>
          <w:lang w:val="en-US"/>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：CGSHZJ-2024-N000973</w:t>
      </w:r>
    </w:p>
    <w:p>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850" w:gutter="0"/>
          <w:pgNumType w:start="1"/>
          <w:cols w:space="720" w:num="1"/>
          <w:titlePg/>
          <w:docGrid w:linePitch="312" w:charSpace="0"/>
        </w:sectPr>
      </w:pPr>
    </w:p>
    <w:p>
      <w:pPr>
        <w:pStyle w:val="635"/>
        <w:spacing w:before="0" w:after="0" w:line="360" w:lineRule="auto"/>
        <w:ind w:left="0" w:firstLine="0"/>
        <w:outlineLvl w:val="9"/>
        <w:rPr>
          <w:rFonts w:ascii="仿宋" w:hAnsi="仿宋" w:eastAsia="仿宋" w:cs="仿宋"/>
          <w:color w:val="auto"/>
          <w:highlight w:val="none"/>
        </w:rPr>
      </w:pPr>
    </w:p>
    <w:p>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1"/>
    <w:p>
      <w:pPr>
        <w:spacing w:line="360" w:lineRule="auto"/>
        <w:rPr>
          <w:color w:val="auto"/>
          <w:highlight w:val="none"/>
        </w:rPr>
      </w:pPr>
      <w:bookmarkStart w:id="2" w:name="第二部分"/>
      <w:bookmarkStart w:id="3" w:name="_Toc91899870"/>
      <w:bookmarkStart w:id="4" w:name="_Toc91899871"/>
    </w:p>
    <w:p>
      <w:pPr>
        <w:adjustRightInd/>
        <w:spacing w:line="360" w:lineRule="auto"/>
        <w:jc w:val="center"/>
        <w:outlineLvl w:val="0"/>
        <w:rPr>
          <w:rFonts w:hint="eastAsia" w:ascii="仿宋" w:hAnsi="仿宋" w:eastAsia="仿宋" w:cs="仿宋"/>
          <w:b/>
          <w:color w:val="auto"/>
          <w:sz w:val="36"/>
          <w:szCs w:val="20"/>
          <w:highlight w:val="none"/>
        </w:rPr>
        <w:sectPr>
          <w:footerReference r:id="rId6" w:type="default"/>
          <w:pgSz w:w="11906" w:h="16839"/>
          <w:pgMar w:top="1417" w:right="1361" w:bottom="1417" w:left="1474" w:header="850" w:footer="850" w:gutter="0"/>
          <w:pgNumType w:fmt="decimal"/>
          <w:cols w:equalWidth="0" w:num="1">
            <w:col w:w="9438"/>
          </w:cols>
        </w:sectPr>
      </w:pP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u w:val="single"/>
          <w:lang w:eastAsia="zh-CN"/>
        </w:rPr>
        <w:t>绍兴市轨道交通2号线一期2024-2027年度保安、安检服务项目</w:t>
      </w:r>
      <w:r>
        <w:rPr>
          <w:rFonts w:hint="eastAsia" w:ascii="仿宋" w:hAnsi="仿宋" w:eastAsia="仿宋" w:cs="仿宋"/>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8"/>
          <w:rFonts w:hint="eastAsia" w:ascii="仿宋" w:hAnsi="仿宋" w:eastAsia="仿宋" w:cs="仿宋"/>
          <w:snapToGrid/>
          <w:color w:val="auto"/>
          <w:kern w:val="2"/>
          <w:sz w:val="24"/>
          <w:szCs w:val="24"/>
          <w:highlight w:val="none"/>
        </w:rPr>
        <w:t>https://www.lecaiyun.com/）获取（下载）招标文件，并于202</w:t>
      </w:r>
      <w:r>
        <w:rPr>
          <w:rStyle w:val="78"/>
          <w:rFonts w:hint="eastAsia" w:ascii="仿宋" w:hAnsi="仿宋" w:eastAsia="仿宋" w:cs="仿宋"/>
          <w:snapToGrid/>
          <w:color w:val="auto"/>
          <w:kern w:val="2"/>
          <w:sz w:val="24"/>
          <w:szCs w:val="24"/>
          <w:highlight w:val="none"/>
          <w:lang w:val="en-US" w:eastAsia="zh-CN"/>
        </w:rPr>
        <w:t>4</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5</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16</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09</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00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 xml:space="preserve">项目编号：CGSHZJ-2024-N000973 </w:t>
      </w:r>
    </w:p>
    <w:p>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绍兴市轨道交通2号线一期2024-2027年度保安、安检服务项目</w:t>
      </w:r>
    </w:p>
    <w:p>
      <w:pP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 xml:space="preserve">预算金额（元）： </w:t>
      </w:r>
      <w:r>
        <w:rPr>
          <w:rFonts w:hint="eastAsia" w:ascii="仿宋" w:hAnsi="仿宋" w:eastAsia="仿宋" w:cs="仿宋"/>
          <w:b/>
          <w:color w:val="auto"/>
          <w:sz w:val="24"/>
          <w:highlight w:val="none"/>
          <w:lang w:val="en-US" w:eastAsia="zh-CN"/>
        </w:rPr>
        <w:t>36691800元</w:t>
      </w:r>
    </w:p>
    <w:p>
      <w:pPr>
        <w:spacing w:line="440" w:lineRule="exact"/>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 xml:space="preserve">最高限价（元）： </w:t>
      </w:r>
      <w:r>
        <w:rPr>
          <w:rFonts w:hint="eastAsia" w:ascii="仿宋" w:hAnsi="仿宋" w:eastAsia="仿宋" w:cs="仿宋"/>
          <w:b/>
          <w:color w:val="auto"/>
          <w:sz w:val="24"/>
          <w:highlight w:val="none"/>
          <w:lang w:val="en-US" w:eastAsia="zh-CN"/>
        </w:rPr>
        <w:t>36691800元</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宋体" w:hAnsi="宋体" w:cs="宋体"/>
          <w:b w:val="0"/>
          <w:bCs/>
          <w:color w:val="auto"/>
          <w:sz w:val="24"/>
          <w:highlight w:val="none"/>
          <w:lang w:val="en-US" w:eastAsia="zh-CN"/>
        </w:rPr>
        <w:t>绍兴市轨道交通2号线一期2024-2027年度保安、安检服务项目</w:t>
      </w:r>
    </w:p>
    <w:p>
      <w:pPr>
        <w:spacing w:line="440" w:lineRule="exact"/>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绍兴轨道交通2号线一期9座车站、豆姜线上停检线、越兴路主变电所、万绣路车辆基地保安服务</w:t>
      </w:r>
      <w:r>
        <w:rPr>
          <w:rFonts w:hint="eastAsia" w:ascii="仿宋" w:hAnsi="仿宋" w:eastAsia="仿宋" w:cs="仿宋"/>
          <w:bCs/>
          <w:color w:val="auto"/>
          <w:sz w:val="24"/>
          <w:highlight w:val="none"/>
          <w:u w:val="single"/>
          <w:lang w:eastAsia="zh-CN"/>
        </w:rPr>
        <w:t>及</w:t>
      </w:r>
      <w:r>
        <w:rPr>
          <w:rFonts w:hint="eastAsia" w:ascii="仿宋" w:hAnsi="仿宋" w:eastAsia="仿宋" w:cs="仿宋"/>
          <w:bCs/>
          <w:color w:val="auto"/>
          <w:sz w:val="24"/>
          <w:highlight w:val="none"/>
          <w:u w:val="single"/>
          <w:lang w:val="en-US" w:eastAsia="zh-CN"/>
        </w:rPr>
        <w:t>9个车站的安检服务</w:t>
      </w:r>
      <w:r>
        <w:rPr>
          <w:rFonts w:hint="eastAsia" w:ascii="仿宋" w:hAnsi="仿宋" w:eastAsia="仿宋" w:cs="仿宋"/>
          <w:bCs/>
          <w:color w:val="auto"/>
          <w:sz w:val="24"/>
          <w:highlight w:val="none"/>
          <w:u w:val="single"/>
        </w:rPr>
        <w:t>。</w:t>
      </w:r>
      <w:r>
        <w:rPr>
          <w:rFonts w:hint="eastAsia" w:ascii="仿宋" w:hAnsi="仿宋" w:eastAsia="仿宋" w:cs="仿宋"/>
          <w:b/>
          <w:color w:val="auto"/>
          <w:sz w:val="24"/>
          <w:highlight w:val="none"/>
        </w:rPr>
        <w:t>详见招标文件。</w:t>
      </w:r>
    </w:p>
    <w:p>
      <w:pPr>
        <w:spacing w:line="440" w:lineRule="exact"/>
        <w:ind w:firstLine="482" w:firstLineChars="200"/>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详见招标文件</w:t>
      </w:r>
      <w:r>
        <w:rPr>
          <w:rFonts w:hint="eastAsia" w:ascii="仿宋" w:hAnsi="仿宋" w:eastAsia="仿宋" w:cs="仿宋"/>
          <w:b/>
          <w:color w:val="auto"/>
          <w:sz w:val="24"/>
          <w:highlight w:val="none"/>
          <w:lang w:eastAsia="zh-CN"/>
        </w:rPr>
        <w:t>。</w:t>
      </w:r>
    </w:p>
    <w:p>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rPr>
        <w:sym w:font="Wingdings 2" w:char="00A3"/>
      </w:r>
      <w:r>
        <w:rPr>
          <w:rFonts w:hint="eastAsia" w:ascii="仿宋" w:hAnsi="仿宋" w:eastAsia="仿宋" w:cs="仿宋"/>
          <w:b/>
          <w:color w:val="auto"/>
          <w:sz w:val="24"/>
          <w:highlight w:val="none"/>
        </w:rPr>
        <w:t>否。</w:t>
      </w:r>
    </w:p>
    <w:p>
      <w:pPr>
        <w:spacing w:line="440" w:lineRule="exac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trike/>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w:t>
      </w:r>
      <w:r>
        <w:rPr>
          <w:rFonts w:hint="eastAsia" w:ascii="仿宋" w:hAnsi="仿宋" w:eastAsia="仿宋" w:cs="仿宋"/>
          <w:strike w:val="0"/>
          <w:snapToGrid w:val="0"/>
          <w:color w:val="auto"/>
          <w:kern w:val="28"/>
          <w:sz w:val="24"/>
          <w:szCs w:val="20"/>
          <w:highlight w:val="none"/>
          <w:lang w:eastAsia="zh-CN"/>
        </w:rPr>
        <w:t>；</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3.落实采购政策需满足的资格要求：</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spacing w:line="440" w:lineRule="exact"/>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440" w:lineRule="exact"/>
        <w:ind w:firstLine="960" w:firstLineChars="4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pPr>
        <w:spacing w:line="440" w:lineRule="exact"/>
        <w:ind w:firstLine="480" w:firstLineChars="2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 xml:space="preserve">要求合同分包，提供分包意向协议和中小企业声明函，分包意向协议中中小企业合同金额应当达到% ，其中小微企业合同金额应当达到% </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投标人应具备公安机关核发的有效的保安服务许可证，且《保安服务许可证》服务范围须包括安全检查；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r>
        <w:rPr>
          <w:rFonts w:hint="eastAsia" w:ascii="仿宋" w:hAnsi="仿宋" w:eastAsia="仿宋" w:cs="仿宋"/>
          <w:color w:val="auto"/>
          <w:sz w:val="24"/>
          <w:highlight w:val="none"/>
        </w:rPr>
        <w:t>。</w:t>
      </w:r>
    </w:p>
    <w:p>
      <w:pPr>
        <w:spacing w:line="440" w:lineRule="exac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val="en-US"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乐采云平台（https://www.lecaiyun.com/）</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供应商登录乐采云平台https://www.lecaiyun.com/在线申请获取采购文件（进入“项目采购”应用，在获取采购文件菜单中选择项目，申请获取采购文件）。</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0</w:t>
      </w:r>
      <w:r>
        <w:rPr>
          <w:rFonts w:hint="eastAsia" w:ascii="仿宋" w:hAnsi="仿宋" w:eastAsia="仿宋" w:cs="仿宋"/>
          <w:color w:val="auto"/>
          <w:sz w:val="24"/>
          <w:highlight w:val="none"/>
        </w:rPr>
        <w:tab/>
      </w:r>
    </w:p>
    <w:p>
      <w:pPr>
        <w:spacing w:line="440" w:lineRule="exac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lang w:val="en-US"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乐采云平台（https://www.lecaiyun.com/） </w:t>
      </w:r>
    </w:p>
    <w:p>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lang w:val="en-US"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乐采云平台（https://www.lecaiyun.com/）</w:t>
      </w:r>
    </w:p>
    <w:p>
      <w:pPr>
        <w:spacing w:line="440" w:lineRule="exact"/>
        <w:outlineLvl w:val="1"/>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bookmarkStart w:id="163" w:name="_GoBack"/>
      <w:bookmarkEnd w:id="163"/>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乐采云-项目采购-询问质疑投诉-询问列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鼓励供应商在线提起质疑，路径为：乐采云-项目采购-询问质疑投诉-质疑列表。质疑供应商对在线质疑答复不满意的，可在线提起投诉，路径为：浙江政府服务网-政府采购投诉处理-在线办理。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采购政策：包括节约资源、保护环境、支持创新、促进中小企业发展等。详见招标文件的第二部分总则。（2）电子招投标的说明：①电子招投标：本项目以数据电文形式，依托“乐采云平台（www.lecaiyun.com）”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乐采云平台</w:t>
      </w:r>
      <w:r>
        <w:rPr>
          <w:rFonts w:hint="eastAsia" w:ascii="仿宋" w:hAnsi="仿宋" w:eastAsia="仿宋" w:cs="仿宋"/>
          <w:color w:val="auto"/>
          <w:sz w:val="24"/>
          <w:highlight w:val="none"/>
        </w:rPr>
        <w:t>；⑨投标文件的解密：</w:t>
      </w:r>
      <w:r>
        <w:rPr>
          <w:rFonts w:hint="eastAsia" w:ascii="仿宋" w:hAnsi="仿宋" w:eastAsia="仿宋" w:cs="仿宋_GB2312"/>
          <w:color w:val="auto"/>
          <w:sz w:val="24"/>
          <w:highlight w:val="none"/>
        </w:rPr>
        <w:t>投标人按照平台提示和招标文件的规定在半小时内完成在线解密。通过“乐采云平台”上传递交的投标文件无法按时解密</w:t>
      </w:r>
      <w:r>
        <w:rPr>
          <w:rFonts w:hint="eastAsia" w:ascii="仿宋" w:hAnsi="仿宋" w:eastAsia="仿宋" w:cs="仿宋_GB2312"/>
          <w:b/>
          <w:color w:val="auto"/>
          <w:sz w:val="24"/>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auto"/>
          <w:sz w:val="24"/>
          <w:highlight w:val="none"/>
        </w:rPr>
        <w:t>，视为投标文件撤回；</w:t>
      </w:r>
      <w:r>
        <w:rPr>
          <w:rFonts w:hint="eastAsia" w:ascii="仿宋" w:hAnsi="仿宋" w:eastAsia="仿宋" w:cs="仿宋"/>
          <w:color w:val="auto"/>
          <w:sz w:val="24"/>
          <w:highlight w:val="none"/>
        </w:rPr>
        <w:t>⑩具体操作指南：详见乐采云平台“服务中心-帮助文档-项目采购-</w:t>
      </w:r>
      <w:r>
        <w:rPr>
          <w:rFonts w:hint="eastAsia" w:ascii="仿宋" w:hAnsi="仿宋" w:eastAsia="仿宋" w:cs="仿宋"/>
          <w:color w:val="auto"/>
          <w:sz w:val="24"/>
          <w:highlight w:val="none"/>
        </w:rPr>
        <w:t>操作流程-电子招投标-政府采购项目电子交易管理操作指南-供应商”。（3）招标文件公告期限与招标公告的公告期限一致。</w:t>
      </w:r>
    </w:p>
    <w:p>
      <w:pPr>
        <w:spacing w:line="440" w:lineRule="exac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tabs>
          <w:tab w:val="left" w:pos="432"/>
        </w:tabs>
        <w:spacing w:line="440" w:lineRule="exact"/>
        <w:ind w:left="0" w:firstLine="482" w:firstLineChars="200"/>
        <w:outlineLvl w:val="9"/>
        <w:rPr>
          <w:rFonts w:ascii="仿宋" w:eastAsia="仿宋" w:cs="仿宋"/>
          <w:b/>
          <w:bCs/>
          <w:color w:val="auto"/>
          <w:sz w:val="24"/>
          <w:szCs w:val="24"/>
          <w:highlight w:val="none"/>
        </w:rPr>
      </w:pPr>
      <w:bookmarkStart w:id="5" w:name="_Toc28359019"/>
      <w:bookmarkStart w:id="6" w:name="_Toc35393806"/>
      <w:bookmarkStart w:id="7" w:name="_Toc35393637"/>
      <w:bookmarkStart w:id="8" w:name="_Toc28359096"/>
      <w:r>
        <w:rPr>
          <w:rFonts w:hint="eastAsia" w:ascii="仿宋" w:eastAsia="仿宋" w:cs="仿宋"/>
          <w:b/>
          <w:bCs/>
          <w:color w:val="auto"/>
          <w:sz w:val="24"/>
          <w:szCs w:val="24"/>
          <w:highlight w:val="none"/>
        </w:rPr>
        <w:t>1.采购人信息</w:t>
      </w:r>
      <w:bookmarkEnd w:id="5"/>
      <w:bookmarkEnd w:id="6"/>
      <w:bookmarkEnd w:id="7"/>
      <w:bookmarkEnd w:id="8"/>
      <w:r>
        <w:rPr>
          <w:rFonts w:hint="eastAsia" w:ascii="仿宋" w:eastAsia="仿宋" w:cs="仿宋"/>
          <w:b/>
          <w:bCs/>
          <w:color w:val="auto"/>
          <w:sz w:val="24"/>
          <w:szCs w:val="24"/>
          <w:highlight w:val="none"/>
        </w:rPr>
        <w:t>：</w:t>
      </w:r>
    </w:p>
    <w:p>
      <w:pPr>
        <w:spacing w:line="440" w:lineRule="exact"/>
        <w:ind w:firstLine="480" w:firstLineChars="200"/>
        <w:outlineLvl w:val="9"/>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称：绍兴市轨道交通集团有限公司</w:t>
      </w:r>
      <w:r>
        <w:rPr>
          <w:rFonts w:hint="eastAsia" w:ascii="仿宋" w:hAnsi="仿宋" w:eastAsia="仿宋" w:cs="仿宋"/>
          <w:color w:val="auto"/>
          <w:sz w:val="24"/>
          <w:highlight w:val="none"/>
          <w:lang w:val="en-US" w:eastAsia="zh-CN"/>
        </w:rPr>
        <w:t>运营分公司</w:t>
      </w:r>
    </w:p>
    <w:p>
      <w:pPr>
        <w:spacing w:line="440" w:lineRule="exact"/>
        <w:ind w:firstLine="480" w:firstLineChars="200"/>
        <w:outlineLvl w:val="9"/>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址：绍兴市越城区解放大道386号地铁大厦</w:t>
      </w:r>
    </w:p>
    <w:p>
      <w:pPr>
        <w:spacing w:line="440" w:lineRule="exact"/>
        <w:ind w:firstLine="480" w:firstLineChars="200"/>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spacing w:line="440" w:lineRule="exact"/>
        <w:ind w:firstLine="480" w:firstLineChars="200"/>
        <w:outlineLvl w:val="9"/>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项目联系人（询问）：杨申东</w:t>
      </w:r>
    </w:p>
    <w:p>
      <w:pPr>
        <w:spacing w:line="440" w:lineRule="exact"/>
        <w:ind w:firstLine="480" w:firstLineChars="200"/>
        <w:outlineLvl w:val="9"/>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项目联系方式（询问）：0575-88161103</w:t>
      </w:r>
    </w:p>
    <w:p>
      <w:pPr>
        <w:spacing w:line="440" w:lineRule="exact"/>
        <w:ind w:firstLine="480" w:firstLineChars="200"/>
        <w:outlineLvl w:val="9"/>
        <w:rPr>
          <w:rFonts w:ascii="仿宋" w:hAnsi="仿宋" w:eastAsia="仿宋" w:cs="仿宋"/>
          <w:color w:val="auto"/>
          <w:sz w:val="24"/>
          <w:highlight w:val="none"/>
        </w:rPr>
      </w:pPr>
      <w:r>
        <w:rPr>
          <w:rFonts w:hint="eastAsia" w:ascii="仿宋" w:hAnsi="仿宋" w:eastAsia="仿宋" w:cs="仿宋"/>
          <w:color w:val="auto"/>
          <w:sz w:val="24"/>
          <w:highlight w:val="none"/>
        </w:rPr>
        <w:t>质疑联系人：雷琼</w:t>
      </w:r>
    </w:p>
    <w:p>
      <w:pPr>
        <w:spacing w:line="440" w:lineRule="exact"/>
        <w:ind w:firstLine="480" w:firstLineChars="200"/>
        <w:outlineLvl w:val="9"/>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质疑联系方式：0575-88161101</w:t>
      </w:r>
    </w:p>
    <w:p>
      <w:pPr>
        <w:tabs>
          <w:tab w:val="left" w:pos="432"/>
        </w:tabs>
        <w:spacing w:line="440" w:lineRule="exact"/>
        <w:ind w:left="0" w:firstLine="482" w:firstLineChars="200"/>
        <w:outlineLvl w:val="9"/>
        <w:rPr>
          <w:rFonts w:ascii="仿宋" w:eastAsia="仿宋" w:cs="仿宋"/>
          <w:b/>
          <w:bCs/>
          <w:color w:val="auto"/>
          <w:sz w:val="24"/>
          <w:highlight w:val="none"/>
        </w:rPr>
      </w:pPr>
      <w:bookmarkStart w:id="9" w:name="_Toc28359097"/>
      <w:bookmarkStart w:id="10" w:name="_Toc28359020"/>
      <w:bookmarkStart w:id="11" w:name="_Toc35393807"/>
      <w:bookmarkStart w:id="12" w:name="_Toc35393638"/>
      <w:r>
        <w:rPr>
          <w:rFonts w:hint="eastAsia" w:ascii="仿宋" w:eastAsia="仿宋" w:cs="仿宋"/>
          <w:b/>
          <w:bCs/>
          <w:color w:val="auto"/>
          <w:sz w:val="24"/>
          <w:szCs w:val="24"/>
          <w:highlight w:val="none"/>
        </w:rPr>
        <w:t>2.采购代理机构信息</w:t>
      </w:r>
      <w:bookmarkEnd w:id="9"/>
      <w:bookmarkEnd w:id="10"/>
      <w:bookmarkEnd w:id="11"/>
      <w:bookmarkEnd w:id="12"/>
      <w:r>
        <w:rPr>
          <w:rFonts w:hint="eastAsia" w:ascii="仿宋" w:eastAsia="仿宋" w:cs="仿宋"/>
          <w:b/>
          <w:bCs/>
          <w:color w:val="auto"/>
          <w:sz w:val="24"/>
          <w:szCs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称：融华工程管理有限公司</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址：杭州市上城区九和路520号铁汇发展中心T4楼</w:t>
      </w:r>
    </w:p>
    <w:p>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项目联系人（询问）：潘志浩</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项目联系方式（询问）：15024384393</w:t>
      </w:r>
    </w:p>
    <w:p>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王其昂</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质疑联系方式：18257522324</w:t>
      </w:r>
    </w:p>
    <w:p>
      <w:pPr>
        <w:spacing w:line="440" w:lineRule="exact"/>
        <w:ind w:firstLine="482" w:firstLineChars="200"/>
        <w:rPr>
          <w:rFonts w:ascii="仿宋" w:hAnsi="仿宋" w:eastAsia="仿宋" w:cs="仿宋"/>
          <w:b/>
          <w:color w:val="auto"/>
          <w:sz w:val="24"/>
          <w:highlight w:val="none"/>
        </w:rPr>
      </w:pPr>
      <w:bookmarkStart w:id="13" w:name="_Toc28359098"/>
      <w:bookmarkStart w:id="14" w:name="_Toc28359021"/>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采购监督管理部门信息：</w:t>
      </w:r>
    </w:p>
    <w:bookmarkEnd w:id="13"/>
    <w:bookmarkEnd w:id="14"/>
    <w:bookmarkEnd w:id="15"/>
    <w:bookmarkEnd w:id="16"/>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称：绍兴市轨道交通集团有限公司</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址：绍兴市越城区解放大道386号地铁大厦</w:t>
      </w:r>
    </w:p>
    <w:p>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default" w:ascii="仿宋" w:hAnsi="仿宋" w:eastAsia="仿宋" w:cs="仿宋"/>
          <w:color w:val="auto"/>
          <w:sz w:val="24"/>
          <w:highlight w:val="none"/>
        </w:rPr>
        <w:t>王振炯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0575-88160051</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CA问题联系电话（人工）：汇信CA400-888-4636；天谷CA400-087-8198。</w:t>
      </w:r>
    </w:p>
    <w:p>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1"/>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textAlignment w:val="center"/>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pacing w:line="440" w:lineRule="exact"/>
              <w:ind w:firstLine="720" w:firstLineChars="300"/>
              <w:textAlignment w:val="center"/>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w:t>
            </w:r>
            <w:r>
              <w:rPr>
                <w:rFonts w:ascii="仿宋" w:hAnsi="仿宋" w:eastAsia="仿宋" w:cs="仿宋"/>
                <w:color w:val="auto"/>
                <w:sz w:val="24"/>
                <w:highlight w:val="none"/>
              </w:rPr>
              <w:t>地点</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，联系人</w:t>
            </w:r>
            <w:r>
              <w:rPr>
                <w:rFonts w:ascii="仿宋" w:hAnsi="仿宋" w:eastAsia="仿宋" w:cs="仿宋"/>
                <w:color w:val="auto"/>
                <w:sz w:val="24"/>
                <w:highlight w:val="none"/>
                <w:u w:val="single"/>
              </w:rPr>
              <w:t>：</w:t>
            </w:r>
            <w:r>
              <w:rPr>
                <w:rFonts w:ascii="仿宋" w:hAnsi="仿宋" w:eastAsia="仿宋" w:cs="仿宋"/>
                <w:color w:val="auto"/>
                <w:sz w:val="24"/>
                <w:highlight w:val="none"/>
              </w:rPr>
              <w:t>，联系方式</w:t>
            </w:r>
            <w:r>
              <w:rPr>
                <w:rFonts w:ascii="仿宋" w:hAnsi="仿宋" w:eastAsia="仿宋" w:cs="仿宋"/>
                <w:color w:val="auto"/>
                <w:sz w:val="24"/>
                <w:highlight w:val="none"/>
                <w:u w:val="single"/>
              </w:rPr>
              <w:t>：</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pPr>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pPr>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textAlignment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pPr>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pPr>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pPr>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ascii="仿宋" w:hAnsi="仿宋" w:eastAsia="仿宋" w:cs="仿宋"/>
                <w:color w:val="auto"/>
                <w:kern w:val="0"/>
                <w:sz w:val="24"/>
                <w:highlight w:val="none"/>
                <w:u w:val="single"/>
                <w:lang w:val="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40" w:lineRule="exact"/>
              <w:ind w:left="14" w:hanging="14" w:hangingChars="7"/>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w:t>
            </w:r>
            <w:r>
              <w:rPr>
                <w:rFonts w:hint="eastAsia" w:ascii="仿宋" w:hAnsi="仿宋" w:eastAsia="仿宋" w:cs="仿宋"/>
                <w:color w:val="auto"/>
                <w:sz w:val="24"/>
                <w:highlight w:val="none"/>
              </w:rPr>
              <w:t>。</w:t>
            </w:r>
          </w:p>
          <w:p>
            <w:pPr>
              <w:snapToGrid w:val="0"/>
              <w:spacing w:line="440" w:lineRule="exact"/>
              <w:textAlignment w:val="center"/>
              <w:rPr>
                <w:rFonts w:ascii="仿宋" w:hAnsi="仿宋" w:eastAsia="仿宋" w:cs="仿宋"/>
                <w:color w:val="auto"/>
                <w:sz w:val="24"/>
                <w:highlight w:val="none"/>
              </w:rPr>
            </w:pPr>
            <w:r>
              <w:rPr>
                <w:rFonts w:hint="eastAsia" w:ascii="宋体" w:hAnsi="宋体" w:cs="宋体"/>
                <w:b w:val="0"/>
                <w:bCs w:val="0"/>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spacing w:line="440" w:lineRule="exact"/>
              <w:ind w:hanging="1"/>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napToGrid w:val="0"/>
              <w:spacing w:line="440" w:lineRule="exact"/>
              <w:textAlignment w:val="center"/>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u w:val="single"/>
              </w:rPr>
              <w:t>01标</w:t>
            </w:r>
            <w:r>
              <w:rPr>
                <w:rFonts w:hint="eastAsia" w:ascii="仿宋" w:hAnsi="仿宋" w:eastAsia="仿宋" w:cs="仿宋"/>
                <w:color w:val="auto"/>
                <w:kern w:val="0"/>
                <w:sz w:val="24"/>
                <w:highlight w:val="none"/>
              </w:rPr>
              <w:t>，属于</w:t>
            </w:r>
            <w:r>
              <w:rPr>
                <w:rFonts w:hint="eastAsia" w:ascii="宋体" w:hAnsi="宋体" w:cs="宋体"/>
                <w:color w:val="auto"/>
                <w:kern w:val="0"/>
                <w:sz w:val="24"/>
                <w:highlight w:val="none"/>
                <w:u w:val="single"/>
              </w:rPr>
              <w:t>物业管理</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www.creditchina.gov.cn</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、中国政府采购网</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www.ccgp.gov.cn</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textAlignment w:val="center"/>
              <w:rPr>
                <w:rFonts w:ascii="仿宋" w:hAnsi="仿宋" w:eastAsia="仿宋" w:cs="仿宋"/>
                <w:color w:val="auto"/>
                <w:sz w:val="24"/>
                <w:highlight w:val="none"/>
              </w:rPr>
            </w:pPr>
          </w:p>
        </w:tc>
        <w:tc>
          <w:tcPr>
            <w:tcW w:w="855" w:type="dxa"/>
            <w:vMerge w:val="continue"/>
            <w:vAlign w:val="center"/>
          </w:tcPr>
          <w:p>
            <w:pPr>
              <w:snapToGrid w:val="0"/>
              <w:spacing w:line="440" w:lineRule="exact"/>
              <w:textAlignment w:val="center"/>
              <w:rPr>
                <w:rFonts w:ascii="仿宋" w:hAnsi="仿宋" w:eastAsia="仿宋" w:cs="仿宋"/>
                <w:b/>
                <w:color w:val="auto"/>
                <w:sz w:val="24"/>
                <w:highlight w:val="none"/>
              </w:rPr>
            </w:pPr>
          </w:p>
        </w:tc>
        <w:tc>
          <w:tcPr>
            <w:tcW w:w="7515" w:type="dxa"/>
            <w:vAlign w:val="center"/>
          </w:tcPr>
          <w:p>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textAlignment w:val="center"/>
              <w:rPr>
                <w:rFonts w:ascii="仿宋" w:hAnsi="仿宋" w:eastAsia="仿宋" w:cs="仿宋"/>
                <w:color w:val="auto"/>
                <w:sz w:val="24"/>
                <w:highlight w:val="none"/>
              </w:rPr>
            </w:pPr>
          </w:p>
        </w:tc>
        <w:tc>
          <w:tcPr>
            <w:tcW w:w="855" w:type="dxa"/>
            <w:vMerge w:val="continue"/>
            <w:vAlign w:val="center"/>
          </w:tcPr>
          <w:p>
            <w:pPr>
              <w:snapToGrid w:val="0"/>
              <w:spacing w:line="440" w:lineRule="exact"/>
              <w:textAlignment w:val="center"/>
              <w:rPr>
                <w:rFonts w:ascii="仿宋" w:hAnsi="仿宋" w:eastAsia="仿宋" w:cs="仿宋"/>
                <w:b/>
                <w:color w:val="auto"/>
                <w:sz w:val="24"/>
                <w:highlight w:val="none"/>
              </w:rPr>
            </w:pPr>
          </w:p>
        </w:tc>
        <w:tc>
          <w:tcPr>
            <w:tcW w:w="7515" w:type="dxa"/>
            <w:vAlign w:val="center"/>
          </w:tcPr>
          <w:p>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注：供应商CA相关操作可参考乐采云平台</w:t>
            </w:r>
            <w:r>
              <w:rPr>
                <w:rFonts w:hint="eastAsia" w:ascii="仿宋" w:hAnsi="仿宋" w:eastAsia="仿宋" w:cs="仿宋"/>
                <w:color w:val="auto"/>
                <w:highlight w:val="none"/>
              </w:rPr>
              <w:t>https://www.lecaiyun.com/</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3.1应按照本项目招标文件和乐采云平台的要求编制、加密传输投标文件。供应商在使用系统进行投标的过程中遇到涉及平台使用的任何问题，可致电乐采云平台技术支持热线咨询，联系方式：95763。</w:t>
            </w:r>
          </w:p>
          <w:p>
            <w:pPr>
              <w:snapToGrid w:val="0"/>
              <w:spacing w:line="440" w:lineRule="exact"/>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3.2投标人通过“乐采云”平台制作电子投标文件，投标文件制作详见“供应商-政府采购项目电子交易操作指南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p>
          <w:p>
            <w:pPr>
              <w:snapToGrid w:val="0"/>
              <w:spacing w:line="440" w:lineRule="exact"/>
              <w:jc w:val="left"/>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3.3开标时间后30分钟内供应商可以登录“乐采云”平台，用“项目采购-开标评标”功能进行解密投标文件。若供应商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p>
            <w:pPr>
              <w:spacing w:line="440" w:lineRule="exact"/>
              <w:jc w:val="left"/>
              <w:textAlignment w:val="center"/>
              <w:rPr>
                <w:rFonts w:hint="default" w:eastAsia="仿宋"/>
                <w:color w:val="auto"/>
                <w:highlight w:val="none"/>
                <w:lang w:val="en-US" w:eastAsia="zh-CN"/>
              </w:rPr>
            </w:pPr>
            <w:r>
              <w:rPr>
                <w:rFonts w:hint="eastAsia" w:ascii="仿宋" w:hAnsi="仿宋" w:eastAsia="仿宋" w:cs="仿宋"/>
                <w:color w:val="auto"/>
                <w:sz w:val="24"/>
                <w:highlight w:val="none"/>
                <w:lang w:val="en-US" w:eastAsia="zh-CN"/>
              </w:rPr>
              <w:t>4.中标后需按采购人要求提交纸质投标文件。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pP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textAlignment w:val="center"/>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textAlignment w:val="center"/>
              <w:rPr>
                <w:rFonts w:ascii="仿宋" w:hAnsi="仿宋" w:eastAsia="仿宋" w:cs="仿宋"/>
                <w:color w:val="auto"/>
                <w:sz w:val="24"/>
                <w:highlight w:val="none"/>
              </w:rPr>
            </w:pPr>
          </w:p>
        </w:tc>
        <w:tc>
          <w:tcPr>
            <w:tcW w:w="8370" w:type="dxa"/>
            <w:gridSpan w:val="2"/>
            <w:vAlign w:val="center"/>
          </w:tcPr>
          <w:p>
            <w:pPr>
              <w:spacing w:line="440" w:lineRule="exact"/>
              <w:textAlignment w:val="center"/>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val="en-US" w:eastAsia="zh-CN"/>
              </w:rPr>
              <w:t>投标人</w:t>
            </w:r>
            <w:r>
              <w:rPr>
                <w:rFonts w:hint="eastAsia" w:ascii="仿宋" w:hAnsi="仿宋" w:eastAsia="仿宋" w:cs="仿宋"/>
                <w:snapToGrid w:val="0"/>
                <w:color w:val="auto"/>
                <w:kern w:val="28"/>
                <w:sz w:val="24"/>
                <w:highlight w:val="none"/>
                <w:lang w:eastAsia="zh-CN"/>
              </w:rPr>
              <w:t>需支付采购代理服务费，并在投标报价中自行考虑</w:t>
            </w:r>
          </w:p>
          <w:p>
            <w:p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eastAsia="zh-CN"/>
              </w:rPr>
              <w:t>①以中标通知书中确定的</w:t>
            </w:r>
            <w:r>
              <w:rPr>
                <w:rFonts w:hint="eastAsia" w:ascii="仿宋" w:hAnsi="仿宋" w:eastAsia="仿宋" w:cs="仿宋"/>
                <w:snapToGrid w:val="0"/>
                <w:color w:val="auto"/>
                <w:kern w:val="28"/>
                <w:sz w:val="24"/>
                <w:highlight w:val="none"/>
                <w:lang w:eastAsia="zh-CN"/>
              </w:rPr>
              <w:t>中标金额</w:t>
            </w:r>
            <w:r>
              <w:rPr>
                <w:rFonts w:hint="eastAsia" w:ascii="仿宋" w:hAnsi="仿宋" w:eastAsia="仿宋" w:cs="仿宋"/>
                <w:snapToGrid w:val="0"/>
                <w:color w:val="auto"/>
                <w:kern w:val="28"/>
                <w:sz w:val="24"/>
                <w:highlight w:val="none"/>
                <w:lang w:eastAsia="zh-CN"/>
              </w:rPr>
              <w:t>作为采购代理服务费的计算基数，具体比例参照《国家计委关于印发&lt;招标代理服务收费管理暂行办法&gt;的通知》（计价格[2002]1980号）规定的标准×78.4%执行。</w:t>
            </w:r>
          </w:p>
          <w:p>
            <w:p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eastAsia="zh-CN"/>
              </w:rPr>
              <w:t>②交纳方式：</w:t>
            </w:r>
          </w:p>
          <w:p>
            <w:p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eastAsia="zh-CN"/>
              </w:rPr>
              <w:t>用银行支票、汇票、电汇、现金等付款方式直接交纳。</w:t>
            </w:r>
          </w:p>
          <w:p>
            <w:p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eastAsia="zh-CN"/>
              </w:rPr>
              <w:t>公司名称：融华工程管理有限公司绍兴分公司</w:t>
            </w:r>
          </w:p>
          <w:p>
            <w:p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eastAsia="zh-CN"/>
              </w:rPr>
              <w:t>开户行：绍兴银行股份有限公司望花支行</w:t>
            </w:r>
          </w:p>
          <w:p>
            <w:p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eastAsia="zh-CN"/>
              </w:rPr>
              <w:t>账  号：2107718232000011</w:t>
            </w:r>
          </w:p>
          <w:p>
            <w:pPr>
              <w:spacing w:line="440" w:lineRule="exact"/>
              <w:textAlignment w:val="center"/>
              <w:rPr>
                <w:rFonts w:ascii="仿宋" w:hAnsi="仿宋" w:eastAsia="仿宋" w:cs="仿宋"/>
                <w:color w:val="auto"/>
                <w:highlight w:val="none"/>
              </w:rPr>
            </w:pPr>
            <w:r>
              <w:rPr>
                <w:rFonts w:hint="eastAsia" w:ascii="仿宋" w:hAnsi="仿宋" w:eastAsia="仿宋" w:cs="仿宋"/>
                <w:snapToGrid w:val="0"/>
                <w:color w:val="auto"/>
                <w:kern w:val="28"/>
                <w:sz w:val="24"/>
                <w:highlight w:val="none"/>
                <w:lang w:eastAsia="zh-CN"/>
              </w:rPr>
              <w:t>③交纳时间：领取中标通知书前交纳。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rPr>
          <w:rFonts w:hint="eastAsia" w:ascii="仿宋" w:hAnsi="仿宋" w:eastAsia="仿宋" w:cs="仿宋"/>
          <w:b/>
          <w:color w:val="auto"/>
          <w:sz w:val="32"/>
          <w:szCs w:val="32"/>
          <w:highlight w:val="none"/>
        </w:rPr>
      </w:pPr>
      <w:bookmarkStart w:id="17" w:name="_Toc164416483"/>
      <w:bookmarkStart w:id="18" w:name="第三部分"/>
      <w:r>
        <w:rPr>
          <w:rFonts w:hint="eastAsia" w:ascii="仿宋" w:hAnsi="仿宋" w:eastAsia="仿宋" w:cs="仿宋"/>
          <w:b/>
          <w:color w:val="auto"/>
          <w:sz w:val="32"/>
          <w:szCs w:val="32"/>
          <w:highlight w:val="none"/>
        </w:rPr>
        <w:br w:type="page"/>
      </w:r>
    </w:p>
    <w:p>
      <w:pPr>
        <w:adjustRightInd/>
        <w:spacing w:line="440" w:lineRule="exact"/>
        <w:jc w:val="center"/>
        <w:outlineLvl w:val="1"/>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snapToGrid w:val="0"/>
        <w:spacing w:line="440" w:lineRule="exact"/>
        <w:jc w:val="left"/>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9"/>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w:t>
      </w:r>
      <w:r>
        <w:rPr>
          <w:rFonts w:ascii="仿宋" w:hAnsi="仿宋" w:eastAsia="仿宋" w:cs="仿宋"/>
          <w:color w:val="auto"/>
          <w:sz w:val="24"/>
          <w:highlight w:val="none"/>
        </w:rPr>
        <w:t>系指</w:t>
      </w:r>
      <w:r>
        <w:rPr>
          <w:rFonts w:hint="eastAsia" w:ascii="仿宋" w:hAnsi="仿宋" w:eastAsia="仿宋" w:cs="仿宋"/>
          <w:color w:val="auto"/>
          <w:sz w:val="24"/>
          <w:highlight w:val="none"/>
        </w:rPr>
        <w:t>招标公告中载明的本项目的</w:t>
      </w:r>
      <w:r>
        <w:rPr>
          <w:rFonts w:ascii="仿宋" w:hAnsi="仿宋" w:eastAsia="仿宋" w:cs="仿宋"/>
          <w:color w:val="auto"/>
          <w:sz w:val="24"/>
          <w:highlight w:val="none"/>
        </w:rPr>
        <w:t>监督管理部门</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2.7“电子交易平台”系指本项目采购活动所依托的乐采云平台（https://www.lecaiyun.com/）。</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
      </w:pPr>
      <w:r>
        <w:rPr>
          <w:rFonts w:hint="eastAsia"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w:t>
      </w:r>
      <w:r>
        <w:rPr>
          <w:rFonts w:hint="eastAsia" w:ascii="仿宋" w:hAnsi="仿宋" w:eastAsia="仿宋" w:cs="仿宋"/>
          <w:color w:val="auto"/>
          <w:sz w:val="24"/>
          <w:highlight w:val="none"/>
        </w:rPr>
        <w:t>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w:t>
      </w:r>
      <w:r>
        <w:rPr>
          <w:rFonts w:hint="eastAsia" w:ascii="仿宋_GB2312" w:hAnsi="仿宋" w:eastAsia="仿宋_GB2312"/>
          <w:color w:val="auto"/>
          <w:sz w:val="24"/>
          <w:highlight w:val="none"/>
        </w:rPr>
        <w:t>件，并对所提供的全部资料的真实性承担法律责任。</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rPr>
        <w:t>其投标无效，并报监管部门查处；中标后发现的</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rPr>
        <w:t>中标人须依照《中华人民共和国消费者权益保护法》规定赔偿采购人，且民事赔偿并不免除违法供应商的行政与刑事责任。</w:t>
      </w:r>
    </w:p>
    <w:p>
      <w:pPr>
        <w:pStyle w:val="2"/>
        <w:rPr>
          <w:color w:val="auto"/>
          <w:highlight w:val="none"/>
        </w:rPr>
      </w:pPr>
    </w:p>
    <w:p>
      <w:pPr>
        <w:adjustRightInd/>
        <w:spacing w:line="360" w:lineRule="auto"/>
        <w:jc w:val="center"/>
        <w:outlineLvl w:val="1"/>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pPr>
        <w:pStyle w:val="26"/>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包括电报、电传、传真、电子数据交换和电子邮件）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
        <w:rPr>
          <w:color w:val="auto"/>
          <w:highlight w:val="none"/>
        </w:rPr>
      </w:pPr>
    </w:p>
    <w:p>
      <w:pPr>
        <w:adjustRightInd/>
        <w:spacing w:line="360" w:lineRule="auto"/>
        <w:jc w:val="center"/>
        <w:outlineLvl w:val="1"/>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1.5.1投标文件为电子投标文件，电子投标文件按“乐采云供应商项目采购-电子招投标操作指南”及本招标文件要求制作、加密传输。</w:t>
      </w:r>
    </w:p>
    <w:p>
      <w:pPr>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1.5.2投标文件的效力：</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投标文件未在投标截止时间前完成传输的，视为投标文件撤回；投标文件未按时解密，亦视为投标文件撤回。</w:t>
      </w:r>
    </w:p>
    <w:p>
      <w:pPr>
        <w:pStyle w:val="34"/>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2.1.1符合参加采购活动应当具备的一般条件的承诺函；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2.1.4落实采购政策需满足的资格要求（如果有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但不限于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以下内容：组织机构、工作时间进度表、工作程序和步骤、管理和协调方法、关键步骤的思路和要点。</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绍兴</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售后服务机构及人员情况等。供应商应以书面形式完整准确地表述售后服务承诺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范围、标准及期限等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、供应商可能增加的服务承诺等。并明示服务承诺可能涉及的前提设定和费用，否则将被认为是无条件和免费的。承诺质保期内均提供免费上门服务。</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包括从事相关项目的经验，对每一个项目有一个简要的描述，该人员参与的时间以及在项目中的责任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，资质情况等。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pPr>
        <w:snapToGrid w:val="0"/>
        <w:spacing w:line="440" w:lineRule="exact"/>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440" w:lineRule="exact"/>
        <w:ind w:firstLine="720" w:firstLineChars="300"/>
        <w:rPr>
          <w:color w:val="auto"/>
          <w:highlight w:val="none"/>
          <w:lang w:val="zh-CN"/>
        </w:rPr>
      </w:pPr>
      <w:r>
        <w:rPr>
          <w:rFonts w:hint="eastAsia" w:ascii="仿宋" w:hAnsi="仿宋" w:eastAsia="仿宋" w:cs="仿宋"/>
          <w:color w:val="auto"/>
          <w:sz w:val="24"/>
          <w:highlight w:val="none"/>
        </w:rPr>
        <w:t>2.2.19投标人需要说明的其他文件和说明（格式自拟）。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62"/>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w:t>
      </w:r>
      <w:r>
        <w:rPr>
          <w:rFonts w:hint="eastAsia" w:ascii="仿宋" w:hAnsi="仿宋" w:eastAsia="仿宋" w:cs="仿宋"/>
          <w:color w:val="auto"/>
          <w:highlight w:val="none"/>
        </w:rPr>
        <w:t>1开标一览表（报价表）；</w:t>
      </w:r>
    </w:p>
    <w:p>
      <w:pPr>
        <w:pStyle w:val="62"/>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w:t>
      </w:r>
      <w:r>
        <w:rPr>
          <w:rFonts w:hint="eastAsia" w:ascii="仿宋" w:hAnsi="仿宋" w:eastAsia="仿宋" w:cs="仿宋"/>
          <w:color w:val="auto"/>
          <w:highlight w:val="none"/>
          <w:lang w:val="en-US"/>
        </w:rPr>
        <w:t>2</w:t>
      </w:r>
      <w:r>
        <w:rPr>
          <w:rFonts w:hint="eastAsia" w:ascii="仿宋" w:hAnsi="仿宋" w:eastAsia="仿宋" w:cs="仿宋"/>
          <w:color w:val="auto"/>
          <w:highlight w:val="none"/>
        </w:rPr>
        <w:t>中小企业声明函（如有）；</w:t>
      </w:r>
    </w:p>
    <w:p>
      <w:pPr>
        <w:pStyle w:val="62"/>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w:t>
      </w:r>
      <w:r>
        <w:rPr>
          <w:rFonts w:hint="eastAsia" w:ascii="仿宋" w:hAnsi="仿宋" w:eastAsia="仿宋" w:cs="仿宋"/>
          <w:color w:val="auto"/>
          <w:highlight w:val="none"/>
          <w:lang w:val="en-US"/>
        </w:rPr>
        <w:t>3</w:t>
      </w:r>
      <w:r>
        <w:rPr>
          <w:rFonts w:hint="eastAsia" w:ascii="仿宋" w:hAnsi="仿宋" w:eastAsia="仿宋" w:cs="仿宋"/>
          <w:color w:val="auto"/>
          <w:highlight w:val="none"/>
        </w:rPr>
        <w:t>残疾人福利性单位声明函（如有）。</w:t>
      </w:r>
    </w:p>
    <w:p>
      <w:pPr>
        <w:pStyle w:val="62"/>
        <w:autoSpaceDE/>
        <w:autoSpaceDN/>
        <w:snapToGrid w:val="0"/>
        <w:spacing w:line="440" w:lineRule="exact"/>
        <w:ind w:firstLine="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pPr>
        <w:pStyle w:val="62"/>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pPr>
        <w:pStyle w:val="62"/>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3.2报</w:t>
      </w:r>
      <w:r>
        <w:rPr>
          <w:rFonts w:hint="eastAsia" w:ascii="仿宋" w:hAnsi="仿宋" w:eastAsia="仿宋" w:cs="仿宋"/>
          <w:color w:val="auto"/>
          <w:highlight w:val="none"/>
          <w:lang w:val="en-US"/>
        </w:rPr>
        <w:t>报价为采购人可以合格使用产品的价格，包括货款、包装、运输、保险、货到就位以及安装、调试、培训、保修及产品知识产权等一切费用。</w:t>
      </w:r>
    </w:p>
    <w:p>
      <w:pPr>
        <w:pStyle w:val="62"/>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pPr>
        <w:pStyle w:val="62"/>
        <w:autoSpaceDE/>
        <w:autoSpaceDN/>
        <w:snapToGrid w:val="0"/>
        <w:spacing w:line="440" w:lineRule="exact"/>
        <w:ind w:firstLine="723" w:firstLineChars="300"/>
        <w:rPr>
          <w:rFonts w:ascii="仿宋" w:hAnsi="仿宋" w:eastAsia="仿宋" w:cs="仿宋"/>
          <w:b/>
          <w:bCs/>
          <w:color w:val="auto"/>
          <w:highlight w:val="none"/>
          <w:lang w:val="en-US"/>
        </w:rPr>
      </w:pPr>
      <w:r>
        <w:rPr>
          <w:rFonts w:ascii="仿宋" w:hAnsi="仿宋" w:eastAsia="仿宋" w:cs="仿宋"/>
          <w:b/>
          <w:bCs/>
          <w:color w:val="auto"/>
          <w:highlight w:val="none"/>
          <w:lang w:val="en-US"/>
        </w:rPr>
        <w:t>3.4投标报价只允许有一个报价，有选择的报价将不予接受（除指定外）。</w:t>
      </w:r>
    </w:p>
    <w:p>
      <w:pPr>
        <w:pStyle w:val="62"/>
        <w:autoSpaceDE/>
        <w:autoSpaceDN/>
        <w:snapToGrid w:val="0"/>
        <w:spacing w:line="440" w:lineRule="exact"/>
        <w:ind w:firstLine="0" w:firstLineChars="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.3使用“乐采云电子交易客户端”需要提前申领CA数字证书，申领流程请自行前往“浙江政府采购网-下载专区-电子交易客户端-CA驱动和申领流程”进行查阅。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pStyle w:val="130"/>
        <w:spacing w:before="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spacing w:before="0" w:line="440" w:lineRule="exact"/>
        <w:ind w:firstLine="480"/>
        <w:rPr>
          <w:rFonts w:ascii="仿宋" w:hAnsi="仿宋" w:eastAsia="仿宋" w:cs="仿宋"/>
          <w:color w:val="auto"/>
          <w:szCs w:val="24"/>
          <w:highlight w:val="none"/>
        </w:rPr>
      </w:pPr>
    </w:p>
    <w:p>
      <w:pPr>
        <w:spacing w:line="360" w:lineRule="auto"/>
        <w:jc w:val="center"/>
        <w:outlineLvl w:val="1"/>
        <w:rPr>
          <w:rFonts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1.2投标人登录乐采云平台，用“项目采购-开标评标”功能对电子投标文件进行在线解密。在线解密电子投标文件时间为开标时间起30分钟内。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u w:val="single"/>
          <w:lang w:val="en-US" w:eastAsia="zh-CN"/>
        </w:rPr>
        <w:t>七</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rPr>
        <w:t>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6.2在评审过程中，评标委员会可以书面形式要求投标人就投标文件含义不明确的内容可对其通过乐采云平台进行书面说明并提供相关材料，但不得超过投标文件的范围或者改变投标文件的实质性内容。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6.4在评审过程中，如属于实质性偏离或符合无效响应条件的，应当询问相关投标人，并可对其通过乐采云平台进行线上确认，但不允许对偏离条款进行补充、修正或撤回。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w:t>
      </w:r>
      <w:r>
        <w:rPr>
          <w:rFonts w:hint="eastAsia" w:ascii="仿宋" w:hAnsi="仿宋" w:eastAsia="仿宋" w:cs="仿宋"/>
          <w:b/>
          <w:strike w:val="0"/>
          <w:color w:val="auto"/>
          <w:sz w:val="24"/>
          <w:highlight w:val="none"/>
        </w:rPr>
        <w:t>《法定代表人身份证明书》</w:t>
      </w:r>
      <w:r>
        <w:rPr>
          <w:rFonts w:hint="eastAsia" w:ascii="仿宋" w:hAnsi="仿宋" w:eastAsia="仿宋" w:cs="仿宋"/>
          <w:b/>
          <w:color w:val="auto"/>
          <w:sz w:val="24"/>
          <w:highlight w:val="none"/>
        </w:rPr>
        <w:t>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w:t>
      </w:r>
      <w:r>
        <w:rPr>
          <w:rFonts w:hint="eastAsia" w:ascii="仿宋" w:hAnsi="仿宋" w:eastAsia="仿宋" w:cs="仿宋"/>
          <w:b/>
          <w:strike w:val="0"/>
          <w:color w:val="auto"/>
          <w:sz w:val="24"/>
          <w:highlight w:val="none"/>
        </w:rPr>
        <w:t>《法定代表人身份证明书》</w:t>
      </w:r>
      <w:r>
        <w:rPr>
          <w:rFonts w:hint="eastAsia" w:ascii="仿宋" w:hAnsi="仿宋" w:eastAsia="仿宋" w:cs="仿宋"/>
          <w:b/>
          <w:color w:val="auto"/>
          <w:sz w:val="24"/>
          <w:highlight w:val="none"/>
        </w:rPr>
        <w:t>填写不全、错误、未电子签章</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服务</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内的主要产品</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重要组成部分</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highlight w:val="none"/>
          <w:lang w:eastAsia="zh-CN"/>
        </w:rPr>
        <w:t>；</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
        <w:rPr>
          <w:color w:val="auto"/>
          <w:highlight w:val="none"/>
        </w:rPr>
      </w:pPr>
    </w:p>
    <w:bookmarkEnd w:id="19"/>
    <w:p>
      <w:pPr>
        <w:pStyle w:val="34"/>
        <w:spacing w:line="360" w:lineRule="auto"/>
        <w:ind w:firstLine="726"/>
        <w:jc w:val="center"/>
        <w:outlineLvl w:val="1"/>
        <w:rPr>
          <w:rFonts w:ascii="仿宋" w:hAnsi="仿宋" w:eastAsia="仿宋" w:cs="仿宋"/>
          <w:b/>
          <w:color w:val="auto"/>
          <w:sz w:val="32"/>
          <w:szCs w:val="32"/>
          <w:highlight w:val="none"/>
        </w:rPr>
      </w:pPr>
      <w:bookmarkStart w:id="20" w:name="_Hlt68057669"/>
      <w:bookmarkEnd w:id="20"/>
      <w:bookmarkStart w:id="21" w:name="_Hlt74730295"/>
      <w:bookmarkEnd w:id="21"/>
      <w:bookmarkStart w:id="22" w:name="_Hlt68403820"/>
      <w:bookmarkEnd w:id="22"/>
      <w:bookmarkStart w:id="23" w:name="_Hlt74714665"/>
      <w:bookmarkEnd w:id="23"/>
      <w:bookmarkStart w:id="24" w:name="_Hlt68073093"/>
      <w:bookmarkEnd w:id="24"/>
      <w:bookmarkStart w:id="25" w:name="_Hlt75236290"/>
      <w:bookmarkEnd w:id="25"/>
      <w:bookmarkStart w:id="26" w:name="_Hlt74729768"/>
      <w:bookmarkEnd w:id="26"/>
      <w:bookmarkStart w:id="27" w:name="_Hlt75236101"/>
      <w:bookmarkEnd w:id="27"/>
      <w:bookmarkStart w:id="28" w:name="_Hlt68072990"/>
      <w:bookmarkEnd w:id="28"/>
      <w:bookmarkStart w:id="29" w:name="_Hlt74707468"/>
      <w:bookmarkEnd w:id="29"/>
      <w:bookmarkStart w:id="30" w:name="_Hlt75236011"/>
      <w:bookmarkEnd w:id="30"/>
      <w:bookmarkStart w:id="31" w:name="_Hlt68072998"/>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6"/>
        <w:tabs>
          <w:tab w:val="clear" w:pos="390"/>
          <w:tab w:val="clear" w:pos="454"/>
        </w:tabs>
        <w:spacing w:afterLines="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w:t>
      </w:r>
      <w:r>
        <w:rPr>
          <w:rFonts w:hint="eastAsia" w:ascii="仿宋" w:hAnsi="仿宋" w:eastAsia="仿宋" w:cs="仿宋"/>
          <w:b/>
          <w:color w:val="auto"/>
          <w:sz w:val="24"/>
          <w:highlight w:val="none"/>
        </w:rPr>
        <w:t>．</w:t>
      </w:r>
      <w:r>
        <w:rPr>
          <w:rFonts w:hint="eastAsia" w:ascii="仿宋" w:hAnsi="仿宋" w:eastAsia="仿宋" w:cs="仿宋"/>
          <w:b/>
          <w:color w:val="auto"/>
          <w:szCs w:val="24"/>
          <w:highlight w:val="none"/>
        </w:rPr>
        <w:t>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r>
        <w:rPr>
          <w:rFonts w:hint="eastAsia" w:ascii="仿宋" w:hAnsi="仿宋" w:eastAsia="仿宋" w:cs="仿宋"/>
          <w:color w:val="auto"/>
          <w:sz w:val="24"/>
          <w:highlight w:val="none"/>
          <w:lang w:eastAsia="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3.2采购机构通过乐采云平台向中标供应商签发中标通知书。在采购代理机构发出中标通知书前，中标供应商如有违反有关法律法规和本项目要求行为的，则取消该投标人的中标资格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w:t>
      </w:r>
      <w:r>
        <w:rPr>
          <w:rFonts w:hint="eastAsia" w:ascii="仿宋" w:hAnsi="仿宋" w:eastAsia="仿宋" w:cs="仿宋"/>
          <w:strike w:val="0"/>
          <w:color w:val="auto"/>
          <w:sz w:val="24"/>
          <w:highlight w:val="none"/>
        </w:rPr>
        <w:t>、保险公司</w:t>
      </w:r>
      <w:r>
        <w:rPr>
          <w:rFonts w:hint="eastAsia" w:ascii="仿宋" w:hAnsi="仿宋" w:eastAsia="仿宋" w:cs="仿宋"/>
          <w:color w:val="auto"/>
          <w:sz w:val="24"/>
          <w:highlight w:val="none"/>
        </w:rPr>
        <w:t>出具保函形式提交履约保证金的，采购人不得拒收。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336" w:lineRule="auto"/>
        <w:jc w:val="center"/>
        <w:outlineLvl w:val="1"/>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440" w:lineRule="exact"/>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pP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4.4以联合体形式参加采购活动的，其投诉应当由组成联合体的所有供应商共同提出。</w:t>
      </w:r>
    </w:p>
    <w:p>
      <w:pPr>
        <w:snapToGrid w:val="0"/>
        <w:spacing w:line="440" w:lineRule="exact"/>
        <w:jc w:val="left"/>
        <w:outlineLvl w:val="9"/>
        <w:rPr>
          <w:rFonts w:ascii="仿宋" w:hAnsi="仿宋" w:eastAsia="仿宋" w:cs="仿宋"/>
          <w:b/>
          <w:bCs/>
          <w:color w:val="auto"/>
          <w:sz w:val="24"/>
          <w:szCs w:val="20"/>
          <w:highlight w:val="none"/>
        </w:rPr>
      </w:pPr>
      <w:r>
        <w:rPr>
          <w:rFonts w:ascii="仿宋" w:hAnsi="仿宋" w:eastAsia="仿宋" w:cs="仿宋"/>
          <w:b/>
          <w:bCs/>
          <w:color w:val="auto"/>
          <w:sz w:val="24"/>
          <w:szCs w:val="20"/>
          <w:highlight w:val="none"/>
        </w:rPr>
        <w:t>投诉书范本及制作说明详见附件2。</w:t>
      </w:r>
      <w:bookmarkEnd w:id="17"/>
      <w:bookmarkEnd w:id="18"/>
      <w:bookmarkStart w:id="35" w:name="第四部分"/>
    </w:p>
    <w:p>
      <w:pPr>
        <w:rPr>
          <w:rFonts w:ascii="仿宋" w:hAnsi="仿宋" w:eastAsia="仿宋" w:cs="仿宋"/>
          <w:b/>
          <w:bCs/>
          <w:color w:val="auto"/>
          <w:sz w:val="24"/>
          <w:szCs w:val="20"/>
          <w:highlight w:val="none"/>
        </w:rPr>
      </w:pPr>
      <w:r>
        <w:rPr>
          <w:rFonts w:ascii="仿宋" w:hAnsi="仿宋" w:eastAsia="仿宋" w:cs="仿宋"/>
          <w:b/>
          <w:bCs/>
          <w:color w:val="auto"/>
          <w:sz w:val="24"/>
          <w:szCs w:val="20"/>
          <w:highlight w:val="none"/>
        </w:rPr>
        <w:br w:type="page"/>
      </w:r>
    </w:p>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第三部分 招标项目范围及要求</w:t>
      </w:r>
    </w:p>
    <w:bookmarkEnd w:id="35"/>
    <w:p>
      <w:pPr>
        <w:pStyle w:val="5"/>
        <w:pageBreakBefore w:val="0"/>
        <w:kinsoku/>
        <w:wordWrap/>
        <w:overflowPunct/>
        <w:topLinePunct w:val="0"/>
        <w:autoSpaceDE/>
        <w:autoSpaceDN/>
        <w:bidi w:val="0"/>
        <w:snapToGrid w:val="0"/>
        <w:spacing w:before="0" w:line="440" w:lineRule="exact"/>
        <w:ind w:left="0" w:firstLine="0" w:firstLineChars="0"/>
        <w:textAlignment w:val="baseline"/>
        <w:rPr>
          <w:rFonts w:hint="eastAsia" w:ascii="仿宋_GB2312" w:hAnsi="仿宋_GB2312" w:eastAsia="仿宋_GB2312" w:cs="仿宋_GB2312"/>
          <w:color w:val="auto"/>
          <w:sz w:val="24"/>
          <w:szCs w:val="24"/>
          <w:highlight w:val="none"/>
        </w:rPr>
      </w:pPr>
      <w:bookmarkStart w:id="36" w:name="第五部分"/>
      <w:bookmarkStart w:id="37" w:name="_Toc86217003"/>
      <w:r>
        <w:rPr>
          <w:rFonts w:hint="eastAsia" w:ascii="仿宋_GB2312" w:hAnsi="仿宋_GB2312" w:eastAsia="仿宋_GB2312" w:cs="仿宋_GB2312"/>
          <w:color w:val="auto"/>
          <w:sz w:val="24"/>
          <w:szCs w:val="24"/>
          <w:highlight w:val="none"/>
        </w:rPr>
        <w:t>一、项目概述</w:t>
      </w:r>
    </w:p>
    <w:p>
      <w:pPr>
        <w:pStyle w:val="34"/>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绍兴轨道交通2号线一期起点</w:t>
      </w:r>
      <w:r>
        <w:rPr>
          <w:rFonts w:hint="eastAsia" w:ascii="仿宋_GB2312" w:hAnsi="仿宋_GB2312" w:eastAsia="仿宋_GB2312" w:cs="仿宋_GB2312"/>
          <w:color w:val="auto"/>
          <w:sz w:val="24"/>
          <w:szCs w:val="24"/>
          <w:highlight w:val="none"/>
          <w:lang w:val="en-US" w:eastAsia="zh-CN"/>
        </w:rPr>
        <w:t>镜湖医院站</w:t>
      </w:r>
      <w:r>
        <w:rPr>
          <w:rFonts w:hint="eastAsia" w:ascii="仿宋_GB2312" w:hAnsi="仿宋_GB2312" w:eastAsia="仿宋_GB2312" w:cs="仿宋_GB2312"/>
          <w:color w:val="auto"/>
          <w:sz w:val="24"/>
          <w:szCs w:val="24"/>
          <w:highlight w:val="none"/>
        </w:rPr>
        <w:t>，终点</w:t>
      </w:r>
      <w:r>
        <w:rPr>
          <w:rFonts w:hint="eastAsia" w:ascii="仿宋_GB2312" w:hAnsi="仿宋_GB2312" w:eastAsia="仿宋_GB2312" w:cs="仿宋_GB2312"/>
          <w:color w:val="auto"/>
          <w:sz w:val="24"/>
          <w:szCs w:val="24"/>
          <w:highlight w:val="none"/>
          <w:lang w:val="en-US" w:eastAsia="zh-CN"/>
        </w:rPr>
        <w:t>檀渎站</w:t>
      </w:r>
      <w:r>
        <w:rPr>
          <w:rFonts w:hint="eastAsia" w:ascii="仿宋_GB2312" w:hAnsi="仿宋_GB2312" w:eastAsia="仿宋_GB2312" w:cs="仿宋_GB2312"/>
          <w:color w:val="auto"/>
          <w:sz w:val="24"/>
          <w:szCs w:val="24"/>
          <w:highlight w:val="none"/>
        </w:rPr>
        <w:t>。线路全长10.8km，共设9座车站，全部为地下线，分别为</w:t>
      </w:r>
      <w:r>
        <w:rPr>
          <w:rFonts w:hint="eastAsia" w:ascii="仿宋_GB2312" w:hAnsi="仿宋_GB2312" w:eastAsia="仿宋_GB2312" w:cs="仿宋_GB2312"/>
          <w:color w:val="auto"/>
          <w:sz w:val="24"/>
          <w:szCs w:val="24"/>
          <w:highlight w:val="none"/>
          <w:lang w:val="en-US" w:eastAsia="zh-CN"/>
        </w:rPr>
        <w:t>镜湖医院站</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2号线梅山广场站</w:t>
      </w:r>
      <w:r>
        <w:rPr>
          <w:rFonts w:hint="eastAsia" w:ascii="仿宋_GB2312" w:hAnsi="仿宋_GB2312" w:eastAsia="仿宋_GB2312" w:cs="仿宋_GB2312"/>
          <w:color w:val="auto"/>
          <w:sz w:val="24"/>
          <w:szCs w:val="24"/>
          <w:highlight w:val="none"/>
        </w:rPr>
        <w:t>、后墅路站、</w:t>
      </w:r>
      <w:r>
        <w:rPr>
          <w:rFonts w:hint="eastAsia" w:ascii="仿宋_GB2312" w:hAnsi="仿宋_GB2312" w:eastAsia="仿宋_GB2312" w:cs="仿宋_GB2312"/>
          <w:color w:val="auto"/>
          <w:sz w:val="24"/>
          <w:szCs w:val="24"/>
          <w:highlight w:val="none"/>
          <w:lang w:val="en-US" w:eastAsia="zh-CN"/>
        </w:rPr>
        <w:t>袍谷站</w:t>
      </w:r>
      <w:r>
        <w:rPr>
          <w:rFonts w:hint="eastAsia" w:ascii="仿宋_GB2312" w:hAnsi="仿宋_GB2312" w:eastAsia="仿宋_GB2312" w:cs="仿宋_GB2312"/>
          <w:color w:val="auto"/>
          <w:sz w:val="24"/>
          <w:szCs w:val="24"/>
          <w:highlight w:val="none"/>
        </w:rPr>
        <w:t>、袍中路站、</w:t>
      </w:r>
      <w:r>
        <w:rPr>
          <w:rFonts w:hint="eastAsia" w:ascii="仿宋_GB2312" w:hAnsi="仿宋_GB2312" w:eastAsia="仿宋_GB2312" w:cs="仿宋_GB2312"/>
          <w:color w:val="auto"/>
          <w:sz w:val="24"/>
          <w:szCs w:val="24"/>
          <w:highlight w:val="none"/>
          <w:lang w:val="en-US" w:eastAsia="zh-CN"/>
        </w:rPr>
        <w:t>洋泾湖站</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恂南站</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豆姜</w:t>
      </w:r>
      <w:r>
        <w:rPr>
          <w:rFonts w:hint="eastAsia" w:ascii="仿宋_GB2312" w:hAnsi="仿宋_GB2312" w:eastAsia="仿宋_GB2312" w:cs="仿宋_GB2312"/>
          <w:color w:val="auto"/>
          <w:sz w:val="24"/>
          <w:szCs w:val="24"/>
          <w:highlight w:val="none"/>
        </w:rPr>
        <w:t>站、</w:t>
      </w:r>
      <w:r>
        <w:rPr>
          <w:rFonts w:hint="eastAsia" w:ascii="仿宋_GB2312" w:hAnsi="仿宋_GB2312" w:eastAsia="仿宋_GB2312" w:cs="仿宋_GB2312"/>
          <w:color w:val="auto"/>
          <w:sz w:val="24"/>
          <w:szCs w:val="24"/>
          <w:highlight w:val="none"/>
          <w:lang w:val="en-US" w:eastAsia="zh-CN"/>
        </w:rPr>
        <w:t>檀渎</w:t>
      </w:r>
      <w:r>
        <w:rPr>
          <w:rFonts w:hint="eastAsia" w:ascii="仿宋_GB2312" w:hAnsi="仿宋_GB2312" w:eastAsia="仿宋_GB2312" w:cs="仿宋_GB2312"/>
          <w:color w:val="auto"/>
          <w:sz w:val="24"/>
          <w:szCs w:val="24"/>
          <w:highlight w:val="none"/>
        </w:rPr>
        <w:t>站，平均站间距1.29km，最大站间距2.026km，最小站间距1.027km。2号线一期工程暂不设置车辆段，通过在</w:t>
      </w:r>
      <w:r>
        <w:rPr>
          <w:rFonts w:hint="eastAsia" w:ascii="仿宋_GB2312" w:hAnsi="仿宋_GB2312" w:eastAsia="仿宋_GB2312" w:cs="仿宋_GB2312"/>
          <w:color w:val="auto"/>
          <w:sz w:val="24"/>
          <w:szCs w:val="24"/>
          <w:highlight w:val="none"/>
          <w:lang w:val="en-US" w:eastAsia="zh-CN"/>
        </w:rPr>
        <w:t>豆姜</w:t>
      </w:r>
      <w:r>
        <w:rPr>
          <w:rFonts w:hint="eastAsia" w:ascii="仿宋_GB2312" w:hAnsi="仿宋_GB2312" w:eastAsia="仿宋_GB2312" w:cs="仿宋_GB2312"/>
          <w:color w:val="auto"/>
          <w:sz w:val="24"/>
          <w:szCs w:val="24"/>
          <w:highlight w:val="none"/>
        </w:rPr>
        <w:t>站设置线上停车列检线满足日常维护功能，利用1号线万绣路车辆基地共享共用实现车辆临修、定修等过渡举措，满足2号线一期工程初、近期的运营需求。线路设主变电所一座，镜湖控制中心一座。</w:t>
      </w:r>
    </w:p>
    <w:p>
      <w:pPr>
        <w:pStyle w:val="34"/>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为了保证2号线一期的安全运营，提供良好的运营环境，提升服务质量，现组织开展绍兴轨道交通2号线一期保安安检服务项目</w:t>
      </w:r>
      <w:r>
        <w:rPr>
          <w:rFonts w:hint="eastAsia" w:ascii="仿宋_GB2312" w:hAnsi="仿宋_GB2312" w:eastAsia="仿宋_GB2312" w:cs="仿宋_GB2312"/>
          <w:color w:val="auto"/>
          <w:sz w:val="24"/>
          <w:szCs w:val="24"/>
          <w:highlight w:val="none"/>
          <w:lang w:val="en-US" w:eastAsia="zh-CN"/>
        </w:rPr>
        <w:t>招标工作</w:t>
      </w:r>
      <w:r>
        <w:rPr>
          <w:rFonts w:hint="eastAsia" w:ascii="仿宋_GB2312" w:hAnsi="仿宋_GB2312" w:eastAsia="仿宋_GB2312" w:cs="仿宋_GB2312"/>
          <w:color w:val="auto"/>
          <w:sz w:val="24"/>
          <w:szCs w:val="24"/>
          <w:highlight w:val="none"/>
        </w:rPr>
        <w:t>。</w:t>
      </w:r>
    </w:p>
    <w:p>
      <w:pPr>
        <w:pStyle w:val="5"/>
        <w:pageBreakBefore w:val="0"/>
        <w:kinsoku/>
        <w:wordWrap/>
        <w:overflowPunct/>
        <w:topLinePunct w:val="0"/>
        <w:autoSpaceDE/>
        <w:autoSpaceDN/>
        <w:bidi w:val="0"/>
        <w:snapToGrid w:val="0"/>
        <w:spacing w:line="440" w:lineRule="exact"/>
        <w:ind w:left="0" w:leftChars="0" w:firstLine="0" w:firstLineChars="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二、服务期限及范围</w:t>
      </w:r>
    </w:p>
    <w:p>
      <w:pPr>
        <w:spacing w:line="440" w:lineRule="exact"/>
        <w:ind w:left="0" w:firstLine="480" w:firstLineChars="200"/>
        <w:textAlignment w:val="baseline"/>
        <w:outlineLvl w:val="9"/>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2.1</w:t>
      </w:r>
      <w:r>
        <w:rPr>
          <w:rFonts w:hint="eastAsia" w:ascii="仿宋_GB2312" w:hAnsi="仿宋_GB2312" w:eastAsia="仿宋_GB2312" w:cs="仿宋_GB2312"/>
          <w:b w:val="0"/>
          <w:bCs w:val="0"/>
          <w:color w:val="auto"/>
          <w:kern w:val="0"/>
          <w:sz w:val="24"/>
          <w:szCs w:val="24"/>
          <w:highlight w:val="none"/>
        </w:rPr>
        <w:t>保安</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1.1</w:t>
      </w:r>
      <w:r>
        <w:rPr>
          <w:rFonts w:hint="eastAsia" w:ascii="仿宋_GB2312" w:hAnsi="仿宋_GB2312" w:eastAsia="仿宋_GB2312" w:cs="仿宋_GB2312"/>
          <w:color w:val="auto"/>
          <w:sz w:val="24"/>
          <w:szCs w:val="24"/>
          <w:highlight w:val="none"/>
        </w:rPr>
        <w:t>保安服务期限</w:t>
      </w:r>
    </w:p>
    <w:tbl>
      <w:tblPr>
        <w:tblStyle w:val="6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60" w:type="dxa"/>
          <w:bottom w:w="120" w:type="dxa"/>
          <w:right w:w="60" w:type="dxa"/>
        </w:tblCellMar>
      </w:tblPr>
      <w:tblGrid>
        <w:gridCol w:w="2081"/>
        <w:gridCol w:w="2906"/>
        <w:gridCol w:w="3028"/>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6" w:hRule="atLeast"/>
          <w:jc w:val="center"/>
        </w:trPr>
        <w:tc>
          <w:tcPr>
            <w:tcW w:w="1089"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线路名称</w:t>
            </w:r>
          </w:p>
        </w:tc>
        <w:tc>
          <w:tcPr>
            <w:tcW w:w="1520"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起始日期</w:t>
            </w:r>
          </w:p>
        </w:tc>
        <w:tc>
          <w:tcPr>
            <w:tcW w:w="1584"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终止日期</w:t>
            </w:r>
          </w:p>
        </w:tc>
        <w:tc>
          <w:tcPr>
            <w:tcW w:w="805"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1089" w:type="pct"/>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2号线一期</w:t>
            </w:r>
          </w:p>
        </w:tc>
        <w:tc>
          <w:tcPr>
            <w:tcW w:w="1520"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月1日</w:t>
            </w:r>
          </w:p>
        </w:tc>
        <w:tc>
          <w:tcPr>
            <w:tcW w:w="1584"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年6月30日</w:t>
            </w:r>
          </w:p>
        </w:tc>
        <w:tc>
          <w:tcPr>
            <w:tcW w:w="805"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36</w:t>
            </w:r>
            <w:r>
              <w:rPr>
                <w:rFonts w:hint="eastAsia" w:ascii="仿宋_GB2312" w:hAnsi="仿宋_GB2312" w:eastAsia="仿宋_GB2312" w:cs="仿宋_GB2312"/>
                <w:color w:val="auto"/>
                <w:sz w:val="24"/>
                <w:szCs w:val="24"/>
                <w:highlight w:val="none"/>
              </w:rPr>
              <w:t>个月</w:t>
            </w:r>
          </w:p>
        </w:tc>
      </w:tr>
    </w:tbl>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lang w:val="en-US" w:eastAsia="zh-CN"/>
        </w:rPr>
        <w:t xml:space="preserve">.1.2 </w:t>
      </w:r>
      <w:r>
        <w:rPr>
          <w:rFonts w:hint="eastAsia" w:ascii="仿宋_GB2312" w:hAnsi="仿宋_GB2312" w:eastAsia="仿宋_GB2312" w:cs="仿宋_GB2312"/>
          <w:color w:val="auto"/>
          <w:sz w:val="24"/>
          <w:szCs w:val="24"/>
          <w:highlight w:val="none"/>
        </w:rPr>
        <w:t>保安服务范围</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绍兴轨道交通2号线一期9座车站、</w:t>
      </w:r>
      <w:r>
        <w:rPr>
          <w:rFonts w:hint="eastAsia" w:ascii="仿宋_GB2312" w:hAnsi="仿宋_GB2312" w:eastAsia="仿宋_GB2312" w:cs="仿宋_GB2312"/>
          <w:color w:val="auto"/>
          <w:sz w:val="24"/>
          <w:szCs w:val="24"/>
          <w:highlight w:val="none"/>
          <w:lang w:val="en-US" w:eastAsia="zh-CN"/>
        </w:rPr>
        <w:t>豆姜</w:t>
      </w:r>
      <w:r>
        <w:rPr>
          <w:rFonts w:hint="eastAsia" w:ascii="仿宋_GB2312" w:hAnsi="仿宋_GB2312" w:eastAsia="仿宋_GB2312" w:cs="仿宋_GB2312"/>
          <w:color w:val="auto"/>
          <w:sz w:val="24"/>
          <w:szCs w:val="24"/>
          <w:highlight w:val="none"/>
        </w:rPr>
        <w:t>线上停检线、</w:t>
      </w:r>
      <w:r>
        <w:rPr>
          <w:rFonts w:hint="eastAsia" w:ascii="仿宋_GB2312" w:hAnsi="仿宋_GB2312" w:eastAsia="仿宋_GB2312" w:cs="仿宋_GB2312"/>
          <w:color w:val="auto"/>
          <w:sz w:val="24"/>
          <w:szCs w:val="24"/>
          <w:highlight w:val="none"/>
          <w:lang w:val="en-US" w:eastAsia="zh-CN"/>
        </w:rPr>
        <w:t>越兴路</w:t>
      </w:r>
      <w:r>
        <w:rPr>
          <w:rFonts w:hint="eastAsia" w:ascii="仿宋_GB2312" w:hAnsi="仿宋_GB2312" w:eastAsia="仿宋_GB2312" w:cs="仿宋_GB2312"/>
          <w:color w:val="auto"/>
          <w:sz w:val="24"/>
          <w:szCs w:val="24"/>
          <w:highlight w:val="none"/>
        </w:rPr>
        <w:t>主变电所、万绣路车辆基地保安服务。</w:t>
      </w:r>
    </w:p>
    <w:p>
      <w:pPr>
        <w:spacing w:line="440" w:lineRule="exact"/>
        <w:ind w:left="0" w:firstLine="480" w:firstLineChars="200"/>
        <w:textAlignment w:val="baseline"/>
        <w:outlineLvl w:val="9"/>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 xml:space="preserve">2.2 </w:t>
      </w:r>
      <w:r>
        <w:rPr>
          <w:rFonts w:hint="eastAsia" w:ascii="仿宋_GB2312" w:hAnsi="仿宋_GB2312" w:eastAsia="仿宋_GB2312" w:cs="仿宋_GB2312"/>
          <w:b w:val="0"/>
          <w:bCs w:val="0"/>
          <w:color w:val="auto"/>
          <w:kern w:val="0"/>
          <w:sz w:val="24"/>
          <w:szCs w:val="24"/>
          <w:highlight w:val="none"/>
        </w:rPr>
        <w:t>安检</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2.2.1 安</w:t>
      </w:r>
      <w:r>
        <w:rPr>
          <w:rFonts w:hint="eastAsia" w:ascii="仿宋_GB2312" w:hAnsi="仿宋_GB2312" w:eastAsia="仿宋_GB2312" w:cs="仿宋_GB2312"/>
          <w:color w:val="auto"/>
          <w:sz w:val="24"/>
          <w:szCs w:val="24"/>
          <w:highlight w:val="none"/>
        </w:rPr>
        <w:t>检服务期限</w:t>
      </w:r>
    </w:p>
    <w:tbl>
      <w:tblPr>
        <w:tblStyle w:val="6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60" w:type="dxa"/>
          <w:bottom w:w="120" w:type="dxa"/>
          <w:right w:w="60" w:type="dxa"/>
        </w:tblCellMar>
      </w:tblPr>
      <w:tblGrid>
        <w:gridCol w:w="2080"/>
        <w:gridCol w:w="3041"/>
        <w:gridCol w:w="3076"/>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线路名称</w:t>
            </w:r>
          </w:p>
        </w:tc>
        <w:tc>
          <w:tcPr>
            <w:tcW w:w="1591"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起始日期</w:t>
            </w:r>
          </w:p>
        </w:tc>
        <w:tc>
          <w:tcPr>
            <w:tcW w:w="16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终止日期</w:t>
            </w:r>
          </w:p>
        </w:tc>
        <w:tc>
          <w:tcPr>
            <w:tcW w:w="7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1088"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2号线一期</w:t>
            </w:r>
          </w:p>
        </w:tc>
        <w:tc>
          <w:tcPr>
            <w:tcW w:w="1591"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月1日</w:t>
            </w:r>
          </w:p>
        </w:tc>
        <w:tc>
          <w:tcPr>
            <w:tcW w:w="1609"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202</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年6月30日</w:t>
            </w:r>
          </w:p>
        </w:tc>
        <w:tc>
          <w:tcPr>
            <w:tcW w:w="710" w:type="pct"/>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36</w:t>
            </w:r>
            <w:r>
              <w:rPr>
                <w:rFonts w:hint="eastAsia" w:ascii="仿宋_GB2312" w:hAnsi="仿宋_GB2312" w:eastAsia="仿宋_GB2312" w:cs="仿宋_GB2312"/>
                <w:color w:val="auto"/>
                <w:sz w:val="24"/>
                <w:szCs w:val="24"/>
                <w:highlight w:val="none"/>
              </w:rPr>
              <w:t>个月</w:t>
            </w:r>
          </w:p>
        </w:tc>
      </w:tr>
    </w:tbl>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2.2.2 </w:t>
      </w:r>
      <w:r>
        <w:rPr>
          <w:rFonts w:hint="eastAsia" w:ascii="仿宋_GB2312" w:hAnsi="仿宋_GB2312" w:eastAsia="仿宋_GB2312" w:cs="仿宋_GB2312"/>
          <w:color w:val="auto"/>
          <w:sz w:val="24"/>
          <w:szCs w:val="24"/>
          <w:highlight w:val="none"/>
        </w:rPr>
        <w:t>安检服务范围</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绍兴轨道交通2号线一期9座车站安检服务。</w:t>
      </w:r>
    </w:p>
    <w:p>
      <w:pPr>
        <w:pStyle w:val="5"/>
        <w:numPr>
          <w:ilvl w:val="-1"/>
          <w:numId w:val="0"/>
        </w:numPr>
        <w:spacing w:line="440" w:lineRule="exact"/>
        <w:ind w:left="0" w:leftChars="0" w:firstLine="0" w:firstLineChars="0"/>
        <w:textAlignment w:val="baseline"/>
        <w:outlineLvl w:val="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三、人员数量</w:t>
      </w:r>
    </w:p>
    <w:p>
      <w:pPr>
        <w:pStyle w:val="21"/>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3.1 </w:t>
      </w:r>
      <w:r>
        <w:rPr>
          <w:rFonts w:hint="eastAsia" w:ascii="仿宋_GB2312" w:hAnsi="仿宋_GB2312" w:eastAsia="仿宋_GB2312" w:cs="仿宋_GB2312"/>
          <w:color w:val="auto"/>
          <w:sz w:val="24"/>
          <w:szCs w:val="24"/>
          <w:highlight w:val="none"/>
        </w:rPr>
        <w:t>对于2号线一期安检保安服务项目，投标人向运营单位委派项目经理1</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，保安队长</w:t>
      </w:r>
      <w:r>
        <w:rPr>
          <w:rFonts w:hint="eastAsia" w:ascii="仿宋_GB2312" w:hAnsi="仿宋_GB2312" w:eastAsia="仿宋_GB2312" w:cs="仿宋_GB2312"/>
          <w:color w:val="auto"/>
          <w:sz w:val="24"/>
          <w:szCs w:val="24"/>
          <w:highlight w:val="none"/>
          <w:lang w:val="en-US" w:eastAsia="zh-CN"/>
        </w:rPr>
        <w:t>1人</w:t>
      </w:r>
      <w:r>
        <w:rPr>
          <w:rFonts w:hint="eastAsia" w:ascii="仿宋_GB2312" w:hAnsi="仿宋_GB2312" w:eastAsia="仿宋_GB2312" w:cs="仿宋_GB2312"/>
          <w:color w:val="auto"/>
          <w:sz w:val="24"/>
          <w:szCs w:val="24"/>
          <w:highlight w:val="none"/>
        </w:rPr>
        <w:t>、安检队长</w:t>
      </w: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，保安员</w:t>
      </w:r>
      <w:r>
        <w:rPr>
          <w:rFonts w:hint="eastAsia" w:ascii="仿宋_GB2312" w:hAnsi="仿宋_GB2312" w:eastAsia="仿宋_GB2312" w:cs="仿宋_GB2312"/>
          <w:color w:val="auto"/>
          <w:sz w:val="24"/>
          <w:szCs w:val="24"/>
          <w:highlight w:val="none"/>
          <w:lang w:val="en-US" w:eastAsia="zh-CN"/>
        </w:rPr>
        <w:t>16岗（其中机动备班岗2岗），安检员根据人员工作时间配置A岗（07：30-21：30）36岗，B岗（</w:t>
      </w:r>
      <w:r>
        <w:rPr>
          <w:rFonts w:hint="eastAsia" w:ascii="仿宋_GB2312" w:hAnsi="仿宋_GB2312" w:eastAsia="仿宋_GB2312" w:cs="仿宋_GB2312"/>
          <w:color w:val="auto"/>
          <w:sz w:val="24"/>
          <w:szCs w:val="24"/>
          <w:highlight w:val="none"/>
          <w:vertAlign w:val="baseline"/>
          <w:lang w:val="en-US" w:eastAsia="zh-CN"/>
        </w:rPr>
        <w:t>运营开始—运营结束</w:t>
      </w:r>
      <w:r>
        <w:rPr>
          <w:rFonts w:hint="eastAsia" w:ascii="仿宋_GB2312" w:hAnsi="仿宋_GB2312" w:eastAsia="仿宋_GB2312" w:cs="仿宋_GB2312"/>
          <w:color w:val="auto"/>
          <w:sz w:val="24"/>
          <w:szCs w:val="24"/>
          <w:highlight w:val="none"/>
          <w:lang w:val="en-US" w:eastAsia="zh-CN"/>
        </w:rPr>
        <w:t>）27岗，机动备班岗配置A岗2岗，B岗2岗</w:t>
      </w:r>
      <w:r>
        <w:rPr>
          <w:rFonts w:hint="eastAsia" w:ascii="仿宋_GB2312" w:hAnsi="仿宋_GB2312" w:eastAsia="仿宋_GB2312" w:cs="仿宋_GB2312"/>
          <w:color w:val="auto"/>
          <w:sz w:val="24"/>
          <w:szCs w:val="24"/>
          <w:highlight w:val="none"/>
        </w:rPr>
        <w:t>。实际所需岗位数以招标人最终书面确认的岗数为准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具体人员到位情况见下表</w:t>
      </w:r>
      <w:r>
        <w:rPr>
          <w:rFonts w:hint="eastAsia" w:ascii="仿宋_GB2312" w:hAnsi="仿宋_GB2312" w:eastAsia="仿宋_GB2312" w:cs="仿宋_GB2312"/>
          <w:color w:val="auto"/>
          <w:sz w:val="24"/>
          <w:szCs w:val="24"/>
          <w:highlight w:val="none"/>
          <w:lang w:eastAsia="zh-CN"/>
        </w:rPr>
        <w:t>。</w:t>
      </w:r>
    </w:p>
    <w:tbl>
      <w:tblPr>
        <w:tblStyle w:val="65"/>
        <w:tblW w:w="93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287"/>
        <w:gridCol w:w="1121"/>
        <w:gridCol w:w="4169"/>
        <w:gridCol w:w="1310"/>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vAlign w:val="center"/>
          </w:tcPr>
          <w:p>
            <w:pPr>
              <w:snapToGrid w:val="0"/>
              <w:spacing w:line="440" w:lineRule="exact"/>
              <w:jc w:val="center"/>
              <w:textAlignment w:val="baseline"/>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1287" w:type="dxa"/>
            <w:vAlign w:val="center"/>
          </w:tcPr>
          <w:p>
            <w:pPr>
              <w:snapToGrid w:val="0"/>
              <w:spacing w:line="440" w:lineRule="exact"/>
              <w:jc w:val="center"/>
              <w:textAlignment w:val="baseline"/>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名称</w:t>
            </w:r>
          </w:p>
        </w:tc>
        <w:tc>
          <w:tcPr>
            <w:tcW w:w="1121" w:type="dxa"/>
            <w:vAlign w:val="center"/>
          </w:tcPr>
          <w:p>
            <w:pPr>
              <w:snapToGrid w:val="0"/>
              <w:spacing w:line="440" w:lineRule="exact"/>
              <w:jc w:val="center"/>
              <w:textAlignment w:val="baseline"/>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单位</w:t>
            </w:r>
          </w:p>
        </w:tc>
        <w:tc>
          <w:tcPr>
            <w:tcW w:w="4169" w:type="dxa"/>
            <w:vAlign w:val="center"/>
          </w:tcPr>
          <w:p>
            <w:pPr>
              <w:snapToGrid w:val="0"/>
              <w:spacing w:line="440" w:lineRule="exact"/>
              <w:jc w:val="center"/>
              <w:textAlignment w:val="baseline"/>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岗位数</w:t>
            </w:r>
          </w:p>
        </w:tc>
        <w:tc>
          <w:tcPr>
            <w:tcW w:w="1310" w:type="dxa"/>
            <w:vAlign w:val="center"/>
          </w:tcPr>
          <w:p>
            <w:pPr>
              <w:snapToGrid w:val="0"/>
              <w:spacing w:line="440" w:lineRule="exact"/>
              <w:jc w:val="center"/>
              <w:textAlignment w:val="baseline"/>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服务时长</w:t>
            </w:r>
          </w:p>
        </w:tc>
        <w:tc>
          <w:tcPr>
            <w:tcW w:w="860" w:type="dxa"/>
            <w:vAlign w:val="center"/>
          </w:tcPr>
          <w:p>
            <w:pPr>
              <w:snapToGrid w:val="0"/>
              <w:spacing w:line="440" w:lineRule="exact"/>
              <w:jc w:val="center"/>
              <w:textAlignment w:val="baseline"/>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287"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项目经理</w:t>
            </w:r>
          </w:p>
        </w:tc>
        <w:tc>
          <w:tcPr>
            <w:tcW w:w="1121"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岗</w:t>
            </w:r>
          </w:p>
        </w:tc>
        <w:tc>
          <w:tcPr>
            <w:tcW w:w="4169"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310"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36个月</w:t>
            </w:r>
          </w:p>
        </w:tc>
        <w:tc>
          <w:tcPr>
            <w:tcW w:w="860" w:type="dxa"/>
            <w:vAlign w:val="center"/>
          </w:tcPr>
          <w:p>
            <w:pPr>
              <w:snapToGrid w:val="0"/>
              <w:spacing w:line="440" w:lineRule="exact"/>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1287"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保安队长</w:t>
            </w:r>
          </w:p>
        </w:tc>
        <w:tc>
          <w:tcPr>
            <w:tcW w:w="1121"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岗</w:t>
            </w:r>
          </w:p>
        </w:tc>
        <w:tc>
          <w:tcPr>
            <w:tcW w:w="4169"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310" w:type="dxa"/>
            <w:vAlign w:val="center"/>
          </w:tcPr>
          <w:p>
            <w:pPr>
              <w:snapToGrid w:val="0"/>
              <w:spacing w:line="440" w:lineRule="exact"/>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36个月</w:t>
            </w:r>
          </w:p>
        </w:tc>
        <w:tc>
          <w:tcPr>
            <w:tcW w:w="860" w:type="dxa"/>
            <w:vAlign w:val="center"/>
          </w:tcPr>
          <w:p>
            <w:pPr>
              <w:snapToGrid w:val="0"/>
              <w:spacing w:line="440" w:lineRule="exact"/>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287"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安检队长</w:t>
            </w:r>
          </w:p>
        </w:tc>
        <w:tc>
          <w:tcPr>
            <w:tcW w:w="1121"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岗</w:t>
            </w:r>
          </w:p>
        </w:tc>
        <w:tc>
          <w:tcPr>
            <w:tcW w:w="4169"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1310" w:type="dxa"/>
            <w:vAlign w:val="center"/>
          </w:tcPr>
          <w:p>
            <w:pPr>
              <w:snapToGrid w:val="0"/>
              <w:spacing w:line="440" w:lineRule="exact"/>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36个月</w:t>
            </w:r>
          </w:p>
        </w:tc>
        <w:tc>
          <w:tcPr>
            <w:tcW w:w="860" w:type="dxa"/>
            <w:vAlign w:val="center"/>
          </w:tcPr>
          <w:p>
            <w:pPr>
              <w:snapToGrid w:val="0"/>
              <w:spacing w:line="440" w:lineRule="exact"/>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287"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保安员</w:t>
            </w:r>
          </w:p>
        </w:tc>
        <w:tc>
          <w:tcPr>
            <w:tcW w:w="1121"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岗</w:t>
            </w:r>
          </w:p>
        </w:tc>
        <w:tc>
          <w:tcPr>
            <w:tcW w:w="4169"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16（</w:t>
            </w:r>
            <w:r>
              <w:rPr>
                <w:rFonts w:hint="eastAsia" w:ascii="仿宋_GB2312" w:hAnsi="仿宋_GB2312" w:eastAsia="仿宋_GB2312" w:cs="仿宋_GB2312"/>
                <w:color w:val="auto"/>
                <w:sz w:val="24"/>
                <w:szCs w:val="24"/>
                <w:highlight w:val="none"/>
              </w:rPr>
              <w:t>车站</w:t>
            </w:r>
            <w:r>
              <w:rPr>
                <w:rFonts w:hint="eastAsia" w:ascii="仿宋_GB2312" w:hAnsi="仿宋_GB2312" w:eastAsia="仿宋_GB2312" w:cs="仿宋_GB2312"/>
                <w:color w:val="auto"/>
                <w:sz w:val="24"/>
                <w:szCs w:val="24"/>
                <w:highlight w:val="none"/>
                <w:lang w:val="en-US" w:eastAsia="zh-CN"/>
              </w:rPr>
              <w:t>9岗</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越兴路主变所2岗，豆姜站线上停检线2岗</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万绣路车辆基地1岗，机动备班岗2岗）</w:t>
            </w:r>
          </w:p>
        </w:tc>
        <w:tc>
          <w:tcPr>
            <w:tcW w:w="1310" w:type="dxa"/>
            <w:vAlign w:val="center"/>
          </w:tcPr>
          <w:p>
            <w:pPr>
              <w:snapToGrid w:val="0"/>
              <w:spacing w:line="440" w:lineRule="exact"/>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36个月</w:t>
            </w:r>
          </w:p>
        </w:tc>
        <w:tc>
          <w:tcPr>
            <w:tcW w:w="860"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w:t>
            </w:r>
          </w:p>
        </w:tc>
        <w:tc>
          <w:tcPr>
            <w:tcW w:w="1287"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安检员</w:t>
            </w:r>
          </w:p>
        </w:tc>
        <w:tc>
          <w:tcPr>
            <w:tcW w:w="1121"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岗</w:t>
            </w:r>
          </w:p>
        </w:tc>
        <w:tc>
          <w:tcPr>
            <w:tcW w:w="4169" w:type="dxa"/>
            <w:vAlign w:val="center"/>
          </w:tcPr>
          <w:p>
            <w:pPr>
              <w:snapToGrid w:val="0"/>
              <w:spacing w:line="440" w:lineRule="exact"/>
              <w:jc w:val="center"/>
              <w:textAlignment w:val="baseline"/>
              <w:rPr>
                <w:rFonts w:hint="default" w:ascii="仿宋_GB2312" w:hAnsi="仿宋_GB2312" w:eastAsia="宋体"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lang w:val="en-US" w:eastAsia="zh-CN"/>
              </w:rPr>
              <w:t>67(A岗（07：30-21：30）36岗，B岗（</w:t>
            </w:r>
            <w:r>
              <w:rPr>
                <w:rFonts w:hint="eastAsia" w:ascii="仿宋_GB2312" w:hAnsi="仿宋_GB2312" w:eastAsia="仿宋_GB2312" w:cs="仿宋_GB2312"/>
                <w:color w:val="auto"/>
                <w:sz w:val="24"/>
                <w:szCs w:val="24"/>
                <w:highlight w:val="none"/>
                <w:vertAlign w:val="baseline"/>
                <w:lang w:val="en-US" w:eastAsia="zh-CN"/>
              </w:rPr>
              <w:t>运营开始—运营结束</w:t>
            </w:r>
            <w:r>
              <w:rPr>
                <w:rFonts w:hint="eastAsia" w:ascii="仿宋_GB2312" w:hAnsi="仿宋_GB2312" w:eastAsia="仿宋_GB2312" w:cs="仿宋_GB2312"/>
                <w:color w:val="auto"/>
                <w:sz w:val="24"/>
                <w:szCs w:val="24"/>
                <w:highlight w:val="none"/>
                <w:lang w:val="en-US" w:eastAsia="zh-CN"/>
              </w:rPr>
              <w:t>）27岗，机动备班岗配置A岗2岗，B岗2岗)</w:t>
            </w:r>
          </w:p>
        </w:tc>
        <w:tc>
          <w:tcPr>
            <w:tcW w:w="1310" w:type="dxa"/>
            <w:vAlign w:val="center"/>
          </w:tcPr>
          <w:p>
            <w:pPr>
              <w:snapToGrid w:val="0"/>
              <w:spacing w:line="440" w:lineRule="exact"/>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36个月</w:t>
            </w:r>
          </w:p>
        </w:tc>
        <w:tc>
          <w:tcPr>
            <w:tcW w:w="860" w:type="dxa"/>
            <w:vAlign w:val="center"/>
          </w:tcPr>
          <w:p>
            <w:pPr>
              <w:snapToGrid w:val="0"/>
              <w:spacing w:line="440" w:lineRule="exact"/>
              <w:jc w:val="center"/>
              <w:textAlignment w:val="baseline"/>
              <w:rPr>
                <w:rFonts w:hint="default" w:ascii="仿宋_GB2312" w:hAnsi="仿宋_GB2312" w:eastAsia="仿宋_GB2312" w:cs="仿宋_GB2312"/>
                <w:color w:val="auto"/>
                <w:sz w:val="24"/>
                <w:szCs w:val="24"/>
                <w:highlight w:val="none"/>
                <w:vertAlign w:val="baseline"/>
                <w:lang w:val="en-US" w:eastAsia="zh-CN"/>
              </w:rPr>
            </w:pPr>
          </w:p>
        </w:tc>
      </w:tr>
    </w:tbl>
    <w:p>
      <w:pPr>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3.2 </w:t>
      </w:r>
      <w:r>
        <w:rPr>
          <w:rFonts w:hint="eastAsia" w:ascii="仿宋_GB2312" w:hAnsi="仿宋_GB2312" w:eastAsia="仿宋_GB2312" w:cs="仿宋_GB2312"/>
          <w:color w:val="auto"/>
          <w:sz w:val="24"/>
          <w:szCs w:val="24"/>
          <w:highlight w:val="none"/>
        </w:rPr>
        <w:t>保安员配置</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 xml:space="preserve">3.2.1 </w:t>
      </w:r>
      <w:r>
        <w:rPr>
          <w:rFonts w:hint="eastAsia" w:ascii="仿宋_GB2312" w:hAnsi="仿宋_GB2312" w:eastAsia="仿宋_GB2312" w:cs="仿宋_GB2312"/>
          <w:color w:val="auto"/>
          <w:sz w:val="24"/>
          <w:szCs w:val="24"/>
          <w:highlight w:val="none"/>
        </w:rPr>
        <w:t>车站。绍兴轨道交通2号线一期共计9个车站，</w:t>
      </w:r>
      <w:r>
        <w:rPr>
          <w:rFonts w:hint="eastAsia" w:ascii="仿宋_GB2312" w:hAnsi="仿宋_GB2312" w:eastAsia="仿宋_GB2312" w:cs="仿宋_GB2312"/>
          <w:color w:val="auto"/>
          <w:sz w:val="24"/>
          <w:szCs w:val="24"/>
          <w:highlight w:val="none"/>
          <w:lang w:eastAsia="zh-CN"/>
        </w:rPr>
        <w:t>每站每班1人。</w:t>
      </w:r>
    </w:p>
    <w:p>
      <w:pPr>
        <w:pageBreakBefore w:val="0"/>
        <w:kinsoku/>
        <w:wordWrap/>
        <w:overflowPunct/>
        <w:topLinePunct w:val="0"/>
        <w:autoSpaceDE/>
        <w:autoSpaceDN/>
        <w:bidi w:val="0"/>
        <w:snapToGrid w:val="0"/>
        <w:spacing w:line="440" w:lineRule="exact"/>
        <w:ind w:firstLine="480" w:firstLineChars="200"/>
        <w:textAlignment w:val="baseline"/>
        <w:rPr>
          <w:rFonts w:hint="default"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3.2.2 越兴路主变电所。每班2人，需取得消控室操作职业资格证。</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3.2.3 豆姜线上</w:t>
      </w:r>
      <w:r>
        <w:rPr>
          <w:rFonts w:hint="eastAsia" w:ascii="仿宋_GB2312" w:hAnsi="仿宋_GB2312" w:eastAsia="仿宋_GB2312" w:cs="仿宋_GB2312"/>
          <w:color w:val="auto"/>
          <w:sz w:val="24"/>
          <w:szCs w:val="24"/>
          <w:highlight w:val="none"/>
        </w:rPr>
        <w:t>停检线。</w:t>
      </w:r>
      <w:r>
        <w:rPr>
          <w:rFonts w:hint="eastAsia" w:ascii="仿宋_GB2312" w:hAnsi="仿宋_GB2312" w:eastAsia="仿宋_GB2312" w:cs="仿宋_GB2312"/>
          <w:color w:val="auto"/>
          <w:sz w:val="24"/>
          <w:szCs w:val="24"/>
          <w:highlight w:val="none"/>
          <w:lang w:val="en-US" w:eastAsia="zh-CN"/>
        </w:rPr>
        <w:t>每班2人。</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3.3.4 </w:t>
      </w:r>
      <w:r>
        <w:rPr>
          <w:rFonts w:hint="eastAsia" w:ascii="仿宋_GB2312" w:hAnsi="仿宋_GB2312" w:eastAsia="仿宋_GB2312" w:cs="仿宋_GB2312"/>
          <w:color w:val="auto"/>
          <w:sz w:val="24"/>
          <w:szCs w:val="24"/>
          <w:highlight w:val="none"/>
        </w:rPr>
        <w:t>万绣路车辆基地。每班1人</w:t>
      </w:r>
      <w:r>
        <w:rPr>
          <w:rFonts w:hint="eastAsia" w:ascii="仿宋_GB2312" w:hAnsi="仿宋_GB2312" w:eastAsia="仿宋_GB2312" w:cs="仿宋_GB2312"/>
          <w:color w:val="auto"/>
          <w:sz w:val="24"/>
          <w:szCs w:val="24"/>
          <w:highlight w:val="none"/>
          <w:lang w:eastAsia="zh-CN"/>
        </w:rPr>
        <w:t>。</w:t>
      </w:r>
    </w:p>
    <w:p>
      <w:pPr>
        <w:pageBreakBefore w:val="0"/>
        <w:kinsoku/>
        <w:wordWrap/>
        <w:overflowPunct/>
        <w:topLinePunct w:val="0"/>
        <w:autoSpaceDE/>
        <w:autoSpaceDN/>
        <w:bidi w:val="0"/>
        <w:snapToGrid w:val="0"/>
        <w:spacing w:line="440" w:lineRule="exact"/>
        <w:ind w:firstLine="480" w:firstLineChars="200"/>
        <w:textAlignment w:val="baseline"/>
        <w:rPr>
          <w:rFonts w:hint="default"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3.3.5 机动备班</w:t>
      </w:r>
      <w:r>
        <w:rPr>
          <w:rFonts w:hint="eastAsia" w:ascii="仿宋_GB2312" w:hAnsi="仿宋_GB2312" w:eastAsia="仿宋_GB2312" w:cs="仿宋_GB2312"/>
          <w:color w:val="auto"/>
          <w:sz w:val="24"/>
          <w:szCs w:val="24"/>
          <w:highlight w:val="none"/>
        </w:rPr>
        <w:t>岗。</w:t>
      </w:r>
      <w:r>
        <w:rPr>
          <w:rFonts w:hint="eastAsia" w:ascii="仿宋_GB2312" w:hAnsi="仿宋_GB2312" w:eastAsia="仿宋_GB2312" w:cs="仿宋_GB2312"/>
          <w:color w:val="auto"/>
          <w:sz w:val="24"/>
          <w:szCs w:val="24"/>
          <w:highlight w:val="none"/>
          <w:lang w:val="en-US" w:eastAsia="zh-CN"/>
        </w:rPr>
        <w:t>全线配置2岗，根据运营单位需求进行调配，不启用不产生费用。</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岗位具体清单如下：</w:t>
      </w:r>
    </w:p>
    <w:tbl>
      <w:tblPr>
        <w:tblStyle w:val="65"/>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2230"/>
        <w:gridCol w:w="1320"/>
        <w:gridCol w:w="5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地点</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岗数</w:t>
            </w:r>
          </w:p>
        </w:tc>
        <w:tc>
          <w:tcPr>
            <w:tcW w:w="504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镜湖医院站</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p>
        </w:tc>
        <w:tc>
          <w:tcPr>
            <w:tcW w:w="5046" w:type="dxa"/>
            <w:vMerge w:val="restart"/>
            <w:vAlign w:val="center"/>
          </w:tcPr>
          <w:p>
            <w:pPr>
              <w:numPr>
                <w:ilvl w:val="0"/>
                <w:numId w:val="1"/>
              </w:numPr>
              <w:snapToGrid/>
              <w:spacing w:line="440" w:lineRule="exact"/>
              <w:ind w:firstLine="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人员排班必须符合《劳动法》等相关法律法规要求。</w:t>
            </w:r>
          </w:p>
          <w:p>
            <w:pPr>
              <w:pStyle w:val="17"/>
              <w:numPr>
                <w:ilvl w:val="-1"/>
                <w:numId w:val="0"/>
              </w:numPr>
              <w:spacing w:line="440" w:lineRule="exact"/>
              <w:ind w:firstLine="0"/>
              <w:jc w:val="center"/>
              <w:rPr>
                <w:rFonts w:hint="eastAsia"/>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rPr>
              <w:t>2.保安员服务时间7*24小时。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2号线梅山广场站</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p>
        </w:tc>
        <w:tc>
          <w:tcPr>
            <w:tcW w:w="5046" w:type="dxa"/>
            <w:vMerge w:val="continue"/>
            <w:vAlign w:val="center"/>
          </w:tcPr>
          <w:p>
            <w:pPr>
              <w:pageBreakBefore w:val="0"/>
              <w:kinsoku/>
              <w:wordWrap/>
              <w:overflowPunct/>
              <w:topLinePunct w:val="0"/>
              <w:autoSpaceDE/>
              <w:autoSpaceDN/>
              <w:bidi w:val="0"/>
              <w:snapToGrid w:val="0"/>
              <w:spacing w:line="440" w:lineRule="exact"/>
              <w:ind w:firstLine="480" w:firstLineChars="200"/>
              <w:jc w:val="center"/>
              <w:textAlignment w:val="baseline"/>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后墅路站</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p>
        </w:tc>
        <w:tc>
          <w:tcPr>
            <w:tcW w:w="5046" w:type="dxa"/>
            <w:vMerge w:val="continue"/>
            <w:vAlign w:val="center"/>
          </w:tcPr>
          <w:p>
            <w:pPr>
              <w:pageBreakBefore w:val="0"/>
              <w:kinsoku/>
              <w:wordWrap/>
              <w:overflowPunct/>
              <w:topLinePunct w:val="0"/>
              <w:autoSpaceDE/>
              <w:autoSpaceDN/>
              <w:bidi w:val="0"/>
              <w:snapToGrid w:val="0"/>
              <w:spacing w:line="440" w:lineRule="exact"/>
              <w:ind w:firstLine="480" w:firstLineChars="200"/>
              <w:jc w:val="center"/>
              <w:textAlignment w:val="baseline"/>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袍谷站</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p>
        </w:tc>
        <w:tc>
          <w:tcPr>
            <w:tcW w:w="5046" w:type="dxa"/>
            <w:vMerge w:val="continue"/>
            <w:vAlign w:val="center"/>
          </w:tcPr>
          <w:p>
            <w:pPr>
              <w:pageBreakBefore w:val="0"/>
              <w:kinsoku/>
              <w:wordWrap/>
              <w:overflowPunct/>
              <w:topLinePunct w:val="0"/>
              <w:autoSpaceDE/>
              <w:autoSpaceDN/>
              <w:bidi w:val="0"/>
              <w:snapToGrid w:val="0"/>
              <w:spacing w:line="440" w:lineRule="exact"/>
              <w:ind w:firstLine="480" w:firstLineChars="200"/>
              <w:jc w:val="center"/>
              <w:textAlignment w:val="baseline"/>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袍中路站</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p>
        </w:tc>
        <w:tc>
          <w:tcPr>
            <w:tcW w:w="5046" w:type="dxa"/>
            <w:vMerge w:val="continue"/>
            <w:vAlign w:val="center"/>
          </w:tcPr>
          <w:p>
            <w:pPr>
              <w:pageBreakBefore w:val="0"/>
              <w:kinsoku/>
              <w:wordWrap/>
              <w:overflowPunct/>
              <w:topLinePunct w:val="0"/>
              <w:autoSpaceDE/>
              <w:autoSpaceDN/>
              <w:bidi w:val="0"/>
              <w:snapToGrid w:val="0"/>
              <w:spacing w:line="440" w:lineRule="exact"/>
              <w:ind w:firstLine="480" w:firstLineChars="200"/>
              <w:jc w:val="center"/>
              <w:textAlignment w:val="baseline"/>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洋泾湖站</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p>
        </w:tc>
        <w:tc>
          <w:tcPr>
            <w:tcW w:w="5046" w:type="dxa"/>
            <w:vMerge w:val="continue"/>
            <w:vAlign w:val="center"/>
          </w:tcPr>
          <w:p>
            <w:pPr>
              <w:pageBreakBefore w:val="0"/>
              <w:kinsoku/>
              <w:wordWrap/>
              <w:overflowPunct/>
              <w:topLinePunct w:val="0"/>
              <w:autoSpaceDE/>
              <w:autoSpaceDN/>
              <w:bidi w:val="0"/>
              <w:snapToGrid w:val="0"/>
              <w:spacing w:line="440" w:lineRule="exact"/>
              <w:ind w:firstLine="480" w:firstLineChars="200"/>
              <w:jc w:val="center"/>
              <w:textAlignment w:val="baseline"/>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恂南站</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p>
        </w:tc>
        <w:tc>
          <w:tcPr>
            <w:tcW w:w="5046" w:type="dxa"/>
            <w:vMerge w:val="continue"/>
            <w:vAlign w:val="center"/>
          </w:tcPr>
          <w:p>
            <w:pPr>
              <w:pageBreakBefore w:val="0"/>
              <w:kinsoku/>
              <w:wordWrap/>
              <w:overflowPunct/>
              <w:topLinePunct w:val="0"/>
              <w:autoSpaceDE/>
              <w:autoSpaceDN/>
              <w:bidi w:val="0"/>
              <w:snapToGrid w:val="0"/>
              <w:spacing w:line="440" w:lineRule="exact"/>
              <w:ind w:firstLine="480" w:firstLineChars="200"/>
              <w:jc w:val="center"/>
              <w:textAlignment w:val="baseline"/>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豆姜站</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p>
        </w:tc>
        <w:tc>
          <w:tcPr>
            <w:tcW w:w="5046" w:type="dxa"/>
            <w:vMerge w:val="continue"/>
            <w:vAlign w:val="center"/>
          </w:tcPr>
          <w:p>
            <w:pPr>
              <w:pageBreakBefore w:val="0"/>
              <w:kinsoku/>
              <w:wordWrap/>
              <w:overflowPunct/>
              <w:topLinePunct w:val="0"/>
              <w:autoSpaceDE/>
              <w:autoSpaceDN/>
              <w:bidi w:val="0"/>
              <w:snapToGrid w:val="0"/>
              <w:spacing w:line="440" w:lineRule="exact"/>
              <w:ind w:firstLine="480" w:firstLineChars="200"/>
              <w:jc w:val="center"/>
              <w:textAlignment w:val="baseline"/>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檀渎站</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p>
        </w:tc>
        <w:tc>
          <w:tcPr>
            <w:tcW w:w="5046" w:type="dxa"/>
            <w:vMerge w:val="continue"/>
            <w:vAlign w:val="center"/>
          </w:tcPr>
          <w:p>
            <w:pPr>
              <w:pageBreakBefore w:val="0"/>
              <w:kinsoku/>
              <w:wordWrap/>
              <w:overflowPunct/>
              <w:topLinePunct w:val="0"/>
              <w:autoSpaceDE/>
              <w:autoSpaceDN/>
              <w:bidi w:val="0"/>
              <w:snapToGrid w:val="0"/>
              <w:spacing w:line="440" w:lineRule="exact"/>
              <w:ind w:firstLine="480" w:firstLineChars="200"/>
              <w:jc w:val="center"/>
              <w:textAlignment w:val="baseline"/>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0</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越兴路主变电所</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5046" w:type="dxa"/>
            <w:vMerge w:val="continue"/>
            <w:vAlign w:val="center"/>
          </w:tcPr>
          <w:p>
            <w:pPr>
              <w:pageBreakBefore w:val="0"/>
              <w:kinsoku/>
              <w:wordWrap/>
              <w:overflowPunct/>
              <w:topLinePunct w:val="0"/>
              <w:autoSpaceDE/>
              <w:autoSpaceDN/>
              <w:bidi w:val="0"/>
              <w:snapToGrid w:val="0"/>
              <w:spacing w:line="440" w:lineRule="exact"/>
              <w:ind w:firstLine="0" w:firstLineChars="0"/>
              <w:jc w:val="both"/>
              <w:textAlignment w:val="baseline"/>
              <w:rPr>
                <w:rFonts w:hint="default" w:ascii="仿宋_GB2312" w:hAnsi="仿宋_GB2312" w:eastAsia="仿宋_GB2312" w:cs="仿宋_GB2312"/>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豆姜线上停检线</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p>
        </w:tc>
        <w:tc>
          <w:tcPr>
            <w:tcW w:w="5046" w:type="dxa"/>
            <w:vMerge w:val="continue"/>
            <w:vAlign w:val="center"/>
          </w:tcPr>
          <w:p>
            <w:pPr>
              <w:pageBreakBefore w:val="0"/>
              <w:kinsoku/>
              <w:wordWrap/>
              <w:overflowPunct/>
              <w:topLinePunct w:val="0"/>
              <w:autoSpaceDE/>
              <w:autoSpaceDN/>
              <w:bidi w:val="0"/>
              <w:snapToGrid w:val="0"/>
              <w:spacing w:line="440" w:lineRule="exact"/>
              <w:ind w:firstLine="480" w:firstLineChars="200"/>
              <w:jc w:val="center"/>
              <w:textAlignment w:val="baseline"/>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万绣路车辆基地</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5046" w:type="dxa"/>
            <w:vMerge w:val="continue"/>
            <w:vAlign w:val="center"/>
          </w:tcPr>
          <w:p>
            <w:pPr>
              <w:pageBreakBefore w:val="0"/>
              <w:kinsoku/>
              <w:wordWrap/>
              <w:overflowPunct/>
              <w:topLinePunct w:val="0"/>
              <w:autoSpaceDE/>
              <w:autoSpaceDN/>
              <w:bidi w:val="0"/>
              <w:snapToGrid w:val="0"/>
              <w:spacing w:line="440" w:lineRule="exact"/>
              <w:ind w:firstLine="480" w:firstLineChars="200"/>
              <w:jc w:val="center"/>
              <w:textAlignment w:val="baseline"/>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w:t>
            </w:r>
          </w:p>
        </w:tc>
        <w:tc>
          <w:tcPr>
            <w:tcW w:w="223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机动备班岗</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5046" w:type="dxa"/>
            <w:vMerge w:val="continue"/>
            <w:vAlign w:val="center"/>
          </w:tcPr>
          <w:p>
            <w:pPr>
              <w:pageBreakBefore w:val="0"/>
              <w:kinsoku/>
              <w:wordWrap/>
              <w:overflowPunct/>
              <w:topLinePunct w:val="0"/>
              <w:autoSpaceDE/>
              <w:autoSpaceDN/>
              <w:bidi w:val="0"/>
              <w:snapToGrid w:val="0"/>
              <w:spacing w:line="440" w:lineRule="exact"/>
              <w:ind w:firstLine="480" w:firstLineChars="200"/>
              <w:jc w:val="center"/>
              <w:textAlignment w:val="baseline"/>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70" w:type="dxa"/>
            <w:gridSpan w:val="2"/>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tc>
        <w:tc>
          <w:tcPr>
            <w:tcW w:w="1320"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16</w:t>
            </w:r>
          </w:p>
        </w:tc>
        <w:tc>
          <w:tcPr>
            <w:tcW w:w="5046" w:type="dxa"/>
            <w:vAlign w:val="center"/>
          </w:tcPr>
          <w:p>
            <w:pPr>
              <w:pageBreakBefore w:val="0"/>
              <w:kinsoku/>
              <w:wordWrap/>
              <w:overflowPunct/>
              <w:topLinePunct w:val="0"/>
              <w:autoSpaceDE/>
              <w:autoSpaceDN/>
              <w:bidi w:val="0"/>
              <w:snapToGrid w:val="0"/>
              <w:spacing w:line="440" w:lineRule="exact"/>
              <w:ind w:firstLine="480" w:firstLineChars="200"/>
              <w:jc w:val="center"/>
              <w:textAlignment w:val="baseline"/>
              <w:rPr>
                <w:rFonts w:hint="eastAsia" w:ascii="仿宋_GB2312" w:hAnsi="仿宋_GB2312" w:eastAsia="仿宋_GB2312" w:cs="仿宋_GB2312"/>
                <w:color w:val="auto"/>
                <w:sz w:val="24"/>
                <w:szCs w:val="24"/>
                <w:highlight w:val="none"/>
              </w:rPr>
            </w:pPr>
          </w:p>
        </w:tc>
      </w:tr>
    </w:tbl>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3.3 </w:t>
      </w:r>
      <w:r>
        <w:rPr>
          <w:rFonts w:hint="eastAsia" w:ascii="仿宋_GB2312" w:hAnsi="仿宋_GB2312" w:eastAsia="仿宋_GB2312" w:cs="仿宋_GB2312"/>
          <w:color w:val="auto"/>
          <w:sz w:val="24"/>
          <w:szCs w:val="24"/>
          <w:highlight w:val="none"/>
        </w:rPr>
        <w:t>安检员配置</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3.3.1 车站安检员</w:t>
      </w:r>
      <w:r>
        <w:rPr>
          <w:rFonts w:hint="eastAsia" w:ascii="仿宋_GB2312" w:hAnsi="仿宋_GB2312" w:eastAsia="仿宋_GB2312" w:cs="仿宋_GB2312"/>
          <w:color w:val="auto"/>
          <w:sz w:val="24"/>
          <w:szCs w:val="24"/>
          <w:highlight w:val="none"/>
        </w:rPr>
        <w:t>。绍兴轨道交通2号线一期共计9个车站，每个车站设置2个安检点</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根据时间配置人员，具体要求见表一。</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3.3.2 机动备班</w:t>
      </w:r>
      <w:r>
        <w:rPr>
          <w:rFonts w:hint="eastAsia" w:ascii="仿宋_GB2312" w:hAnsi="仿宋_GB2312" w:eastAsia="仿宋_GB2312" w:cs="仿宋_GB2312"/>
          <w:color w:val="auto"/>
          <w:sz w:val="24"/>
          <w:szCs w:val="24"/>
          <w:highlight w:val="none"/>
        </w:rPr>
        <w:t>岗。</w:t>
      </w:r>
      <w:r>
        <w:rPr>
          <w:rFonts w:hint="eastAsia" w:ascii="仿宋_GB2312" w:hAnsi="仿宋_GB2312" w:eastAsia="仿宋_GB2312" w:cs="仿宋_GB2312"/>
          <w:color w:val="auto"/>
          <w:sz w:val="24"/>
          <w:szCs w:val="24"/>
          <w:highlight w:val="none"/>
          <w:lang w:val="en-US" w:eastAsia="zh-CN"/>
        </w:rPr>
        <w:t>配置A岗2岗，B岗2岗。根据运营单位需求进行启用，不启用不产生费用。</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岗位具体清单如下：</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2973"/>
        <w:gridCol w:w="1776"/>
        <w:gridCol w:w="18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5" w:type="dxa"/>
            <w:vMerge w:val="restart"/>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序号</w:t>
            </w:r>
          </w:p>
        </w:tc>
        <w:tc>
          <w:tcPr>
            <w:tcW w:w="2973" w:type="dxa"/>
            <w:vMerge w:val="restart"/>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车站</w:t>
            </w: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A岗</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B岗</w:t>
            </w:r>
          </w:p>
        </w:tc>
        <w:tc>
          <w:tcPr>
            <w:tcW w:w="1649" w:type="dxa"/>
            <w:vMerge w:val="restart"/>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5"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c>
          <w:tcPr>
            <w:tcW w:w="2973"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07：30-21：30</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运营开始—运营结束</w:t>
            </w:r>
          </w:p>
        </w:tc>
        <w:tc>
          <w:tcPr>
            <w:tcW w:w="1649"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5"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2973"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镜湖医院站</w:t>
            </w: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649" w:type="dxa"/>
            <w:vMerge w:val="restart"/>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人员排班必须符合《劳动法》等相关法律法规要求。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5"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2973"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2号线梅山广场站</w:t>
            </w: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649"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5"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2973"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后墅路站</w:t>
            </w: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649"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5"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2973"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袍谷站</w:t>
            </w: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649"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5"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w:t>
            </w:r>
          </w:p>
        </w:tc>
        <w:tc>
          <w:tcPr>
            <w:tcW w:w="2973"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袍中站</w:t>
            </w: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649"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5"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6</w:t>
            </w:r>
          </w:p>
        </w:tc>
        <w:tc>
          <w:tcPr>
            <w:tcW w:w="2973"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洋泾湖站</w:t>
            </w: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649"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5"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7</w:t>
            </w:r>
          </w:p>
        </w:tc>
        <w:tc>
          <w:tcPr>
            <w:tcW w:w="2973"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恂南站</w:t>
            </w: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649"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5"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8</w:t>
            </w:r>
          </w:p>
        </w:tc>
        <w:tc>
          <w:tcPr>
            <w:tcW w:w="2973"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豆姜站</w:t>
            </w: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649"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5"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9</w:t>
            </w:r>
          </w:p>
        </w:tc>
        <w:tc>
          <w:tcPr>
            <w:tcW w:w="2973"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檀渎站</w:t>
            </w: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1649"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5"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10</w:t>
            </w:r>
          </w:p>
        </w:tc>
        <w:tc>
          <w:tcPr>
            <w:tcW w:w="2973"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机动备班岗</w:t>
            </w: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1649"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98" w:type="dxa"/>
            <w:gridSpan w:val="2"/>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vertAlign w:val="baseline"/>
                <w:lang w:val="en-US" w:eastAsia="zh-CN"/>
              </w:rPr>
              <w:t>合计</w:t>
            </w:r>
          </w:p>
        </w:tc>
        <w:tc>
          <w:tcPr>
            <w:tcW w:w="1776"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38</w:t>
            </w:r>
          </w:p>
        </w:tc>
        <w:tc>
          <w:tcPr>
            <w:tcW w:w="1874" w:type="dxa"/>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29</w:t>
            </w:r>
          </w:p>
        </w:tc>
        <w:tc>
          <w:tcPr>
            <w:tcW w:w="1649" w:type="dxa"/>
            <w:vMerge w:val="continue"/>
            <w:vAlign w:val="center"/>
          </w:tcPr>
          <w:p>
            <w:pPr>
              <w:pageBreakBefore w:val="0"/>
              <w:kinsoku/>
              <w:wordWrap/>
              <w:overflowPunct/>
              <w:topLinePunct w:val="0"/>
              <w:autoSpaceDE/>
              <w:autoSpaceDN/>
              <w:bidi w:val="0"/>
              <w:snapToGrid w:val="0"/>
              <w:spacing w:line="440" w:lineRule="exact"/>
              <w:ind w:firstLine="0" w:firstLineChars="0"/>
              <w:jc w:val="center"/>
              <w:textAlignment w:val="baseline"/>
              <w:rPr>
                <w:rFonts w:hint="eastAsia" w:ascii="仿宋_GB2312" w:hAnsi="仿宋_GB2312" w:eastAsia="仿宋_GB2312" w:cs="仿宋_GB2312"/>
                <w:color w:val="auto"/>
                <w:sz w:val="24"/>
                <w:szCs w:val="24"/>
                <w:highlight w:val="none"/>
                <w:vertAlign w:val="baseline"/>
                <w:lang w:val="en-US" w:eastAsia="zh-CN"/>
              </w:rPr>
            </w:pPr>
          </w:p>
        </w:tc>
      </w:tr>
    </w:tbl>
    <w:p>
      <w:pPr>
        <w:pStyle w:val="17"/>
        <w:spacing w:line="440" w:lineRule="exact"/>
        <w:ind w:left="0" w:firstLine="482" w:firstLineChars="200"/>
        <w:textAlignment w:val="baseline"/>
        <w:outlineLvl w:val="1"/>
        <w:rPr>
          <w:rFonts w:hint="eastAsia" w:ascii="仿宋_GB2312" w:hAnsi="仿宋_GB2312" w:eastAsia="仿宋_GB2312" w:cs="仿宋_GB2312"/>
          <w:b/>
          <w:bCs/>
          <w:color w:val="auto"/>
          <w:kern w:val="44"/>
          <w:sz w:val="24"/>
          <w:szCs w:val="24"/>
          <w:highlight w:val="none"/>
          <w:lang w:val="en-US" w:eastAsia="zh-CN"/>
        </w:rPr>
      </w:pPr>
      <w:r>
        <w:rPr>
          <w:rFonts w:hint="eastAsia" w:ascii="仿宋_GB2312" w:hAnsi="仿宋_GB2312" w:eastAsia="仿宋_GB2312" w:cs="仿宋_GB2312"/>
          <w:b/>
          <w:bCs/>
          <w:color w:val="auto"/>
          <w:kern w:val="44"/>
          <w:sz w:val="24"/>
          <w:szCs w:val="24"/>
          <w:highlight w:val="none"/>
          <w:lang w:val="en-US" w:eastAsia="zh-CN"/>
        </w:rPr>
        <w:t>四、资质要求</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4.1 </w:t>
      </w:r>
      <w:r>
        <w:rPr>
          <w:rFonts w:hint="eastAsia" w:ascii="仿宋_GB2312" w:hAnsi="仿宋_GB2312" w:eastAsia="仿宋_GB2312" w:cs="仿宋_GB2312"/>
          <w:color w:val="auto"/>
          <w:sz w:val="24"/>
          <w:szCs w:val="24"/>
          <w:highlight w:val="none"/>
        </w:rPr>
        <w:t>项目经理</w:t>
      </w:r>
      <w:r>
        <w:rPr>
          <w:rFonts w:hint="eastAsia" w:ascii="仿宋_GB2312" w:hAnsi="仿宋_GB2312" w:eastAsia="仿宋_GB2312" w:cs="仿宋_GB2312"/>
          <w:color w:val="auto"/>
          <w:sz w:val="24"/>
          <w:szCs w:val="24"/>
          <w:highlight w:val="none"/>
          <w:lang w:val="en-US" w:eastAsia="zh-CN"/>
        </w:rPr>
        <w:t>需具备</w:t>
      </w:r>
      <w:r>
        <w:rPr>
          <w:rFonts w:hint="eastAsia" w:ascii="仿宋_GB2312" w:hAnsi="仿宋_GB2312" w:eastAsia="仿宋_GB2312" w:cs="仿宋_GB2312"/>
          <w:color w:val="auto"/>
          <w:sz w:val="24"/>
          <w:szCs w:val="24"/>
          <w:highlight w:val="none"/>
        </w:rPr>
        <w:t>大专及以上学历的中国男性公民，具有至少</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年的安检或保安管理工作经验，具体负责调配、管理及与运营单位的协调，政审合格、作风正派，品质良好。</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4.2 </w:t>
      </w:r>
      <w:r>
        <w:rPr>
          <w:rFonts w:hint="eastAsia" w:ascii="仿宋_GB2312" w:hAnsi="仿宋_GB2312" w:eastAsia="仿宋_GB2312" w:cs="仿宋_GB2312"/>
          <w:color w:val="auto"/>
          <w:sz w:val="24"/>
          <w:szCs w:val="24"/>
          <w:highlight w:val="none"/>
        </w:rPr>
        <w:t>保安队长</w:t>
      </w:r>
      <w:r>
        <w:rPr>
          <w:rFonts w:hint="eastAsia" w:ascii="仿宋_GB2312" w:hAnsi="仿宋_GB2312" w:eastAsia="仿宋_GB2312" w:cs="仿宋_GB2312"/>
          <w:color w:val="auto"/>
          <w:sz w:val="24"/>
          <w:szCs w:val="24"/>
          <w:highlight w:val="none"/>
          <w:lang w:val="en-US" w:eastAsia="zh-CN"/>
        </w:rPr>
        <w:t>需具备</w:t>
      </w:r>
      <w:r>
        <w:rPr>
          <w:rFonts w:hint="eastAsia" w:ascii="仿宋_GB2312" w:hAnsi="仿宋_GB2312" w:eastAsia="仿宋_GB2312" w:cs="仿宋_GB2312"/>
          <w:color w:val="auto"/>
          <w:sz w:val="24"/>
          <w:szCs w:val="24"/>
          <w:highlight w:val="none"/>
        </w:rPr>
        <w:t>大专及以上学历的中国男性公民，</w:t>
      </w:r>
      <w:r>
        <w:rPr>
          <w:rFonts w:hint="eastAsia" w:ascii="仿宋_GB2312" w:hAnsi="仿宋_GB2312" w:eastAsia="仿宋_GB2312" w:cs="仿宋_GB2312"/>
          <w:color w:val="auto"/>
          <w:sz w:val="24"/>
          <w:szCs w:val="24"/>
          <w:highlight w:val="none"/>
          <w:lang w:eastAsia="zh-CN"/>
        </w:rPr>
        <w:t>年龄</w:t>
      </w:r>
      <w:r>
        <w:rPr>
          <w:rFonts w:hint="eastAsia" w:ascii="仿宋_GB2312" w:hAnsi="仿宋_GB2312" w:eastAsia="仿宋_GB2312" w:cs="仿宋_GB2312"/>
          <w:color w:val="auto"/>
          <w:sz w:val="24"/>
          <w:szCs w:val="24"/>
          <w:highlight w:val="none"/>
          <w:lang w:val="en-US" w:eastAsia="zh-CN"/>
        </w:rPr>
        <w:t>18-55周岁，</w:t>
      </w:r>
      <w:r>
        <w:rPr>
          <w:rFonts w:hint="eastAsia" w:ascii="仿宋_GB2312" w:hAnsi="仿宋_GB2312" w:eastAsia="仿宋_GB2312" w:cs="仿宋_GB2312"/>
          <w:color w:val="auto"/>
          <w:sz w:val="24"/>
          <w:szCs w:val="24"/>
          <w:highlight w:val="none"/>
        </w:rPr>
        <w:t>从事保安行业3年以上，有一定组织能力，且从事保安管理工作l年以上。必须经过公安机关安全背景审查，持有公安机关核发的保安员证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思想品德、身体条件、资质、基本能力要求同保安员。</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4.3 </w:t>
      </w:r>
      <w:r>
        <w:rPr>
          <w:rFonts w:hint="eastAsia" w:ascii="仿宋_GB2312" w:hAnsi="仿宋_GB2312" w:eastAsia="仿宋_GB2312" w:cs="仿宋_GB2312"/>
          <w:color w:val="auto"/>
          <w:sz w:val="24"/>
          <w:szCs w:val="24"/>
          <w:highlight w:val="none"/>
        </w:rPr>
        <w:t>安检队长</w:t>
      </w:r>
      <w:r>
        <w:rPr>
          <w:rFonts w:hint="eastAsia" w:ascii="仿宋_GB2312" w:hAnsi="仿宋_GB2312" w:eastAsia="仿宋_GB2312" w:cs="仿宋_GB2312"/>
          <w:color w:val="auto"/>
          <w:sz w:val="24"/>
          <w:szCs w:val="24"/>
          <w:highlight w:val="none"/>
          <w:lang w:val="en-US" w:eastAsia="zh-CN"/>
        </w:rPr>
        <w:t>需具备</w:t>
      </w:r>
      <w:r>
        <w:rPr>
          <w:rFonts w:hint="eastAsia" w:ascii="仿宋_GB2312" w:hAnsi="仿宋_GB2312" w:eastAsia="仿宋_GB2312" w:cs="仿宋_GB2312"/>
          <w:color w:val="auto"/>
          <w:sz w:val="24"/>
          <w:szCs w:val="24"/>
          <w:highlight w:val="none"/>
        </w:rPr>
        <w:t>大专及以上学历的中国男性公民</w:t>
      </w:r>
      <w:r>
        <w:rPr>
          <w:rFonts w:hint="eastAsia" w:ascii="仿宋_GB2312" w:hAnsi="仿宋_GB2312" w:eastAsia="仿宋_GB2312" w:cs="仿宋_GB2312"/>
          <w:color w:val="auto"/>
          <w:sz w:val="24"/>
          <w:szCs w:val="24"/>
          <w:highlight w:val="none"/>
          <w:lang w:eastAsia="zh-CN"/>
        </w:rPr>
        <w:t>，年龄</w:t>
      </w:r>
      <w:r>
        <w:rPr>
          <w:rFonts w:hint="eastAsia" w:ascii="仿宋_GB2312" w:hAnsi="仿宋_GB2312" w:eastAsia="仿宋_GB2312" w:cs="仿宋_GB2312"/>
          <w:color w:val="auto"/>
          <w:sz w:val="24"/>
          <w:szCs w:val="24"/>
          <w:highlight w:val="none"/>
          <w:lang w:val="en-US" w:eastAsia="zh-CN"/>
        </w:rPr>
        <w:t>18-55周岁，</w:t>
      </w:r>
      <w:r>
        <w:rPr>
          <w:rFonts w:hint="eastAsia" w:ascii="仿宋_GB2312" w:hAnsi="仿宋_GB2312" w:eastAsia="仿宋_GB2312" w:cs="仿宋_GB2312"/>
          <w:color w:val="auto"/>
          <w:sz w:val="24"/>
          <w:szCs w:val="24"/>
          <w:highlight w:val="none"/>
        </w:rPr>
        <w:t>从事安检行业3年以上，有一定组织能力，且从事安检管理工作l年以上。必须经过公安机关安全背景审查，持有公安机关核发的保安员证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思想品德、身体条件、资质、基本能力要求同安检员。</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4.4 </w:t>
      </w:r>
      <w:r>
        <w:rPr>
          <w:rFonts w:hint="eastAsia" w:ascii="仿宋_GB2312" w:hAnsi="仿宋_GB2312" w:eastAsia="仿宋_GB2312" w:cs="仿宋_GB2312"/>
          <w:color w:val="auto"/>
          <w:sz w:val="24"/>
          <w:szCs w:val="24"/>
          <w:highlight w:val="none"/>
        </w:rPr>
        <w:t>保</w:t>
      </w:r>
      <w:r>
        <w:rPr>
          <w:rFonts w:hint="eastAsia" w:ascii="仿宋_GB2312" w:hAnsi="仿宋_GB2312" w:eastAsia="仿宋_GB2312" w:cs="仿宋_GB2312"/>
          <w:color w:val="auto"/>
          <w:sz w:val="24"/>
          <w:szCs w:val="24"/>
          <w:highlight w:val="none"/>
          <w:lang w:val="en-US" w:eastAsia="zh-CN"/>
        </w:rPr>
        <w:t>安员</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4.4.1</w:t>
      </w:r>
      <w:r>
        <w:rPr>
          <w:rFonts w:hint="eastAsia" w:ascii="仿宋_GB2312" w:hAnsi="仿宋_GB2312" w:eastAsia="仿宋_GB2312" w:cs="仿宋_GB2312"/>
          <w:color w:val="auto"/>
          <w:sz w:val="24"/>
          <w:szCs w:val="24"/>
          <w:highlight w:val="none"/>
        </w:rPr>
        <w:t>高级中等教育及以上学历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年龄18-</w:t>
      </w: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周岁的男性中国公民</w:t>
      </w:r>
      <w:r>
        <w:rPr>
          <w:rFonts w:hint="eastAsia" w:ascii="仿宋_GB2312" w:hAnsi="仿宋_GB2312" w:eastAsia="仿宋_GB2312" w:cs="仿宋_GB2312"/>
          <w:color w:val="auto"/>
          <w:sz w:val="24"/>
          <w:szCs w:val="24"/>
          <w:highlight w:val="none"/>
          <w:lang w:eastAsia="zh-CN"/>
        </w:rPr>
        <w:t>。</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4.4.2</w:t>
      </w:r>
      <w:r>
        <w:rPr>
          <w:rFonts w:hint="eastAsia" w:ascii="仿宋_GB2312" w:hAnsi="仿宋_GB2312" w:eastAsia="仿宋_GB2312" w:cs="仿宋_GB2312"/>
          <w:color w:val="auto"/>
          <w:sz w:val="24"/>
          <w:szCs w:val="24"/>
          <w:highlight w:val="none"/>
        </w:rPr>
        <w:t>必须经过公安机关安全背景审查，持有公安机关核发的保安员证</w:t>
      </w:r>
      <w:r>
        <w:rPr>
          <w:rFonts w:hint="eastAsia" w:ascii="仿宋_GB2312" w:hAnsi="仿宋_GB2312" w:eastAsia="仿宋_GB2312" w:cs="仿宋_GB2312"/>
          <w:color w:val="auto"/>
          <w:sz w:val="24"/>
          <w:szCs w:val="24"/>
          <w:highlight w:val="none"/>
          <w:lang w:eastAsia="zh-CN"/>
        </w:rPr>
        <w:t>。</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4.4.3</w:t>
      </w:r>
      <w:r>
        <w:rPr>
          <w:rFonts w:hint="eastAsia" w:ascii="仿宋_GB2312" w:hAnsi="仿宋_GB2312" w:eastAsia="仿宋_GB2312" w:cs="仿宋_GB2312"/>
          <w:color w:val="auto"/>
          <w:sz w:val="24"/>
          <w:szCs w:val="24"/>
          <w:highlight w:val="none"/>
        </w:rPr>
        <w:t>品德端正，无违法犯罪记录、无强制隔离戒毒记录、未受过劳动教养、治安处罚</w:t>
      </w:r>
      <w:r>
        <w:rPr>
          <w:rFonts w:hint="eastAsia" w:ascii="仿宋_GB2312" w:hAnsi="仿宋_GB2312" w:eastAsia="仿宋_GB2312" w:cs="仿宋_GB2312"/>
          <w:color w:val="auto"/>
          <w:sz w:val="24"/>
          <w:szCs w:val="24"/>
          <w:highlight w:val="none"/>
          <w:lang w:eastAsia="zh-CN"/>
        </w:rPr>
        <w:t>。</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4.4.4</w:t>
      </w:r>
      <w:r>
        <w:rPr>
          <w:rFonts w:hint="eastAsia" w:ascii="仿宋_GB2312" w:hAnsi="仿宋_GB2312" w:eastAsia="仿宋_GB2312" w:cs="仿宋_GB2312"/>
          <w:color w:val="auto"/>
          <w:sz w:val="24"/>
          <w:szCs w:val="24"/>
          <w:highlight w:val="none"/>
        </w:rPr>
        <w:t>身体健康、五官端正</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无残疾、无口吃、无传染病、无纹身</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无色盲、色弱，矫正视力1.0以上、男性身高165cm以上。全员每年由医疗机构进行一次身体检查，出示检查证明</w:t>
      </w:r>
      <w:r>
        <w:rPr>
          <w:rFonts w:hint="eastAsia" w:ascii="仿宋_GB2312" w:hAnsi="仿宋_GB2312" w:eastAsia="仿宋_GB2312" w:cs="仿宋_GB2312"/>
          <w:color w:val="auto"/>
          <w:sz w:val="24"/>
          <w:szCs w:val="24"/>
          <w:highlight w:val="none"/>
          <w:lang w:eastAsia="zh-CN"/>
        </w:rPr>
        <w:t>。</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4.4.5 </w:t>
      </w:r>
      <w:r>
        <w:rPr>
          <w:rFonts w:hint="eastAsia" w:ascii="仿宋_GB2312" w:hAnsi="仿宋_GB2312" w:eastAsia="仿宋_GB2312" w:cs="仿宋_GB2312"/>
          <w:color w:val="auto"/>
          <w:sz w:val="24"/>
          <w:szCs w:val="24"/>
          <w:highlight w:val="none"/>
        </w:rPr>
        <w:t>会讲普通话，具备较强的语言表达能力和动作协调能力；具备基本法律知识及了解与保安相关的政策、规定；具备与岗位职责相应的观察、发现、处置问题能力；具备使用基本消防设备、通讯器材、技术防范设施设备和相关防卫器械技能。</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4.5 </w:t>
      </w:r>
      <w:r>
        <w:rPr>
          <w:rFonts w:hint="eastAsia" w:ascii="仿宋_GB2312" w:hAnsi="仿宋_GB2312" w:eastAsia="仿宋_GB2312" w:cs="仿宋_GB2312"/>
          <w:color w:val="auto"/>
          <w:sz w:val="24"/>
          <w:szCs w:val="24"/>
          <w:highlight w:val="none"/>
        </w:rPr>
        <w:t>安检</w:t>
      </w:r>
      <w:r>
        <w:rPr>
          <w:rFonts w:hint="eastAsia" w:ascii="仿宋_GB2312" w:hAnsi="仿宋_GB2312" w:eastAsia="仿宋_GB2312" w:cs="仿宋_GB2312"/>
          <w:color w:val="auto"/>
          <w:sz w:val="24"/>
          <w:szCs w:val="24"/>
          <w:highlight w:val="none"/>
          <w:lang w:val="en-US" w:eastAsia="zh-CN"/>
        </w:rPr>
        <w:t>员</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4.5.1</w:t>
      </w:r>
      <w:r>
        <w:rPr>
          <w:rFonts w:hint="eastAsia" w:ascii="仿宋_GB2312" w:hAnsi="仿宋_GB2312" w:eastAsia="仿宋_GB2312" w:cs="仿宋_GB2312"/>
          <w:color w:val="auto"/>
          <w:sz w:val="24"/>
          <w:szCs w:val="24"/>
          <w:highlight w:val="none"/>
        </w:rPr>
        <w:t>高级中等教育及以上学历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年龄18-</w:t>
      </w: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周岁的中国公民，女性安检员比例不低于总人数的60%</w:t>
      </w:r>
      <w:r>
        <w:rPr>
          <w:rFonts w:hint="eastAsia" w:ascii="仿宋_GB2312" w:hAnsi="仿宋_GB2312" w:eastAsia="仿宋_GB2312" w:cs="仿宋_GB2312"/>
          <w:color w:val="auto"/>
          <w:sz w:val="24"/>
          <w:szCs w:val="24"/>
          <w:highlight w:val="none"/>
          <w:lang w:eastAsia="zh-CN"/>
        </w:rPr>
        <w:t>。</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4.5.2</w:t>
      </w:r>
      <w:r>
        <w:rPr>
          <w:rFonts w:hint="eastAsia" w:ascii="仿宋_GB2312" w:hAnsi="仿宋_GB2312" w:eastAsia="仿宋_GB2312" w:cs="仿宋_GB2312"/>
          <w:color w:val="auto"/>
          <w:sz w:val="24"/>
          <w:szCs w:val="24"/>
          <w:highlight w:val="none"/>
        </w:rPr>
        <w:t>必须经过公安机关安全背景审查，</w:t>
      </w:r>
      <w:r>
        <w:rPr>
          <w:rFonts w:hint="eastAsia" w:ascii="仿宋_GB2312" w:hAnsi="仿宋_GB2312" w:eastAsia="仿宋_GB2312" w:cs="仿宋_GB2312"/>
          <w:color w:val="auto"/>
          <w:sz w:val="24"/>
          <w:szCs w:val="24"/>
          <w:highlight w:val="none"/>
          <w:lang w:val="en-US" w:eastAsia="zh-CN"/>
        </w:rPr>
        <w:t>需</w:t>
      </w:r>
      <w:r>
        <w:rPr>
          <w:rFonts w:hint="eastAsia" w:ascii="仿宋_GB2312" w:hAnsi="仿宋_GB2312" w:eastAsia="仿宋_GB2312" w:cs="仿宋_GB2312"/>
          <w:color w:val="auto"/>
          <w:sz w:val="24"/>
          <w:szCs w:val="24"/>
          <w:highlight w:val="none"/>
        </w:rPr>
        <w:t>持有公安机关核发的保安员证</w:t>
      </w:r>
      <w:r>
        <w:rPr>
          <w:rFonts w:hint="eastAsia" w:ascii="仿宋_GB2312" w:hAnsi="仿宋_GB2312" w:eastAsia="仿宋_GB2312" w:cs="仿宋_GB2312"/>
          <w:color w:val="auto"/>
          <w:sz w:val="24"/>
          <w:szCs w:val="24"/>
          <w:highlight w:val="none"/>
          <w:lang w:eastAsia="zh-CN"/>
        </w:rPr>
        <w:t>。</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4.5.3</w:t>
      </w:r>
      <w:r>
        <w:rPr>
          <w:rFonts w:hint="eastAsia" w:ascii="仿宋_GB2312" w:hAnsi="仿宋_GB2312" w:eastAsia="仿宋_GB2312" w:cs="仿宋_GB2312"/>
          <w:color w:val="auto"/>
          <w:sz w:val="24"/>
          <w:szCs w:val="24"/>
          <w:highlight w:val="none"/>
        </w:rPr>
        <w:t>品德端正，无违法犯罪记录、无强制隔离戒毒记录、未受过劳动教养、治安处罚</w:t>
      </w:r>
      <w:r>
        <w:rPr>
          <w:rFonts w:hint="eastAsia" w:ascii="仿宋_GB2312" w:hAnsi="仿宋_GB2312" w:eastAsia="仿宋_GB2312" w:cs="仿宋_GB2312"/>
          <w:color w:val="auto"/>
          <w:sz w:val="24"/>
          <w:szCs w:val="24"/>
          <w:highlight w:val="none"/>
          <w:lang w:eastAsia="zh-CN"/>
        </w:rPr>
        <w:t>。</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4.5.4</w:t>
      </w:r>
      <w:r>
        <w:rPr>
          <w:rFonts w:hint="eastAsia" w:ascii="仿宋_GB2312" w:hAnsi="仿宋_GB2312" w:eastAsia="仿宋_GB2312" w:cs="仿宋_GB2312"/>
          <w:color w:val="auto"/>
          <w:sz w:val="24"/>
          <w:szCs w:val="24"/>
          <w:highlight w:val="none"/>
        </w:rPr>
        <w:t>身体健康、五官端正</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无残疾、无口吃、无传染病、无纹身</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无色盲、色弱，矫正视力1.0以上、男性身高165cm以上</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女性155cm以上</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全员每年由医疗机构进行一次身体检查，出示检查证明。</w:t>
      </w:r>
    </w:p>
    <w:p>
      <w:pPr>
        <w:pageBreakBefore w:val="0"/>
        <w:kinsoku/>
        <w:wordWrap/>
        <w:overflowPunct/>
        <w:topLinePunct w:val="0"/>
        <w:autoSpaceDE/>
        <w:autoSpaceDN/>
        <w:bidi w:val="0"/>
        <w:snapToGrid/>
        <w:spacing w:line="440" w:lineRule="exact"/>
        <w:ind w:firstLine="480" w:firstLineChars="200"/>
        <w:textAlignment w:val="auto"/>
        <w:rPr>
          <w:rFonts w:hint="default"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4.5.5</w:t>
      </w:r>
      <w:r>
        <w:rPr>
          <w:rFonts w:hint="eastAsia" w:ascii="仿宋_GB2312" w:hAnsi="仿宋_GB2312" w:eastAsia="仿宋_GB2312" w:cs="仿宋_GB2312"/>
          <w:color w:val="auto"/>
          <w:sz w:val="24"/>
          <w:szCs w:val="24"/>
          <w:highlight w:val="none"/>
        </w:rPr>
        <w:t>会讲普通话，具备较强的语言表达能力和动作协调能力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具备基本法律知识及了解与安检相关的政策、规定；具备与岗位职责相应的观察、发现、处置问题能力；具备使用通讯器材、安检设施设备技能。</w:t>
      </w:r>
    </w:p>
    <w:p>
      <w:pPr>
        <w:pStyle w:val="5"/>
        <w:pageBreakBefore w:val="0"/>
        <w:kinsoku/>
        <w:wordWrap/>
        <w:overflowPunct/>
        <w:topLinePunct w:val="0"/>
        <w:autoSpaceDE/>
        <w:autoSpaceDN/>
        <w:bidi w:val="0"/>
        <w:spacing w:line="440" w:lineRule="exact"/>
        <w:ind w:left="0" w:firstLine="482" w:firstLineChars="200"/>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五、岗位职责</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5.1 项目</w:t>
      </w:r>
      <w:r>
        <w:rPr>
          <w:rFonts w:hint="eastAsia" w:ascii="仿宋_GB2312" w:hAnsi="仿宋_GB2312" w:eastAsia="仿宋_GB2312" w:cs="仿宋_GB2312"/>
          <w:color w:val="auto"/>
          <w:sz w:val="24"/>
          <w:szCs w:val="24"/>
          <w:highlight w:val="none"/>
        </w:rPr>
        <w:t>全体人员要严格执行国家法律、法规</w:t>
      </w:r>
      <w:r>
        <w:rPr>
          <w:rFonts w:hint="eastAsia" w:ascii="仿宋_GB2312" w:hAnsi="仿宋_GB2312" w:eastAsia="仿宋_GB2312" w:cs="仿宋_GB2312"/>
          <w:color w:val="auto"/>
          <w:sz w:val="24"/>
          <w:szCs w:val="24"/>
          <w:highlight w:val="none"/>
          <w:lang w:val="en-US" w:eastAsia="zh-CN"/>
        </w:rPr>
        <w:t>以及</w:t>
      </w:r>
      <w:r>
        <w:rPr>
          <w:rFonts w:hint="eastAsia" w:ascii="仿宋_GB2312" w:hAnsi="仿宋_GB2312" w:eastAsia="仿宋_GB2312" w:cs="仿宋_GB2312"/>
          <w:color w:val="auto"/>
          <w:sz w:val="24"/>
          <w:szCs w:val="24"/>
          <w:highlight w:val="none"/>
          <w:lang w:val="en-US" w:eastAsia="zh-CN"/>
        </w:rPr>
        <w:t>招标人</w:t>
      </w:r>
      <w:r>
        <w:rPr>
          <w:rFonts w:hint="eastAsia" w:ascii="仿宋_GB2312" w:hAnsi="仿宋_GB2312" w:eastAsia="仿宋_GB2312" w:cs="仿宋_GB2312"/>
          <w:color w:val="auto"/>
          <w:sz w:val="24"/>
          <w:szCs w:val="24"/>
          <w:highlight w:val="none"/>
          <w:lang w:val="en-US" w:eastAsia="zh-CN"/>
        </w:rPr>
        <w:t>内部各项规章制度</w:t>
      </w:r>
      <w:r>
        <w:rPr>
          <w:rFonts w:hint="eastAsia" w:ascii="仿宋_GB2312" w:hAnsi="仿宋_GB2312" w:eastAsia="仿宋_GB2312" w:cs="仿宋_GB2312"/>
          <w:color w:val="auto"/>
          <w:sz w:val="24"/>
          <w:szCs w:val="24"/>
          <w:highlight w:val="none"/>
        </w:rPr>
        <w:t>，认真落实岗位责任制、服务操作规程和保安安检服务质量标准。</w:t>
      </w:r>
      <w:r>
        <w:rPr>
          <w:rFonts w:hint="default" w:ascii="仿宋_GB2312" w:hAnsi="仿宋_GB2312" w:eastAsia="仿宋_GB2312" w:cs="仿宋_GB2312"/>
          <w:color w:val="auto"/>
          <w:sz w:val="24"/>
          <w:szCs w:val="24"/>
          <w:highlight w:val="none"/>
          <w:lang w:val="en-US"/>
        </w:rPr>
        <w:t>招标</w:t>
      </w:r>
      <w:r>
        <w:rPr>
          <w:rFonts w:hint="eastAsia" w:ascii="仿宋_GB2312" w:hAnsi="仿宋_GB2312" w:eastAsia="仿宋_GB2312" w:cs="仿宋_GB2312"/>
          <w:color w:val="auto"/>
          <w:sz w:val="24"/>
          <w:szCs w:val="24"/>
          <w:highlight w:val="none"/>
        </w:rPr>
        <w:t>项目</w:t>
      </w:r>
      <w:r>
        <w:rPr>
          <w:rFonts w:hint="eastAsia" w:ascii="仿宋_GB2312" w:hAnsi="仿宋_GB2312" w:eastAsia="仿宋_GB2312" w:cs="仿宋_GB2312"/>
          <w:color w:val="auto"/>
          <w:sz w:val="24"/>
          <w:szCs w:val="24"/>
          <w:highlight w:val="none"/>
          <w:lang w:val="en-US" w:eastAsia="zh-CN"/>
        </w:rPr>
        <w:t>人员工作职责</w:t>
      </w:r>
      <w:r>
        <w:rPr>
          <w:rFonts w:hint="eastAsia" w:ascii="仿宋_GB2312" w:hAnsi="仿宋_GB2312" w:eastAsia="仿宋_GB2312" w:cs="仿宋_GB2312"/>
          <w:color w:val="auto"/>
          <w:sz w:val="24"/>
          <w:szCs w:val="24"/>
          <w:highlight w:val="none"/>
        </w:rPr>
        <w:t>包括但不限于</w:t>
      </w:r>
      <w:r>
        <w:rPr>
          <w:rFonts w:hint="eastAsia" w:ascii="仿宋_GB2312" w:hAnsi="仿宋_GB2312" w:eastAsia="仿宋_GB2312" w:cs="仿宋_GB2312"/>
          <w:color w:val="auto"/>
          <w:sz w:val="24"/>
          <w:szCs w:val="24"/>
          <w:highlight w:val="none"/>
          <w:lang w:val="en-US" w:eastAsia="zh-CN"/>
        </w:rPr>
        <w:t>以下所列</w:t>
      </w:r>
      <w:r>
        <w:rPr>
          <w:rFonts w:hint="eastAsia" w:ascii="仿宋_GB2312" w:hAnsi="仿宋_GB2312" w:eastAsia="仿宋_GB2312" w:cs="仿宋_GB2312"/>
          <w:color w:val="auto"/>
          <w:sz w:val="24"/>
          <w:szCs w:val="24"/>
          <w:highlight w:val="none"/>
        </w:rPr>
        <w:t>内容</w:t>
      </w:r>
      <w:r>
        <w:rPr>
          <w:rFonts w:hint="eastAsia" w:ascii="仿宋_GB2312" w:hAnsi="仿宋_GB2312" w:eastAsia="仿宋_GB2312" w:cs="仿宋_GB2312"/>
          <w:color w:val="auto"/>
          <w:sz w:val="24"/>
          <w:szCs w:val="24"/>
          <w:highlight w:val="none"/>
          <w:lang w:eastAsia="zh-CN"/>
        </w:rPr>
        <w:t>。</w:t>
      </w:r>
    </w:p>
    <w:p>
      <w:pPr>
        <w:pageBreakBefore w:val="0"/>
        <w:kinsoku/>
        <w:wordWrap/>
        <w:overflowPunct/>
        <w:topLinePunct w:val="0"/>
        <w:autoSpaceDE/>
        <w:autoSpaceDN/>
        <w:bidi w:val="0"/>
        <w:spacing w:line="440" w:lineRule="exact"/>
        <w:ind w:left="0" w:firstLine="480"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5.2 </w:t>
      </w:r>
      <w:r>
        <w:rPr>
          <w:rFonts w:hint="eastAsia" w:ascii="仿宋_GB2312" w:hAnsi="仿宋_GB2312" w:eastAsia="仿宋_GB2312" w:cs="仿宋_GB2312"/>
          <w:color w:val="auto"/>
          <w:sz w:val="24"/>
          <w:szCs w:val="24"/>
          <w:highlight w:val="none"/>
        </w:rPr>
        <w:t>项目经理</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5.2.1 </w:t>
      </w:r>
      <w:r>
        <w:rPr>
          <w:rFonts w:hint="eastAsia" w:ascii="仿宋_GB2312" w:hAnsi="仿宋_GB2312" w:eastAsia="仿宋_GB2312" w:cs="仿宋_GB2312"/>
          <w:color w:val="auto"/>
          <w:sz w:val="24"/>
          <w:szCs w:val="24"/>
          <w:highlight w:val="none"/>
        </w:rPr>
        <w:t>定期召开所辖线路工作例会，分析保安安检工作开展情况，研究落实上级部署。</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5.2.2</w:t>
      </w:r>
      <w:r>
        <w:rPr>
          <w:rFonts w:hint="eastAsia" w:ascii="仿宋_GB2312" w:hAnsi="仿宋_GB2312" w:eastAsia="仿宋_GB2312" w:cs="仿宋_GB2312"/>
          <w:color w:val="auto"/>
          <w:sz w:val="24"/>
          <w:szCs w:val="24"/>
          <w:highlight w:val="none"/>
        </w:rPr>
        <w:t>组织所辖人员按要求提供保安安检服务，对所辖线路工作质量完成情况进行检查，及时发现问题及时整改</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5.2.3</w:t>
      </w:r>
      <w:r>
        <w:rPr>
          <w:rFonts w:hint="eastAsia" w:ascii="仿宋_GB2312" w:hAnsi="仿宋_GB2312" w:eastAsia="仿宋_GB2312" w:cs="仿宋_GB2312"/>
          <w:color w:val="auto"/>
          <w:sz w:val="24"/>
          <w:szCs w:val="24"/>
          <w:highlight w:val="none"/>
        </w:rPr>
        <w:t>参与市级部门、运营单位组织的各种会议。</w:t>
      </w:r>
    </w:p>
    <w:p>
      <w:pPr>
        <w:pageBreakBefore w:val="0"/>
        <w:kinsoku/>
        <w:wordWrap/>
        <w:overflowPunct/>
        <w:topLinePunct w:val="0"/>
        <w:autoSpaceDE/>
        <w:autoSpaceDN/>
        <w:bidi w:val="0"/>
        <w:spacing w:line="440" w:lineRule="exact"/>
        <w:ind w:left="0" w:firstLine="480"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5.3 </w:t>
      </w:r>
      <w:r>
        <w:rPr>
          <w:rFonts w:hint="eastAsia" w:ascii="仿宋_GB2312" w:hAnsi="仿宋_GB2312" w:eastAsia="仿宋_GB2312" w:cs="仿宋_GB2312"/>
          <w:color w:val="auto"/>
          <w:sz w:val="24"/>
          <w:szCs w:val="24"/>
          <w:highlight w:val="none"/>
        </w:rPr>
        <w:t>保安队长</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5.3.1 </w:t>
      </w:r>
      <w:r>
        <w:rPr>
          <w:rFonts w:hint="eastAsia" w:ascii="仿宋_GB2312" w:hAnsi="仿宋_GB2312" w:eastAsia="仿宋_GB2312" w:cs="仿宋_GB2312"/>
          <w:color w:val="auto"/>
          <w:sz w:val="24"/>
          <w:szCs w:val="24"/>
          <w:highlight w:val="none"/>
        </w:rPr>
        <w:t>安排相关人员落实保安员日常岗位替岗、替休，</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5.3.2 </w:t>
      </w:r>
      <w:r>
        <w:rPr>
          <w:rFonts w:hint="eastAsia" w:ascii="仿宋_GB2312" w:hAnsi="仿宋_GB2312" w:eastAsia="仿宋_GB2312" w:cs="仿宋_GB2312"/>
          <w:color w:val="auto"/>
          <w:sz w:val="24"/>
          <w:szCs w:val="24"/>
          <w:highlight w:val="none"/>
        </w:rPr>
        <w:t>在重点保障期间，协调并落实相关补充人员，加强现场安保力量。</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5.3.3 </w:t>
      </w:r>
      <w:r>
        <w:rPr>
          <w:rFonts w:hint="eastAsia" w:ascii="仿宋_GB2312" w:hAnsi="仿宋_GB2312" w:eastAsia="仿宋_GB2312" w:cs="仿宋_GB2312"/>
          <w:color w:val="auto"/>
          <w:sz w:val="24"/>
          <w:szCs w:val="24"/>
          <w:highlight w:val="none"/>
        </w:rPr>
        <w:t>参与市级部门、运营单位组织的各种协调沟通工作。</w:t>
      </w:r>
    </w:p>
    <w:p>
      <w:pPr>
        <w:pageBreakBefore w:val="0"/>
        <w:kinsoku/>
        <w:wordWrap/>
        <w:overflowPunct/>
        <w:topLinePunct w:val="0"/>
        <w:autoSpaceDE/>
        <w:autoSpaceDN/>
        <w:bidi w:val="0"/>
        <w:spacing w:line="440" w:lineRule="exact"/>
        <w:ind w:left="0"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5.4 </w:t>
      </w:r>
      <w:r>
        <w:rPr>
          <w:rFonts w:hint="eastAsia" w:ascii="仿宋_GB2312" w:hAnsi="仿宋_GB2312" w:eastAsia="仿宋_GB2312" w:cs="仿宋_GB2312"/>
          <w:color w:val="auto"/>
          <w:sz w:val="24"/>
          <w:szCs w:val="24"/>
          <w:highlight w:val="none"/>
        </w:rPr>
        <w:t>安检队长</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5.4.1 </w:t>
      </w:r>
      <w:r>
        <w:rPr>
          <w:rFonts w:hint="eastAsia" w:ascii="仿宋_GB2312" w:hAnsi="仿宋_GB2312" w:eastAsia="仿宋_GB2312" w:cs="仿宋_GB2312"/>
          <w:color w:val="auto"/>
          <w:sz w:val="24"/>
          <w:szCs w:val="24"/>
          <w:highlight w:val="none"/>
        </w:rPr>
        <w:t>安排相关人员落实安检员日常岗位替岗、替休。</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5.4.2 </w:t>
      </w:r>
      <w:r>
        <w:rPr>
          <w:rFonts w:hint="eastAsia" w:ascii="仿宋_GB2312" w:hAnsi="仿宋_GB2312" w:eastAsia="仿宋_GB2312" w:cs="仿宋_GB2312"/>
          <w:color w:val="auto"/>
          <w:sz w:val="24"/>
          <w:szCs w:val="24"/>
          <w:highlight w:val="none"/>
        </w:rPr>
        <w:t>在重点保障期间，协调并落实相关补充人员，加强现场安检力量。</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5.4.3 </w:t>
      </w:r>
      <w:r>
        <w:rPr>
          <w:rFonts w:hint="eastAsia" w:ascii="仿宋_GB2312" w:hAnsi="仿宋_GB2312" w:eastAsia="仿宋_GB2312" w:cs="仿宋_GB2312"/>
          <w:color w:val="auto"/>
          <w:sz w:val="24"/>
          <w:szCs w:val="24"/>
          <w:highlight w:val="none"/>
        </w:rPr>
        <w:t>参与市级部门、运营单位组织的各种协调沟通工作。</w:t>
      </w:r>
    </w:p>
    <w:p>
      <w:pPr>
        <w:pageBreakBefore w:val="0"/>
        <w:kinsoku/>
        <w:wordWrap/>
        <w:overflowPunct/>
        <w:topLinePunct w:val="0"/>
        <w:autoSpaceDE/>
        <w:autoSpaceDN/>
        <w:bidi w:val="0"/>
        <w:spacing w:line="440" w:lineRule="exact"/>
        <w:ind w:left="0"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 </w:t>
      </w:r>
      <w:r>
        <w:rPr>
          <w:rFonts w:hint="eastAsia" w:ascii="仿宋_GB2312" w:hAnsi="仿宋_GB2312" w:eastAsia="仿宋_GB2312" w:cs="仿宋_GB2312"/>
          <w:color w:val="auto"/>
          <w:sz w:val="24"/>
          <w:szCs w:val="24"/>
          <w:highlight w:val="none"/>
        </w:rPr>
        <w:t>保安员</w:t>
      </w:r>
    </w:p>
    <w:p>
      <w:pPr>
        <w:pageBreakBefore w:val="0"/>
        <w:kinsoku/>
        <w:wordWrap/>
        <w:overflowPunct/>
        <w:topLinePunct w:val="0"/>
        <w:autoSpaceDE/>
        <w:autoSpaceDN/>
        <w:bidi w:val="0"/>
        <w:snapToGrid w:val="0"/>
        <w:spacing w:line="440" w:lineRule="exact"/>
        <w:ind w:left="0"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5.5.1 </w:t>
      </w:r>
      <w:r>
        <w:rPr>
          <w:rFonts w:hint="eastAsia" w:ascii="仿宋_GB2312" w:hAnsi="仿宋_GB2312" w:eastAsia="仿宋_GB2312" w:cs="仿宋_GB2312"/>
          <w:color w:val="auto"/>
          <w:sz w:val="24"/>
          <w:szCs w:val="24"/>
          <w:highlight w:val="none"/>
        </w:rPr>
        <w:t>通用要求</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5.5.1.1 </w:t>
      </w:r>
      <w:r>
        <w:rPr>
          <w:rFonts w:hint="eastAsia" w:ascii="仿宋_GB2312" w:hAnsi="仿宋_GB2312" w:eastAsia="仿宋_GB2312" w:cs="仿宋_GB2312"/>
          <w:color w:val="auto"/>
          <w:sz w:val="24"/>
          <w:szCs w:val="24"/>
          <w:highlight w:val="none"/>
        </w:rPr>
        <w:t>服从管理，听从指挥，做到令行禁止，遇事要报告。严格执行考勤制度，不迟到，不早退。</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5.5.1.2 </w:t>
      </w:r>
      <w:r>
        <w:rPr>
          <w:rFonts w:hint="eastAsia" w:ascii="仿宋_GB2312" w:hAnsi="仿宋_GB2312" w:eastAsia="仿宋_GB2312" w:cs="仿宋_GB2312"/>
          <w:color w:val="auto"/>
          <w:sz w:val="24"/>
          <w:szCs w:val="24"/>
          <w:highlight w:val="none"/>
        </w:rPr>
        <w:t>通过对车站、线上停检线、主变电所出入口进行值守、验证、检查登记，维护运营单位安全。发现可疑物品时，不得擅自移动、打开，应及时通知相关部门工作人员。对违法犯罪行为应及时制止，对可疑人员采取有效控制措施。</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5.5.1.3 </w:t>
      </w:r>
      <w:r>
        <w:rPr>
          <w:rFonts w:hint="eastAsia" w:ascii="仿宋_GB2312" w:hAnsi="仿宋_GB2312" w:eastAsia="仿宋_GB2312" w:cs="仿宋_GB2312"/>
          <w:color w:val="auto"/>
          <w:sz w:val="24"/>
          <w:szCs w:val="24"/>
          <w:highlight w:val="none"/>
        </w:rPr>
        <w:t>查验出入人员的证件，办理登记手续，禁止无关人员进入，及时发现不法行为人，截获赃物，做好安全防范工作。</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5.5.1.4 </w:t>
      </w:r>
      <w:r>
        <w:rPr>
          <w:rFonts w:hint="eastAsia" w:ascii="仿宋_GB2312" w:hAnsi="仿宋_GB2312" w:eastAsia="仿宋_GB2312" w:cs="仿宋_GB2312"/>
          <w:color w:val="auto"/>
          <w:sz w:val="24"/>
          <w:szCs w:val="24"/>
          <w:highlight w:val="none"/>
        </w:rPr>
        <w:t>保安员值岗中要坚持原则，文明执勤，精神振奋，举止大方，不准脱岗、漏岗、睡岗、看书、看报，玩手机游戏、或做与工作无关的事情。着保安服乘车时应主动让乘客先上，严禁与乘客抢座位。</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5.5.1.5</w:t>
      </w:r>
      <w:r>
        <w:rPr>
          <w:rFonts w:hint="eastAsia" w:ascii="仿宋_GB2312" w:hAnsi="仿宋_GB2312" w:eastAsia="仿宋_GB2312" w:cs="仿宋_GB2312"/>
          <w:color w:val="auto"/>
          <w:sz w:val="24"/>
          <w:szCs w:val="24"/>
          <w:highlight w:val="none"/>
        </w:rPr>
        <w:t>协助地铁工作人员做好车站秩序维护以及突发事件前期处理。按照现场负责人要求，迅速到达指定位置，协助相关工作人员做好处置工作，使突发事件能够在短时间内得到控制，快速稳定现场局面。</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5.5.1.6 </w:t>
      </w:r>
      <w:r>
        <w:rPr>
          <w:rFonts w:hint="eastAsia" w:ascii="仿宋_GB2312" w:hAnsi="仿宋_GB2312" w:eastAsia="仿宋_GB2312" w:cs="仿宋_GB2312"/>
          <w:color w:val="auto"/>
          <w:sz w:val="24"/>
          <w:szCs w:val="24"/>
          <w:highlight w:val="none"/>
        </w:rPr>
        <w:t>落实政府管理机构、运营单位关于治安保卫提出的相关需求，执行国家规范、省市级制度要求。掌握常用抢险用品的使用方法。</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5.5.1.7 </w:t>
      </w:r>
      <w:r>
        <w:rPr>
          <w:rFonts w:hint="eastAsia" w:ascii="仿宋_GB2312" w:hAnsi="仿宋_GB2312" w:eastAsia="仿宋_GB2312" w:cs="仿宋_GB2312"/>
          <w:color w:val="auto"/>
          <w:sz w:val="24"/>
          <w:szCs w:val="24"/>
          <w:highlight w:val="none"/>
        </w:rPr>
        <w:t>根据运营单位实际需求，协助运营单位涉及车站后勤保障工作。做好来访人员接待等工作。</w:t>
      </w:r>
    </w:p>
    <w:p>
      <w:pPr>
        <w:pageBreakBefore w:val="0"/>
        <w:kinsoku/>
        <w:wordWrap/>
        <w:overflowPunct/>
        <w:topLinePunct w:val="0"/>
        <w:autoSpaceDE/>
        <w:autoSpaceDN/>
        <w:bidi w:val="0"/>
        <w:snapToGrid w:val="0"/>
        <w:spacing w:line="440" w:lineRule="exact"/>
        <w:ind w:left="0"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5.5.2 </w:t>
      </w:r>
      <w:r>
        <w:rPr>
          <w:rFonts w:hint="eastAsia" w:ascii="仿宋_GB2312" w:hAnsi="仿宋_GB2312" w:eastAsia="仿宋_GB2312" w:cs="仿宋_GB2312"/>
          <w:color w:val="auto"/>
          <w:sz w:val="24"/>
          <w:szCs w:val="24"/>
          <w:highlight w:val="none"/>
        </w:rPr>
        <w:t>车站安保</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5.5.2.1 </w:t>
      </w:r>
      <w:r>
        <w:rPr>
          <w:rFonts w:hint="eastAsia" w:ascii="仿宋_GB2312" w:hAnsi="仿宋_GB2312" w:eastAsia="仿宋_GB2312" w:cs="仿宋_GB2312"/>
          <w:color w:val="auto"/>
          <w:sz w:val="24"/>
          <w:szCs w:val="24"/>
          <w:highlight w:val="none"/>
        </w:rPr>
        <w:t>负责轨行区封闭化管理，有效隔离轨行区与站台、轨行区接管区段与未接管区段，规范人员出入轨行区作业，杜绝人员擅入轨行区。</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5.5.2.2 列车进站前，引导乘客站在黄色安全线以内候车，阻止乘客站在安全线以外、探头张望等不安全行为。</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5.5.2.3 列车进站后，引导乘客让开车门，先下后上，必要时进行推拉组织，推拉过程中，应事先提醒乘客，杜绝生拉硬拽。</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5.5.2.4 列车关门过程中，阻止乘客抢上抢下，关门后提醒候车乘客站在安全线以内候车，以免发生列车刮蹭事故。</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5.5.2.5 引导乘客分散上车，引导乘客往站台中间走。</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5.5.2.6 </w:t>
      </w:r>
      <w:r>
        <w:rPr>
          <w:rFonts w:hint="eastAsia" w:ascii="仿宋_GB2312" w:hAnsi="仿宋_GB2312" w:eastAsia="仿宋_GB2312" w:cs="仿宋_GB2312"/>
          <w:color w:val="auto"/>
          <w:sz w:val="24"/>
          <w:szCs w:val="24"/>
          <w:highlight w:val="none"/>
        </w:rPr>
        <w:t>当发生乘客物品掉下站台时，及时阻止乘客跳下站台捡拾物品，通知站务人员协助解决。</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5.5.2.7</w:t>
      </w:r>
      <w:r>
        <w:rPr>
          <w:rFonts w:hint="eastAsia" w:ascii="仿宋_GB2312" w:hAnsi="仿宋_GB2312" w:eastAsia="仿宋_GB2312" w:cs="仿宋_GB2312"/>
          <w:color w:val="auto"/>
          <w:sz w:val="24"/>
          <w:szCs w:val="24"/>
          <w:highlight w:val="none"/>
        </w:rPr>
        <w:t>加强宣传、疏导，理顺购票队伍，避免进、出站客流交叉。</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5.5.2.8</w:t>
      </w:r>
      <w:r>
        <w:rPr>
          <w:rFonts w:hint="eastAsia" w:ascii="仿宋_GB2312" w:hAnsi="仿宋_GB2312" w:eastAsia="仿宋_GB2312" w:cs="仿宋_GB2312"/>
          <w:color w:val="auto"/>
          <w:sz w:val="24"/>
          <w:szCs w:val="24"/>
          <w:highlight w:val="none"/>
        </w:rPr>
        <w:t>对购票乘客宣传提前准备好零钱或手机APP，加快购票速度。</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5.5.2.9</w:t>
      </w:r>
      <w:r>
        <w:rPr>
          <w:rFonts w:hint="eastAsia" w:ascii="仿宋_GB2312" w:hAnsi="仿宋_GB2312" w:eastAsia="仿宋_GB2312" w:cs="仿宋_GB2312"/>
          <w:color w:val="auto"/>
          <w:sz w:val="24"/>
          <w:szCs w:val="24"/>
          <w:highlight w:val="none"/>
        </w:rPr>
        <w:t>对进站乘客，宣传提前准备好单程车票卡、公交卡，刷卡顺序进站。</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5.5.2.10</w:t>
      </w:r>
      <w:r>
        <w:rPr>
          <w:rFonts w:hint="eastAsia" w:ascii="仿宋_GB2312" w:hAnsi="仿宋_GB2312" w:eastAsia="仿宋_GB2312" w:cs="仿宋_GB2312"/>
          <w:color w:val="auto"/>
          <w:sz w:val="24"/>
          <w:szCs w:val="24"/>
          <w:highlight w:val="none"/>
        </w:rPr>
        <w:t>及时疏导站厅内滞留乘客，防止造成拥堵。</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5.5.2.11加强巡视，发现有乘客将未过安检物品从非付费区递送至付费区时立即制止。</w:t>
      </w:r>
    </w:p>
    <w:p>
      <w:pPr>
        <w:pStyle w:val="17"/>
        <w:pageBreakBefore w:val="0"/>
        <w:kinsoku/>
        <w:wordWrap/>
        <w:overflowPunct/>
        <w:topLinePunct w:val="0"/>
        <w:autoSpaceDE/>
        <w:autoSpaceDN/>
        <w:bidi w:val="0"/>
        <w:spacing w:line="440" w:lineRule="exact"/>
        <w:ind w:firstLine="480" w:firstLineChars="200"/>
        <w:outlineLvl w:val="9"/>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5.5.2.12 </w:t>
      </w:r>
      <w:r>
        <w:rPr>
          <w:rFonts w:hint="eastAsia" w:ascii="仿宋_GB2312" w:hAnsi="仿宋_GB2312" w:eastAsia="仿宋_GB2312" w:cs="仿宋_GB2312"/>
          <w:color w:val="auto"/>
          <w:kern w:val="0"/>
          <w:sz w:val="24"/>
          <w:szCs w:val="24"/>
          <w:highlight w:val="none"/>
          <w:lang w:val="en-US" w:eastAsia="zh-CN"/>
        </w:rPr>
        <w:t>发现儿童、长者、携带行李、大型物品，或是婴儿手推车的乘客进出站时，及时引导其乘坐电梯。</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5.5.2.13</w:t>
      </w:r>
      <w:r>
        <w:rPr>
          <w:rFonts w:hint="eastAsia" w:ascii="仿宋_GB2312" w:hAnsi="仿宋_GB2312" w:eastAsia="仿宋_GB2312" w:cs="仿宋_GB2312"/>
          <w:color w:val="auto"/>
          <w:sz w:val="24"/>
          <w:szCs w:val="24"/>
          <w:highlight w:val="none"/>
        </w:rPr>
        <w:t>严格执行各项规章制度和安全规定，维护乘客乘梯秩序，认真做好宣传疏导工作。</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5.5.2.14</w:t>
      </w:r>
      <w:r>
        <w:rPr>
          <w:rFonts w:hint="eastAsia" w:ascii="仿宋_GB2312" w:hAnsi="仿宋_GB2312" w:eastAsia="仿宋_GB2312" w:cs="仿宋_GB2312"/>
          <w:color w:val="auto"/>
          <w:sz w:val="24"/>
          <w:szCs w:val="24"/>
          <w:highlight w:val="none"/>
        </w:rPr>
        <w:t>宣传乘客排队乘梯，靠右侧站立，劝阻乘客的不安全乘梯行为。</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5.5.2.15 </w:t>
      </w:r>
      <w:r>
        <w:rPr>
          <w:rFonts w:hint="eastAsia" w:ascii="仿宋_GB2312" w:hAnsi="仿宋_GB2312" w:eastAsia="仿宋_GB2312" w:cs="仿宋_GB2312"/>
          <w:color w:val="auto"/>
          <w:sz w:val="24"/>
          <w:szCs w:val="24"/>
          <w:highlight w:val="none"/>
        </w:rPr>
        <w:t>客流较大时，做好疏导乘客工作。</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5.5.2.16 </w:t>
      </w:r>
      <w:r>
        <w:rPr>
          <w:rFonts w:hint="eastAsia" w:ascii="仿宋_GB2312" w:hAnsi="仿宋_GB2312" w:eastAsia="仿宋_GB2312" w:cs="仿宋_GB2312"/>
          <w:color w:val="auto"/>
          <w:sz w:val="24"/>
          <w:szCs w:val="24"/>
          <w:highlight w:val="none"/>
        </w:rPr>
        <w:t>对车站各通道治安巡防，保证通道安全，出入口电梯看管有问题及时向车站报告。</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5.5.2.17</w:t>
      </w:r>
      <w:r>
        <w:rPr>
          <w:rFonts w:hint="eastAsia" w:ascii="仿宋_GB2312" w:hAnsi="仿宋_GB2312" w:eastAsia="仿宋_GB2312" w:cs="仿宋_GB2312"/>
          <w:color w:val="auto"/>
          <w:sz w:val="24"/>
          <w:szCs w:val="24"/>
          <w:highlight w:val="none"/>
        </w:rPr>
        <w:t>加强宣传疏导，使客流有序流动，避免客流交叉堵塞。及时劝阻通道、出入口滞留乘客，及时清理闲杂滞留人员，保证通道、出入口畅通，防止造成拥堵。</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5.5.2.18</w:t>
      </w:r>
      <w:r>
        <w:rPr>
          <w:rFonts w:hint="eastAsia" w:ascii="仿宋_GB2312" w:hAnsi="仿宋_GB2312" w:eastAsia="仿宋_GB2312" w:cs="仿宋_GB2312"/>
          <w:color w:val="auto"/>
          <w:sz w:val="24"/>
          <w:szCs w:val="24"/>
          <w:highlight w:val="none"/>
        </w:rPr>
        <w:t>负责对退出运营服务的列车进行清车，确保列车内无闲杂人员滞留，发现车内拾遗物品后转交车站工作人员处理。</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5.5.2.19</w:t>
      </w:r>
      <w:r>
        <w:rPr>
          <w:rFonts w:hint="eastAsia" w:ascii="仿宋_GB2312" w:hAnsi="仿宋_GB2312" w:eastAsia="仿宋_GB2312" w:cs="仿宋_GB2312"/>
          <w:color w:val="auto"/>
          <w:sz w:val="24"/>
          <w:szCs w:val="24"/>
          <w:highlight w:val="none"/>
        </w:rPr>
        <w:t>清车完毕后，需及时按要求向站台工作人员反馈清客完成情况。</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5.5.2.20 </w:t>
      </w:r>
      <w:r>
        <w:rPr>
          <w:rFonts w:hint="eastAsia" w:ascii="仿宋_GB2312" w:hAnsi="仿宋_GB2312" w:eastAsia="仿宋_GB2312" w:cs="仿宋_GB2312"/>
          <w:color w:val="auto"/>
          <w:sz w:val="24"/>
          <w:szCs w:val="24"/>
          <w:highlight w:val="none"/>
        </w:rPr>
        <w:t>协助车站工作人员做好对地铁车站出入口、通道、大厅、站台、厕所及车厢内乞讨、卖艺、兜售商品、发放宣传品、拾荒、非法派送物品等人员的清理工作。</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5.5.2.21</w:t>
      </w:r>
      <w:r>
        <w:rPr>
          <w:rFonts w:hint="eastAsia" w:ascii="仿宋_GB2312" w:hAnsi="仿宋_GB2312" w:eastAsia="仿宋_GB2312" w:cs="仿宋_GB2312"/>
          <w:color w:val="auto"/>
          <w:sz w:val="24"/>
          <w:szCs w:val="24"/>
          <w:highlight w:val="none"/>
        </w:rPr>
        <w:t>协助车站工作人员做好乘客票证的稽查工作。</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5.5.2.22</w:t>
      </w:r>
      <w:r>
        <w:rPr>
          <w:rFonts w:hint="eastAsia" w:ascii="仿宋_GB2312" w:hAnsi="仿宋_GB2312" w:eastAsia="仿宋_GB2312" w:cs="仿宋_GB2312"/>
          <w:color w:val="auto"/>
          <w:sz w:val="24"/>
          <w:szCs w:val="24"/>
          <w:highlight w:val="none"/>
        </w:rPr>
        <w:t>遇有乘客聚集发生争吵等情况，要主动上前询问、劝阻，防止造成围观，扩大事态。</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5.5.2.23</w:t>
      </w:r>
      <w:r>
        <w:rPr>
          <w:rFonts w:hint="eastAsia" w:ascii="仿宋_GB2312" w:hAnsi="仿宋_GB2312" w:eastAsia="仿宋_GB2312" w:cs="仿宋_GB2312"/>
          <w:color w:val="auto"/>
          <w:sz w:val="24"/>
          <w:szCs w:val="24"/>
          <w:highlight w:val="none"/>
        </w:rPr>
        <w:t>配合车站宣传爱心预约服务，并协助车站完成爱心预约工作。</w:t>
      </w:r>
    </w:p>
    <w:p>
      <w:pPr>
        <w:pageBreakBefore w:val="0"/>
        <w:kinsoku/>
        <w:wordWrap/>
        <w:overflowPunct/>
        <w:topLinePunct w:val="0"/>
        <w:autoSpaceDE/>
        <w:autoSpaceDN/>
        <w:bidi w:val="0"/>
        <w:snapToGrid w:val="0"/>
        <w:spacing w:line="440" w:lineRule="exact"/>
        <w:ind w:left="0"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5.5.3 越兴路</w:t>
      </w:r>
      <w:r>
        <w:rPr>
          <w:rFonts w:hint="eastAsia" w:ascii="仿宋_GB2312" w:hAnsi="仿宋_GB2312" w:eastAsia="仿宋_GB2312" w:cs="仿宋_GB2312"/>
          <w:color w:val="auto"/>
          <w:sz w:val="24"/>
          <w:szCs w:val="24"/>
          <w:highlight w:val="none"/>
        </w:rPr>
        <w:t xml:space="preserve">主变电所安保 </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5.5.3.1</w:t>
      </w:r>
      <w:r>
        <w:rPr>
          <w:rFonts w:hint="eastAsia" w:ascii="仿宋_GB2312" w:hAnsi="仿宋_GB2312" w:eastAsia="仿宋_GB2312" w:cs="仿宋_GB2312"/>
          <w:color w:val="auto"/>
          <w:sz w:val="24"/>
          <w:szCs w:val="24"/>
          <w:highlight w:val="none"/>
        </w:rPr>
        <w:t>负责主变电所围墙范围内安保管理，开展不安定因素的排查与巡逻工作。</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5.5.3.2</w:t>
      </w:r>
      <w:r>
        <w:rPr>
          <w:rFonts w:hint="eastAsia" w:ascii="仿宋_GB2312" w:hAnsi="仿宋_GB2312" w:eastAsia="仿宋_GB2312" w:cs="仿宋_GB2312"/>
          <w:color w:val="auto"/>
          <w:sz w:val="24"/>
          <w:szCs w:val="24"/>
          <w:highlight w:val="none"/>
        </w:rPr>
        <w:t>对外来人员进行盘问及进出登记，禁止无关人员进入变电所区域</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5.5.3.3</w:t>
      </w:r>
      <w:r>
        <w:rPr>
          <w:rFonts w:hint="eastAsia" w:ascii="仿宋_GB2312" w:hAnsi="仿宋_GB2312" w:eastAsia="仿宋_GB2312" w:cs="仿宋_GB2312"/>
          <w:color w:val="auto"/>
          <w:sz w:val="24"/>
          <w:szCs w:val="24"/>
          <w:highlight w:val="none"/>
        </w:rPr>
        <w:t>检查消防设施是否完好，及时消除火灾隐患。</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5.5.3.4</w:t>
      </w:r>
      <w:r>
        <w:rPr>
          <w:rFonts w:hint="eastAsia" w:ascii="仿宋_GB2312" w:hAnsi="仿宋_GB2312" w:eastAsia="仿宋_GB2312" w:cs="仿宋_GB2312"/>
          <w:color w:val="auto"/>
          <w:sz w:val="24"/>
          <w:szCs w:val="24"/>
          <w:highlight w:val="none"/>
        </w:rPr>
        <w:t>负责消控室值守，需要时操作消控室设备。</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5.5.3.5</w:t>
      </w:r>
      <w:r>
        <w:rPr>
          <w:rFonts w:hint="eastAsia" w:ascii="仿宋_GB2312" w:hAnsi="仿宋_GB2312" w:eastAsia="仿宋_GB2312" w:cs="仿宋_GB2312"/>
          <w:color w:val="auto"/>
          <w:sz w:val="24"/>
          <w:szCs w:val="24"/>
          <w:highlight w:val="none"/>
        </w:rPr>
        <w:t>发生案件或突发事件，及时向公司及公安机关报告，并积极处置。</w:t>
      </w:r>
    </w:p>
    <w:p>
      <w:pPr>
        <w:pageBreakBefore w:val="0"/>
        <w:kinsoku/>
        <w:wordWrap/>
        <w:overflowPunct/>
        <w:topLinePunct w:val="0"/>
        <w:autoSpaceDE/>
        <w:autoSpaceDN/>
        <w:bidi w:val="0"/>
        <w:snapToGrid w:val="0"/>
        <w:spacing w:line="440" w:lineRule="exact"/>
        <w:ind w:left="0"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5.5.4 豆姜</w:t>
      </w:r>
      <w:r>
        <w:rPr>
          <w:rFonts w:hint="eastAsia" w:ascii="仿宋_GB2312" w:hAnsi="仿宋_GB2312" w:eastAsia="仿宋_GB2312" w:cs="仿宋_GB2312"/>
          <w:color w:val="auto"/>
          <w:sz w:val="24"/>
          <w:szCs w:val="24"/>
          <w:highlight w:val="none"/>
        </w:rPr>
        <w:t>线上停检线安保</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5.5.4.1</w:t>
      </w:r>
      <w:r>
        <w:rPr>
          <w:rFonts w:hint="eastAsia" w:ascii="仿宋_GB2312" w:hAnsi="仿宋_GB2312" w:eastAsia="仿宋_GB2312" w:cs="仿宋_GB2312"/>
          <w:color w:val="auto"/>
          <w:sz w:val="24"/>
          <w:szCs w:val="24"/>
          <w:highlight w:val="none"/>
        </w:rPr>
        <w:t>负责停检线出入口的安保工作，所有出入人员必须按照规定持相关手续从指定入口进入。未经许可，严禁任何人员进入停检线。</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5.5.4.2</w:t>
      </w:r>
      <w:r>
        <w:rPr>
          <w:rFonts w:hint="eastAsia" w:ascii="仿宋_GB2312" w:hAnsi="仿宋_GB2312" w:eastAsia="仿宋_GB2312" w:cs="仿宋_GB2312"/>
          <w:color w:val="auto"/>
          <w:sz w:val="24"/>
          <w:szCs w:val="24"/>
          <w:highlight w:val="none"/>
        </w:rPr>
        <w:t>负责出入口周边工作区域的日常巡视及消防检查工作。</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5.5.4.3</w:t>
      </w:r>
      <w:r>
        <w:rPr>
          <w:rFonts w:hint="eastAsia" w:ascii="仿宋_GB2312" w:hAnsi="仿宋_GB2312" w:eastAsia="仿宋_GB2312" w:cs="仿宋_GB2312"/>
          <w:color w:val="auto"/>
          <w:sz w:val="24"/>
          <w:szCs w:val="24"/>
          <w:highlight w:val="none"/>
        </w:rPr>
        <w:t>提高警惕，注意发现可疑人、可疑物品，发现可疑情况应按照规定及时处理并迅速上报。</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5.5.4.4</w:t>
      </w:r>
      <w:r>
        <w:rPr>
          <w:rFonts w:hint="eastAsia" w:ascii="仿宋_GB2312" w:hAnsi="仿宋_GB2312" w:eastAsia="仿宋_GB2312" w:cs="仿宋_GB2312"/>
          <w:color w:val="auto"/>
          <w:sz w:val="24"/>
          <w:szCs w:val="24"/>
          <w:highlight w:val="none"/>
        </w:rPr>
        <w:t>配合属地部门开展其他的后勤保障工作。</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5.5.4.5</w:t>
      </w:r>
      <w:r>
        <w:rPr>
          <w:rFonts w:hint="eastAsia" w:ascii="仿宋_GB2312" w:hAnsi="仿宋_GB2312" w:eastAsia="仿宋_GB2312" w:cs="仿宋_GB2312"/>
          <w:color w:val="auto"/>
          <w:sz w:val="24"/>
          <w:szCs w:val="24"/>
          <w:highlight w:val="none"/>
        </w:rPr>
        <w:t>负责停检线区域的日常巡视及安保、消防检查等工作，重点对停检线区域与正线交界处进行卡控和检查。</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5.5.4.6</w:t>
      </w:r>
      <w:r>
        <w:rPr>
          <w:rFonts w:hint="eastAsia" w:ascii="仿宋_GB2312" w:hAnsi="仿宋_GB2312" w:eastAsia="仿宋_GB2312" w:cs="仿宋_GB2312"/>
          <w:color w:val="auto"/>
          <w:sz w:val="24"/>
          <w:szCs w:val="24"/>
          <w:highlight w:val="none"/>
        </w:rPr>
        <w:t>负责停检线区域内工作人员与非工作人员的甄别，发现非法闯入轨行区或非工作人员进入，需按照规定进行第一时间处置和上报。</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5.5.4.7</w:t>
      </w:r>
      <w:r>
        <w:rPr>
          <w:rFonts w:hint="eastAsia" w:ascii="仿宋_GB2312" w:hAnsi="仿宋_GB2312" w:eastAsia="仿宋_GB2312" w:cs="仿宋_GB2312"/>
          <w:color w:val="auto"/>
          <w:sz w:val="24"/>
          <w:szCs w:val="24"/>
          <w:highlight w:val="none"/>
        </w:rPr>
        <w:t>配合属地部门开展其他的后勤保障工作。</w:t>
      </w:r>
    </w:p>
    <w:p>
      <w:pPr>
        <w:pageBreakBefore w:val="0"/>
        <w:kinsoku/>
        <w:wordWrap/>
        <w:overflowPunct/>
        <w:topLinePunct w:val="0"/>
        <w:autoSpaceDE/>
        <w:autoSpaceDN/>
        <w:bidi w:val="0"/>
        <w:snapToGrid w:val="0"/>
        <w:spacing w:line="440" w:lineRule="exact"/>
        <w:ind w:left="0"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5.5.5 万绣路</w:t>
      </w:r>
      <w:r>
        <w:rPr>
          <w:rFonts w:hint="eastAsia" w:ascii="仿宋_GB2312" w:hAnsi="仿宋_GB2312" w:eastAsia="仿宋_GB2312" w:cs="仿宋_GB2312"/>
          <w:color w:val="auto"/>
          <w:sz w:val="24"/>
          <w:szCs w:val="24"/>
          <w:highlight w:val="none"/>
        </w:rPr>
        <w:t>车辆基地安保</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5.5.5.1</w:t>
      </w:r>
      <w:r>
        <w:rPr>
          <w:rFonts w:hint="eastAsia" w:ascii="仿宋_GB2312" w:hAnsi="仿宋_GB2312" w:eastAsia="仿宋_GB2312" w:cs="仿宋_GB2312"/>
          <w:color w:val="auto"/>
          <w:sz w:val="24"/>
          <w:szCs w:val="24"/>
          <w:highlight w:val="none"/>
        </w:rPr>
        <w:t>重点负责万绣路车辆基地2号线一期车辆、物资等存放区域的日常巡视及安保管理，发现应急情况，第一时间按规定报送信息。</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5.5.5.2 </w:t>
      </w:r>
      <w:r>
        <w:rPr>
          <w:rFonts w:hint="eastAsia" w:ascii="仿宋_GB2312" w:hAnsi="仿宋_GB2312" w:eastAsia="仿宋_GB2312" w:cs="仿宋_GB2312"/>
          <w:color w:val="auto"/>
          <w:sz w:val="24"/>
          <w:szCs w:val="24"/>
          <w:highlight w:val="none"/>
        </w:rPr>
        <w:t>做好2号线一期车辆的登乘管理，非2号线一期业务工作人员禁止随意登车。</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5.5.5.3 </w:t>
      </w:r>
      <w:r>
        <w:rPr>
          <w:rFonts w:hint="eastAsia" w:ascii="仿宋_GB2312" w:hAnsi="仿宋_GB2312" w:eastAsia="仿宋_GB2312" w:cs="仿宋_GB2312"/>
          <w:color w:val="auto"/>
          <w:sz w:val="24"/>
          <w:szCs w:val="24"/>
          <w:highlight w:val="none"/>
        </w:rPr>
        <w:t>配合运营单位做好其他属地的后勤保障工作。</w:t>
      </w:r>
    </w:p>
    <w:p>
      <w:pPr>
        <w:pageBreakBefore w:val="0"/>
        <w:kinsoku/>
        <w:wordWrap/>
        <w:overflowPunct/>
        <w:topLinePunct w:val="0"/>
        <w:autoSpaceDE/>
        <w:autoSpaceDN/>
        <w:bidi w:val="0"/>
        <w:snapToGrid w:val="0"/>
        <w:spacing w:line="440" w:lineRule="exact"/>
        <w:ind w:left="480" w:firstLine="158" w:firstLineChars="0"/>
        <w:textAlignment w:val="baseline"/>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5.5.6 机动备班岗</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default"/>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5.5.6.1 根据运营单位需求，落实保安员相关岗位职责。</w:t>
      </w:r>
    </w:p>
    <w:p>
      <w:pPr>
        <w:pageBreakBefore w:val="0"/>
        <w:kinsoku/>
        <w:wordWrap/>
        <w:overflowPunct/>
        <w:topLinePunct w:val="0"/>
        <w:autoSpaceDE/>
        <w:autoSpaceDN/>
        <w:bidi w:val="0"/>
        <w:snapToGrid w:val="0"/>
        <w:spacing w:line="440" w:lineRule="exact"/>
        <w:ind w:left="0"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5.6 </w:t>
      </w:r>
      <w:r>
        <w:rPr>
          <w:rFonts w:hint="eastAsia" w:ascii="仿宋_GB2312" w:hAnsi="仿宋_GB2312" w:eastAsia="仿宋_GB2312" w:cs="仿宋_GB2312"/>
          <w:color w:val="auto"/>
          <w:sz w:val="24"/>
          <w:szCs w:val="24"/>
          <w:highlight w:val="none"/>
        </w:rPr>
        <w:t>安检员</w:t>
      </w:r>
    </w:p>
    <w:p>
      <w:pPr>
        <w:pageBreakBefore w:val="0"/>
        <w:kinsoku/>
        <w:wordWrap/>
        <w:overflowPunct/>
        <w:topLinePunct w:val="0"/>
        <w:autoSpaceDE/>
        <w:autoSpaceDN/>
        <w:bidi w:val="0"/>
        <w:snapToGrid w:val="0"/>
        <w:spacing w:line="440" w:lineRule="exact"/>
        <w:ind w:left="0"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5.6.1 </w:t>
      </w:r>
      <w:r>
        <w:rPr>
          <w:rFonts w:hint="eastAsia" w:ascii="仿宋_GB2312" w:hAnsi="仿宋_GB2312" w:eastAsia="仿宋_GB2312" w:cs="仿宋_GB2312"/>
          <w:color w:val="auto"/>
          <w:sz w:val="24"/>
          <w:szCs w:val="24"/>
          <w:highlight w:val="none"/>
        </w:rPr>
        <w:t>通用要求</w:t>
      </w:r>
    </w:p>
    <w:p>
      <w:pPr>
        <w:pageBreakBefore w:val="0"/>
        <w:kinsoku/>
        <w:wordWrap/>
        <w:overflowPunct/>
        <w:topLinePunct w:val="0"/>
        <w:autoSpaceDE/>
        <w:autoSpaceDN/>
        <w:bidi w:val="0"/>
        <w:spacing w:line="440" w:lineRule="exact"/>
        <w:ind w:firstLine="480" w:firstLineChars="200"/>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5.6.1.1根据车站防疫政策要求，落实相关防疫查验工作</w:t>
      </w:r>
    </w:p>
    <w:p>
      <w:pPr>
        <w:pageBreakBefore w:val="0"/>
        <w:kinsoku/>
        <w:wordWrap/>
        <w:overflowPunct/>
        <w:topLinePunct w:val="0"/>
        <w:autoSpaceDE/>
        <w:autoSpaceDN/>
        <w:bidi w:val="0"/>
        <w:spacing w:line="440" w:lineRule="exact"/>
        <w:ind w:firstLine="480"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5.6.1.2</w:t>
      </w:r>
      <w:r>
        <w:rPr>
          <w:rFonts w:hint="eastAsia" w:ascii="仿宋_GB2312" w:hAnsi="仿宋_GB2312" w:eastAsia="仿宋_GB2312" w:cs="仿宋_GB2312"/>
          <w:color w:val="auto"/>
          <w:sz w:val="24"/>
          <w:szCs w:val="24"/>
          <w:highlight w:val="none"/>
        </w:rPr>
        <w:t>发现受检人携带禁带物品的，应当立即报告公安机关，并将该物品置于危险物品存储设备内。</w:t>
      </w:r>
    </w:p>
    <w:p>
      <w:pPr>
        <w:pageBreakBefore w:val="0"/>
        <w:kinsoku/>
        <w:wordWrap/>
        <w:overflowPunct/>
        <w:topLinePunct w:val="0"/>
        <w:autoSpaceDE/>
        <w:autoSpaceDN/>
        <w:bidi w:val="0"/>
        <w:spacing w:line="440" w:lineRule="exact"/>
        <w:ind w:firstLine="480"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5.6.1.3</w:t>
      </w:r>
      <w:r>
        <w:rPr>
          <w:rFonts w:hint="eastAsia" w:ascii="仿宋_GB2312" w:hAnsi="仿宋_GB2312" w:eastAsia="仿宋_GB2312" w:cs="仿宋_GB2312"/>
          <w:color w:val="auto"/>
          <w:sz w:val="24"/>
          <w:szCs w:val="24"/>
          <w:highlight w:val="none"/>
        </w:rPr>
        <w:t>对安检查获的危险违禁品应逐一登记造册，包括物品名称种类、查获日期、物主基本信息等。</w:t>
      </w:r>
    </w:p>
    <w:p>
      <w:pPr>
        <w:pageBreakBefore w:val="0"/>
        <w:kinsoku/>
        <w:wordWrap/>
        <w:overflowPunct/>
        <w:topLinePunct w:val="0"/>
        <w:autoSpaceDE/>
        <w:autoSpaceDN/>
        <w:bidi w:val="0"/>
        <w:spacing w:line="440" w:lineRule="exact"/>
        <w:ind w:firstLine="480"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5.6.1.4</w:t>
      </w:r>
      <w:r>
        <w:rPr>
          <w:rFonts w:hint="eastAsia" w:ascii="仿宋_GB2312" w:hAnsi="仿宋_GB2312" w:eastAsia="仿宋_GB2312" w:cs="仿宋_GB2312"/>
          <w:color w:val="auto"/>
          <w:sz w:val="24"/>
          <w:szCs w:val="24"/>
          <w:highlight w:val="none"/>
        </w:rPr>
        <w:t>孕妇、安装心脏起搏器的乘客及残障人士进行安检时，应按照常规安检方法或采取徒手探或直观查相结合的方式实施安检。</w:t>
      </w:r>
    </w:p>
    <w:p>
      <w:pPr>
        <w:pageBreakBefore w:val="0"/>
        <w:kinsoku/>
        <w:wordWrap/>
        <w:overflowPunct/>
        <w:topLinePunct w:val="0"/>
        <w:autoSpaceDE/>
        <w:autoSpaceDN/>
        <w:bidi w:val="0"/>
        <w:spacing w:line="440" w:lineRule="exact"/>
        <w:ind w:firstLine="480"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5.6.1.5</w:t>
      </w:r>
      <w:r>
        <w:rPr>
          <w:rFonts w:hint="eastAsia" w:ascii="仿宋_GB2312" w:hAnsi="仿宋_GB2312" w:eastAsia="仿宋_GB2312" w:cs="仿宋_GB2312"/>
          <w:color w:val="auto"/>
          <w:sz w:val="24"/>
          <w:szCs w:val="24"/>
          <w:highlight w:val="none"/>
        </w:rPr>
        <w:t>对1.2米以下儿童安检时，安检人员应采取直观检查的方法对其人身进行检查。发现可疑情况无法排除，应当通知随行法定监护人或应当承担临时监护责任的成年人后，对儿童进行徒手检查，无相关监护责任人的，应当及时通知公安机关。</w:t>
      </w:r>
    </w:p>
    <w:p>
      <w:pPr>
        <w:pageBreakBefore w:val="0"/>
        <w:kinsoku/>
        <w:wordWrap/>
        <w:overflowPunct/>
        <w:topLinePunct w:val="0"/>
        <w:autoSpaceDE/>
        <w:autoSpaceDN/>
        <w:bidi w:val="0"/>
        <w:spacing w:line="440" w:lineRule="exact"/>
        <w:ind w:firstLine="480"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5.6.1.6</w:t>
      </w:r>
      <w:r>
        <w:rPr>
          <w:rFonts w:hint="eastAsia" w:ascii="仿宋_GB2312" w:hAnsi="仿宋_GB2312" w:eastAsia="仿宋_GB2312" w:cs="仿宋_GB2312"/>
          <w:color w:val="auto"/>
          <w:sz w:val="24"/>
          <w:szCs w:val="24"/>
          <w:highlight w:val="none"/>
        </w:rPr>
        <w:t>发生《关于绍兴市轨道交通安全检查的指导性意见》应当立即报告运营单位及公安机关的项目，安检人员应采取必要的先期处置措施，并配合公安机关做好相关处置工作，维护好站内秩序。</w:t>
      </w:r>
    </w:p>
    <w:p>
      <w:pPr>
        <w:pageBreakBefore w:val="0"/>
        <w:kinsoku/>
        <w:wordWrap/>
        <w:overflowPunct/>
        <w:topLinePunct w:val="0"/>
        <w:autoSpaceDE/>
        <w:autoSpaceDN/>
        <w:bidi w:val="0"/>
        <w:spacing w:line="440" w:lineRule="exact"/>
        <w:ind w:firstLine="480"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5.6.1.7</w:t>
      </w:r>
      <w:r>
        <w:rPr>
          <w:rFonts w:hint="eastAsia" w:ascii="仿宋_GB2312" w:hAnsi="仿宋_GB2312" w:eastAsia="仿宋_GB2312" w:cs="仿宋_GB2312"/>
          <w:color w:val="auto"/>
          <w:sz w:val="24"/>
          <w:szCs w:val="24"/>
          <w:highlight w:val="none"/>
        </w:rPr>
        <w:t>安检设备发生故障时，现场安检人员应当立即报告车站负责人，尽快恢复设备。同时，根据实际情况，及时组织开展人工检查或引导至其他安检通道进行检查。</w:t>
      </w:r>
    </w:p>
    <w:p>
      <w:pPr>
        <w:pageBreakBefore w:val="0"/>
        <w:kinsoku/>
        <w:wordWrap/>
        <w:overflowPunct/>
        <w:topLinePunct w:val="0"/>
        <w:autoSpaceDE/>
        <w:autoSpaceDN/>
        <w:bidi w:val="0"/>
        <w:spacing w:line="440" w:lineRule="exact"/>
        <w:ind w:firstLine="480" w:firstLineChars="200"/>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5.6.1.8</w:t>
      </w:r>
      <w:r>
        <w:rPr>
          <w:rFonts w:hint="eastAsia" w:ascii="仿宋_GB2312" w:hAnsi="仿宋_GB2312" w:eastAsia="仿宋_GB2312" w:cs="仿宋_GB2312"/>
          <w:color w:val="auto"/>
          <w:sz w:val="24"/>
          <w:szCs w:val="24"/>
          <w:highlight w:val="none"/>
        </w:rPr>
        <w:t>安检工作站（点）发生人员拥挤时，现场安检人员应当立即报告运营单位车站负责人，迅速采取增开人工检查通道、设置蛇形通道等措施提高安检通过速度，并立即采取限制客流等措施。</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5.6.1.9</w:t>
      </w:r>
      <w:r>
        <w:rPr>
          <w:rFonts w:hint="eastAsia" w:ascii="仿宋_GB2312" w:hAnsi="仿宋_GB2312" w:eastAsia="仿宋_GB2312" w:cs="仿宋_GB2312"/>
          <w:color w:val="auto"/>
          <w:sz w:val="24"/>
          <w:szCs w:val="24"/>
          <w:highlight w:val="none"/>
        </w:rPr>
        <w:t>配合车站</w:t>
      </w:r>
      <w:r>
        <w:rPr>
          <w:rFonts w:hint="eastAsia" w:ascii="仿宋_GB2312" w:hAnsi="仿宋_GB2312" w:eastAsia="仿宋_GB2312" w:cs="仿宋_GB2312"/>
          <w:color w:val="auto"/>
          <w:sz w:val="24"/>
          <w:szCs w:val="24"/>
          <w:highlight w:val="none"/>
          <w:lang w:val="en-US" w:eastAsia="zh-CN"/>
        </w:rPr>
        <w:t>做好乘客服务工作，</w:t>
      </w:r>
      <w:r>
        <w:rPr>
          <w:rFonts w:hint="eastAsia" w:ascii="仿宋_GB2312" w:hAnsi="仿宋_GB2312" w:eastAsia="仿宋_GB2312" w:cs="仿宋_GB2312"/>
          <w:color w:val="auto"/>
          <w:sz w:val="24"/>
          <w:szCs w:val="24"/>
          <w:highlight w:val="none"/>
        </w:rPr>
        <w:t>宣传爱心预约服务，并协助车站完成爱心预约工作。</w:t>
      </w:r>
      <w:r>
        <w:rPr>
          <w:rFonts w:hint="eastAsia" w:ascii="仿宋_GB2312" w:hAnsi="仿宋_GB2312" w:eastAsia="仿宋_GB2312" w:cs="仿宋_GB2312"/>
          <w:color w:val="auto"/>
          <w:kern w:val="0"/>
          <w:sz w:val="24"/>
          <w:szCs w:val="24"/>
          <w:highlight w:val="none"/>
          <w:lang w:val="en-US" w:eastAsia="zh-CN"/>
        </w:rPr>
        <w:t>发现儿童、长者、携带行李、大型物品，或是婴儿手推车的乘客进出站时，及时引导其乘坐电梯。</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5.6.1.10发现有乘客将未过安检物品从非付费区递送至付费区时立即制止。</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5.6.1.11根据《</w:t>
      </w:r>
      <w:r>
        <w:rPr>
          <w:rFonts w:hint="eastAsia" w:ascii="仿宋_GB2312" w:hAnsi="仿宋_GB2312" w:eastAsia="仿宋_GB2312" w:cs="仿宋_GB2312"/>
          <w:color w:val="auto"/>
          <w:sz w:val="24"/>
          <w:szCs w:val="24"/>
          <w:highlight w:val="none"/>
        </w:rPr>
        <w:t>关于绍兴市轨道交通安全检查的指导性意见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要求执行安检工作。</w:t>
      </w:r>
    </w:p>
    <w:p>
      <w:pPr>
        <w:pageBreakBefore w:val="0"/>
        <w:kinsoku/>
        <w:wordWrap/>
        <w:overflowPunct/>
        <w:topLinePunct w:val="0"/>
        <w:autoSpaceDE/>
        <w:autoSpaceDN/>
        <w:bidi w:val="0"/>
        <w:snapToGrid w:val="0"/>
        <w:spacing w:line="440" w:lineRule="exact"/>
        <w:ind w:firstLine="480" w:firstLineChars="200"/>
        <w:textAlignment w:val="baseline"/>
        <w:outlineLvl w:val="9"/>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5.6.1.12每班需指定一名班长，班长兼顾车站安保巡查工作。</w:t>
      </w:r>
    </w:p>
    <w:p>
      <w:pPr>
        <w:pageBreakBefore w:val="0"/>
        <w:kinsoku/>
        <w:wordWrap/>
        <w:overflowPunct/>
        <w:topLinePunct w:val="0"/>
        <w:autoSpaceDE/>
        <w:autoSpaceDN/>
        <w:bidi w:val="0"/>
        <w:snapToGrid w:val="0"/>
        <w:spacing w:line="440" w:lineRule="exact"/>
        <w:ind w:left="0" w:firstLine="480" w:firstLineChars="200"/>
        <w:textAlignment w:val="baseline"/>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5.6.2 </w:t>
      </w:r>
      <w:r>
        <w:rPr>
          <w:rFonts w:hint="eastAsia" w:ascii="仿宋_GB2312" w:hAnsi="仿宋_GB2312" w:eastAsia="仿宋_GB2312" w:cs="仿宋_GB2312"/>
          <w:color w:val="auto"/>
          <w:sz w:val="24"/>
          <w:szCs w:val="24"/>
          <w:highlight w:val="none"/>
        </w:rPr>
        <w:t>机动备班岗</w:t>
      </w:r>
    </w:p>
    <w:p>
      <w:pPr>
        <w:pageBreakBefore w:val="0"/>
        <w:kinsoku/>
        <w:wordWrap/>
        <w:overflowPunct/>
        <w:topLinePunct w:val="0"/>
        <w:autoSpaceDE/>
        <w:autoSpaceDN/>
        <w:bidi w:val="0"/>
        <w:spacing w:line="440" w:lineRule="exact"/>
        <w:ind w:left="0" w:firstLine="480" w:firstLineChars="200"/>
        <w:textAlignment w:val="baseline"/>
        <w:outlineLvl w:val="9"/>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5.6.2.1根据运营单位需求，落实安检员相关岗位职责。</w:t>
      </w:r>
    </w:p>
    <w:p>
      <w:pPr>
        <w:pStyle w:val="5"/>
        <w:pageBreakBefore w:val="0"/>
        <w:kinsoku/>
        <w:wordWrap/>
        <w:overflowPunct/>
        <w:topLinePunct w:val="0"/>
        <w:autoSpaceDE/>
        <w:autoSpaceDN/>
        <w:bidi w:val="0"/>
        <w:spacing w:line="440" w:lineRule="exact"/>
        <w:ind w:left="0" w:firstLine="482" w:firstLineChars="200"/>
        <w:textAlignment w:val="baseline"/>
        <w:outlineLvl w:val="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六、</w:t>
      </w:r>
      <w:r>
        <w:rPr>
          <w:rFonts w:hint="eastAsia" w:ascii="仿宋_GB2312" w:hAnsi="仿宋_GB2312" w:eastAsia="仿宋_GB2312" w:cs="仿宋_GB2312"/>
          <w:color w:val="auto"/>
          <w:sz w:val="24"/>
          <w:szCs w:val="24"/>
          <w:highlight w:val="none"/>
        </w:rPr>
        <w:t>服务时间</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6.1 </w:t>
      </w:r>
      <w:r>
        <w:rPr>
          <w:rFonts w:hint="eastAsia" w:ascii="仿宋_GB2312" w:hAnsi="仿宋_GB2312" w:eastAsia="仿宋_GB2312" w:cs="仿宋_GB2312"/>
          <w:color w:val="auto"/>
          <w:sz w:val="24"/>
          <w:szCs w:val="24"/>
          <w:highlight w:val="none"/>
        </w:rPr>
        <w:t>保安人员服务时间为</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24小时。</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6.2 安检人员服务时间每周7天，A岗工作时间为07：30-21：30，B工作时间为运营开始—运营结束。（每天地铁运营前半小时进行安检机的开机工作）。</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6.3 </w:t>
      </w:r>
      <w:r>
        <w:rPr>
          <w:rFonts w:hint="eastAsia" w:ascii="仿宋_GB2312" w:hAnsi="仿宋_GB2312" w:eastAsia="仿宋_GB2312" w:cs="仿宋_GB2312"/>
          <w:color w:val="auto"/>
          <w:sz w:val="24"/>
          <w:szCs w:val="24"/>
          <w:highlight w:val="none"/>
        </w:rPr>
        <w:t>重点运输阶段等特殊情况下，应听从运营单位统一指挥，延长服务工作时间，投标人因延长服务工作时间所产生的费用包含在合同价款之中。</w:t>
      </w:r>
    </w:p>
    <w:p>
      <w:pPr>
        <w:pStyle w:val="5"/>
        <w:pageBreakBefore w:val="0"/>
        <w:kinsoku/>
        <w:wordWrap/>
        <w:overflowPunct/>
        <w:topLinePunct w:val="0"/>
        <w:autoSpaceDE/>
        <w:autoSpaceDN/>
        <w:bidi w:val="0"/>
        <w:snapToGrid w:val="0"/>
        <w:spacing w:before="0" w:line="440" w:lineRule="exact"/>
        <w:ind w:left="0" w:firstLine="482" w:firstLineChars="200"/>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七、服务要求</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7.1 劳动纪律</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7.1.1 严格遵守分公司各项管理制度。</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7.1.2 不得侵占公司、乘客、外来人员财物。</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7.1.3 服从车站属地化的工作安排，参加车站每日交接班会议。</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7.1.4 在安检过程中需严格按照操作流程和站位要求进行作业。</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7.2 工作形象</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7.2.1 在岗期间须统一服装、标志整齐，不得混穿其它服装,装备按标准配置。</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7.2.2 在工作时间内需保持仪容仪表整齐、清洁，不佩夸张戴饰，行、站、坐姿均需按标准执行。</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7.2.3 在工作期间需保持言谈举止文明，严禁嬉戏打闹，聚岗聊天，自觉维护分公司及车站形象。</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7.2.4 在工作期间不得做与工作无关的事情，如看书、看报、听广播、玩手机、睡觉、在岗吃东西、外出就餐等违反工作纪律行为。</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7.2.5 安检过程中保持良好服务态度，严禁怠慢、谩骂乘客等有损服务形象的行为。</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7.3 工作质量</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7.3.1 安检工作要求“逢包必检、逢液必查、逢疑必问”，安检率要求达到100%无漏检。</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7.3.2 对内、对外的工作联系应谦恭合作，待人接物应热情有礼，使用礼貌规范用语。</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7.3.3 处理问题时要坚持原则，分清是非，实事求是，发现问题及时汇报、处理, 无乘客、员工合理投诉。</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7.3.4 严格在法律规定的范围内开展服务工作，不准超越职责权限。</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7.3.5 对各类台账按标准进行填写，不得伪造台账。</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7.4 装备、设备使用情况</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7.4.1 按要求使用、交接、保管安保设备、设施，保障设备、设施完好、有效、在位。</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7.4.2 借用车站设备如有损坏，负责赔偿。</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7.5 应急管理</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7.5.1 保安、安检人员纳入车站应急管理处置力量。</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7.6 业务培训</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7.6.1 投标人每月定期组织保安、安检人员学习国家相关法律法规及运营分公司相关制度，以纸质、影像材料、签到表形式汇总留存，并定期向运营公司报备。</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7.6.2 投标人需确保保安、安检人员熟练掌握与工作有关设备的操作与简单维护，能处理一些基本、突发的简单故障，并经过岗前培训、持证上岗。</w:t>
      </w:r>
    </w:p>
    <w:p>
      <w:pPr>
        <w:pStyle w:val="5"/>
        <w:pageBreakBefore w:val="0"/>
        <w:kinsoku/>
        <w:wordWrap/>
        <w:overflowPunct/>
        <w:topLinePunct w:val="0"/>
        <w:autoSpaceDE/>
        <w:autoSpaceDN/>
        <w:bidi w:val="0"/>
        <w:snapToGrid w:val="0"/>
        <w:spacing w:before="0" w:line="440" w:lineRule="exact"/>
        <w:ind w:left="0" w:firstLine="482"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项目管理</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8.1 </w:t>
      </w:r>
      <w:r>
        <w:rPr>
          <w:rFonts w:hint="eastAsia" w:ascii="仿宋_GB2312" w:hAnsi="仿宋_GB2312" w:eastAsia="仿宋_GB2312" w:cs="仿宋_GB2312"/>
          <w:color w:val="auto"/>
          <w:sz w:val="24"/>
          <w:szCs w:val="24"/>
          <w:highlight w:val="none"/>
        </w:rPr>
        <w:t>投标人应根据运营单位运营生产的需要，成立服务本合同的项目部，机构设置项目经理、保安队长、安检队长</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保安员、安检员。在项目经理统一指挥调度下各司其职、步调一致，有效利用、合理调配信息资源。</w:t>
      </w:r>
    </w:p>
    <w:p>
      <w:pPr>
        <w:keepNext w:val="0"/>
        <w:keepLines w:val="0"/>
        <w:pageBreakBefore w:val="0"/>
        <w:widowControl/>
        <w:suppressLineNumbers w:val="0"/>
        <w:kinsoku/>
        <w:wordWrap/>
        <w:overflowPunct/>
        <w:topLinePunct w:val="0"/>
        <w:autoSpaceDE/>
        <w:autoSpaceDN/>
        <w:bidi w:val="0"/>
        <w:snapToGrid w:val="0"/>
        <w:spacing w:line="440" w:lineRule="exact"/>
        <w:ind w:firstLine="480" w:firstLineChars="200"/>
        <w:jc w:val="left"/>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8.2 </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kern w:val="0"/>
          <w:sz w:val="24"/>
          <w:szCs w:val="24"/>
          <w:highlight w:val="none"/>
          <w:lang w:val="en-US" w:eastAsia="zh-CN" w:bidi="ar"/>
        </w:rPr>
        <w:t>应遵守运营单位要求制定日常培训、安全教育、安全管理、安全检查、应急处置及演练、考勤、考核、奖惩办法等相关规章制度，并报运营单位备案。项目管理机构需因地制宜的制定节假日保障、突发事件、重要活动应急支援。</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8.3 </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sz w:val="24"/>
          <w:szCs w:val="24"/>
          <w:highlight w:val="none"/>
          <w:lang w:val="en-US" w:eastAsia="zh-CN"/>
        </w:rPr>
        <w:t>应建立健全安全管理制度，自主开展相应安全管理提升工作，应符合以下内容（包含但仅不局限于以下内容）：</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8.3.1 应建立健全安全生产主体责任制，逐级签订安全责任状，落实每一个岗位安全主体责任。</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8.3.2 应落实安全隐患排查治理制度，项目部每月至少组织开展 2 次安全检查，消除各类隐患。对各级发现隐患应及时组织整改。</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8.3.3 应对员工开展安全教育，上岗前应完成三级安全教育、在岗中必须开展继续安全教育并将相应记录存放在个人安全档案中。在重大节日及额数时期前要对保安、安检员进行动员教育。</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8.3.4 结合相关法规及安检作业标准，遵照运营单位“统一调度、指挥”的原则，制定完善各类突发治安现场处置方案。</w:t>
      </w:r>
      <w:r>
        <w:rPr>
          <w:rFonts w:hint="eastAsia" w:ascii="仿宋_GB2312" w:hAnsi="仿宋_GB2312" w:eastAsia="仿宋_GB2312" w:cs="仿宋_GB2312"/>
          <w:color w:val="auto"/>
          <w:kern w:val="0"/>
          <w:sz w:val="24"/>
          <w:szCs w:val="24"/>
          <w:highlight w:val="none"/>
          <w:lang w:val="en-US" w:eastAsia="zh-CN" w:bidi="ar"/>
        </w:rPr>
        <w:t>遇到运营突发事件，应听从车站工作人员指挥，日常应</w:t>
      </w:r>
      <w:r>
        <w:rPr>
          <w:rFonts w:hint="eastAsia" w:ascii="仿宋_GB2312" w:hAnsi="仿宋_GB2312" w:eastAsia="仿宋_GB2312" w:cs="仿宋_GB2312"/>
          <w:color w:val="auto"/>
          <w:sz w:val="24"/>
          <w:szCs w:val="24"/>
          <w:highlight w:val="none"/>
          <w:lang w:val="en-US" w:eastAsia="zh-CN"/>
        </w:rPr>
        <w:t>参与轨道交通组织的各级演练，项目部应对相关演练记录与总结。</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8.3.5 若租设集体宿舍和食堂，应按国家相关法规配备相应消防器材和设施，建立消防、内保等管理制度。</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 xml:space="preserve">8.4 </w:t>
      </w:r>
      <w:r>
        <w:rPr>
          <w:rFonts w:hint="eastAsia" w:ascii="仿宋_GB2312" w:hAnsi="仿宋_GB2312" w:eastAsia="仿宋_GB2312" w:cs="仿宋_GB2312"/>
          <w:color w:val="auto"/>
          <w:sz w:val="24"/>
          <w:szCs w:val="24"/>
          <w:highlight w:val="none"/>
        </w:rPr>
        <w:t>投标人</w:t>
      </w:r>
      <w:r>
        <w:rPr>
          <w:rFonts w:hint="eastAsia" w:ascii="仿宋_GB2312" w:hAnsi="仿宋_GB2312" w:eastAsia="仿宋_GB2312" w:cs="仿宋_GB2312"/>
          <w:color w:val="auto"/>
          <w:kern w:val="0"/>
          <w:sz w:val="24"/>
          <w:szCs w:val="24"/>
          <w:highlight w:val="none"/>
          <w:lang w:val="en-US" w:eastAsia="zh-CN" w:bidi="ar"/>
        </w:rPr>
        <w:t>应建立健全培训管理制度，自主开展相应各类培训提升工作，应符合以下内容（包含但仅不局限于以下内容）：</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8.4.1 投标人负责保安员、安检员的业务培训、日常管理、思想教育等工作，并对其违纪问题及时处理。</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8.4.2 投标人需建立培训档案，每年对保安员进行不少于40小时业务技能培训，培训内容为相关法律法规、公共安全形势、防恐知识、设备器材操作、工作流程及标准、突发事件处置、地铁相关规章制度。每年对安检员进行不少于100小时的业务技能培训，培训内容为安检相关法律法规、公共安全形势、防恐知识、安检设备操作、安检工作流程及标准、突发事件处置、地铁相关规章制度等，运营单位可对安检员培训情况进行考核，考核不合格者不能上岗。</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8.4.3 投标人有义务参加运营单位组织的培训、考试和应急演练。</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8.4.4 投标人应每月组织保安员、安检员出操不少于一次，进行队列、站姿等保安员岗位形象规范化培训。</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8.4.5 保安、安检人员应通过国家承认的专业技能考核，获取健康体检培训合格证明、保安员证方能任职保安、安检岗位。同时项目部建立完善安保人员取证台账，及时更新相关取证情况，并定期对运营单位进行报备。</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8.5 投标人应建立健全考勤、考核、人员调整、奖惩等人事管理制度，指导各级人员人事工作，应符合以下内容（包含但仅不局限于以下内容）：</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8.5.1 投标人必须根据合同规定委派保安、安检人员，对新入职保安安检人员需经投标人面试培训合格后并报运营单位审核通过，方可聘用并上岗。</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8.5.2 投标人应将保安安检人员基本信息（姓名、性别、户籍、年龄、学历、身份证号、本人联系方式、开始从业日期、离职日期、家庭住址、紧急联系人、背调记录、从业人员健康证、保安员证（从事保安相关工作人员）进行建账管理，并于合同执行前3日报运营单位，每月10日前将上月人员台账（姓名、性别、户籍、年龄、学历、身份证号、本人联系方式、开始从业日期、离职日期、家庭住址、紧急联系人、背调记录、从业人员健康证、保安员证（从事保安相关工作人员）更新并向运营单位报备。</w:t>
      </w:r>
      <w:r>
        <w:rPr>
          <w:rFonts w:hint="eastAsia" w:ascii="仿宋_GB2312" w:hAnsi="仿宋_GB2312" w:eastAsia="仿宋_GB2312" w:cs="仿宋_GB2312"/>
          <w:color w:val="auto"/>
          <w:sz w:val="24"/>
          <w:highlight w:val="none"/>
          <w:lang w:bidi="ar"/>
        </w:rPr>
        <w:t>保安安检人员离职人员变动应提前不少于3个工作日向运营单位报备</w:t>
      </w:r>
      <w:r>
        <w:rPr>
          <w:rFonts w:hint="eastAsia" w:ascii="仿宋_GB2312" w:hAnsi="仿宋_GB2312" w:eastAsia="仿宋_GB2312" w:cs="仿宋_GB2312"/>
          <w:color w:val="auto"/>
          <w:sz w:val="24"/>
          <w:szCs w:val="24"/>
          <w:highlight w:val="none"/>
          <w:lang w:eastAsia="zh-CN" w:bidi="ar"/>
        </w:rPr>
        <w:t>。</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8.5.3 保安、安检人员上岗前应进行签到，由当班班长将签到情况反馈至运营单位，如出现人员请假等特殊情况，应提前1个工作日向运营单位报备，由投标人派具有资质的人员替班。</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8.5.4 遇重大节假日或特殊时期等需临时增加额外安保、安检工作，投标人应临时增加额外保安、安检人员，投标人因增加额外人员所产生的费用包含在合同价款之中。</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8.5.5 保安、安检人员正常调动，投标人须提前1个工作日通知运营单位，经运营单位同意后方可进行调整，投标人应及时撤换运营单位提出的不称职的保安员。</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8.5.6 投标人应定期分析服务本合同人员流失情况，根据合同要求及时组织进行招聘（不得以运营单位名义招聘工作人员），避免出现漏岗缺员问题。</w:t>
      </w:r>
    </w:p>
    <w:p>
      <w:pPr>
        <w:keepNext w:val="0"/>
        <w:keepLines w:val="0"/>
        <w:pageBreakBefore w:val="0"/>
        <w:widowControl/>
        <w:suppressLineNumbers w:val="0"/>
        <w:kinsoku/>
        <w:wordWrap/>
        <w:overflowPunct/>
        <w:topLinePunct w:val="0"/>
        <w:autoSpaceDE/>
        <w:autoSpaceDN/>
        <w:bidi w:val="0"/>
        <w:spacing w:line="440" w:lineRule="exact"/>
        <w:ind w:firstLine="480" w:firstLineChars="200"/>
        <w:jc w:val="left"/>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8.5.7 原则上服务期内项目经理不允许随意更改，项目经理出现调换、更换等情况必须至少提前1个月向对应运营单位提交书面申请及相关资质证明，按流程审核合格后方可调整。另外，项目经理离绍须办理请假手续。</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8.5.8 投标人、保安安检人员失职或从事违法活动造成运营单位重大财产损失的，触犯国家法律、法规，由公安机关处理，运营单位有权依据规章制度追究其责任并要求赔偿各项经济损失。</w:t>
      </w:r>
    </w:p>
    <w:p>
      <w:pPr>
        <w:pageBreakBefore w:val="0"/>
        <w:kinsoku/>
        <w:wordWrap/>
        <w:overflowPunct/>
        <w:topLinePunct w:val="0"/>
        <w:autoSpaceDE/>
        <w:autoSpaceDN/>
        <w:bidi w:val="0"/>
        <w:snapToGrid/>
        <w:spacing w:line="440" w:lineRule="exact"/>
        <w:ind w:firstLine="480" w:firstLineChars="200"/>
        <w:textAlignment w:val="auto"/>
        <w:rPr>
          <w:rFonts w:hint="default"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8.5.9 投标人应对在工作中受到乘客表扬、工作表现突出、得到运营单位或上级部门嘉奖的个人给予一定的奖励，建立符合内部运作的奖励机制。</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8.6 投标人应对各类生产管理资料进行有序、合理归档、移交，做到资料齐全、规范。</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应须符合以下内容（包含但仅不局限于以下内容）：</w:t>
      </w:r>
    </w:p>
    <w:p>
      <w:pPr>
        <w:snapToGrid/>
        <w:spacing w:line="44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8.6.1 投标人应按照生产需求，印制相应台账放置在安检点，相关费用包含该合同总价中。</w:t>
      </w:r>
    </w:p>
    <w:p>
      <w:pPr>
        <w:snapToGrid/>
        <w:spacing w:line="44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8.6.2 投标人内业资料要确保及时、真实、可靠、完整，填写规范、签字齐全，所有原始记录不得随意修改，保持资料整洁性。</w:t>
      </w:r>
    </w:p>
    <w:p>
      <w:pPr>
        <w:snapToGrid/>
        <w:spacing w:line="44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8.6.3投标人应将各类生产记录（包括人员基本信息、排班、考勤、考核、取证、内保、巡视、违禁品清单台账、培训、安全检查、应急演练等）应按月打包归档，并每月向运营的单位进行报备。</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8.6.4 运营单位应对安检查获的违禁物品，当建立相关台账，并及时登记，依法依规处理；对乘客自弃的限带物品，由安检工作实施单位登记保管，建立台帐，并委托专业公司处理。</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8.6.5 投标人应及时完成各级检查通报的问题的整改，并组织书面回复。</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8.6.6 投标人日常生产工作涉及到的应送检的工器具应按规定进行检定，确保工器具有效，并做好送检记录留存工作，检定所涉及到的费用包含在合同总价中。</w:t>
      </w:r>
    </w:p>
    <w:p>
      <w:pPr>
        <w:pageBreakBefore w:val="0"/>
        <w:kinsoku/>
        <w:wordWrap/>
        <w:overflowPunct/>
        <w:topLinePunct w:val="0"/>
        <w:autoSpaceDE/>
        <w:autoSpaceDN/>
        <w:bidi w:val="0"/>
        <w:snapToGrid/>
        <w:spacing w:line="440" w:lineRule="exact"/>
        <w:ind w:firstLine="480" w:firstLineChars="200"/>
        <w:textAlignment w:val="auto"/>
        <w:rPr>
          <w:rFonts w:hint="eastAsia"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kern w:val="0"/>
          <w:sz w:val="24"/>
          <w:szCs w:val="24"/>
          <w:highlight w:val="none"/>
          <w:lang w:val="en-US" w:eastAsia="zh-CN" w:bidi="ar"/>
        </w:rPr>
        <w:t>8.6.7 投标人消耗运营分公司提供的备品备件必须与设备维修部实际需求相符。</w:t>
      </w:r>
    </w:p>
    <w:p>
      <w:pPr>
        <w:pStyle w:val="5"/>
        <w:pageBreakBefore w:val="0"/>
        <w:kinsoku/>
        <w:wordWrap/>
        <w:overflowPunct/>
        <w:topLinePunct w:val="0"/>
        <w:autoSpaceDE/>
        <w:autoSpaceDN/>
        <w:bidi w:val="0"/>
        <w:spacing w:line="440" w:lineRule="exact"/>
        <w:ind w:left="0" w:firstLine="482" w:firstLineChars="200"/>
        <w:textAlignment w:val="baseline"/>
        <w:outlineLvl w:val="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九、</w:t>
      </w:r>
      <w:r>
        <w:rPr>
          <w:rFonts w:hint="eastAsia" w:ascii="仿宋_GB2312" w:hAnsi="仿宋_GB2312" w:eastAsia="仿宋_GB2312" w:cs="仿宋_GB2312"/>
          <w:color w:val="auto"/>
          <w:sz w:val="24"/>
          <w:szCs w:val="24"/>
          <w:highlight w:val="none"/>
        </w:rPr>
        <w:t>服装</w:t>
      </w:r>
      <w:r>
        <w:rPr>
          <w:rFonts w:hint="eastAsia" w:ascii="仿宋_GB2312" w:hAnsi="仿宋_GB2312" w:eastAsia="仿宋_GB2312" w:cs="仿宋_GB2312"/>
          <w:color w:val="auto"/>
          <w:sz w:val="24"/>
          <w:szCs w:val="24"/>
          <w:highlight w:val="none"/>
          <w:lang w:val="en-US" w:eastAsia="zh-CN"/>
        </w:rPr>
        <w:t>要求</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9.1</w:t>
      </w:r>
      <w:r>
        <w:rPr>
          <w:rFonts w:hint="eastAsia" w:ascii="仿宋_GB2312" w:hAnsi="仿宋_GB2312" w:eastAsia="仿宋_GB2312" w:cs="仿宋_GB2312"/>
          <w:color w:val="auto"/>
          <w:sz w:val="24"/>
          <w:szCs w:val="24"/>
          <w:highlight w:val="none"/>
        </w:rPr>
        <w:t>中标</w:t>
      </w:r>
      <w:r>
        <w:rPr>
          <w:rFonts w:hint="eastAsia" w:ascii="仿宋_GB2312" w:hAnsi="仿宋_GB2312" w:eastAsia="仿宋_GB2312" w:cs="仿宋_GB2312"/>
          <w:color w:val="auto"/>
          <w:sz w:val="24"/>
          <w:szCs w:val="24"/>
          <w:highlight w:val="none"/>
          <w:lang w:val="en-US" w:eastAsia="zh-CN"/>
        </w:rPr>
        <w:t>人</w:t>
      </w:r>
      <w:r>
        <w:rPr>
          <w:rFonts w:hint="eastAsia" w:ascii="仿宋_GB2312" w:hAnsi="仿宋_GB2312" w:eastAsia="仿宋_GB2312" w:cs="仿宋_GB2312"/>
          <w:color w:val="auto"/>
          <w:sz w:val="24"/>
          <w:szCs w:val="24"/>
          <w:highlight w:val="none"/>
        </w:rPr>
        <w:t>提供服装方案，由</w:t>
      </w:r>
      <w:r>
        <w:rPr>
          <w:rFonts w:hint="eastAsia" w:ascii="仿宋_GB2312" w:hAnsi="仿宋_GB2312" w:eastAsia="仿宋_GB2312" w:cs="仿宋_GB2312"/>
          <w:color w:val="auto"/>
          <w:sz w:val="24"/>
          <w:szCs w:val="24"/>
          <w:highlight w:val="none"/>
          <w:lang w:val="en-US" w:eastAsia="zh-CN"/>
        </w:rPr>
        <w:t>招标人</w:t>
      </w:r>
      <w:r>
        <w:rPr>
          <w:rFonts w:hint="eastAsia" w:ascii="仿宋_GB2312" w:hAnsi="仿宋_GB2312" w:eastAsia="仿宋_GB2312" w:cs="仿宋_GB2312"/>
          <w:color w:val="auto"/>
          <w:sz w:val="24"/>
          <w:szCs w:val="24"/>
          <w:highlight w:val="none"/>
        </w:rPr>
        <w:t>选择，确定服装款式、颜色、材质、数量、</w:t>
      </w:r>
      <w:r>
        <w:rPr>
          <w:rFonts w:hint="eastAsia" w:ascii="仿宋_GB2312" w:hAnsi="仿宋_GB2312" w:eastAsia="仿宋_GB2312" w:cs="仿宋_GB2312"/>
          <w:color w:val="auto"/>
          <w:sz w:val="24"/>
          <w:szCs w:val="24"/>
          <w:highlight w:val="none"/>
          <w:lang w:val="en-US" w:eastAsia="zh-CN"/>
        </w:rPr>
        <w:t>制作周期</w:t>
      </w:r>
      <w:r>
        <w:rPr>
          <w:rFonts w:hint="eastAsia" w:ascii="仿宋_GB2312" w:hAnsi="仿宋_GB2312" w:eastAsia="仿宋_GB2312" w:cs="仿宋_GB2312"/>
          <w:color w:val="auto"/>
          <w:sz w:val="24"/>
          <w:szCs w:val="24"/>
          <w:highlight w:val="none"/>
        </w:rPr>
        <w:t>等。相关费用包含在本合同价款之中，投标人不得向保安安检人员收取服装费用。服装数量具体如下：</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9.1 .1 </w:t>
      </w:r>
      <w:r>
        <w:rPr>
          <w:rFonts w:hint="eastAsia" w:ascii="仿宋_GB2312" w:hAnsi="仿宋_GB2312" w:eastAsia="仿宋_GB2312" w:cs="仿宋_GB2312"/>
          <w:color w:val="auto"/>
          <w:sz w:val="24"/>
          <w:szCs w:val="24"/>
          <w:highlight w:val="none"/>
        </w:rPr>
        <w:t>保安</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9.1.1.1 </w:t>
      </w:r>
      <w:r>
        <w:rPr>
          <w:rFonts w:hint="eastAsia" w:ascii="仿宋_GB2312" w:hAnsi="仿宋_GB2312" w:eastAsia="仿宋_GB2312" w:cs="仿宋_GB2312"/>
          <w:color w:val="auto"/>
          <w:sz w:val="24"/>
          <w:szCs w:val="24"/>
          <w:highlight w:val="none"/>
        </w:rPr>
        <w:t>夏装：男短袖衬衣2件，男夏裤2条。</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9.1.1.2</w:t>
      </w:r>
      <w:r>
        <w:rPr>
          <w:rFonts w:hint="eastAsia" w:ascii="仿宋_GB2312" w:hAnsi="仿宋_GB2312" w:eastAsia="仿宋_GB2312" w:cs="仿宋_GB2312"/>
          <w:color w:val="auto"/>
          <w:sz w:val="24"/>
          <w:szCs w:val="24"/>
          <w:highlight w:val="none"/>
        </w:rPr>
        <w:t>春秋装：男长袖衬衣2件，男春秋装2套。冬季大衣：男防寒服1件。</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9.1.1.3 </w:t>
      </w:r>
      <w:r>
        <w:rPr>
          <w:rFonts w:hint="eastAsia" w:ascii="仿宋_GB2312" w:hAnsi="仿宋_GB2312" w:eastAsia="仿宋_GB2312" w:cs="仿宋_GB2312"/>
          <w:color w:val="auto"/>
          <w:sz w:val="24"/>
          <w:szCs w:val="24"/>
          <w:highlight w:val="none"/>
        </w:rPr>
        <w:t>工作鞋：男皮单鞋一双，男皮棉鞋一双。</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9.1.1.4 </w:t>
      </w:r>
      <w:r>
        <w:rPr>
          <w:rFonts w:hint="eastAsia" w:ascii="仿宋_GB2312" w:hAnsi="仿宋_GB2312" w:eastAsia="仿宋_GB2312" w:cs="仿宋_GB2312"/>
          <w:color w:val="auto"/>
          <w:sz w:val="24"/>
          <w:szCs w:val="24"/>
          <w:highlight w:val="none"/>
        </w:rPr>
        <w:t>配饰：领带2条（洗涤替换），臂章3个（夏、春、冬各一个），肩章3个（短袖衬衣、长袖衬衣、春秋装各一个），帽子1顶，帽徽l个。</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9.1.2 </w:t>
      </w:r>
      <w:r>
        <w:rPr>
          <w:rFonts w:hint="eastAsia" w:ascii="仿宋_GB2312" w:hAnsi="仿宋_GB2312" w:eastAsia="仿宋_GB2312" w:cs="仿宋_GB2312"/>
          <w:color w:val="auto"/>
          <w:sz w:val="24"/>
          <w:szCs w:val="24"/>
          <w:highlight w:val="none"/>
        </w:rPr>
        <w:t>安检</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9.1.2.1 </w:t>
      </w:r>
      <w:r>
        <w:rPr>
          <w:rFonts w:hint="eastAsia" w:ascii="仿宋_GB2312" w:hAnsi="仿宋_GB2312" w:eastAsia="仿宋_GB2312" w:cs="仿宋_GB2312"/>
          <w:color w:val="auto"/>
          <w:sz w:val="24"/>
          <w:szCs w:val="24"/>
          <w:highlight w:val="none"/>
        </w:rPr>
        <w:t>夏装：男／女短袖衬衣4件，男／女夏裤2条。</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9.1.2.2 </w:t>
      </w:r>
      <w:r>
        <w:rPr>
          <w:rFonts w:hint="eastAsia" w:ascii="仿宋_GB2312" w:hAnsi="仿宋_GB2312" w:eastAsia="仿宋_GB2312" w:cs="仿宋_GB2312"/>
          <w:color w:val="auto"/>
          <w:sz w:val="24"/>
          <w:szCs w:val="24"/>
          <w:highlight w:val="none"/>
        </w:rPr>
        <w:t>春秋装：男／女长袖衬衣2件，男／女春秋装2套。冬季大衣：男／女防寒服1件。</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9.1.2.3 </w:t>
      </w:r>
      <w:r>
        <w:rPr>
          <w:rFonts w:hint="eastAsia" w:ascii="仿宋_GB2312" w:hAnsi="仿宋_GB2312" w:eastAsia="仿宋_GB2312" w:cs="仿宋_GB2312"/>
          <w:color w:val="auto"/>
          <w:sz w:val="24"/>
          <w:szCs w:val="24"/>
          <w:highlight w:val="none"/>
        </w:rPr>
        <w:t>工作鞋：男／女皮单鞋l双，男／女靴子l双。</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9.1.2.4 </w:t>
      </w:r>
      <w:r>
        <w:rPr>
          <w:rFonts w:hint="eastAsia" w:ascii="仿宋_GB2312" w:hAnsi="仿宋_GB2312" w:eastAsia="仿宋_GB2312" w:cs="仿宋_GB2312"/>
          <w:color w:val="auto"/>
          <w:sz w:val="24"/>
          <w:szCs w:val="24"/>
          <w:highlight w:val="none"/>
        </w:rPr>
        <w:t>配饰：领带2条（洗涤替换），臂章3个（夏、春、冬各一个），肩章3个（短袖衬衣、长袖衬衣、春秋装各一个）。</w:t>
      </w:r>
    </w:p>
    <w:p>
      <w:pPr>
        <w:pageBreakBefore w:val="0"/>
        <w:kinsoku/>
        <w:wordWrap/>
        <w:overflowPunct/>
        <w:topLinePunct w:val="0"/>
        <w:autoSpaceDE/>
        <w:autoSpaceDN/>
        <w:bidi w:val="0"/>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 xml:space="preserve">9.2 </w:t>
      </w:r>
      <w:r>
        <w:rPr>
          <w:rFonts w:hint="eastAsia" w:ascii="仿宋_GB2312" w:hAnsi="仿宋_GB2312" w:eastAsia="仿宋_GB2312" w:cs="仿宋_GB2312"/>
          <w:color w:val="auto"/>
          <w:sz w:val="24"/>
          <w:szCs w:val="24"/>
          <w:highlight w:val="none"/>
        </w:rPr>
        <w:t>投标人应送检服装质量（原则上每批次服装抽送检2件），出具检测报告。检测费用由投标人支付。检测不合格的，服装需重新制作，费用由投标人负责，并承担相应责任。</w:t>
      </w:r>
    </w:p>
    <w:p>
      <w:pPr>
        <w:pStyle w:val="5"/>
        <w:pageBreakBefore w:val="0"/>
        <w:kinsoku/>
        <w:wordWrap/>
        <w:overflowPunct/>
        <w:topLinePunct w:val="0"/>
        <w:autoSpaceDE/>
        <w:autoSpaceDN/>
        <w:bidi w:val="0"/>
        <w:spacing w:line="440" w:lineRule="exact"/>
        <w:ind w:left="0" w:firstLine="482" w:firstLineChars="200"/>
        <w:textAlignment w:val="baseline"/>
        <w:outlineLvl w:val="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十、检查、考核与奖励</w:t>
      </w:r>
    </w:p>
    <w:p>
      <w:pPr>
        <w:pageBreakBefore w:val="0"/>
        <w:numPr>
          <w:ilvl w:val="-1"/>
          <w:numId w:val="0"/>
        </w:numPr>
        <w:kinsoku/>
        <w:wordWrap/>
        <w:overflowPunct/>
        <w:topLinePunct w:val="0"/>
        <w:autoSpaceDE/>
        <w:autoSpaceDN/>
        <w:bidi w:val="0"/>
        <w:spacing w:line="440" w:lineRule="exact"/>
        <w:ind w:left="0" w:firstLine="480" w:firstLineChars="200"/>
        <w:textAlignment w:val="baseline"/>
        <w:outlineLvl w:val="9"/>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10.1 检查</w:t>
      </w:r>
    </w:p>
    <w:p>
      <w:pPr>
        <w:pageBreakBefore w:val="0"/>
        <w:numPr>
          <w:ilvl w:val="-1"/>
          <w:numId w:val="0"/>
        </w:numPr>
        <w:kinsoku/>
        <w:wordWrap/>
        <w:overflowPunct/>
        <w:topLinePunct w:val="0"/>
        <w:autoSpaceDE/>
        <w:autoSpaceDN/>
        <w:bidi w:val="0"/>
        <w:spacing w:line="440" w:lineRule="exact"/>
        <w:ind w:left="0" w:firstLine="480" w:firstLineChars="200"/>
        <w:textAlignment w:val="baseline"/>
        <w:outlineLvl w:val="9"/>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10.1.1 投标人应制订详细的现场检查计划，确保每天对车站保安、安检人员工作进行检查，并留存相关检查台账。投标人在检查过程中汇总保安、安检人员日常工作中存在的问题、排班表、考勤表、执勤记录等台账于每月25 日前，根据运营单位相关要求每月形成车站保安、安检服务质量分析报告，提交至运营单位处。</w:t>
      </w:r>
    </w:p>
    <w:p>
      <w:pPr>
        <w:pageBreakBefore w:val="0"/>
        <w:kinsoku/>
        <w:wordWrap/>
        <w:overflowPunct/>
        <w:topLinePunct w:val="0"/>
        <w:autoSpaceDE/>
        <w:autoSpaceDN/>
        <w:bidi w:val="0"/>
        <w:spacing w:line="440" w:lineRule="exact"/>
        <w:ind w:firstLine="480" w:firstLineChars="200"/>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10.1.2 运营单位对投标人进行日常工作检查及项目管理检查，并根据日常检查及项目管理检查的情况，对投标人进行每月的绩效考核。</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10.2 考核</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10.2.1 运营单位对投标人考核分为日常工作检查的百分制考核与项目管理的直接扣款考核。</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10.2.2 百分制考核</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 xml:space="preserve">10.2.2.1 </w:t>
      </w:r>
      <w:r>
        <w:rPr>
          <w:rFonts w:hint="eastAsia" w:ascii="仿宋_GB2312" w:hAnsi="仿宋_GB2312" w:eastAsia="仿宋_GB2312" w:cs="仿宋_GB2312"/>
          <w:color w:val="auto"/>
          <w:sz w:val="24"/>
          <w:szCs w:val="24"/>
          <w:highlight w:val="none"/>
        </w:rPr>
        <w:t>在合同周期内，</w:t>
      </w:r>
      <w:r>
        <w:rPr>
          <w:rFonts w:hint="eastAsia" w:ascii="仿宋_GB2312" w:hAnsi="仿宋_GB2312" w:eastAsia="仿宋_GB2312" w:cs="仿宋_GB2312"/>
          <w:color w:val="auto"/>
          <w:sz w:val="24"/>
          <w:szCs w:val="24"/>
          <w:highlight w:val="none"/>
          <w:lang w:val="en-US" w:eastAsia="zh-CN"/>
        </w:rPr>
        <w:t>运营单位对投标人以日常工作检查进行</w:t>
      </w:r>
      <w:r>
        <w:rPr>
          <w:rFonts w:hint="eastAsia" w:ascii="仿宋_GB2312" w:hAnsi="仿宋_GB2312" w:eastAsia="仿宋_GB2312" w:cs="仿宋_GB2312"/>
          <w:color w:val="auto"/>
          <w:sz w:val="24"/>
          <w:szCs w:val="24"/>
          <w:highlight w:val="none"/>
        </w:rPr>
        <w:t>百分制考核</w:t>
      </w:r>
      <w:r>
        <w:rPr>
          <w:rFonts w:hint="eastAsia" w:ascii="仿宋_GB2312" w:hAnsi="仿宋_GB2312" w:eastAsia="仿宋_GB2312" w:cs="仿宋_GB2312"/>
          <w:color w:val="auto"/>
          <w:sz w:val="24"/>
          <w:szCs w:val="24"/>
          <w:highlight w:val="none"/>
          <w:lang w:eastAsia="zh-CN"/>
        </w:rPr>
        <w:t>。</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10.2.2.2 项目综合评分满分得分为 100 分，由各属地管理部门评分为基准，计算月度综合平均分，月度综合平均分作为日常工作评分依据。高于 90 分（含 90 分），全额付款；低于 90 分，高于 85 分（含 85 分）时，将依据综合考核结果，按照每减少 1 分，扣罚当月应付服务费 1%的标准相应扣减应付费用；低于 85 分，将依据综合考核结果，按照每减少 1 分，扣罚当月应付服务费 2%的标准相应扣减应付费用；低于 80 分（不含 80 分），视为月底考核不合格,将依据综合考核结果，按照每减少 1 分扣罚当月应付服务费 4%的标准相应扣减应付费用。考评标准详见附件二、三（运营过程中若考核项有调整，已运营单位发布为准。）。</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10.2.3 直接扣款考核</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10.2.3.1投标人未履行投标文件中以下服务承诺，运营单位有权扣除投标人当月服务费2%：</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（1）月度安检员流失率高于15%（含），未实现服务承诺指标的。</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（2）乘客通过“12345”热线及同渠道网络平台投诉，经查属实造成不良影响，依据事态严重性可进行升级处理。</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（3）安检员有殴打、恐吓、危害乘客和工作人员的行为。扣除投标人当月服务费5%。情节严重的，依法追究法律责任。</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（4）投标人发生一起责任漏检被政府主管部门、公安机关、运营单位通报且影响恶劣的，扣除投标人当月服务费的10%。</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（5）投标人不接受、不配合运营单位监管，一经提出整改仍不到位的，运营单位有权扣除投标人当月服务费10%。</w:t>
      </w:r>
    </w:p>
    <w:p>
      <w:pPr>
        <w:pageBreakBefore w:val="0"/>
        <w:kinsoku/>
        <w:wordWrap/>
        <w:overflowPunct/>
        <w:topLinePunct w:val="0"/>
        <w:autoSpaceDE/>
        <w:autoSpaceDN/>
        <w:bidi w:val="0"/>
        <w:spacing w:line="440" w:lineRule="exact"/>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（6）遇特殊保障、重大节日期间等特殊时期，运营单位根据实际情况，对投标人的违约行为可考虑酌情双倍扣除投标人服务费。</w:t>
      </w:r>
    </w:p>
    <w:p>
      <w:pPr>
        <w:pageBreakBefore w:val="0"/>
        <w:kinsoku/>
        <w:wordWrap/>
        <w:overflowPunct/>
        <w:topLinePunct w:val="0"/>
        <w:autoSpaceDE/>
        <w:autoSpaceDN/>
        <w:bidi w:val="0"/>
        <w:spacing w:line="440" w:lineRule="exact"/>
        <w:ind w:firstLine="480" w:firstLineChars="2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（7）经运营单位认定为影响运营单位公司形象或引起经济损失的其他事项。</w:t>
      </w:r>
    </w:p>
    <w:p>
      <w:pPr>
        <w:pageBreakBefore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10.3 奖励</w:t>
      </w:r>
    </w:p>
    <w:p>
      <w:pPr>
        <w:pageBreakBefore w:val="0"/>
        <w:kinsoku/>
        <w:wordWrap/>
        <w:overflowPunct/>
        <w:topLinePunct w:val="0"/>
        <w:autoSpaceDE/>
        <w:autoSpaceDN/>
        <w:bidi w:val="0"/>
        <w:spacing w:line="440" w:lineRule="exact"/>
        <w:ind w:firstLine="480" w:firstLineChars="200"/>
        <w:rPr>
          <w:rFonts w:hint="default" w:ascii="仿宋_GB2312" w:hAnsi="仿宋_GB2312" w:eastAsia="仿宋_GB2312" w:cs="仿宋_GB2312"/>
          <w:color w:val="auto"/>
          <w:kern w:val="0"/>
          <w:sz w:val="24"/>
          <w:szCs w:val="24"/>
          <w:highlight w:val="none"/>
          <w:lang w:val="en-US" w:eastAsia="zh-CN" w:bidi="ar"/>
        </w:rPr>
      </w:pPr>
      <w:r>
        <w:rPr>
          <w:rFonts w:hint="eastAsia" w:ascii="仿宋_GB2312" w:hAnsi="仿宋_GB2312" w:eastAsia="仿宋_GB2312" w:cs="仿宋_GB2312"/>
          <w:color w:val="auto"/>
          <w:sz w:val="24"/>
          <w:szCs w:val="24"/>
          <w:highlight w:val="none"/>
          <w:lang w:val="en-US" w:eastAsia="zh-CN"/>
        </w:rPr>
        <w:t xml:space="preserve">10.3.1 </w:t>
      </w:r>
      <w:r>
        <w:rPr>
          <w:rFonts w:hint="eastAsia" w:ascii="仿宋_GB2312" w:hAnsi="仿宋_GB2312" w:eastAsia="仿宋_GB2312" w:cs="仿宋_GB2312"/>
          <w:color w:val="auto"/>
          <w:kern w:val="0"/>
          <w:sz w:val="24"/>
          <w:szCs w:val="24"/>
          <w:highlight w:val="none"/>
          <w:lang w:val="en-US" w:eastAsia="zh-CN" w:bidi="ar"/>
        </w:rPr>
        <w:t xml:space="preserve">运营单位可对日常或者特殊时期表现优异或有重大立功表现的投标单位和个人进行奖励， 奖励标准参照运营单位相关规定。 </w:t>
      </w:r>
    </w:p>
    <w:p>
      <w:pPr>
        <w:pStyle w:val="5"/>
        <w:pageBreakBefore w:val="0"/>
        <w:kinsoku/>
        <w:wordWrap/>
        <w:overflowPunct/>
        <w:topLinePunct w:val="0"/>
        <w:autoSpaceDE/>
        <w:autoSpaceDN/>
        <w:bidi w:val="0"/>
        <w:spacing w:line="440" w:lineRule="exact"/>
        <w:ind w:left="0" w:firstLine="482" w:firstLineChars="200"/>
        <w:textAlignment w:val="baseline"/>
        <w:outlineLvl w:val="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十一、附则</w:t>
      </w:r>
    </w:p>
    <w:p>
      <w:pPr>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11.1</w:t>
      </w:r>
      <w:r>
        <w:rPr>
          <w:rFonts w:hint="eastAsia" w:ascii="仿宋_GB2312" w:hAnsi="仿宋_GB2312" w:eastAsia="仿宋_GB2312" w:cs="仿宋_GB2312"/>
          <w:color w:val="auto"/>
          <w:sz w:val="24"/>
          <w:szCs w:val="24"/>
          <w:highlight w:val="none"/>
        </w:rPr>
        <w:t>安保安检服务配置须满足《中华人民共和国反恐怖主义法》、《浙江省实施&lt;中华人民共和国反恐怖主义法&gt;办法》、《国务院办公厅关于保障城市轨道交通安全运行的意见》、《城市轨道交通安全防范要求》、《城市轨道交通安检查获可疑物品处置指南（试行）》、《长三角区域城市轨道交通安检工作一体化标准》、《关于绍兴市轨道交通安全检查的指导性意见》等法律、法规、规章规定。</w:t>
      </w:r>
    </w:p>
    <w:p>
      <w:pPr>
        <w:pStyle w:val="17"/>
        <w:spacing w:line="440" w:lineRule="exact"/>
        <w:ind w:firstLine="480" w:firstLineChars="200"/>
        <w:rPr>
          <w:rFonts w:hint="eastAsia" w:ascii="仿宋_GB2312" w:hAnsi="仿宋_GB2312" w:eastAsia="仿宋_GB2312" w:cs="仿宋_GB2312"/>
          <w:b/>
          <w:bCs/>
          <w:color w:val="auto"/>
          <w:kern w:val="44"/>
          <w:sz w:val="24"/>
          <w:szCs w:val="24"/>
          <w:highlight w:val="none"/>
          <w:lang w:val="en-US"/>
        </w:rPr>
      </w:pPr>
      <w:r>
        <w:rPr>
          <w:rFonts w:hint="eastAsia" w:ascii="仿宋_GB2312" w:hAnsi="仿宋_GB2312" w:eastAsia="仿宋_GB2312" w:cs="仿宋_GB2312"/>
          <w:color w:val="auto"/>
          <w:sz w:val="24"/>
          <w:szCs w:val="24"/>
          <w:highlight w:val="none"/>
          <w:lang w:val="en-US" w:eastAsia="zh-CN"/>
        </w:rPr>
        <w:t>11.2供应商必须遵守《中华人民共和国劳动法》的规定，与服务人员签订劳动合同，缴纳社保。供应商组织的服务人员及工作安排须符合《中华人民共和国劳动法》及其他劳动相关规范性文件的规定。为招标人提供的服务人员如遇到工资、工伤、经济补偿或其他劳动争议纠纷问题由供应商自行处理，并承担责任。</w:t>
      </w:r>
    </w:p>
    <w:p>
      <w:pPr>
        <w:pStyle w:val="5"/>
        <w:spacing w:line="240" w:lineRule="auto"/>
        <w:ind w:firstLine="482" w:firstLineChars="0"/>
        <w:textAlignment w:val="auto"/>
        <w:outlineLvl w:val="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十</w:t>
      </w:r>
      <w:r>
        <w:rPr>
          <w:rFonts w:hint="eastAsia" w:hAnsi="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val="en-US" w:eastAsia="zh-CN"/>
        </w:rPr>
        <w:t>、附件</w:t>
      </w:r>
    </w:p>
    <w:p>
      <w:pPr>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附件一：人员上岗统计表</w:t>
      </w:r>
    </w:p>
    <w:p>
      <w:pPr>
        <w:snapToGrid w:val="0"/>
        <w:spacing w:line="440" w:lineRule="exact"/>
        <w:ind w:firstLine="480" w:firstLineChars="200"/>
        <w:textAlignment w:val="baseline"/>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附件二：保安服务项目考核表</w:t>
      </w:r>
    </w:p>
    <w:p>
      <w:pPr>
        <w:snapToGrid w:val="0"/>
        <w:spacing w:line="440" w:lineRule="exact"/>
        <w:ind w:firstLine="480" w:firstLineChars="200"/>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24"/>
          <w:szCs w:val="24"/>
          <w:highlight w:val="none"/>
          <w:lang w:val="en-US" w:eastAsia="zh-CN"/>
        </w:rPr>
        <w:t>附件三：安检服务项目考核表</w:t>
      </w:r>
    </w:p>
    <w:p>
      <w:pPr>
        <w:snapToGrid w:val="0"/>
        <w:spacing w:line="440" w:lineRule="exact"/>
        <w:ind w:firstLine="480" w:firstLineChars="200"/>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24"/>
          <w:szCs w:val="24"/>
          <w:highlight w:val="none"/>
          <w:lang w:val="en-US" w:eastAsia="zh-CN"/>
        </w:rPr>
        <w:t>附件四：其他要求</w:t>
      </w:r>
    </w:p>
    <w:p>
      <w:pPr>
        <w:pStyle w:val="17"/>
        <w:pageBreakBefore w:val="0"/>
        <w:kinsoku/>
        <w:wordWrap/>
        <w:overflowPunct/>
        <w:topLinePunct w:val="0"/>
        <w:autoSpaceDE/>
        <w:autoSpaceDN/>
        <w:bidi w:val="0"/>
        <w:spacing w:line="440" w:lineRule="exact"/>
        <w:rPr>
          <w:rFonts w:hint="eastAsia" w:ascii="仿宋_GB2312" w:hAnsi="仿宋_GB2312" w:eastAsia="仿宋_GB2312" w:cs="仿宋_GB2312"/>
          <w:color w:val="auto"/>
          <w:sz w:val="32"/>
          <w:szCs w:val="32"/>
          <w:highlight w:val="none"/>
          <w:lang w:val="en-US" w:eastAsia="zh-CN"/>
        </w:rPr>
      </w:pPr>
    </w:p>
    <w:p>
      <w:pPr>
        <w:pStyle w:val="17"/>
        <w:ind w:firstLine="0"/>
        <w:rPr>
          <w:rFonts w:hint="default" w:ascii="仿宋_GB2312" w:hAnsi="仿宋_GB2312" w:eastAsia="仿宋_GB2312" w:cs="仿宋_GB2312"/>
          <w:color w:val="auto"/>
          <w:sz w:val="32"/>
          <w:szCs w:val="32"/>
          <w:highlight w:val="none"/>
          <w:lang w:val="en-US" w:eastAsia="zh-CN"/>
        </w:rPr>
      </w:pPr>
    </w:p>
    <w:p>
      <w:pPr>
        <w:pStyle w:val="17"/>
        <w:ind w:firstLine="0"/>
        <w:rPr>
          <w:rFonts w:hint="default" w:ascii="仿宋_GB2312" w:hAnsi="仿宋_GB2312" w:eastAsia="仿宋_GB2312" w:cs="仿宋_GB2312"/>
          <w:color w:val="auto"/>
          <w:sz w:val="32"/>
          <w:szCs w:val="32"/>
          <w:highlight w:val="none"/>
          <w:lang w:val="en-US" w:eastAsia="zh-CN"/>
        </w:rPr>
        <w:sectPr>
          <w:footerReference r:id="rId7" w:type="default"/>
          <w:pgSz w:w="11906" w:h="16839"/>
          <w:pgMar w:top="1417" w:right="1361" w:bottom="1417" w:left="1474" w:header="850" w:footer="850" w:gutter="0"/>
          <w:pgNumType w:fmt="decimal" w:start="1"/>
          <w:cols w:equalWidth="0" w:num="1">
            <w:col w:w="9438"/>
          </w:cols>
        </w:sectPr>
      </w:pPr>
    </w:p>
    <w:p>
      <w:pPr>
        <w:spacing w:line="240" w:lineRule="auto"/>
        <w:outlineLvl w:val="1"/>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附件一：</w:t>
      </w:r>
    </w:p>
    <w:p>
      <w:pPr>
        <w:pStyle w:val="17"/>
        <w:ind w:firstLine="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人员上岗统计表</w:t>
      </w:r>
    </w:p>
    <w:tbl>
      <w:tblPr>
        <w:tblStyle w:val="65"/>
        <w:tblW w:w="9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0"/>
        <w:gridCol w:w="1931"/>
        <w:gridCol w:w="1931"/>
        <w:gridCol w:w="2518"/>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jc w:val="center"/>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日期</w:t>
            </w:r>
          </w:p>
          <w:p>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岗数</w:t>
            </w:r>
          </w:p>
          <w:p>
            <w:pPr>
              <w:jc w:val="center"/>
              <w:rPr>
                <w:rFonts w:hint="default"/>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时间段</w:t>
            </w:r>
          </w:p>
        </w:tc>
        <w:tc>
          <w:tcPr>
            <w:tcW w:w="1931" w:type="dxa"/>
            <w:vAlign w:val="center"/>
          </w:tcPr>
          <w:p>
            <w:pPr>
              <w:jc w:val="center"/>
              <w:rPr>
                <w:rFonts w:hint="default"/>
                <w:color w:val="auto"/>
                <w:sz w:val="24"/>
                <w:szCs w:val="24"/>
                <w:highlight w:val="none"/>
                <w:lang w:val="en-US" w:eastAsia="zh-CN"/>
              </w:rPr>
            </w:pPr>
            <w:r>
              <w:rPr>
                <w:rFonts w:hint="eastAsia"/>
                <w:color w:val="auto"/>
                <w:sz w:val="24"/>
                <w:szCs w:val="24"/>
                <w:highlight w:val="none"/>
                <w:lang w:val="en-US" w:eastAsia="zh-CN"/>
              </w:rPr>
              <w:t>7：30-21：30</w:t>
            </w:r>
          </w:p>
        </w:tc>
        <w:tc>
          <w:tcPr>
            <w:tcW w:w="1931" w:type="dxa"/>
            <w:vAlign w:val="center"/>
          </w:tcPr>
          <w:p>
            <w:pPr>
              <w:jc w:val="center"/>
              <w:rPr>
                <w:rFonts w:hint="default"/>
                <w:color w:val="auto"/>
                <w:sz w:val="24"/>
                <w:szCs w:val="24"/>
                <w:highlight w:val="none"/>
                <w:lang w:val="en-US" w:eastAsia="zh-CN"/>
              </w:rPr>
            </w:pPr>
            <w:r>
              <w:rPr>
                <w:rFonts w:hint="eastAsia" w:ascii="宋体" w:hAnsi="宋体" w:eastAsia="宋体" w:cs="宋体"/>
                <w:color w:val="auto"/>
                <w:sz w:val="24"/>
                <w:szCs w:val="24"/>
                <w:highlight w:val="none"/>
                <w:vertAlign w:val="baseline"/>
                <w:lang w:val="en-US" w:eastAsia="zh-CN"/>
              </w:rPr>
              <w:t>运营开始-运营结束</w:t>
            </w:r>
          </w:p>
        </w:tc>
        <w:tc>
          <w:tcPr>
            <w:tcW w:w="2518" w:type="dxa"/>
            <w:vAlign w:val="center"/>
          </w:tcPr>
          <w:p>
            <w:pPr>
              <w:jc w:val="center"/>
              <w:rPr>
                <w:rFonts w:hint="default"/>
                <w:color w:val="auto"/>
                <w:sz w:val="24"/>
                <w:szCs w:val="24"/>
                <w:highlight w:val="none"/>
                <w:lang w:val="en-US" w:eastAsia="zh-CN"/>
              </w:rPr>
            </w:pPr>
            <w:r>
              <w:rPr>
                <w:rFonts w:hint="eastAsia"/>
                <w:color w:val="auto"/>
                <w:sz w:val="24"/>
                <w:szCs w:val="24"/>
                <w:highlight w:val="none"/>
                <w:lang w:val="en-US" w:eastAsia="zh-CN"/>
              </w:rPr>
              <w:t>合计岗数</w:t>
            </w:r>
          </w:p>
        </w:tc>
        <w:tc>
          <w:tcPr>
            <w:tcW w:w="1077" w:type="dxa"/>
            <w:vAlign w:val="center"/>
          </w:tcPr>
          <w:p>
            <w:pPr>
              <w:pStyle w:val="17"/>
              <w:ind w:firstLine="0"/>
              <w:jc w:val="center"/>
              <w:rPr>
                <w:rFonts w:hint="default"/>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1日</w:t>
            </w: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2日</w:t>
            </w: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3日</w:t>
            </w: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default"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w:t>
            </w: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931"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2518"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c>
          <w:tcPr>
            <w:tcW w:w="1077" w:type="dxa"/>
            <w:vAlign w:val="top"/>
          </w:tcPr>
          <w:p>
            <w:pPr>
              <w:pStyle w:val="17"/>
              <w:rPr>
                <w:rFonts w:hint="eastAsia" w:ascii="仿宋_GB2312" w:hAnsi="仿宋_GB2312" w:eastAsia="仿宋_GB2312" w:cs="仿宋_GB2312"/>
                <w:color w:val="auto"/>
                <w:sz w:val="24"/>
                <w:szCs w:val="24"/>
                <w:highlight w:val="none"/>
                <w:vertAlign w:val="baseline"/>
                <w:lang w:val="en-US" w:eastAsia="zh-CN"/>
              </w:rPr>
            </w:pPr>
          </w:p>
        </w:tc>
      </w:tr>
    </w:tbl>
    <w:p>
      <w:pPr>
        <w:pStyle w:val="17"/>
        <w:rPr>
          <w:rFonts w:hint="eastAsia" w:ascii="仿宋_GB2312" w:hAnsi="仿宋_GB2312" w:eastAsia="仿宋_GB2312" w:cs="仿宋_GB2312"/>
          <w:color w:val="auto"/>
          <w:sz w:val="32"/>
          <w:szCs w:val="32"/>
          <w:highlight w:val="none"/>
          <w:lang w:val="en-US" w:eastAsia="zh-CN"/>
        </w:rPr>
      </w:pPr>
    </w:p>
    <w:p>
      <w:pP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p>
    <w:p>
      <w:pPr>
        <w:spacing w:line="240" w:lineRule="auto"/>
        <w:outlineLvl w:val="1"/>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附件二：</w:t>
      </w:r>
    </w:p>
    <w:p>
      <w:pPr>
        <w:pStyle w:val="17"/>
        <w:ind w:firstLine="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保安服务项目考核表</w:t>
      </w:r>
    </w:p>
    <w:tbl>
      <w:tblPr>
        <w:tblStyle w:val="965"/>
        <w:tblW w:w="914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5"/>
        <w:gridCol w:w="794"/>
        <w:gridCol w:w="6270"/>
        <w:gridCol w:w="650"/>
        <w:gridCol w:w="7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5" w:type="dxa"/>
            <w:vAlign w:val="center"/>
          </w:tcPr>
          <w:p>
            <w:pPr>
              <w:pStyle w:val="338"/>
              <w:spacing w:before="68" w:line="220" w:lineRule="auto"/>
              <w:jc w:val="center"/>
              <w:rPr>
                <w:rFonts w:hint="eastAsia" w:ascii="仿宋_GB2312" w:hAnsi="仿宋_GB2312" w:eastAsia="仿宋_GB2312" w:cs="仿宋_GB2312"/>
                <w:color w:val="auto"/>
                <w:spacing w:val="-4"/>
                <w:sz w:val="24"/>
                <w:szCs w:val="24"/>
                <w:highlight w:val="none"/>
              </w:rPr>
            </w:pPr>
            <w:r>
              <w:rPr>
                <w:rFonts w:hint="eastAsia" w:ascii="仿宋_GB2312" w:hAnsi="仿宋_GB2312" w:eastAsia="仿宋_GB2312" w:cs="仿宋_GB2312"/>
                <w:color w:val="auto"/>
                <w:spacing w:val="-4"/>
                <w:sz w:val="24"/>
                <w:szCs w:val="24"/>
                <w:highlight w:val="none"/>
              </w:rPr>
              <w:t>序号</w:t>
            </w:r>
          </w:p>
        </w:tc>
        <w:tc>
          <w:tcPr>
            <w:tcW w:w="794" w:type="dxa"/>
            <w:vAlign w:val="top"/>
          </w:tcPr>
          <w:p>
            <w:pPr>
              <w:pStyle w:val="338"/>
              <w:spacing w:before="68" w:line="220" w:lineRule="auto"/>
              <w:jc w:val="center"/>
              <w:rPr>
                <w:rFonts w:hint="eastAsia" w:ascii="仿宋_GB2312" w:hAnsi="仿宋_GB2312" w:eastAsia="仿宋_GB2312" w:cs="仿宋_GB2312"/>
                <w:color w:val="auto"/>
                <w:spacing w:val="-4"/>
                <w:sz w:val="24"/>
                <w:szCs w:val="24"/>
                <w:highlight w:val="none"/>
              </w:rPr>
            </w:pPr>
            <w:r>
              <w:rPr>
                <w:rFonts w:hint="eastAsia" w:ascii="仿宋_GB2312" w:hAnsi="仿宋_GB2312" w:eastAsia="仿宋_GB2312" w:cs="仿宋_GB2312"/>
                <w:color w:val="auto"/>
                <w:spacing w:val="-4"/>
                <w:sz w:val="24"/>
                <w:szCs w:val="24"/>
                <w:highlight w:val="none"/>
              </w:rPr>
              <w:t>考核指标</w:t>
            </w:r>
          </w:p>
        </w:tc>
        <w:tc>
          <w:tcPr>
            <w:tcW w:w="6270" w:type="dxa"/>
            <w:vAlign w:val="center"/>
          </w:tcPr>
          <w:p>
            <w:pPr>
              <w:pStyle w:val="338"/>
              <w:spacing w:before="68" w:line="220" w:lineRule="auto"/>
              <w:jc w:val="center"/>
              <w:rPr>
                <w:rFonts w:hint="eastAsia" w:ascii="仿宋_GB2312" w:hAnsi="仿宋_GB2312" w:eastAsia="仿宋_GB2312" w:cs="仿宋_GB2312"/>
                <w:color w:val="auto"/>
                <w:spacing w:val="-4"/>
                <w:sz w:val="24"/>
                <w:szCs w:val="24"/>
                <w:highlight w:val="none"/>
              </w:rPr>
            </w:pPr>
            <w:r>
              <w:rPr>
                <w:rFonts w:hint="eastAsia" w:ascii="仿宋_GB2312" w:hAnsi="仿宋_GB2312" w:eastAsia="仿宋_GB2312" w:cs="仿宋_GB2312"/>
                <w:color w:val="auto"/>
                <w:spacing w:val="-4"/>
                <w:sz w:val="24"/>
                <w:szCs w:val="24"/>
                <w:highlight w:val="none"/>
              </w:rPr>
              <w:t>考核标准</w:t>
            </w:r>
          </w:p>
        </w:tc>
        <w:tc>
          <w:tcPr>
            <w:tcW w:w="650" w:type="dxa"/>
            <w:vAlign w:val="center"/>
          </w:tcPr>
          <w:p>
            <w:pPr>
              <w:pStyle w:val="338"/>
              <w:spacing w:before="68" w:line="220" w:lineRule="auto"/>
              <w:jc w:val="center"/>
              <w:rPr>
                <w:rFonts w:hint="eastAsia" w:ascii="仿宋_GB2312" w:hAnsi="仿宋_GB2312" w:eastAsia="仿宋_GB2312" w:cs="仿宋_GB2312"/>
                <w:color w:val="auto"/>
                <w:spacing w:val="-4"/>
                <w:sz w:val="24"/>
                <w:szCs w:val="24"/>
                <w:highlight w:val="none"/>
              </w:rPr>
            </w:pPr>
            <w:r>
              <w:rPr>
                <w:rFonts w:hint="eastAsia" w:ascii="仿宋_GB2312" w:hAnsi="仿宋_GB2312" w:eastAsia="仿宋_GB2312" w:cs="仿宋_GB2312"/>
                <w:color w:val="auto"/>
                <w:spacing w:val="-4"/>
                <w:sz w:val="24"/>
                <w:szCs w:val="24"/>
                <w:highlight w:val="none"/>
              </w:rPr>
              <w:t>分值</w:t>
            </w:r>
          </w:p>
        </w:tc>
        <w:tc>
          <w:tcPr>
            <w:tcW w:w="750" w:type="dxa"/>
            <w:vAlign w:val="center"/>
          </w:tcPr>
          <w:p>
            <w:pPr>
              <w:pStyle w:val="338"/>
              <w:spacing w:before="68" w:line="220" w:lineRule="auto"/>
              <w:jc w:val="center"/>
              <w:rPr>
                <w:rFonts w:hint="eastAsia" w:ascii="仿宋_GB2312" w:hAnsi="仿宋_GB2312" w:eastAsia="仿宋_GB2312" w:cs="仿宋_GB2312"/>
                <w:color w:val="auto"/>
                <w:spacing w:val="-4"/>
                <w:sz w:val="24"/>
                <w:szCs w:val="24"/>
                <w:highlight w:val="none"/>
              </w:rPr>
            </w:pPr>
            <w:r>
              <w:rPr>
                <w:rFonts w:hint="eastAsia" w:ascii="仿宋_GB2312" w:hAnsi="仿宋_GB2312" w:eastAsia="仿宋_GB2312" w:cs="仿宋_GB2312"/>
                <w:color w:val="auto"/>
                <w:spacing w:val="-4"/>
                <w:sz w:val="24"/>
                <w:szCs w:val="24"/>
                <w:highlight w:val="none"/>
              </w:rPr>
              <w:t>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5"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794"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人事考勤</w:t>
            </w:r>
          </w:p>
        </w:tc>
        <w:tc>
          <w:tcPr>
            <w:tcW w:w="6270" w:type="dxa"/>
            <w:vAlign w:val="top"/>
          </w:tcPr>
          <w:p>
            <w:pPr>
              <w:pStyle w:val="338"/>
              <w:spacing w:before="67" w:line="219" w:lineRule="auto"/>
              <w:ind w:left="12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1、严格按照岗位配置标准配齐人员；</w:t>
            </w:r>
          </w:p>
          <w:p>
            <w:pPr>
              <w:pStyle w:val="338"/>
              <w:spacing w:before="98" w:line="219" w:lineRule="auto"/>
              <w:ind w:left="11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2、严禁到岗人员未到属地管理部门签到、签退；</w:t>
            </w:r>
          </w:p>
          <w:p>
            <w:pPr>
              <w:pStyle w:val="338"/>
              <w:spacing w:before="98" w:line="219" w:lineRule="auto"/>
              <w:ind w:left="11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3、严禁已报脱岗，在 30 分钟内无人员替岗；</w:t>
            </w:r>
          </w:p>
          <w:p>
            <w:pPr>
              <w:pStyle w:val="338"/>
              <w:spacing w:before="99" w:line="269" w:lineRule="auto"/>
              <w:ind w:left="113" w:right="146" w:hanging="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4、严禁未跟车站报备离开工作岗位（包含提前离岗且</w:t>
            </w:r>
            <w:r>
              <w:rPr>
                <w:rFonts w:hint="eastAsia" w:ascii="仿宋_GB2312" w:hAnsi="仿宋_GB2312" w:eastAsia="仿宋_GB2312" w:cs="仿宋_GB2312"/>
                <w:color w:val="auto"/>
                <w:spacing w:val="-2"/>
                <w:sz w:val="24"/>
                <w:szCs w:val="24"/>
                <w:highlight w:val="none"/>
              </w:rPr>
              <w:t>没有人接岗算脱岗</w:t>
            </w:r>
            <w:r>
              <w:rPr>
                <w:rFonts w:hint="eastAsia" w:ascii="仿宋_GB2312" w:hAnsi="仿宋_GB2312" w:eastAsia="仿宋_GB2312" w:cs="仿宋_GB2312"/>
                <w:color w:val="auto"/>
                <w:spacing w:val="2"/>
                <w:sz w:val="24"/>
                <w:szCs w:val="24"/>
                <w:highlight w:val="none"/>
              </w:rPr>
              <w:t>）；</w:t>
            </w:r>
          </w:p>
          <w:p>
            <w:pPr>
              <w:pStyle w:val="338"/>
              <w:spacing w:before="98" w:line="219" w:lineRule="auto"/>
              <w:ind w:left="11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5、严禁连续上班时间超过12小时；</w:t>
            </w:r>
          </w:p>
          <w:p>
            <w:pPr>
              <w:pStyle w:val="338"/>
              <w:spacing w:before="98" w:line="270" w:lineRule="auto"/>
              <w:ind w:left="125" w:right="146" w:hanging="1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6、严禁雇佣年龄不足、身体状况不良等违反相关法律</w:t>
            </w:r>
            <w:r>
              <w:rPr>
                <w:rFonts w:hint="eastAsia" w:ascii="仿宋_GB2312" w:hAnsi="仿宋_GB2312" w:eastAsia="仿宋_GB2312" w:cs="仿宋_GB2312"/>
                <w:color w:val="auto"/>
                <w:spacing w:val="-4"/>
                <w:sz w:val="24"/>
                <w:szCs w:val="24"/>
                <w:highlight w:val="none"/>
              </w:rPr>
              <w:t>的人员上岗的。</w:t>
            </w:r>
          </w:p>
          <w:p>
            <w:pPr>
              <w:pStyle w:val="338"/>
              <w:spacing w:before="98" w:line="219" w:lineRule="auto"/>
              <w:ind w:left="1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（违反以上任一条款，每次扣1分，扣完为止。）</w:t>
            </w:r>
          </w:p>
        </w:tc>
        <w:tc>
          <w:tcPr>
            <w:tcW w:w="650"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750" w:type="dxa"/>
            <w:vAlign w:val="top"/>
          </w:tcPr>
          <w:p>
            <w:pPr>
              <w:rPr>
                <w:rFonts w:hint="eastAsia" w:ascii="仿宋_GB2312" w:hAnsi="仿宋_GB2312" w:eastAsia="仿宋_GB2312" w:cs="仿宋_GB2312"/>
                <w:color w:val="auto"/>
                <w:sz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5"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794"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仪容仪表</w:t>
            </w:r>
          </w:p>
        </w:tc>
        <w:tc>
          <w:tcPr>
            <w:tcW w:w="6270" w:type="dxa"/>
            <w:vAlign w:val="top"/>
          </w:tcPr>
          <w:p>
            <w:pPr>
              <w:pStyle w:val="338"/>
              <w:spacing w:before="67" w:line="295" w:lineRule="auto"/>
              <w:ind w:left="112" w:right="103" w:firstLine="1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1、当班人员不得留长头发（超过鬓角2cm）、染发（除</w:t>
            </w:r>
            <w:r>
              <w:rPr>
                <w:rFonts w:hint="eastAsia" w:ascii="仿宋_GB2312" w:hAnsi="仿宋_GB2312" w:eastAsia="仿宋_GB2312" w:cs="仿宋_GB2312"/>
                <w:color w:val="auto"/>
                <w:spacing w:val="11"/>
                <w:sz w:val="24"/>
                <w:szCs w:val="24"/>
                <w:highlight w:val="none"/>
              </w:rPr>
              <w:t xml:space="preserve"> </w:t>
            </w:r>
            <w:r>
              <w:rPr>
                <w:rFonts w:hint="eastAsia" w:ascii="仿宋_GB2312" w:hAnsi="仿宋_GB2312" w:eastAsia="仿宋_GB2312" w:cs="仿宋_GB2312"/>
                <w:color w:val="auto"/>
                <w:spacing w:val="-3"/>
                <w:sz w:val="24"/>
                <w:szCs w:val="24"/>
                <w:highlight w:val="none"/>
              </w:rPr>
              <w:t>黑发外）、理光头、留长胡子、长指甲、有外露纹身；</w:t>
            </w:r>
            <w:r>
              <w:rPr>
                <w:rFonts w:hint="eastAsia" w:ascii="仿宋_GB2312" w:hAnsi="仿宋_GB2312" w:eastAsia="仿宋_GB2312" w:cs="仿宋_GB2312"/>
                <w:color w:val="auto"/>
                <w:spacing w:val="16"/>
                <w:sz w:val="24"/>
                <w:szCs w:val="24"/>
                <w:highlight w:val="none"/>
              </w:rPr>
              <w:t xml:space="preserve"> </w:t>
            </w:r>
            <w:r>
              <w:rPr>
                <w:rFonts w:hint="eastAsia" w:ascii="仿宋_GB2312" w:hAnsi="仿宋_GB2312" w:eastAsia="仿宋_GB2312" w:cs="仿宋_GB2312"/>
                <w:color w:val="auto"/>
                <w:spacing w:val="-12"/>
                <w:sz w:val="24"/>
                <w:szCs w:val="24"/>
                <w:highlight w:val="none"/>
              </w:rPr>
              <w:t>2、严禁未统一着装、衣服不干净、敞胸、露背、卷裤</w:t>
            </w:r>
            <w:r>
              <w:rPr>
                <w:rFonts w:hint="eastAsia" w:ascii="仿宋_GB2312" w:hAnsi="仿宋_GB2312" w:eastAsia="仿宋_GB2312" w:cs="仿宋_GB2312"/>
                <w:color w:val="auto"/>
                <w:spacing w:val="-13"/>
                <w:sz w:val="24"/>
                <w:szCs w:val="24"/>
                <w:highlight w:val="none"/>
              </w:rPr>
              <w:t>(袖)</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5"/>
                <w:sz w:val="24"/>
                <w:szCs w:val="24"/>
                <w:highlight w:val="none"/>
              </w:rPr>
              <w:t>等；</w:t>
            </w:r>
          </w:p>
          <w:p>
            <w:pPr>
              <w:pStyle w:val="338"/>
              <w:spacing w:before="98" w:line="270" w:lineRule="auto"/>
              <w:ind w:left="116" w:right="103" w:hanging="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3、严禁执勤时将手插入口袋、穿戴饰品、化浓妆等行</w:t>
            </w:r>
            <w:r>
              <w:rPr>
                <w:rFonts w:hint="eastAsia" w:ascii="仿宋_GB2312" w:hAnsi="仿宋_GB2312" w:eastAsia="仿宋_GB2312" w:cs="仿宋_GB2312"/>
                <w:color w:val="auto"/>
                <w:spacing w:val="8"/>
                <w:sz w:val="24"/>
                <w:szCs w:val="24"/>
                <w:highlight w:val="none"/>
              </w:rPr>
              <w:t xml:space="preserve"> </w:t>
            </w:r>
            <w:r>
              <w:rPr>
                <w:rFonts w:hint="eastAsia" w:ascii="仿宋_GB2312" w:hAnsi="仿宋_GB2312" w:eastAsia="仿宋_GB2312" w:cs="仿宋_GB2312"/>
                <w:color w:val="auto"/>
                <w:spacing w:val="-7"/>
                <w:sz w:val="24"/>
                <w:szCs w:val="24"/>
                <w:highlight w:val="none"/>
              </w:rPr>
              <w:t>为；</w:t>
            </w:r>
          </w:p>
          <w:p>
            <w:pPr>
              <w:pStyle w:val="338"/>
              <w:spacing w:before="98" w:line="269" w:lineRule="auto"/>
              <w:ind w:left="110" w:right="10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4、严禁未按规定持有岗位资格证件或岗位资格证件不</w:t>
            </w:r>
            <w:r>
              <w:rPr>
                <w:rFonts w:hint="eastAsia" w:ascii="仿宋_GB2312" w:hAnsi="仿宋_GB2312" w:eastAsia="仿宋_GB2312" w:cs="仿宋_GB2312"/>
                <w:color w:val="auto"/>
                <w:spacing w:val="12"/>
                <w:sz w:val="24"/>
                <w:szCs w:val="24"/>
                <w:highlight w:val="none"/>
              </w:rPr>
              <w:t xml:space="preserve"> </w:t>
            </w:r>
            <w:r>
              <w:rPr>
                <w:rFonts w:hint="eastAsia" w:ascii="仿宋_GB2312" w:hAnsi="仿宋_GB2312" w:eastAsia="仿宋_GB2312" w:cs="仿宋_GB2312"/>
                <w:color w:val="auto"/>
                <w:spacing w:val="-3"/>
                <w:sz w:val="24"/>
                <w:szCs w:val="24"/>
                <w:highlight w:val="none"/>
              </w:rPr>
              <w:t>齐的；</w:t>
            </w:r>
          </w:p>
          <w:p>
            <w:pPr>
              <w:pStyle w:val="338"/>
              <w:spacing w:before="99" w:line="269" w:lineRule="auto"/>
              <w:ind w:left="112" w:right="733" w:firstLine="2"/>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5、严禁当班站岗或巡视时未按要求配戴装备；</w:t>
            </w:r>
            <w:r>
              <w:rPr>
                <w:rFonts w:hint="eastAsia" w:ascii="仿宋_GB2312" w:hAnsi="仿宋_GB2312" w:eastAsia="仿宋_GB2312" w:cs="仿宋_GB2312"/>
                <w:color w:val="auto"/>
                <w:spacing w:val="6"/>
                <w:sz w:val="24"/>
                <w:szCs w:val="24"/>
                <w:highlight w:val="none"/>
              </w:rPr>
              <w:t xml:space="preserve"> </w:t>
            </w:r>
            <w:r>
              <w:rPr>
                <w:rFonts w:hint="eastAsia" w:ascii="仿宋_GB2312" w:hAnsi="仿宋_GB2312" w:eastAsia="仿宋_GB2312" w:cs="仿宋_GB2312"/>
                <w:color w:val="auto"/>
                <w:spacing w:val="-1"/>
                <w:sz w:val="24"/>
                <w:szCs w:val="24"/>
                <w:highlight w:val="none"/>
              </w:rPr>
              <w:t>6、其他违反仪容仪表行为的。</w:t>
            </w:r>
          </w:p>
          <w:p>
            <w:pPr>
              <w:pStyle w:val="338"/>
              <w:spacing w:before="98" w:line="219" w:lineRule="auto"/>
              <w:ind w:left="12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（违反以上任一条款，每次扣 1 分，扣完为止。）</w:t>
            </w:r>
          </w:p>
        </w:tc>
        <w:tc>
          <w:tcPr>
            <w:tcW w:w="650"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750" w:type="dxa"/>
            <w:vAlign w:val="top"/>
          </w:tcPr>
          <w:p>
            <w:pPr>
              <w:rPr>
                <w:rFonts w:hint="eastAsia" w:ascii="仿宋_GB2312" w:hAnsi="仿宋_GB2312" w:eastAsia="仿宋_GB2312" w:cs="仿宋_GB2312"/>
                <w:color w:val="auto"/>
                <w:sz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5"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794"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行为举止</w:t>
            </w:r>
          </w:p>
        </w:tc>
        <w:tc>
          <w:tcPr>
            <w:tcW w:w="6270" w:type="dxa"/>
            <w:vAlign w:val="top"/>
          </w:tcPr>
          <w:p>
            <w:pPr>
              <w:pStyle w:val="338"/>
              <w:spacing w:before="69" w:line="300" w:lineRule="auto"/>
              <w:ind w:left="110" w:right="101" w:firstLine="1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1、注重形象、不卑不亢;精神饱满、谈吐得体、文明礼</w:t>
            </w:r>
            <w:r>
              <w:rPr>
                <w:rFonts w:hint="eastAsia" w:ascii="仿宋_GB2312" w:hAnsi="仿宋_GB2312" w:eastAsia="仿宋_GB2312" w:cs="仿宋_GB2312"/>
                <w:color w:val="auto"/>
                <w:spacing w:val="8"/>
                <w:sz w:val="24"/>
                <w:szCs w:val="24"/>
                <w:highlight w:val="none"/>
              </w:rPr>
              <w:t xml:space="preserve"> </w:t>
            </w:r>
            <w:r>
              <w:rPr>
                <w:rFonts w:hint="eastAsia" w:ascii="仿宋_GB2312" w:hAnsi="仿宋_GB2312" w:eastAsia="仿宋_GB2312" w:cs="仿宋_GB2312"/>
                <w:color w:val="auto"/>
                <w:spacing w:val="-2"/>
                <w:sz w:val="24"/>
                <w:szCs w:val="24"/>
                <w:highlight w:val="none"/>
              </w:rPr>
              <w:t>貌，尊重乘客，遇事讲究方式方法，做到以</w:t>
            </w:r>
            <w:r>
              <w:rPr>
                <w:rFonts w:hint="eastAsia" w:ascii="仿宋_GB2312" w:hAnsi="仿宋_GB2312" w:eastAsia="仿宋_GB2312" w:cs="仿宋_GB2312"/>
                <w:color w:val="auto"/>
                <w:spacing w:val="-3"/>
                <w:sz w:val="24"/>
                <w:szCs w:val="24"/>
                <w:highlight w:val="none"/>
              </w:rPr>
              <w:t>理服人；服</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2"/>
                <w:sz w:val="24"/>
                <w:szCs w:val="24"/>
                <w:highlight w:val="none"/>
              </w:rPr>
              <w:t>务要热情周到、举止端庄，礼貌大方，对乘客</w:t>
            </w:r>
            <w:r>
              <w:rPr>
                <w:rFonts w:hint="eastAsia" w:ascii="仿宋_GB2312" w:hAnsi="仿宋_GB2312" w:eastAsia="仿宋_GB2312" w:cs="仿宋_GB2312"/>
                <w:color w:val="auto"/>
                <w:spacing w:val="-3"/>
                <w:sz w:val="24"/>
                <w:szCs w:val="24"/>
                <w:highlight w:val="none"/>
              </w:rPr>
              <w:t>的诉求，</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2"/>
                <w:sz w:val="24"/>
                <w:szCs w:val="24"/>
                <w:highlight w:val="none"/>
              </w:rPr>
              <w:t>要尽力解决或耐心解释，对乘客的投诉，要认</w:t>
            </w:r>
            <w:r>
              <w:rPr>
                <w:rFonts w:hint="eastAsia" w:ascii="仿宋_GB2312" w:hAnsi="仿宋_GB2312" w:eastAsia="仿宋_GB2312" w:cs="仿宋_GB2312"/>
                <w:color w:val="auto"/>
                <w:spacing w:val="-3"/>
                <w:sz w:val="24"/>
                <w:szCs w:val="24"/>
                <w:highlight w:val="none"/>
              </w:rPr>
              <w:t>真对待，</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1"/>
                <w:sz w:val="24"/>
                <w:szCs w:val="24"/>
                <w:highlight w:val="none"/>
              </w:rPr>
              <w:t>任何情况都不得与乘客发生争执；</w:t>
            </w:r>
          </w:p>
          <w:p>
            <w:pPr>
              <w:pStyle w:val="338"/>
              <w:spacing w:before="99" w:line="269" w:lineRule="auto"/>
              <w:ind w:left="113" w:right="103"/>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2、当班期间不准将手插入衣/裤兜、搭肩</w:t>
            </w:r>
            <w:r>
              <w:rPr>
                <w:rFonts w:hint="eastAsia" w:ascii="仿宋_GB2312" w:hAnsi="仿宋_GB2312" w:eastAsia="仿宋_GB2312" w:cs="仿宋_GB2312"/>
                <w:color w:val="auto"/>
                <w:spacing w:val="-3"/>
                <w:sz w:val="24"/>
                <w:szCs w:val="24"/>
                <w:highlight w:val="none"/>
              </w:rPr>
              <w:t>、挽臂、嘻笑</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1"/>
                <w:sz w:val="24"/>
                <w:szCs w:val="24"/>
                <w:highlight w:val="none"/>
              </w:rPr>
              <w:t>打闹、吐痰、乱扔废弃物等；</w:t>
            </w:r>
          </w:p>
          <w:p>
            <w:pPr>
              <w:pStyle w:val="338"/>
              <w:spacing w:before="99" w:line="269" w:lineRule="auto"/>
              <w:ind w:left="120" w:right="106" w:hanging="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3、当班期间饮酒，车站可以及时提出更换当班安保员</w:t>
            </w:r>
            <w:r>
              <w:rPr>
                <w:rFonts w:hint="eastAsia" w:ascii="仿宋_GB2312" w:hAnsi="仿宋_GB2312" w:eastAsia="仿宋_GB2312" w:cs="仿宋_GB2312"/>
                <w:color w:val="auto"/>
                <w:spacing w:val="6"/>
                <w:sz w:val="24"/>
                <w:szCs w:val="24"/>
                <w:highlight w:val="none"/>
              </w:rPr>
              <w:t xml:space="preserve"> </w:t>
            </w:r>
            <w:r>
              <w:rPr>
                <w:rFonts w:hint="eastAsia" w:ascii="仿宋_GB2312" w:hAnsi="仿宋_GB2312" w:eastAsia="仿宋_GB2312" w:cs="仿宋_GB2312"/>
                <w:color w:val="auto"/>
                <w:spacing w:val="-2"/>
                <w:sz w:val="24"/>
                <w:szCs w:val="24"/>
                <w:highlight w:val="none"/>
              </w:rPr>
              <w:t>（30分钟内接岗</w:t>
            </w:r>
            <w:r>
              <w:rPr>
                <w:rFonts w:hint="eastAsia" w:ascii="仿宋_GB2312" w:hAnsi="仿宋_GB2312" w:eastAsia="仿宋_GB2312" w:cs="仿宋_GB2312"/>
                <w:color w:val="auto"/>
                <w:spacing w:val="11"/>
                <w:sz w:val="24"/>
                <w:szCs w:val="24"/>
                <w:highlight w:val="none"/>
              </w:rPr>
              <w:t>），</w:t>
            </w:r>
            <w:r>
              <w:rPr>
                <w:rFonts w:hint="eastAsia" w:ascii="仿宋_GB2312" w:hAnsi="仿宋_GB2312" w:eastAsia="仿宋_GB2312" w:cs="仿宋_GB2312"/>
                <w:color w:val="auto"/>
                <w:spacing w:val="-2"/>
                <w:sz w:val="24"/>
                <w:szCs w:val="24"/>
                <w:highlight w:val="none"/>
              </w:rPr>
              <w:t>未及时更换的每次扣5分；</w:t>
            </w:r>
          </w:p>
          <w:p>
            <w:pPr>
              <w:pStyle w:val="338"/>
              <w:spacing w:before="99" w:line="286" w:lineRule="auto"/>
              <w:ind w:left="114" w:right="103" w:hanging="4"/>
              <w:rPr>
                <w:rFonts w:hint="eastAsia" w:ascii="仿宋_GB2312" w:hAnsi="仿宋_GB2312" w:eastAsia="仿宋_GB2312" w:cs="仿宋_GB2312"/>
                <w:color w:val="auto"/>
                <w:spacing w:val="-2"/>
                <w:sz w:val="24"/>
                <w:szCs w:val="24"/>
                <w:highlight w:val="none"/>
              </w:rPr>
            </w:pPr>
            <w:r>
              <w:rPr>
                <w:rFonts w:hint="eastAsia" w:ascii="仿宋_GB2312" w:hAnsi="仿宋_GB2312" w:eastAsia="仿宋_GB2312" w:cs="仿宋_GB2312"/>
                <w:color w:val="auto"/>
                <w:spacing w:val="1"/>
                <w:sz w:val="24"/>
                <w:szCs w:val="24"/>
                <w:highlight w:val="none"/>
              </w:rPr>
              <w:t>4、严格履行岗位职责，当班期间不准脱岗、空岗、睡</w:t>
            </w:r>
            <w:r>
              <w:rPr>
                <w:rFonts w:hint="eastAsia" w:ascii="仿宋_GB2312" w:hAnsi="仿宋_GB2312" w:eastAsia="仿宋_GB2312" w:cs="仿宋_GB2312"/>
                <w:color w:val="auto"/>
                <w:spacing w:val="10"/>
                <w:sz w:val="24"/>
                <w:szCs w:val="24"/>
                <w:highlight w:val="none"/>
              </w:rPr>
              <w:t xml:space="preserve"> </w:t>
            </w:r>
            <w:r>
              <w:rPr>
                <w:rFonts w:hint="eastAsia" w:ascii="仿宋_GB2312" w:hAnsi="仿宋_GB2312" w:eastAsia="仿宋_GB2312" w:cs="仿宋_GB2312"/>
                <w:color w:val="auto"/>
                <w:spacing w:val="-3"/>
                <w:sz w:val="24"/>
                <w:szCs w:val="24"/>
                <w:highlight w:val="none"/>
              </w:rPr>
              <w:t>岗、吃零食玩手机、看报纸、听广播、抽烟等与安保服</w:t>
            </w:r>
            <w:r>
              <w:rPr>
                <w:rFonts w:hint="eastAsia" w:ascii="仿宋_GB2312" w:hAnsi="仿宋_GB2312" w:eastAsia="仿宋_GB2312" w:cs="仿宋_GB2312"/>
                <w:color w:val="auto"/>
                <w:spacing w:val="14"/>
                <w:sz w:val="24"/>
                <w:szCs w:val="24"/>
                <w:highlight w:val="none"/>
              </w:rPr>
              <w:t xml:space="preserve"> </w:t>
            </w:r>
            <w:r>
              <w:rPr>
                <w:rFonts w:hint="eastAsia" w:ascii="仿宋_GB2312" w:hAnsi="仿宋_GB2312" w:eastAsia="仿宋_GB2312" w:cs="仿宋_GB2312"/>
                <w:color w:val="auto"/>
                <w:spacing w:val="-2"/>
                <w:sz w:val="24"/>
                <w:szCs w:val="24"/>
                <w:highlight w:val="none"/>
              </w:rPr>
              <w:t>务无关的事情；</w:t>
            </w:r>
          </w:p>
          <w:p>
            <w:pPr>
              <w:pStyle w:val="338"/>
              <w:spacing w:before="72" w:line="219" w:lineRule="auto"/>
              <w:ind w:left="114"/>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5、严禁当班期间在规定时间外进食；</w:t>
            </w:r>
          </w:p>
          <w:p>
            <w:pPr>
              <w:pStyle w:val="338"/>
              <w:spacing w:before="98" w:line="270" w:lineRule="auto"/>
              <w:ind w:left="111" w:right="103" w:firstLine="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2"/>
                <w:sz w:val="24"/>
                <w:szCs w:val="24"/>
                <w:highlight w:val="none"/>
              </w:rPr>
              <w:t>6、着制服出入公共场所时，严禁散乱，自</w:t>
            </w:r>
            <w:r>
              <w:rPr>
                <w:rFonts w:hint="eastAsia" w:ascii="仿宋_GB2312" w:hAnsi="仿宋_GB2312" w:eastAsia="仿宋_GB2312" w:cs="仿宋_GB2312"/>
                <w:color w:val="auto"/>
                <w:spacing w:val="-3"/>
                <w:sz w:val="24"/>
                <w:szCs w:val="24"/>
                <w:highlight w:val="none"/>
              </w:rPr>
              <w:t>觉按"两人成</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1"/>
                <w:sz w:val="24"/>
                <w:szCs w:val="24"/>
                <w:highlight w:val="none"/>
              </w:rPr>
              <w:t>行、三人成列"组队出入；</w:t>
            </w:r>
          </w:p>
          <w:p>
            <w:pPr>
              <w:pStyle w:val="338"/>
              <w:spacing w:before="98" w:line="269" w:lineRule="auto"/>
              <w:ind w:left="122" w:right="103" w:hanging="7"/>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7、自觉遵守公共秩序和社会公德;尊重少数民族的风俗</w:t>
            </w:r>
            <w:r>
              <w:rPr>
                <w:rFonts w:hint="eastAsia" w:ascii="仿宋_GB2312" w:hAnsi="仿宋_GB2312" w:eastAsia="仿宋_GB2312" w:cs="仿宋_GB2312"/>
                <w:color w:val="auto"/>
                <w:spacing w:val="17"/>
                <w:sz w:val="24"/>
                <w:szCs w:val="24"/>
                <w:highlight w:val="none"/>
              </w:rPr>
              <w:t xml:space="preserve"> </w:t>
            </w:r>
            <w:r>
              <w:rPr>
                <w:rFonts w:hint="eastAsia" w:ascii="仿宋_GB2312" w:hAnsi="仿宋_GB2312" w:eastAsia="仿宋_GB2312" w:cs="仿宋_GB2312"/>
                <w:color w:val="auto"/>
                <w:spacing w:val="-7"/>
                <w:sz w:val="24"/>
                <w:szCs w:val="24"/>
                <w:highlight w:val="none"/>
              </w:rPr>
              <w:t>习惯。</w:t>
            </w:r>
          </w:p>
          <w:p>
            <w:pPr>
              <w:pStyle w:val="338"/>
              <w:spacing w:before="99" w:line="286" w:lineRule="auto"/>
              <w:ind w:left="114" w:right="103" w:hanging="4"/>
              <w:rPr>
                <w:rFonts w:hint="eastAsia" w:ascii="仿宋_GB2312" w:hAnsi="仿宋_GB2312" w:eastAsia="仿宋_GB2312" w:cs="仿宋_GB2312"/>
                <w:color w:val="auto"/>
                <w:spacing w:val="-2"/>
                <w:sz w:val="24"/>
                <w:szCs w:val="24"/>
                <w:highlight w:val="none"/>
              </w:rPr>
            </w:pPr>
            <w:r>
              <w:rPr>
                <w:rFonts w:hint="eastAsia" w:ascii="仿宋_GB2312" w:hAnsi="仿宋_GB2312" w:eastAsia="仿宋_GB2312" w:cs="仿宋_GB2312"/>
                <w:color w:val="auto"/>
                <w:spacing w:val="-3"/>
                <w:sz w:val="24"/>
                <w:szCs w:val="24"/>
                <w:highlight w:val="none"/>
              </w:rPr>
              <w:t>（违反以上任一条款，每次扣1分（有特殊规定除外</w:t>
            </w:r>
            <w:r>
              <w:rPr>
                <w:rFonts w:hint="eastAsia" w:ascii="仿宋_GB2312" w:hAnsi="仿宋_GB2312" w:eastAsia="仿宋_GB2312" w:cs="仿宋_GB2312"/>
                <w:color w:val="auto"/>
                <w:spacing w:val="-20"/>
                <w:sz w:val="24"/>
                <w:szCs w:val="24"/>
                <w:highlight w:val="none"/>
              </w:rPr>
              <w:t>），</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2"/>
                <w:sz w:val="24"/>
                <w:szCs w:val="24"/>
                <w:highlight w:val="none"/>
              </w:rPr>
              <w:t>扣完为止。）</w:t>
            </w:r>
          </w:p>
        </w:tc>
        <w:tc>
          <w:tcPr>
            <w:tcW w:w="650"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750" w:type="dxa"/>
            <w:vAlign w:val="top"/>
          </w:tcPr>
          <w:p>
            <w:pPr>
              <w:rPr>
                <w:rFonts w:hint="eastAsia" w:ascii="仿宋_GB2312" w:hAnsi="仿宋_GB2312" w:eastAsia="仿宋_GB2312" w:cs="仿宋_GB2312"/>
                <w:color w:val="auto"/>
                <w:sz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5"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lang w:val="en-US" w:eastAsia="en-US"/>
              </w:rPr>
            </w:pPr>
            <w:r>
              <w:rPr>
                <w:rFonts w:hint="eastAsia" w:ascii="仿宋_GB2312" w:hAnsi="仿宋_GB2312" w:eastAsia="仿宋_GB2312" w:cs="仿宋_GB2312"/>
                <w:color w:val="auto"/>
                <w:sz w:val="24"/>
                <w:szCs w:val="24"/>
                <w:highlight w:val="none"/>
              </w:rPr>
              <w:t>4</w:t>
            </w:r>
          </w:p>
        </w:tc>
        <w:tc>
          <w:tcPr>
            <w:tcW w:w="794"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lang w:val="en-US" w:eastAsia="en-US"/>
              </w:rPr>
            </w:pPr>
            <w:r>
              <w:rPr>
                <w:rFonts w:hint="eastAsia" w:ascii="仿宋_GB2312" w:hAnsi="仿宋_GB2312" w:eastAsia="仿宋_GB2312" w:cs="仿宋_GB2312"/>
                <w:color w:val="auto"/>
                <w:sz w:val="24"/>
                <w:szCs w:val="24"/>
                <w:highlight w:val="none"/>
              </w:rPr>
              <w:t>履职情况</w:t>
            </w:r>
          </w:p>
        </w:tc>
        <w:tc>
          <w:tcPr>
            <w:tcW w:w="6270" w:type="dxa"/>
            <w:vAlign w:val="center"/>
          </w:tcPr>
          <w:p>
            <w:pPr>
              <w:pStyle w:val="338"/>
              <w:spacing w:before="68" w:line="219" w:lineRule="auto"/>
              <w:ind w:left="12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1、严格按照岗位职责执行任务，履职尽责；</w:t>
            </w:r>
          </w:p>
          <w:p>
            <w:pPr>
              <w:pStyle w:val="338"/>
              <w:spacing w:before="98" w:line="219" w:lineRule="auto"/>
              <w:ind w:left="113"/>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2、严格按照作业流程开展工作，联动作业；</w:t>
            </w:r>
          </w:p>
          <w:p>
            <w:pPr>
              <w:pStyle w:val="338"/>
              <w:spacing w:before="99" w:line="269" w:lineRule="auto"/>
              <w:ind w:left="117" w:right="106" w:hanging="3"/>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3、严格遵守运营分公司各项规章制度，服从运营分公</w:t>
            </w:r>
            <w:r>
              <w:rPr>
                <w:rFonts w:hint="eastAsia" w:ascii="仿宋_GB2312" w:hAnsi="仿宋_GB2312" w:eastAsia="仿宋_GB2312" w:cs="仿宋_GB2312"/>
                <w:color w:val="auto"/>
                <w:spacing w:val="6"/>
                <w:sz w:val="24"/>
                <w:szCs w:val="24"/>
                <w:highlight w:val="none"/>
              </w:rPr>
              <w:t xml:space="preserve"> </w:t>
            </w:r>
            <w:r>
              <w:rPr>
                <w:rFonts w:hint="eastAsia" w:ascii="仿宋_GB2312" w:hAnsi="仿宋_GB2312" w:eastAsia="仿宋_GB2312" w:cs="仿宋_GB2312"/>
                <w:color w:val="auto"/>
                <w:spacing w:val="-1"/>
                <w:sz w:val="24"/>
                <w:szCs w:val="24"/>
                <w:highlight w:val="none"/>
              </w:rPr>
              <w:t>司、属地管理部门及轨道公安管理；</w:t>
            </w:r>
          </w:p>
          <w:p>
            <w:pPr>
              <w:pStyle w:val="338"/>
              <w:spacing w:before="99" w:line="269" w:lineRule="auto"/>
              <w:ind w:left="110" w:right="103"/>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4、严禁无交接班记录、交接班记录填写不完整、执勤</w:t>
            </w:r>
            <w:r>
              <w:rPr>
                <w:rFonts w:hint="eastAsia" w:ascii="仿宋_GB2312" w:hAnsi="仿宋_GB2312" w:eastAsia="仿宋_GB2312" w:cs="仿宋_GB2312"/>
                <w:color w:val="auto"/>
                <w:spacing w:val="12"/>
                <w:sz w:val="24"/>
                <w:szCs w:val="24"/>
                <w:highlight w:val="none"/>
              </w:rPr>
              <w:t xml:space="preserve"> </w:t>
            </w:r>
            <w:r>
              <w:rPr>
                <w:rFonts w:hint="eastAsia" w:ascii="仿宋_GB2312" w:hAnsi="仿宋_GB2312" w:eastAsia="仿宋_GB2312" w:cs="仿宋_GB2312"/>
                <w:color w:val="auto"/>
                <w:spacing w:val="-1"/>
                <w:sz w:val="24"/>
                <w:szCs w:val="24"/>
                <w:highlight w:val="none"/>
              </w:rPr>
              <w:t>记录未按要求填写、未按规定登记巡逻台账的；</w:t>
            </w:r>
          </w:p>
          <w:p>
            <w:pPr>
              <w:pStyle w:val="338"/>
              <w:spacing w:before="98" w:line="219" w:lineRule="auto"/>
              <w:ind w:left="11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5、严禁未按要求每月提交排班表给运营分公司备档；</w:t>
            </w:r>
          </w:p>
          <w:p>
            <w:pPr>
              <w:pStyle w:val="338"/>
              <w:spacing w:before="99" w:line="286" w:lineRule="auto"/>
              <w:ind w:left="112" w:right="61"/>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4"/>
                <w:sz w:val="24"/>
                <w:szCs w:val="24"/>
                <w:highlight w:val="none"/>
              </w:rPr>
              <w:t>6、严禁对运营分公司人员提出问题未进行及时整</w:t>
            </w:r>
            <w:r>
              <w:rPr>
                <w:rFonts w:hint="eastAsia" w:ascii="仿宋_GB2312" w:hAnsi="仿宋_GB2312" w:eastAsia="仿宋_GB2312" w:cs="仿宋_GB2312"/>
                <w:color w:val="auto"/>
                <w:spacing w:val="-5"/>
                <w:sz w:val="24"/>
                <w:szCs w:val="24"/>
                <w:highlight w:val="none"/>
              </w:rPr>
              <w:t>改的；</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pacing w:val="1"/>
                <w:sz w:val="24"/>
                <w:szCs w:val="24"/>
                <w:highlight w:val="none"/>
              </w:rPr>
              <w:t>7、不准随意打听、记录、传播运营分公司的机密事项</w:t>
            </w:r>
            <w:r>
              <w:rPr>
                <w:rFonts w:hint="eastAsia" w:ascii="仿宋_GB2312" w:hAnsi="仿宋_GB2312" w:eastAsia="仿宋_GB2312" w:cs="仿宋_GB2312"/>
                <w:color w:val="auto"/>
                <w:spacing w:val="8"/>
                <w:sz w:val="24"/>
                <w:szCs w:val="24"/>
                <w:highlight w:val="none"/>
              </w:rPr>
              <w:t xml:space="preserve"> </w:t>
            </w:r>
            <w:r>
              <w:rPr>
                <w:rFonts w:hint="eastAsia" w:ascii="仿宋_GB2312" w:hAnsi="仿宋_GB2312" w:eastAsia="仿宋_GB2312" w:cs="仿宋_GB2312"/>
                <w:color w:val="auto"/>
                <w:spacing w:val="-5"/>
                <w:sz w:val="24"/>
                <w:szCs w:val="24"/>
                <w:highlight w:val="none"/>
              </w:rPr>
              <w:t>等；</w:t>
            </w:r>
          </w:p>
          <w:p>
            <w:pPr>
              <w:pStyle w:val="338"/>
              <w:spacing w:before="98" w:line="286" w:lineRule="auto"/>
              <w:ind w:left="111" w:right="106"/>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8、爱护运营分公司设备设施和安保装备，严禁随意破</w:t>
            </w:r>
            <w:r>
              <w:rPr>
                <w:rFonts w:hint="eastAsia" w:ascii="仿宋_GB2312" w:hAnsi="仿宋_GB2312" w:eastAsia="仿宋_GB2312" w:cs="仿宋_GB2312"/>
                <w:color w:val="auto"/>
                <w:spacing w:val="9"/>
                <w:sz w:val="24"/>
                <w:szCs w:val="24"/>
                <w:highlight w:val="none"/>
              </w:rPr>
              <w:t xml:space="preserve"> </w:t>
            </w:r>
            <w:r>
              <w:rPr>
                <w:rFonts w:hint="eastAsia" w:ascii="仿宋_GB2312" w:hAnsi="仿宋_GB2312" w:eastAsia="仿宋_GB2312" w:cs="仿宋_GB2312"/>
                <w:color w:val="auto"/>
                <w:spacing w:val="5"/>
                <w:sz w:val="24"/>
                <w:szCs w:val="24"/>
                <w:highlight w:val="none"/>
              </w:rPr>
              <w:t>坏运营分公司设各设施和将安保装备变卖、赠送或出</w:t>
            </w:r>
            <w:r>
              <w:rPr>
                <w:rFonts w:hint="eastAsia" w:ascii="仿宋_GB2312" w:hAnsi="仿宋_GB2312" w:eastAsia="仿宋_GB2312" w:cs="仿宋_GB2312"/>
                <w:color w:val="auto"/>
                <w:spacing w:val="8"/>
                <w:sz w:val="24"/>
                <w:szCs w:val="24"/>
                <w:highlight w:val="none"/>
              </w:rPr>
              <w:t xml:space="preserve"> </w:t>
            </w:r>
            <w:r>
              <w:rPr>
                <w:rFonts w:hint="eastAsia" w:ascii="仿宋_GB2312" w:hAnsi="仿宋_GB2312" w:eastAsia="仿宋_GB2312" w:cs="仿宋_GB2312"/>
                <w:color w:val="auto"/>
                <w:spacing w:val="-1"/>
                <w:sz w:val="24"/>
                <w:szCs w:val="24"/>
                <w:highlight w:val="none"/>
              </w:rPr>
              <w:t>租、出借给他人，除照价赔偿外；</w:t>
            </w:r>
          </w:p>
          <w:p>
            <w:pPr>
              <w:pStyle w:val="338"/>
              <w:spacing w:before="101" w:line="270" w:lineRule="auto"/>
              <w:ind w:left="111" w:right="103"/>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9、严禁执勤中发生乘客无理取闹事情时，未能及时制</w:t>
            </w:r>
            <w:r>
              <w:rPr>
                <w:rFonts w:hint="eastAsia" w:ascii="仿宋_GB2312" w:hAnsi="仿宋_GB2312" w:eastAsia="仿宋_GB2312" w:cs="仿宋_GB2312"/>
                <w:color w:val="auto"/>
                <w:spacing w:val="11"/>
                <w:sz w:val="24"/>
                <w:szCs w:val="24"/>
                <w:highlight w:val="none"/>
              </w:rPr>
              <w:t xml:space="preserve"> </w:t>
            </w:r>
            <w:r>
              <w:rPr>
                <w:rFonts w:hint="eastAsia" w:ascii="仿宋_GB2312" w:hAnsi="仿宋_GB2312" w:eastAsia="仿宋_GB2312" w:cs="仿宋_GB2312"/>
                <w:color w:val="auto"/>
                <w:spacing w:val="-3"/>
                <w:sz w:val="24"/>
                <w:szCs w:val="24"/>
                <w:highlight w:val="none"/>
              </w:rPr>
              <w:t>止的；</w:t>
            </w:r>
          </w:p>
          <w:p>
            <w:pPr>
              <w:pStyle w:val="338"/>
              <w:spacing w:before="98" w:line="269" w:lineRule="auto"/>
              <w:ind w:left="110" w:right="45" w:firstLine="14"/>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8"/>
                <w:sz w:val="24"/>
                <w:szCs w:val="24"/>
                <w:highlight w:val="none"/>
              </w:rPr>
              <w:t>10、严禁未制止在站内吸烟、滑旱冰、骑自行车及超高、</w:t>
            </w:r>
            <w:r>
              <w:rPr>
                <w:rFonts w:hint="eastAsia" w:ascii="仿宋_GB2312" w:hAnsi="仿宋_GB2312" w:eastAsia="仿宋_GB2312" w:cs="仿宋_GB2312"/>
                <w:color w:val="auto"/>
                <w:spacing w:val="18"/>
                <w:sz w:val="24"/>
                <w:szCs w:val="24"/>
                <w:highlight w:val="none"/>
              </w:rPr>
              <w:t xml:space="preserve"> </w:t>
            </w:r>
            <w:r>
              <w:rPr>
                <w:rFonts w:hint="eastAsia" w:ascii="仿宋_GB2312" w:hAnsi="仿宋_GB2312" w:eastAsia="仿宋_GB2312" w:cs="仿宋_GB2312"/>
                <w:color w:val="auto"/>
                <w:spacing w:val="-1"/>
                <w:sz w:val="24"/>
                <w:szCs w:val="24"/>
                <w:highlight w:val="none"/>
              </w:rPr>
              <w:t>超大物件等物品进站的行为；</w:t>
            </w:r>
          </w:p>
          <w:p>
            <w:pPr>
              <w:pStyle w:val="338"/>
              <w:spacing w:before="99" w:line="269" w:lineRule="auto"/>
              <w:ind w:left="125" w:right="238" w:hanging="1"/>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11、必须接受运营分公司、属地管理部门及轨道公安</w:t>
            </w:r>
            <w:r>
              <w:rPr>
                <w:rFonts w:hint="eastAsia" w:ascii="仿宋_GB2312" w:hAnsi="仿宋_GB2312" w:eastAsia="仿宋_GB2312" w:cs="仿宋_GB2312"/>
                <w:color w:val="auto"/>
                <w:spacing w:val="2"/>
                <w:sz w:val="24"/>
                <w:szCs w:val="24"/>
                <w:highlight w:val="none"/>
              </w:rPr>
              <w:t xml:space="preserve"> </w:t>
            </w:r>
            <w:r>
              <w:rPr>
                <w:rFonts w:hint="eastAsia" w:ascii="仿宋_GB2312" w:hAnsi="仿宋_GB2312" w:eastAsia="仿宋_GB2312" w:cs="仿宋_GB2312"/>
                <w:color w:val="auto"/>
                <w:spacing w:val="-2"/>
                <w:sz w:val="24"/>
                <w:szCs w:val="24"/>
                <w:highlight w:val="none"/>
              </w:rPr>
              <w:t>的检查、监督、考核及指导工作；</w:t>
            </w:r>
          </w:p>
          <w:p>
            <w:pPr>
              <w:pStyle w:val="338"/>
              <w:spacing w:before="98" w:line="270" w:lineRule="auto"/>
              <w:ind w:left="125" w:right="103" w:hanging="1"/>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3"/>
                <w:sz w:val="24"/>
                <w:szCs w:val="24"/>
                <w:highlight w:val="none"/>
              </w:rPr>
              <w:t>12、其他违反运营分公司规章制度和相关安保管理制度</w:t>
            </w:r>
            <w:r>
              <w:rPr>
                <w:rFonts w:hint="eastAsia" w:ascii="仿宋_GB2312" w:hAnsi="仿宋_GB2312" w:eastAsia="仿宋_GB2312" w:cs="仿宋_GB2312"/>
                <w:color w:val="auto"/>
                <w:spacing w:val="8"/>
                <w:sz w:val="24"/>
                <w:szCs w:val="24"/>
                <w:highlight w:val="none"/>
              </w:rPr>
              <w:t xml:space="preserve"> </w:t>
            </w:r>
            <w:r>
              <w:rPr>
                <w:rFonts w:hint="eastAsia" w:ascii="仿宋_GB2312" w:hAnsi="仿宋_GB2312" w:eastAsia="仿宋_GB2312" w:cs="仿宋_GB2312"/>
                <w:color w:val="auto"/>
                <w:spacing w:val="-6"/>
                <w:sz w:val="24"/>
                <w:szCs w:val="24"/>
                <w:highlight w:val="none"/>
              </w:rPr>
              <w:t>的行为。</w:t>
            </w:r>
          </w:p>
          <w:p>
            <w:pPr>
              <w:pStyle w:val="338"/>
              <w:spacing w:before="98" w:line="219" w:lineRule="auto"/>
              <w:jc w:val="both"/>
              <w:rPr>
                <w:rFonts w:hint="eastAsia" w:ascii="仿宋_GB2312" w:hAnsi="仿宋_GB2312" w:eastAsia="仿宋_GB2312" w:cs="仿宋_GB2312"/>
                <w:color w:val="auto"/>
                <w:sz w:val="24"/>
                <w:szCs w:val="24"/>
                <w:highlight w:val="none"/>
                <w:lang w:val="en-US" w:eastAsia="en-US" w:bidi="ar-SA"/>
              </w:rPr>
            </w:pPr>
            <w:r>
              <w:rPr>
                <w:rFonts w:hint="eastAsia" w:ascii="仿宋_GB2312" w:hAnsi="仿宋_GB2312" w:eastAsia="仿宋_GB2312" w:cs="仿宋_GB2312"/>
                <w:color w:val="auto"/>
                <w:spacing w:val="-10"/>
                <w:sz w:val="24"/>
                <w:szCs w:val="24"/>
                <w:highlight w:val="none"/>
              </w:rPr>
              <w:t>（违反以上任一条款，视情况每次扣1-3分，扣完为止。）</w:t>
            </w:r>
          </w:p>
        </w:tc>
        <w:tc>
          <w:tcPr>
            <w:tcW w:w="650"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lang w:val="en-US" w:eastAsia="en-US"/>
              </w:rPr>
            </w:pPr>
            <w:r>
              <w:rPr>
                <w:rFonts w:hint="eastAsia" w:ascii="仿宋_GB2312" w:hAnsi="仿宋_GB2312" w:eastAsia="仿宋_GB2312" w:cs="仿宋_GB2312"/>
                <w:color w:val="auto"/>
                <w:sz w:val="24"/>
                <w:szCs w:val="24"/>
                <w:highlight w:val="none"/>
              </w:rPr>
              <w:t>15</w:t>
            </w:r>
          </w:p>
        </w:tc>
        <w:tc>
          <w:tcPr>
            <w:tcW w:w="750" w:type="dxa"/>
            <w:vAlign w:val="top"/>
          </w:tcPr>
          <w:p>
            <w:pPr>
              <w:rPr>
                <w:rFonts w:hint="eastAsia" w:ascii="仿宋_GB2312" w:hAnsi="仿宋_GB2312" w:eastAsia="仿宋_GB2312" w:cs="仿宋_GB2312"/>
                <w:color w:val="auto"/>
                <w:sz w:val="24"/>
                <w:szCs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5" w:type="dxa"/>
            <w:vAlign w:val="center"/>
          </w:tcPr>
          <w:p>
            <w:pPr>
              <w:pStyle w:val="338"/>
              <w:spacing w:before="59" w:line="184"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94" w:type="dxa"/>
            <w:vAlign w:val="center"/>
          </w:tcPr>
          <w:p>
            <w:pPr>
              <w:pStyle w:val="338"/>
              <w:spacing w:before="59" w:line="184"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信息报送</w:t>
            </w:r>
          </w:p>
        </w:tc>
        <w:tc>
          <w:tcPr>
            <w:tcW w:w="6270" w:type="dxa"/>
            <w:vAlign w:val="top"/>
          </w:tcPr>
          <w:p>
            <w:pPr>
              <w:pStyle w:val="338"/>
              <w:spacing w:before="98" w:line="218" w:lineRule="auto"/>
              <w:ind w:left="111" w:leftChars="0"/>
              <w:rPr>
                <w:rFonts w:hint="eastAsia" w:ascii="仿宋_GB2312" w:hAnsi="仿宋_GB2312" w:eastAsia="仿宋_GB2312" w:cs="仿宋_GB2312"/>
                <w:color w:val="auto"/>
                <w:spacing w:val="-1"/>
                <w:sz w:val="24"/>
                <w:szCs w:val="24"/>
                <w:highlight w:val="none"/>
              </w:rPr>
            </w:pPr>
            <w:r>
              <w:rPr>
                <w:rFonts w:hint="eastAsia" w:ascii="仿宋_GB2312" w:hAnsi="仿宋_GB2312" w:eastAsia="仿宋_GB2312" w:cs="仿宋_GB2312"/>
                <w:color w:val="auto"/>
                <w:spacing w:val="-1"/>
                <w:sz w:val="24"/>
                <w:szCs w:val="24"/>
                <w:highlight w:val="none"/>
              </w:rPr>
              <w:t>1、做好突发事件前期处置，并及时向安保服务公司、</w:t>
            </w:r>
          </w:p>
          <w:p>
            <w:pPr>
              <w:pStyle w:val="338"/>
              <w:spacing w:before="98" w:line="218" w:lineRule="auto"/>
              <w:ind w:left="111" w:leftChars="0"/>
              <w:rPr>
                <w:rFonts w:hint="eastAsia" w:ascii="仿宋_GB2312" w:hAnsi="仿宋_GB2312" w:eastAsia="仿宋_GB2312" w:cs="仿宋_GB2312"/>
                <w:color w:val="auto"/>
                <w:spacing w:val="-1"/>
                <w:sz w:val="24"/>
                <w:szCs w:val="24"/>
                <w:highlight w:val="none"/>
              </w:rPr>
            </w:pPr>
            <w:r>
              <w:rPr>
                <w:rFonts w:hint="eastAsia" w:ascii="仿宋_GB2312" w:hAnsi="仿宋_GB2312" w:eastAsia="仿宋_GB2312" w:cs="仿宋_GB2312"/>
                <w:color w:val="auto"/>
                <w:spacing w:val="-1"/>
                <w:sz w:val="24"/>
                <w:szCs w:val="24"/>
                <w:highlight w:val="none"/>
              </w:rPr>
              <w:t>车站、运营分公司安全技术部、轨道公安上报信息，做</w:t>
            </w:r>
          </w:p>
          <w:p>
            <w:pPr>
              <w:pStyle w:val="338"/>
              <w:spacing w:before="98" w:line="218" w:lineRule="auto"/>
              <w:ind w:left="111" w:leftChars="0"/>
              <w:rPr>
                <w:rFonts w:hint="eastAsia" w:ascii="仿宋_GB2312" w:hAnsi="仿宋_GB2312" w:eastAsia="仿宋_GB2312" w:cs="仿宋_GB2312"/>
                <w:color w:val="auto"/>
                <w:spacing w:val="-1"/>
                <w:sz w:val="24"/>
                <w:szCs w:val="24"/>
                <w:highlight w:val="none"/>
              </w:rPr>
            </w:pPr>
            <w:r>
              <w:rPr>
                <w:rFonts w:hint="eastAsia" w:ascii="仿宋_GB2312" w:hAnsi="仿宋_GB2312" w:eastAsia="仿宋_GB2312" w:cs="仿宋_GB2312"/>
                <w:color w:val="auto"/>
                <w:spacing w:val="-1"/>
                <w:sz w:val="24"/>
                <w:szCs w:val="24"/>
                <w:highlight w:val="none"/>
              </w:rPr>
              <w:t>好工作记录，不准迟报、漏报、瞒报；</w:t>
            </w:r>
          </w:p>
          <w:p>
            <w:pPr>
              <w:pStyle w:val="338"/>
              <w:spacing w:before="98" w:line="218" w:lineRule="auto"/>
              <w:ind w:left="111" w:leftChars="0"/>
              <w:rPr>
                <w:rFonts w:hint="eastAsia" w:ascii="仿宋_GB2312" w:hAnsi="仿宋_GB2312" w:eastAsia="仿宋_GB2312" w:cs="仿宋_GB2312"/>
                <w:color w:val="auto"/>
                <w:spacing w:val="-1"/>
                <w:sz w:val="24"/>
                <w:szCs w:val="24"/>
                <w:highlight w:val="none"/>
              </w:rPr>
            </w:pPr>
            <w:r>
              <w:rPr>
                <w:rFonts w:hint="eastAsia" w:ascii="仿宋_GB2312" w:hAnsi="仿宋_GB2312" w:eastAsia="仿宋_GB2312" w:cs="仿宋_GB2312"/>
                <w:color w:val="auto"/>
                <w:spacing w:val="-1"/>
                <w:sz w:val="24"/>
                <w:szCs w:val="24"/>
                <w:highlight w:val="none"/>
              </w:rPr>
              <w:t>2、做好会议记录，及时传达会议精神，认真落实；</w:t>
            </w:r>
          </w:p>
          <w:p>
            <w:pPr>
              <w:pStyle w:val="338"/>
              <w:spacing w:before="98" w:line="218" w:lineRule="auto"/>
              <w:ind w:left="111" w:leftChars="0"/>
              <w:rPr>
                <w:rFonts w:hint="eastAsia" w:ascii="仿宋_GB2312" w:hAnsi="仿宋_GB2312" w:eastAsia="仿宋_GB2312" w:cs="仿宋_GB2312"/>
                <w:color w:val="auto"/>
                <w:spacing w:val="-1"/>
                <w:sz w:val="24"/>
                <w:szCs w:val="24"/>
                <w:highlight w:val="none"/>
              </w:rPr>
            </w:pPr>
            <w:r>
              <w:rPr>
                <w:rFonts w:hint="eastAsia" w:ascii="仿宋_GB2312" w:hAnsi="仿宋_GB2312" w:eastAsia="仿宋_GB2312" w:cs="仿宋_GB2312"/>
                <w:color w:val="auto"/>
                <w:spacing w:val="-1"/>
                <w:sz w:val="24"/>
                <w:szCs w:val="24"/>
                <w:highlight w:val="none"/>
              </w:rPr>
              <w:t>3、发生安全隐患、事故和犯罪行为，第一时间将现场</w:t>
            </w:r>
          </w:p>
          <w:p>
            <w:pPr>
              <w:pStyle w:val="338"/>
              <w:spacing w:before="98" w:line="218" w:lineRule="auto"/>
              <w:ind w:left="111" w:leftChars="0"/>
              <w:rPr>
                <w:rFonts w:hint="eastAsia" w:ascii="仿宋_GB2312" w:hAnsi="仿宋_GB2312" w:eastAsia="仿宋_GB2312" w:cs="仿宋_GB2312"/>
                <w:color w:val="auto"/>
                <w:spacing w:val="-1"/>
                <w:sz w:val="24"/>
                <w:szCs w:val="24"/>
                <w:highlight w:val="none"/>
              </w:rPr>
            </w:pPr>
            <w:r>
              <w:rPr>
                <w:rFonts w:hint="eastAsia" w:ascii="仿宋_GB2312" w:hAnsi="仿宋_GB2312" w:eastAsia="仿宋_GB2312" w:cs="仿宋_GB2312"/>
                <w:color w:val="auto"/>
                <w:spacing w:val="-1"/>
                <w:sz w:val="24"/>
                <w:szCs w:val="24"/>
                <w:highlight w:val="none"/>
              </w:rPr>
              <w:t>情况向属地管理负责人报告的。</w:t>
            </w:r>
          </w:p>
          <w:p>
            <w:pPr>
              <w:pStyle w:val="338"/>
              <w:spacing w:before="98" w:line="218" w:lineRule="auto"/>
              <w:ind w:left="111" w:leftChars="0"/>
              <w:rPr>
                <w:rFonts w:hint="eastAsia" w:ascii="仿宋_GB2312" w:hAnsi="仿宋_GB2312" w:eastAsia="仿宋_GB2312" w:cs="仿宋_GB2312"/>
                <w:color w:val="auto"/>
                <w:spacing w:val="-1"/>
                <w:sz w:val="24"/>
                <w:szCs w:val="24"/>
                <w:highlight w:val="none"/>
              </w:rPr>
            </w:pPr>
            <w:r>
              <w:rPr>
                <w:rFonts w:hint="eastAsia" w:ascii="仿宋_GB2312" w:hAnsi="仿宋_GB2312" w:eastAsia="仿宋_GB2312" w:cs="仿宋_GB2312"/>
                <w:color w:val="auto"/>
                <w:spacing w:val="-1"/>
                <w:sz w:val="24"/>
                <w:szCs w:val="24"/>
                <w:highlight w:val="none"/>
              </w:rPr>
              <w:t>（违反以上任一条款，视情况每次扣1-3分，扣完为止。）</w:t>
            </w:r>
          </w:p>
        </w:tc>
        <w:tc>
          <w:tcPr>
            <w:tcW w:w="650" w:type="dxa"/>
            <w:vAlign w:val="center"/>
          </w:tcPr>
          <w:p>
            <w:pPr>
              <w:jc w:val="center"/>
              <w:rPr>
                <w:rFonts w:hint="default"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bidi="ar-SA"/>
              </w:rPr>
              <w:t>15</w:t>
            </w:r>
          </w:p>
        </w:tc>
        <w:tc>
          <w:tcPr>
            <w:tcW w:w="750" w:type="dxa"/>
            <w:vAlign w:val="top"/>
          </w:tcPr>
          <w:p>
            <w:pPr>
              <w:rPr>
                <w:rFonts w:hint="eastAsia" w:ascii="仿宋_GB2312" w:hAnsi="仿宋_GB2312" w:eastAsia="仿宋_GB2312" w:cs="仿宋_GB2312"/>
                <w:color w:val="auto"/>
                <w:sz w:val="24"/>
                <w:szCs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5" w:type="dxa"/>
            <w:vAlign w:val="center"/>
          </w:tcPr>
          <w:p>
            <w:pPr>
              <w:pStyle w:val="338"/>
              <w:spacing w:before="59" w:line="184"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94" w:type="dxa"/>
            <w:vAlign w:val="center"/>
          </w:tcPr>
          <w:p>
            <w:pPr>
              <w:pStyle w:val="338"/>
              <w:spacing w:before="59" w:line="184" w:lineRule="auto"/>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有责纠纷</w:t>
            </w:r>
          </w:p>
        </w:tc>
        <w:tc>
          <w:tcPr>
            <w:tcW w:w="6270" w:type="dxa"/>
            <w:vAlign w:val="top"/>
          </w:tcPr>
          <w:p>
            <w:pPr>
              <w:keepNext w:val="0"/>
              <w:keepLines w:val="0"/>
              <w:widowControl/>
              <w:suppressLineNumbers w:val="0"/>
              <w:jc w:val="left"/>
              <w:rPr>
                <w:rFonts w:hint="eastAsia" w:ascii="仿宋_GB2312" w:hAnsi="仿宋_GB2312" w:eastAsia="仿宋_GB2312" w:cs="仿宋_GB2312"/>
                <w:color w:val="auto"/>
                <w:spacing w:val="1"/>
                <w:highlight w:val="none"/>
                <w:lang w:eastAsia="en-US"/>
              </w:rPr>
            </w:pPr>
            <w:r>
              <w:rPr>
                <w:rFonts w:hint="eastAsia" w:ascii="仿宋_GB2312" w:hAnsi="仿宋_GB2312" w:eastAsia="仿宋_GB2312" w:cs="仿宋_GB2312"/>
                <w:color w:val="auto"/>
                <w:spacing w:val="1"/>
                <w:kern w:val="0"/>
                <w:sz w:val="24"/>
                <w:szCs w:val="24"/>
                <w:highlight w:val="none"/>
                <w:lang w:val="en-US" w:eastAsia="en-US" w:bidi="ar-SA"/>
              </w:rPr>
              <w:t xml:space="preserve">1、对旅客不理不睬、态度冷淡，每次扣 1 分； </w:t>
            </w:r>
          </w:p>
          <w:p>
            <w:pPr>
              <w:keepNext w:val="0"/>
              <w:keepLines w:val="0"/>
              <w:widowControl/>
              <w:suppressLineNumbers w:val="0"/>
              <w:jc w:val="left"/>
              <w:rPr>
                <w:rFonts w:hint="eastAsia" w:ascii="仿宋_GB2312" w:hAnsi="仿宋_GB2312" w:eastAsia="仿宋_GB2312" w:cs="仿宋_GB2312"/>
                <w:color w:val="auto"/>
                <w:spacing w:val="1"/>
                <w:highlight w:val="none"/>
                <w:lang w:eastAsia="en-US"/>
              </w:rPr>
            </w:pPr>
            <w:r>
              <w:rPr>
                <w:rFonts w:hint="eastAsia" w:ascii="仿宋_GB2312" w:hAnsi="仿宋_GB2312" w:eastAsia="仿宋_GB2312" w:cs="仿宋_GB2312"/>
                <w:color w:val="auto"/>
                <w:spacing w:val="1"/>
                <w:kern w:val="0"/>
                <w:sz w:val="24"/>
                <w:szCs w:val="24"/>
                <w:highlight w:val="none"/>
                <w:lang w:val="en-US" w:eastAsia="en-US" w:bidi="ar-SA"/>
              </w:rPr>
              <w:t xml:space="preserve">2、对辱骂旅客或安保员自身原因造成追究的行为每次 </w:t>
            </w:r>
          </w:p>
          <w:p>
            <w:pPr>
              <w:keepNext w:val="0"/>
              <w:keepLines w:val="0"/>
              <w:widowControl/>
              <w:suppressLineNumbers w:val="0"/>
              <w:jc w:val="left"/>
              <w:rPr>
                <w:rFonts w:hint="eastAsia" w:ascii="仿宋_GB2312" w:hAnsi="仿宋_GB2312" w:eastAsia="仿宋_GB2312" w:cs="仿宋_GB2312"/>
                <w:color w:val="auto"/>
                <w:spacing w:val="1"/>
                <w:highlight w:val="none"/>
                <w:lang w:eastAsia="en-US"/>
              </w:rPr>
            </w:pPr>
            <w:r>
              <w:rPr>
                <w:rFonts w:hint="eastAsia" w:ascii="仿宋_GB2312" w:hAnsi="仿宋_GB2312" w:eastAsia="仿宋_GB2312" w:cs="仿宋_GB2312"/>
                <w:color w:val="auto"/>
                <w:spacing w:val="1"/>
                <w:kern w:val="0"/>
                <w:sz w:val="24"/>
                <w:szCs w:val="24"/>
                <w:highlight w:val="none"/>
                <w:lang w:val="en-US" w:eastAsia="en-US" w:bidi="ar-SA"/>
              </w:rPr>
              <w:t xml:space="preserve">扣 3 分； </w:t>
            </w:r>
          </w:p>
          <w:p>
            <w:pPr>
              <w:keepNext w:val="0"/>
              <w:keepLines w:val="0"/>
              <w:widowControl/>
              <w:suppressLineNumbers w:val="0"/>
              <w:jc w:val="left"/>
              <w:rPr>
                <w:rFonts w:hint="eastAsia" w:ascii="仿宋_GB2312" w:hAnsi="仿宋_GB2312" w:eastAsia="仿宋_GB2312" w:cs="仿宋_GB2312"/>
                <w:color w:val="auto"/>
                <w:spacing w:val="1"/>
                <w:highlight w:val="none"/>
                <w:lang w:eastAsia="en-US"/>
              </w:rPr>
            </w:pPr>
            <w:r>
              <w:rPr>
                <w:rFonts w:hint="eastAsia" w:ascii="仿宋_GB2312" w:hAnsi="仿宋_GB2312" w:eastAsia="仿宋_GB2312" w:cs="仿宋_GB2312"/>
                <w:color w:val="auto"/>
                <w:spacing w:val="1"/>
                <w:kern w:val="0"/>
                <w:sz w:val="24"/>
                <w:szCs w:val="24"/>
                <w:highlight w:val="none"/>
                <w:lang w:val="en-US" w:eastAsia="en-US" w:bidi="ar-SA"/>
              </w:rPr>
              <w:t xml:space="preserve">3、发生监守自盗的，每次扣 3 分； </w:t>
            </w:r>
          </w:p>
          <w:p>
            <w:pPr>
              <w:keepNext w:val="0"/>
              <w:keepLines w:val="0"/>
              <w:widowControl/>
              <w:suppressLineNumbers w:val="0"/>
              <w:jc w:val="left"/>
              <w:rPr>
                <w:rFonts w:hint="eastAsia" w:ascii="仿宋_GB2312" w:hAnsi="仿宋_GB2312" w:eastAsia="仿宋_GB2312" w:cs="仿宋_GB2312"/>
                <w:color w:val="auto"/>
                <w:spacing w:val="1"/>
                <w:highlight w:val="none"/>
                <w:lang w:eastAsia="en-US"/>
              </w:rPr>
            </w:pPr>
            <w:r>
              <w:rPr>
                <w:rFonts w:hint="eastAsia" w:ascii="仿宋_GB2312" w:hAnsi="仿宋_GB2312" w:eastAsia="仿宋_GB2312" w:cs="仿宋_GB2312"/>
                <w:color w:val="auto"/>
                <w:spacing w:val="1"/>
                <w:kern w:val="0"/>
                <w:sz w:val="24"/>
                <w:szCs w:val="24"/>
                <w:highlight w:val="none"/>
                <w:lang w:val="en-US" w:eastAsia="en-US" w:bidi="ar-SA"/>
              </w:rPr>
              <w:t xml:space="preserve">4、骚扰员工造成投诉的，每次扣 3 分； </w:t>
            </w:r>
          </w:p>
          <w:p>
            <w:pPr>
              <w:keepNext w:val="0"/>
              <w:keepLines w:val="0"/>
              <w:widowControl/>
              <w:suppressLineNumbers w:val="0"/>
              <w:jc w:val="left"/>
              <w:rPr>
                <w:rFonts w:hint="eastAsia" w:ascii="仿宋_GB2312" w:hAnsi="仿宋_GB2312" w:eastAsia="仿宋_GB2312" w:cs="仿宋_GB2312"/>
                <w:color w:val="auto"/>
                <w:spacing w:val="1"/>
                <w:highlight w:val="none"/>
                <w:lang w:eastAsia="en-US"/>
              </w:rPr>
            </w:pPr>
            <w:r>
              <w:rPr>
                <w:rFonts w:hint="eastAsia" w:ascii="仿宋_GB2312" w:hAnsi="仿宋_GB2312" w:eastAsia="仿宋_GB2312" w:cs="仿宋_GB2312"/>
                <w:color w:val="auto"/>
                <w:spacing w:val="1"/>
                <w:kern w:val="0"/>
                <w:sz w:val="24"/>
                <w:szCs w:val="24"/>
                <w:highlight w:val="none"/>
                <w:lang w:val="en-US" w:eastAsia="en-US" w:bidi="ar-SA"/>
              </w:rPr>
              <w:t xml:space="preserve">5、发生投诉事件，造成运营分公司按工作服务热线等 </w:t>
            </w:r>
          </w:p>
          <w:p>
            <w:pPr>
              <w:spacing w:before="72" w:line="270" w:lineRule="auto"/>
              <w:ind w:left="113" w:right="103" w:hanging="1"/>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kern w:val="0"/>
                <w:sz w:val="24"/>
                <w:szCs w:val="24"/>
                <w:highlight w:val="none"/>
                <w:lang w:val="en-US" w:eastAsia="en-US" w:bidi="ar-SA"/>
              </w:rPr>
              <w:t>机构转交监管部门需进行查证的（无论是否有责，只要</w:t>
            </w:r>
            <w:r>
              <w:rPr>
                <w:rFonts w:hint="eastAsia" w:ascii="仿宋_GB2312" w:hAnsi="仿宋_GB2312" w:eastAsia="仿宋_GB2312" w:cs="仿宋_GB2312"/>
                <w:color w:val="auto"/>
                <w:spacing w:val="-1"/>
                <w:sz w:val="24"/>
                <w:szCs w:val="24"/>
                <w:highlight w:val="none"/>
              </w:rPr>
              <w:t>经运营分公司监管部门介入查证的投诉均处罚</w:t>
            </w:r>
            <w:r>
              <w:rPr>
                <w:rFonts w:hint="eastAsia" w:ascii="仿宋_GB2312" w:hAnsi="仿宋_GB2312" w:eastAsia="仿宋_GB2312" w:cs="仿宋_GB2312"/>
                <w:color w:val="auto"/>
                <w:spacing w:val="-17"/>
                <w:sz w:val="24"/>
                <w:szCs w:val="24"/>
                <w:highlight w:val="none"/>
              </w:rPr>
              <w:t>），</w:t>
            </w:r>
            <w:r>
              <w:rPr>
                <w:rFonts w:hint="eastAsia" w:ascii="仿宋_GB2312" w:hAnsi="仿宋_GB2312" w:eastAsia="仿宋_GB2312" w:cs="仿宋_GB2312"/>
                <w:color w:val="auto"/>
                <w:spacing w:val="-1"/>
                <w:sz w:val="24"/>
                <w:szCs w:val="24"/>
                <w:highlight w:val="none"/>
              </w:rPr>
              <w:t>每次</w:t>
            </w:r>
            <w:r>
              <w:rPr>
                <w:rFonts w:hint="eastAsia" w:ascii="仿宋_GB2312" w:hAnsi="仿宋_GB2312" w:eastAsia="仿宋_GB2312" w:cs="仿宋_GB2312"/>
                <w:color w:val="auto"/>
                <w:spacing w:val="-8"/>
                <w:sz w:val="24"/>
                <w:szCs w:val="24"/>
                <w:highlight w:val="none"/>
              </w:rPr>
              <w:t>扣</w:t>
            </w:r>
            <w:r>
              <w:rPr>
                <w:rFonts w:hint="eastAsia" w:ascii="仿宋_GB2312" w:hAnsi="仿宋_GB2312" w:eastAsia="仿宋_GB2312" w:cs="仿宋_GB2312"/>
                <w:color w:val="auto"/>
                <w:spacing w:val="13"/>
                <w:sz w:val="24"/>
                <w:szCs w:val="24"/>
                <w:highlight w:val="none"/>
              </w:rPr>
              <w:t xml:space="preserve"> </w:t>
            </w:r>
            <w:r>
              <w:rPr>
                <w:rFonts w:hint="eastAsia" w:ascii="仿宋_GB2312" w:hAnsi="仿宋_GB2312" w:eastAsia="仿宋_GB2312" w:cs="仿宋_GB2312"/>
                <w:color w:val="auto"/>
                <w:spacing w:val="-8"/>
                <w:sz w:val="24"/>
                <w:szCs w:val="24"/>
                <w:highlight w:val="none"/>
              </w:rPr>
              <w:t>3</w:t>
            </w:r>
            <w:r>
              <w:rPr>
                <w:rFonts w:hint="eastAsia" w:ascii="仿宋_GB2312" w:hAnsi="仿宋_GB2312" w:eastAsia="仿宋_GB2312" w:cs="仿宋_GB2312"/>
                <w:color w:val="auto"/>
                <w:spacing w:val="9"/>
                <w:sz w:val="24"/>
                <w:szCs w:val="24"/>
                <w:highlight w:val="none"/>
              </w:rPr>
              <w:t xml:space="preserve"> </w:t>
            </w:r>
            <w:r>
              <w:rPr>
                <w:rFonts w:hint="eastAsia" w:ascii="仿宋_GB2312" w:hAnsi="仿宋_GB2312" w:eastAsia="仿宋_GB2312" w:cs="仿宋_GB2312"/>
                <w:color w:val="auto"/>
                <w:spacing w:val="-8"/>
                <w:sz w:val="24"/>
                <w:szCs w:val="24"/>
                <w:highlight w:val="none"/>
              </w:rPr>
              <w:t>分。</w:t>
            </w:r>
          </w:p>
          <w:p>
            <w:pPr>
              <w:pStyle w:val="338"/>
              <w:spacing w:before="99" w:line="286" w:lineRule="auto"/>
              <w:ind w:left="111" w:right="104" w:firstLine="1"/>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6、因安保工作不到位，收到总公司、运营分公司、其</w:t>
            </w:r>
            <w:r>
              <w:rPr>
                <w:rFonts w:hint="eastAsia" w:ascii="仿宋_GB2312" w:hAnsi="仿宋_GB2312" w:eastAsia="仿宋_GB2312" w:cs="仿宋_GB2312"/>
                <w:color w:val="auto"/>
                <w:spacing w:val="8"/>
                <w:sz w:val="24"/>
                <w:szCs w:val="24"/>
                <w:highlight w:val="none"/>
              </w:rPr>
              <w:t xml:space="preserve"> </w:t>
            </w:r>
            <w:r>
              <w:rPr>
                <w:rFonts w:hint="eastAsia" w:ascii="仿宋_GB2312" w:hAnsi="仿宋_GB2312" w:eastAsia="仿宋_GB2312" w:cs="仿宋_GB2312"/>
                <w:color w:val="auto"/>
                <w:spacing w:val="5"/>
                <w:sz w:val="24"/>
                <w:szCs w:val="24"/>
                <w:highlight w:val="none"/>
              </w:rPr>
              <w:t xml:space="preserve">他各相关部门书面整改通知或书面批评的，每次扣 3 </w:t>
            </w:r>
            <w:r>
              <w:rPr>
                <w:rFonts w:hint="eastAsia" w:ascii="仿宋_GB2312" w:hAnsi="仿宋_GB2312" w:eastAsia="仿宋_GB2312" w:cs="仿宋_GB2312"/>
                <w:color w:val="auto"/>
                <w:spacing w:val="-4"/>
                <w:sz w:val="24"/>
                <w:szCs w:val="24"/>
                <w:highlight w:val="none"/>
              </w:rPr>
              <w:t>分；</w:t>
            </w:r>
          </w:p>
          <w:p>
            <w:pPr>
              <w:pStyle w:val="338"/>
              <w:spacing w:before="98" w:line="269" w:lineRule="auto"/>
              <w:ind w:left="114" w:right="106"/>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7、在上班时间发生打架、斗殴事件，造成人员身体伤</w:t>
            </w:r>
            <w:r>
              <w:rPr>
                <w:rFonts w:hint="eastAsia" w:ascii="仿宋_GB2312" w:hAnsi="仿宋_GB2312" w:eastAsia="仿宋_GB2312" w:cs="仿宋_GB2312"/>
                <w:color w:val="auto"/>
                <w:spacing w:val="5"/>
                <w:sz w:val="24"/>
                <w:szCs w:val="24"/>
                <w:highlight w:val="none"/>
              </w:rPr>
              <w:t xml:space="preserve"> </w:t>
            </w:r>
            <w:r>
              <w:rPr>
                <w:rFonts w:hint="eastAsia" w:ascii="仿宋_GB2312" w:hAnsi="仿宋_GB2312" w:eastAsia="仿宋_GB2312" w:cs="仿宋_GB2312"/>
                <w:color w:val="auto"/>
                <w:spacing w:val="-2"/>
                <w:sz w:val="24"/>
                <w:szCs w:val="24"/>
                <w:highlight w:val="none"/>
              </w:rPr>
              <w:t>害的，每次扣5 分；</w:t>
            </w:r>
          </w:p>
          <w:p>
            <w:pPr>
              <w:pStyle w:val="338"/>
              <w:spacing w:before="100" w:line="286" w:lineRule="auto"/>
              <w:ind w:left="112" w:right="104" w:hanging="1"/>
              <w:jc w:val="both"/>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pacing w:val="1"/>
                <w:sz w:val="24"/>
                <w:szCs w:val="24"/>
                <w:highlight w:val="none"/>
              </w:rPr>
              <w:t>8、未遵守地铁接待新闻记者采访的有关规定，私自接</w:t>
            </w:r>
            <w:r>
              <w:rPr>
                <w:rFonts w:hint="eastAsia" w:ascii="仿宋_GB2312" w:hAnsi="仿宋_GB2312" w:eastAsia="仿宋_GB2312" w:cs="仿宋_GB2312"/>
                <w:color w:val="auto"/>
                <w:spacing w:val="9"/>
                <w:sz w:val="24"/>
                <w:szCs w:val="24"/>
                <w:highlight w:val="none"/>
              </w:rPr>
              <w:t xml:space="preserve"> </w:t>
            </w:r>
            <w:r>
              <w:rPr>
                <w:rFonts w:hint="eastAsia" w:ascii="仿宋_GB2312" w:hAnsi="仿宋_GB2312" w:eastAsia="仿宋_GB2312" w:cs="仿宋_GB2312"/>
                <w:color w:val="auto"/>
                <w:spacing w:val="5"/>
                <w:sz w:val="24"/>
                <w:szCs w:val="24"/>
                <w:highlight w:val="none"/>
              </w:rPr>
              <w:t>受采访的或向媒体报料，造成不良影响的，每次扣 5</w:t>
            </w:r>
            <w:r>
              <w:rPr>
                <w:rFonts w:hint="eastAsia" w:ascii="仿宋_GB2312" w:hAnsi="仿宋_GB2312" w:eastAsia="仿宋_GB2312" w:cs="仿宋_GB2312"/>
                <w:color w:val="auto"/>
                <w:spacing w:val="3"/>
                <w:sz w:val="24"/>
                <w:szCs w:val="24"/>
                <w:highlight w:val="none"/>
              </w:rPr>
              <w:t xml:space="preserve"> </w:t>
            </w:r>
            <w:r>
              <w:rPr>
                <w:rFonts w:hint="eastAsia" w:ascii="仿宋_GB2312" w:hAnsi="仿宋_GB2312" w:eastAsia="仿宋_GB2312" w:cs="仿宋_GB2312"/>
                <w:color w:val="auto"/>
                <w:spacing w:val="-5"/>
                <w:sz w:val="24"/>
                <w:szCs w:val="24"/>
                <w:highlight w:val="none"/>
              </w:rPr>
              <w:t>分；</w:t>
            </w:r>
          </w:p>
          <w:p>
            <w:pPr>
              <w:pStyle w:val="338"/>
              <w:spacing w:before="98" w:line="218" w:lineRule="auto"/>
              <w:ind w:left="111" w:leftChars="0"/>
              <w:rPr>
                <w:rFonts w:hint="eastAsia" w:ascii="仿宋_GB2312" w:hAnsi="仿宋_GB2312" w:eastAsia="仿宋_GB2312" w:cs="仿宋_GB2312"/>
                <w:color w:val="auto"/>
                <w:sz w:val="24"/>
                <w:szCs w:val="24"/>
                <w:highlight w:val="none"/>
                <w:lang w:val="en-US" w:eastAsia="en-US" w:bidi="ar-SA"/>
              </w:rPr>
            </w:pPr>
            <w:r>
              <w:rPr>
                <w:rFonts w:hint="eastAsia" w:ascii="仿宋_GB2312" w:hAnsi="仿宋_GB2312" w:eastAsia="仿宋_GB2312" w:cs="仿宋_GB2312"/>
                <w:color w:val="auto"/>
                <w:spacing w:val="-1"/>
                <w:sz w:val="24"/>
                <w:szCs w:val="24"/>
                <w:highlight w:val="none"/>
              </w:rPr>
              <w:t>9、其他违章违规事件，视情况每次扣 3-5 分。</w:t>
            </w:r>
          </w:p>
        </w:tc>
        <w:tc>
          <w:tcPr>
            <w:tcW w:w="650" w:type="dxa"/>
            <w:vAlign w:val="center"/>
          </w:tcPr>
          <w:p>
            <w:pPr>
              <w:jc w:val="center"/>
              <w:rPr>
                <w:rFonts w:hint="eastAsia" w:ascii="仿宋_GB2312" w:hAnsi="仿宋_GB2312" w:eastAsia="仿宋_GB2312" w:cs="仿宋_GB2312"/>
                <w:color w:val="auto"/>
                <w:sz w:val="24"/>
                <w:szCs w:val="24"/>
                <w:highlight w:val="none"/>
                <w:lang w:val="en-US" w:eastAsia="zh-CN" w:bidi="ar-SA"/>
              </w:rPr>
            </w:pPr>
          </w:p>
        </w:tc>
        <w:tc>
          <w:tcPr>
            <w:tcW w:w="750" w:type="dxa"/>
            <w:vAlign w:val="top"/>
          </w:tcPr>
          <w:p>
            <w:pPr>
              <w:rPr>
                <w:rFonts w:hint="eastAsia" w:ascii="仿宋_GB2312" w:hAnsi="仿宋_GB2312" w:eastAsia="仿宋_GB2312" w:cs="仿宋_GB2312"/>
                <w:color w:val="auto"/>
                <w:sz w:val="24"/>
                <w:szCs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685"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lang w:val="en-US" w:eastAsia="en-US"/>
              </w:rPr>
            </w:pPr>
            <w:r>
              <w:rPr>
                <w:rFonts w:hint="eastAsia" w:ascii="仿宋_GB2312" w:hAnsi="仿宋_GB2312" w:eastAsia="仿宋_GB2312" w:cs="仿宋_GB2312"/>
                <w:color w:val="auto"/>
                <w:sz w:val="24"/>
                <w:szCs w:val="24"/>
                <w:highlight w:val="none"/>
              </w:rPr>
              <w:t>7</w:t>
            </w:r>
          </w:p>
        </w:tc>
        <w:tc>
          <w:tcPr>
            <w:tcW w:w="794"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lang w:val="en-US" w:eastAsia="en-US"/>
              </w:rPr>
            </w:pPr>
            <w:r>
              <w:rPr>
                <w:rFonts w:hint="eastAsia" w:ascii="仿宋_GB2312" w:hAnsi="仿宋_GB2312" w:eastAsia="仿宋_GB2312" w:cs="仿宋_GB2312"/>
                <w:color w:val="auto"/>
                <w:sz w:val="24"/>
                <w:szCs w:val="24"/>
                <w:highlight w:val="none"/>
              </w:rPr>
              <w:t>其他工作</w:t>
            </w:r>
          </w:p>
        </w:tc>
        <w:tc>
          <w:tcPr>
            <w:tcW w:w="6270" w:type="dxa"/>
            <w:vAlign w:val="top"/>
          </w:tcPr>
          <w:p>
            <w:pPr>
              <w:pStyle w:val="338"/>
              <w:spacing w:before="71" w:line="270" w:lineRule="auto"/>
              <w:ind w:left="113" w:leftChars="0" w:right="103" w:rightChars="0" w:hanging="2" w:firstLineChars="0"/>
              <w:rPr>
                <w:rFonts w:hint="eastAsia" w:ascii="仿宋_GB2312" w:hAnsi="仿宋_GB2312" w:eastAsia="仿宋_GB2312" w:cs="仿宋_GB2312"/>
                <w:color w:val="auto"/>
                <w:sz w:val="24"/>
                <w:szCs w:val="24"/>
                <w:highlight w:val="none"/>
                <w:lang w:val="en-US" w:eastAsia="en-US" w:bidi="ar-SA"/>
              </w:rPr>
            </w:pPr>
            <w:r>
              <w:rPr>
                <w:rFonts w:hint="eastAsia" w:ascii="仿宋_GB2312" w:hAnsi="仿宋_GB2312" w:eastAsia="仿宋_GB2312" w:cs="仿宋_GB2312"/>
                <w:color w:val="auto"/>
                <w:spacing w:val="-3"/>
                <w:sz w:val="24"/>
                <w:szCs w:val="24"/>
                <w:highlight w:val="none"/>
              </w:rPr>
              <w:t>认真，及时的完成运营分公司和轨道公安布置的其他相</w:t>
            </w:r>
            <w:r>
              <w:rPr>
                <w:rFonts w:hint="eastAsia" w:ascii="仿宋_GB2312" w:hAnsi="仿宋_GB2312" w:eastAsia="仿宋_GB2312" w:cs="仿宋_GB2312"/>
                <w:color w:val="auto"/>
                <w:spacing w:val="18"/>
                <w:sz w:val="24"/>
                <w:szCs w:val="24"/>
                <w:highlight w:val="none"/>
              </w:rPr>
              <w:t xml:space="preserve"> </w:t>
            </w:r>
            <w:r>
              <w:rPr>
                <w:rFonts w:hint="eastAsia" w:ascii="仿宋_GB2312" w:hAnsi="仿宋_GB2312" w:eastAsia="仿宋_GB2312" w:cs="仿宋_GB2312"/>
                <w:color w:val="auto"/>
                <w:spacing w:val="-3"/>
                <w:sz w:val="24"/>
                <w:szCs w:val="24"/>
                <w:highlight w:val="none"/>
              </w:rPr>
              <w:t>关工作。</w:t>
            </w:r>
          </w:p>
        </w:tc>
        <w:tc>
          <w:tcPr>
            <w:tcW w:w="650"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lang w:val="en-US" w:eastAsia="en-US"/>
              </w:rPr>
            </w:pPr>
            <w:r>
              <w:rPr>
                <w:rFonts w:hint="eastAsia" w:ascii="仿宋_GB2312" w:hAnsi="仿宋_GB2312" w:eastAsia="仿宋_GB2312" w:cs="仿宋_GB2312"/>
                <w:color w:val="auto"/>
                <w:sz w:val="24"/>
                <w:szCs w:val="24"/>
                <w:highlight w:val="none"/>
              </w:rPr>
              <w:t>10</w:t>
            </w:r>
          </w:p>
        </w:tc>
        <w:tc>
          <w:tcPr>
            <w:tcW w:w="750" w:type="dxa"/>
            <w:vAlign w:val="top"/>
          </w:tcPr>
          <w:p>
            <w:pPr>
              <w:rPr>
                <w:rFonts w:hint="eastAsia" w:ascii="仿宋_GB2312" w:hAnsi="仿宋_GB2312" w:eastAsia="仿宋_GB2312" w:cs="仿宋_GB2312"/>
                <w:color w:val="auto"/>
                <w:sz w:val="24"/>
                <w:szCs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749" w:type="dxa"/>
            <w:gridSpan w:val="3"/>
            <w:vAlign w:val="top"/>
          </w:tcPr>
          <w:p>
            <w:pPr>
              <w:pStyle w:val="338"/>
              <w:spacing w:before="71" w:line="270" w:lineRule="auto"/>
              <w:ind w:left="0" w:leftChars="0" w:right="103" w:rightChars="0" w:firstLine="0" w:firstLineChars="0"/>
              <w:jc w:val="center"/>
              <w:rPr>
                <w:rFonts w:hint="eastAsia" w:ascii="仿宋_GB2312" w:hAnsi="仿宋_GB2312" w:eastAsia="仿宋_GB2312" w:cs="仿宋_GB2312"/>
                <w:color w:val="auto"/>
                <w:spacing w:val="-3"/>
                <w:sz w:val="24"/>
                <w:szCs w:val="24"/>
                <w:highlight w:val="none"/>
                <w:lang w:val="en-US" w:eastAsia="zh-CN"/>
              </w:rPr>
            </w:pPr>
            <w:r>
              <w:rPr>
                <w:rFonts w:hint="eastAsia" w:ascii="仿宋_GB2312" w:hAnsi="仿宋_GB2312" w:eastAsia="仿宋_GB2312" w:cs="仿宋_GB2312"/>
                <w:color w:val="auto"/>
                <w:spacing w:val="-3"/>
                <w:sz w:val="24"/>
                <w:szCs w:val="24"/>
                <w:highlight w:val="none"/>
                <w:lang w:val="en-US" w:eastAsia="zh-CN"/>
              </w:rPr>
              <w:t>小计</w:t>
            </w:r>
          </w:p>
        </w:tc>
        <w:tc>
          <w:tcPr>
            <w:tcW w:w="650" w:type="dxa"/>
            <w:vAlign w:val="center"/>
          </w:tcPr>
          <w:p>
            <w:pPr>
              <w:pStyle w:val="338"/>
              <w:spacing w:before="59" w:line="184" w:lineRule="auto"/>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100</w:t>
            </w:r>
          </w:p>
        </w:tc>
        <w:tc>
          <w:tcPr>
            <w:tcW w:w="750" w:type="dxa"/>
            <w:vAlign w:val="top"/>
          </w:tcPr>
          <w:p>
            <w:pPr>
              <w:rPr>
                <w:rFonts w:hint="eastAsia" w:ascii="仿宋_GB2312" w:hAnsi="仿宋_GB2312" w:eastAsia="仿宋_GB2312" w:cs="仿宋_GB2312"/>
                <w:color w:val="auto"/>
                <w:sz w:val="24"/>
                <w:szCs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9149" w:type="dxa"/>
            <w:gridSpan w:val="5"/>
            <w:vAlign w:val="top"/>
          </w:tcPr>
          <w:p>
            <w:pPr>
              <w:rPr>
                <w:rFonts w:hint="eastAsia" w:ascii="仿宋_GB2312" w:hAnsi="仿宋_GB2312" w:eastAsia="仿宋_GB2312" w:cs="仿宋_GB2312"/>
                <w:color w:val="auto"/>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bidi="ar-SA"/>
              </w:rPr>
              <w:t>部门负责人签字：</w:t>
            </w:r>
          </w:p>
        </w:tc>
      </w:tr>
    </w:tbl>
    <w:p>
      <w:pPr>
        <w:pStyle w:val="338"/>
        <w:spacing w:before="96" w:line="183" w:lineRule="auto"/>
        <w:ind w:left="416" w:leftChars="0"/>
        <w:rPr>
          <w:rFonts w:hint="eastAsia" w:ascii="仿宋_GB2312" w:hAnsi="仿宋_GB2312" w:eastAsia="仿宋_GB2312" w:cs="仿宋_GB2312"/>
          <w:color w:val="auto"/>
          <w:sz w:val="24"/>
          <w:szCs w:val="24"/>
          <w:highlight w:val="none"/>
        </w:rPr>
      </w:pPr>
    </w:p>
    <w:p>
      <w:pPr>
        <w:pStyle w:val="25"/>
        <w:spacing w:before="40" w:line="269" w:lineRule="exact"/>
        <w:ind w:left="0"/>
        <w:outlineLvl w:val="0"/>
        <w:rPr>
          <w:color w:val="auto"/>
          <w:spacing w:val="9"/>
          <w:position w:val="1"/>
          <w:sz w:val="24"/>
          <w:szCs w:val="20"/>
          <w:highlight w:val="none"/>
        </w:rPr>
        <w:sectPr>
          <w:pgSz w:w="11906" w:h="16839"/>
          <w:pgMar w:top="1417" w:right="1361" w:bottom="1417" w:left="1474" w:header="850" w:footer="850" w:gutter="0"/>
          <w:pgNumType w:fmt="decimal"/>
          <w:cols w:equalWidth="0" w:num="1">
            <w:col w:w="9438"/>
          </w:cols>
        </w:sectPr>
      </w:pPr>
    </w:p>
    <w:p>
      <w:pPr>
        <w:spacing w:line="240" w:lineRule="auto"/>
        <w:outlineLvl w:val="1"/>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附件三：</w:t>
      </w:r>
    </w:p>
    <w:p>
      <w:pPr>
        <w:pStyle w:val="17"/>
        <w:ind w:firstLine="0"/>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安检服务质量考核表</w:t>
      </w:r>
    </w:p>
    <w:tbl>
      <w:tblPr>
        <w:tblStyle w:val="965"/>
        <w:tblW w:w="90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1233"/>
        <w:gridCol w:w="5528"/>
        <w:gridCol w:w="850"/>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9"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序号</w:t>
            </w:r>
          </w:p>
        </w:tc>
        <w:tc>
          <w:tcPr>
            <w:tcW w:w="1233"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考核指标</w:t>
            </w:r>
          </w:p>
        </w:tc>
        <w:tc>
          <w:tcPr>
            <w:tcW w:w="5528"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考核标准</w:t>
            </w:r>
          </w:p>
        </w:tc>
        <w:tc>
          <w:tcPr>
            <w:tcW w:w="850"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分值</w:t>
            </w:r>
          </w:p>
        </w:tc>
        <w:tc>
          <w:tcPr>
            <w:tcW w:w="770"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评分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5" w:hRule="atLeast"/>
        </w:trPr>
        <w:tc>
          <w:tcPr>
            <w:tcW w:w="699"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1</w:t>
            </w:r>
          </w:p>
        </w:tc>
        <w:tc>
          <w:tcPr>
            <w:tcW w:w="1233"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人事考勤</w:t>
            </w:r>
          </w:p>
        </w:tc>
        <w:tc>
          <w:tcPr>
            <w:tcW w:w="5528" w:type="dxa"/>
            <w:vAlign w:val="center"/>
          </w:tcPr>
          <w:p>
            <w:pPr>
              <w:spacing w:before="66" w:line="219" w:lineRule="auto"/>
              <w:ind w:left="125"/>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1、严格按照岗位配置标准配齐人员；</w:t>
            </w:r>
          </w:p>
          <w:p>
            <w:pPr>
              <w:spacing w:before="99" w:line="270" w:lineRule="auto"/>
              <w:ind w:left="112" w:right="103" w:firstLine="1"/>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2、严禁到岗人员未到属地管理部门签到、签 退；</w:t>
            </w:r>
          </w:p>
          <w:p>
            <w:pPr>
              <w:spacing w:before="97" w:line="286" w:lineRule="auto"/>
              <w:ind w:left="111" w:right="61" w:firstLine="4"/>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3、严禁已报脱岗，在 30 分钟内无人员替岗； 4、严禁未跟车站报备离开工作岗位（包含提 前离岗且没有人接岗算脱岗）；</w:t>
            </w:r>
          </w:p>
          <w:p>
            <w:pPr>
              <w:spacing w:before="98" w:line="219" w:lineRule="auto"/>
              <w:ind w:left="115"/>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5、严禁连续上班时间超过12小时；</w:t>
            </w:r>
          </w:p>
          <w:p>
            <w:pPr>
              <w:spacing w:before="99" w:line="269" w:lineRule="auto"/>
              <w:ind w:left="112" w:right="103"/>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6、严禁雇佣年龄不足、身体状况不良等违反 相关法律的人员上岗的。</w:t>
            </w:r>
          </w:p>
          <w:p>
            <w:pPr>
              <w:spacing w:before="99" w:line="275" w:lineRule="auto"/>
              <w:ind w:left="112" w:right="245" w:firstLine="9"/>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（违反以上任一条款，每次扣1分，扣完为 止。）</w:t>
            </w:r>
          </w:p>
        </w:tc>
        <w:tc>
          <w:tcPr>
            <w:tcW w:w="850"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15</w:t>
            </w:r>
          </w:p>
        </w:tc>
        <w:tc>
          <w:tcPr>
            <w:tcW w:w="770" w:type="dxa"/>
            <w:vAlign w:val="center"/>
          </w:tcPr>
          <w:p>
            <w:pPr>
              <w:jc w:val="center"/>
              <w:rPr>
                <w:rFonts w:hint="eastAsia" w:ascii="仿宋_GB2312" w:hAnsi="仿宋_GB2312" w:eastAsia="仿宋_GB2312" w:cs="仿宋_GB2312"/>
                <w:color w:val="auto"/>
                <w:spacing w:val="-1"/>
                <w:sz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0" w:hRule="atLeast"/>
        </w:trPr>
        <w:tc>
          <w:tcPr>
            <w:tcW w:w="699"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2</w:t>
            </w:r>
          </w:p>
        </w:tc>
        <w:tc>
          <w:tcPr>
            <w:tcW w:w="1233"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仪容仪表</w:t>
            </w:r>
          </w:p>
        </w:tc>
        <w:tc>
          <w:tcPr>
            <w:tcW w:w="5528" w:type="dxa"/>
            <w:vAlign w:val="center"/>
          </w:tcPr>
          <w:p>
            <w:pPr>
              <w:spacing w:before="68" w:line="286" w:lineRule="auto"/>
              <w:ind w:left="112" w:right="45" w:firstLine="12"/>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1、当班人员不得留长头发（超过鬓角2cm）、 染发（除黑发外）、理光头、留长胡子、长 指甲、有外露纹身；</w:t>
            </w:r>
          </w:p>
          <w:p>
            <w:pPr>
              <w:spacing w:before="99" w:line="269" w:lineRule="auto"/>
              <w:ind w:left="114" w:right="103"/>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2、严禁未统一着装、衣服不干净、敞胸、露 背、卷裤(袖)等；</w:t>
            </w:r>
          </w:p>
          <w:p>
            <w:pPr>
              <w:spacing w:before="99" w:line="269" w:lineRule="auto"/>
              <w:ind w:left="112" w:right="106" w:firstLine="3"/>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3、严禁执勤时将手插入口袋、穿戴饰品、化 浓妆等行为；</w:t>
            </w:r>
          </w:p>
          <w:p>
            <w:pPr>
              <w:spacing w:before="99" w:line="269" w:lineRule="auto"/>
              <w:ind w:left="111" w:right="103"/>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4、严禁未按规定持有岗位资格证件或岗位资 格证件不齐的；</w:t>
            </w:r>
          </w:p>
          <w:p>
            <w:pPr>
              <w:spacing w:before="98" w:line="270" w:lineRule="auto"/>
              <w:ind w:left="114" w:right="106" w:firstLine="1"/>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5、严禁当班站岗或巡视时未按要求配戴装 备；</w:t>
            </w:r>
          </w:p>
          <w:p>
            <w:pPr>
              <w:spacing w:before="98" w:line="219" w:lineRule="auto"/>
              <w:ind w:left="113"/>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6、其他违反仪容仪表行为的。</w:t>
            </w:r>
          </w:p>
          <w:p>
            <w:pPr>
              <w:spacing w:before="99" w:line="275" w:lineRule="auto"/>
              <w:ind w:left="112" w:right="103" w:firstLine="9"/>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（违反以上任一条款，每次扣 1 分，扣完为 止。）</w:t>
            </w:r>
          </w:p>
        </w:tc>
        <w:tc>
          <w:tcPr>
            <w:tcW w:w="850"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15</w:t>
            </w:r>
          </w:p>
        </w:tc>
        <w:tc>
          <w:tcPr>
            <w:tcW w:w="770" w:type="dxa"/>
            <w:vAlign w:val="center"/>
          </w:tcPr>
          <w:p>
            <w:pPr>
              <w:jc w:val="center"/>
              <w:rPr>
                <w:rFonts w:hint="eastAsia" w:ascii="仿宋_GB2312" w:hAnsi="仿宋_GB2312" w:eastAsia="仿宋_GB2312" w:cs="仿宋_GB2312"/>
                <w:color w:val="auto"/>
                <w:spacing w:val="-1"/>
                <w:sz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699"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3</w:t>
            </w:r>
          </w:p>
        </w:tc>
        <w:tc>
          <w:tcPr>
            <w:tcW w:w="1233"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行为举止</w:t>
            </w:r>
          </w:p>
        </w:tc>
        <w:tc>
          <w:tcPr>
            <w:tcW w:w="5528" w:type="dxa"/>
            <w:vAlign w:val="center"/>
          </w:tcPr>
          <w:p>
            <w:pPr>
              <w:spacing w:before="73" w:line="303" w:lineRule="auto"/>
              <w:ind w:left="111" w:right="58" w:firstLine="14"/>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1、注重形象、不卑不亢；精神饱满、谈吐得 体、文明礼貌，尊重乘客，遇事讲究方式方 法，做到以理服人；服务要热情周到、举止 端庄，礼貌大方，对乘客的诉求，要尽力解 决或耐心解释，对乘客的投诉，要认真对待， 任何情况都不得与乘客发生争执；</w:t>
            </w:r>
          </w:p>
          <w:p>
            <w:pPr>
              <w:spacing w:before="98" w:line="269" w:lineRule="auto"/>
              <w:ind w:left="112" w:right="137" w:firstLine="1"/>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2、当班期间不准将手插入衣/裤兜、搭肩、 挽臂、嘻笑打闹、吐痰、乱扔废弃物等；</w:t>
            </w:r>
          </w:p>
          <w:p>
            <w:pPr>
              <w:spacing w:before="99" w:line="219" w:lineRule="auto"/>
              <w:ind w:left="115"/>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3、当班期间饮酒，车站可以及时提出更换当</w:t>
            </w:r>
          </w:p>
          <w:p>
            <w:pPr>
              <w:spacing w:before="73" w:line="269" w:lineRule="auto"/>
              <w:ind w:left="111" w:right="103"/>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班安检员（30分钟内接岗），未及时更换的 每次扣5分；</w:t>
            </w:r>
          </w:p>
          <w:p>
            <w:pPr>
              <w:spacing w:before="99" w:line="286" w:lineRule="auto"/>
              <w:ind w:left="111" w:right="96"/>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4、严格履行岗位职责，当班期间不准脱岗、 空岗、睡岗、吃零食、玩手机、看报纸、听 广播、抽烟等与安检服务无关的事情；</w:t>
            </w:r>
          </w:p>
          <w:p>
            <w:pPr>
              <w:spacing w:before="98" w:line="219" w:lineRule="auto"/>
              <w:ind w:left="115"/>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5、严禁当班期间在规定时间外进食；</w:t>
            </w:r>
          </w:p>
          <w:p>
            <w:pPr>
              <w:spacing w:before="99" w:line="269" w:lineRule="auto"/>
              <w:ind w:left="113" w:right="106"/>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6、着制服出入公共场所时，严禁散乱，自觉 按"两人成行、三人成列"组队出入；</w:t>
            </w:r>
          </w:p>
          <w:p>
            <w:pPr>
              <w:spacing w:before="98" w:line="269" w:lineRule="auto"/>
              <w:ind w:left="130" w:right="106" w:hanging="14"/>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7、 自觉遵守公共秩序和社会公德 ;尊重少数 民族的风俗习惯。</w:t>
            </w:r>
          </w:p>
          <w:p>
            <w:pPr>
              <w:spacing w:before="99" w:line="219" w:lineRule="auto"/>
              <w:ind w:left="115"/>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（违反以上任一条款，每次扣1分（有特殊规 定除外），扣完为止。</w:t>
            </w:r>
          </w:p>
        </w:tc>
        <w:tc>
          <w:tcPr>
            <w:tcW w:w="850" w:type="dxa"/>
            <w:vAlign w:val="center"/>
          </w:tcPr>
          <w:p>
            <w:pPr>
              <w:spacing w:before="66" w:line="220" w:lineRule="auto"/>
              <w:jc w:val="center"/>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15</w:t>
            </w:r>
          </w:p>
        </w:tc>
        <w:tc>
          <w:tcPr>
            <w:tcW w:w="770" w:type="dxa"/>
            <w:vAlign w:val="center"/>
          </w:tcPr>
          <w:p>
            <w:pPr>
              <w:jc w:val="center"/>
              <w:rPr>
                <w:rFonts w:hint="eastAsia" w:ascii="仿宋_GB2312" w:hAnsi="仿宋_GB2312" w:eastAsia="仿宋_GB2312" w:cs="仿宋_GB2312"/>
                <w:color w:val="auto"/>
                <w:spacing w:val="-1"/>
                <w:sz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699"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en-US"/>
              </w:rPr>
            </w:pPr>
            <w:r>
              <w:rPr>
                <w:rFonts w:hint="eastAsia" w:ascii="仿宋_GB2312" w:hAnsi="仿宋_GB2312" w:eastAsia="仿宋_GB2312" w:cs="仿宋_GB2312"/>
                <w:color w:val="auto"/>
                <w:spacing w:val="-1"/>
                <w:highlight w:val="none"/>
              </w:rPr>
              <w:t>4</w:t>
            </w:r>
          </w:p>
        </w:tc>
        <w:tc>
          <w:tcPr>
            <w:tcW w:w="1233"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en-US"/>
              </w:rPr>
            </w:pPr>
            <w:r>
              <w:rPr>
                <w:rFonts w:hint="eastAsia" w:ascii="仿宋_GB2312" w:hAnsi="仿宋_GB2312" w:eastAsia="仿宋_GB2312" w:cs="仿宋_GB2312"/>
                <w:color w:val="auto"/>
                <w:spacing w:val="-1"/>
                <w:highlight w:val="none"/>
              </w:rPr>
              <w:t>履职情况</w:t>
            </w:r>
          </w:p>
        </w:tc>
        <w:tc>
          <w:tcPr>
            <w:tcW w:w="5528" w:type="dxa"/>
            <w:vAlign w:val="center"/>
          </w:tcPr>
          <w:p>
            <w:pPr>
              <w:spacing w:before="70" w:line="300" w:lineRule="auto"/>
              <w:ind w:left="114" w:right="103" w:firstLine="11"/>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1、严格按照岗位职责执行任务，履职尽责； 2、严格按照作业流程开展工作，联动作业； 3、严格遵守运营分公司的各项规章制度，服 从运营分公司、属地管理部门及轨道公安管理；</w:t>
            </w:r>
          </w:p>
          <w:p>
            <w:pPr>
              <w:spacing w:before="95" w:line="287" w:lineRule="auto"/>
              <w:ind w:left="112" w:right="103" w:hanging="1"/>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4、严禁无交接班记录、交接班记录填写不完 整、执勤记录未按要求填写、未按规定登记 巡逻台账的；</w:t>
            </w:r>
          </w:p>
          <w:p>
            <w:pPr>
              <w:spacing w:before="98" w:line="269" w:lineRule="auto"/>
              <w:ind w:left="118" w:right="103" w:hanging="3"/>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5、严禁未按要求每月提交排班表给运营分公 司备档；</w:t>
            </w:r>
          </w:p>
          <w:p>
            <w:pPr>
              <w:spacing w:before="99" w:line="269" w:lineRule="auto"/>
              <w:ind w:left="123" w:right="103" w:hanging="10"/>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6、严禁对运营分公司人员提出问题未进行及 时整改的；</w:t>
            </w:r>
          </w:p>
          <w:p>
            <w:pPr>
              <w:spacing w:before="98" w:line="269" w:lineRule="auto"/>
              <w:ind w:left="111" w:right="106" w:firstLine="5"/>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7、不准随意打听、记录、传播运营分公司的 机密事项等；</w:t>
            </w:r>
          </w:p>
          <w:p>
            <w:pPr>
              <w:spacing w:before="99" w:line="295" w:lineRule="auto"/>
              <w:ind w:left="111" w:right="103" w:firstLine="1"/>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8、爱护运营分公司设备设施和安检装备，严 禁随意破坏运营分公司各设施和将安检装备 变卖、赠送或出租、出借给他人，除照价赔 偿外；</w:t>
            </w:r>
          </w:p>
          <w:p>
            <w:pPr>
              <w:spacing w:before="97" w:line="270" w:lineRule="auto"/>
              <w:ind w:left="119" w:right="103" w:hanging="7"/>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9、严禁执勤中发生乘客无理取闹事情时，未 能及时制止的；</w:t>
            </w:r>
          </w:p>
          <w:p>
            <w:pPr>
              <w:spacing w:before="99" w:line="269" w:lineRule="auto"/>
              <w:ind w:left="112" w:right="103" w:firstLine="13"/>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10、严禁未制止在站内吸烟、滑旱冰、骑自 行车及超高、超大物件等物品进站的行为；</w:t>
            </w:r>
          </w:p>
          <w:p>
            <w:pPr>
              <w:spacing w:before="100" w:line="269" w:lineRule="auto"/>
              <w:ind w:left="112" w:right="103" w:firstLine="12"/>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11、必须接受运营分公司、属地管理部门及 轨道公安的检查、监督、考核及指导工作；</w:t>
            </w:r>
          </w:p>
          <w:p>
            <w:pPr>
              <w:spacing w:before="99" w:line="269" w:lineRule="auto"/>
              <w:ind w:left="112" w:right="103" w:firstLine="13"/>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12、其他违反运营分公司规章制度和相关安 检管理制度的行为。</w:t>
            </w:r>
          </w:p>
          <w:p>
            <w:pPr>
              <w:spacing w:before="100" w:line="269" w:lineRule="auto"/>
              <w:ind w:left="114" w:leftChars="0" w:right="108" w:rightChars="0" w:firstLine="6" w:firstLineChars="0"/>
              <w:jc w:val="both"/>
              <w:rPr>
                <w:rFonts w:hint="eastAsia" w:ascii="仿宋_GB2312" w:hAnsi="仿宋_GB2312" w:eastAsia="仿宋_GB2312" w:cs="仿宋_GB2312"/>
                <w:color w:val="auto"/>
                <w:spacing w:val="-1"/>
                <w:sz w:val="24"/>
                <w:szCs w:val="24"/>
                <w:highlight w:val="none"/>
                <w:lang w:val="en-US" w:eastAsia="en-US" w:bidi="ar-SA"/>
              </w:rPr>
            </w:pPr>
            <w:r>
              <w:rPr>
                <w:rFonts w:hint="eastAsia" w:ascii="仿宋_GB2312" w:hAnsi="仿宋_GB2312" w:eastAsia="仿宋_GB2312" w:cs="仿宋_GB2312"/>
                <w:color w:val="auto"/>
                <w:spacing w:val="-1"/>
                <w:highlight w:val="none"/>
              </w:rPr>
              <w:t>（违反以上任一条款，视情况每次扣1-3分， 扣完为止。）</w:t>
            </w:r>
          </w:p>
        </w:tc>
        <w:tc>
          <w:tcPr>
            <w:tcW w:w="850"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en-US"/>
              </w:rPr>
            </w:pPr>
            <w:r>
              <w:rPr>
                <w:rFonts w:hint="eastAsia" w:ascii="仿宋_GB2312" w:hAnsi="仿宋_GB2312" w:eastAsia="仿宋_GB2312" w:cs="仿宋_GB2312"/>
                <w:color w:val="auto"/>
                <w:spacing w:val="-1"/>
                <w:highlight w:val="none"/>
              </w:rPr>
              <w:t>15</w:t>
            </w:r>
          </w:p>
        </w:tc>
        <w:tc>
          <w:tcPr>
            <w:tcW w:w="770" w:type="dxa"/>
            <w:vAlign w:val="center"/>
          </w:tcPr>
          <w:p>
            <w:pPr>
              <w:jc w:val="center"/>
              <w:rPr>
                <w:rFonts w:hint="eastAsia" w:ascii="仿宋_GB2312" w:hAnsi="仿宋_GB2312" w:eastAsia="仿宋_GB2312" w:cs="仿宋_GB2312"/>
                <w:color w:val="auto"/>
                <w:spacing w:val="-1"/>
                <w:sz w:val="24"/>
                <w:szCs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699"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en-US"/>
              </w:rPr>
            </w:pPr>
            <w:r>
              <w:rPr>
                <w:rFonts w:hint="eastAsia" w:ascii="仿宋_GB2312" w:hAnsi="仿宋_GB2312" w:eastAsia="仿宋_GB2312" w:cs="仿宋_GB2312"/>
                <w:color w:val="auto"/>
                <w:spacing w:val="-1"/>
                <w:highlight w:val="none"/>
              </w:rPr>
              <w:t>5</w:t>
            </w:r>
          </w:p>
        </w:tc>
        <w:tc>
          <w:tcPr>
            <w:tcW w:w="1233"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en-US"/>
              </w:rPr>
            </w:pPr>
            <w:r>
              <w:rPr>
                <w:rFonts w:hint="eastAsia" w:ascii="仿宋_GB2312" w:hAnsi="仿宋_GB2312" w:eastAsia="仿宋_GB2312" w:cs="仿宋_GB2312"/>
                <w:color w:val="auto"/>
                <w:spacing w:val="-1"/>
                <w:highlight w:val="none"/>
              </w:rPr>
              <w:t>信息报送</w:t>
            </w:r>
          </w:p>
        </w:tc>
        <w:tc>
          <w:tcPr>
            <w:tcW w:w="5528" w:type="dxa"/>
            <w:vAlign w:val="center"/>
          </w:tcPr>
          <w:p>
            <w:pPr>
              <w:spacing w:before="73" w:line="269" w:lineRule="auto"/>
              <w:ind w:left="111" w:right="45"/>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做好突发事件前期处置，并及时向安检服 务公司、车站、运营分公司安全技术部、轨道公安上报信息，做好工作记录，不准迟报、 漏报、瞒报；</w:t>
            </w:r>
          </w:p>
          <w:p>
            <w:pPr>
              <w:spacing w:before="98" w:line="270" w:lineRule="auto"/>
              <w:ind w:left="111" w:right="106" w:firstLine="2"/>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2、做好会议记录，及时传达会议精神，认真 落实；</w:t>
            </w:r>
          </w:p>
          <w:p>
            <w:pPr>
              <w:spacing w:before="97" w:line="269" w:lineRule="auto"/>
              <w:ind w:left="125" w:right="106" w:hanging="10"/>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3、发生安全隐患、事故和犯罪行为，第一时 间将现场情况向属地管理负责人报告的。</w:t>
            </w:r>
          </w:p>
          <w:p>
            <w:pPr>
              <w:numPr>
                <w:ilvl w:val="0"/>
                <w:numId w:val="0"/>
              </w:numPr>
              <w:spacing w:before="72" w:line="269" w:lineRule="auto"/>
              <w:ind w:left="0" w:leftChars="0" w:right="103" w:rightChars="0" w:firstLine="0" w:firstLineChars="0"/>
              <w:jc w:val="both"/>
              <w:rPr>
                <w:rFonts w:hint="eastAsia" w:ascii="仿宋_GB2312" w:hAnsi="仿宋_GB2312" w:eastAsia="仿宋_GB2312" w:cs="仿宋_GB2312"/>
                <w:color w:val="auto"/>
                <w:spacing w:val="-1"/>
                <w:sz w:val="24"/>
                <w:szCs w:val="24"/>
                <w:highlight w:val="none"/>
                <w:lang w:val="en-US" w:eastAsia="en-US" w:bidi="ar-SA"/>
              </w:rPr>
            </w:pPr>
            <w:r>
              <w:rPr>
                <w:rFonts w:hint="eastAsia" w:ascii="仿宋_GB2312" w:hAnsi="仿宋_GB2312" w:eastAsia="仿宋_GB2312" w:cs="仿宋_GB2312"/>
                <w:color w:val="auto"/>
                <w:spacing w:val="-1"/>
                <w:highlight w:val="none"/>
              </w:rPr>
              <w:t>（违反以上任一条款，视情况每次扣1-3分， 扣完为止。）</w:t>
            </w:r>
          </w:p>
        </w:tc>
        <w:tc>
          <w:tcPr>
            <w:tcW w:w="850"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en-US"/>
              </w:rPr>
            </w:pPr>
            <w:r>
              <w:rPr>
                <w:rFonts w:hint="eastAsia" w:ascii="仿宋_GB2312" w:hAnsi="仿宋_GB2312" w:eastAsia="仿宋_GB2312" w:cs="仿宋_GB2312"/>
                <w:color w:val="auto"/>
                <w:spacing w:val="-1"/>
                <w:highlight w:val="none"/>
              </w:rPr>
              <w:t>15</w:t>
            </w:r>
          </w:p>
        </w:tc>
        <w:tc>
          <w:tcPr>
            <w:tcW w:w="770" w:type="dxa"/>
            <w:vAlign w:val="center"/>
          </w:tcPr>
          <w:p>
            <w:pPr>
              <w:jc w:val="center"/>
              <w:rPr>
                <w:rFonts w:hint="eastAsia" w:ascii="仿宋_GB2312" w:hAnsi="仿宋_GB2312" w:eastAsia="仿宋_GB2312" w:cs="仿宋_GB2312"/>
                <w:color w:val="auto"/>
                <w:spacing w:val="-1"/>
                <w:sz w:val="24"/>
                <w:szCs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699"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en-US"/>
              </w:rPr>
            </w:pPr>
            <w:r>
              <w:rPr>
                <w:rFonts w:hint="eastAsia" w:ascii="仿宋_GB2312" w:hAnsi="仿宋_GB2312" w:eastAsia="仿宋_GB2312" w:cs="仿宋_GB2312"/>
                <w:color w:val="auto"/>
                <w:spacing w:val="-1"/>
                <w:highlight w:val="none"/>
              </w:rPr>
              <w:t>6</w:t>
            </w:r>
          </w:p>
        </w:tc>
        <w:tc>
          <w:tcPr>
            <w:tcW w:w="1233"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en-US"/>
              </w:rPr>
            </w:pPr>
            <w:r>
              <w:rPr>
                <w:rFonts w:hint="eastAsia" w:ascii="仿宋_GB2312" w:hAnsi="仿宋_GB2312" w:eastAsia="仿宋_GB2312" w:cs="仿宋_GB2312"/>
                <w:color w:val="auto"/>
                <w:spacing w:val="-1"/>
                <w:highlight w:val="none"/>
              </w:rPr>
              <w:t>有责纠纷</w:t>
            </w:r>
          </w:p>
        </w:tc>
        <w:tc>
          <w:tcPr>
            <w:tcW w:w="5528" w:type="dxa"/>
            <w:vAlign w:val="center"/>
          </w:tcPr>
          <w:p>
            <w:pPr>
              <w:spacing w:before="70" w:line="286" w:lineRule="auto"/>
              <w:ind w:left="112" w:right="61" w:firstLine="13"/>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1、对旅客不理不睬、态度冷淡，每次扣 1 分； 2、对辱骂旅客或安检员自身原因造成追究的 行为每次扣 3分；</w:t>
            </w:r>
          </w:p>
          <w:p>
            <w:pPr>
              <w:spacing w:before="98" w:line="219" w:lineRule="auto"/>
              <w:ind w:left="115"/>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3、发生监守自盗的，每次扣 3 分；</w:t>
            </w:r>
          </w:p>
          <w:p>
            <w:pPr>
              <w:spacing w:before="98" w:line="219" w:lineRule="auto"/>
              <w:ind w:left="111"/>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4、骚扰员工造成投诉的，每次扣 3 分；</w:t>
            </w:r>
          </w:p>
          <w:p>
            <w:pPr>
              <w:spacing w:before="95" w:line="306" w:lineRule="auto"/>
              <w:ind w:left="112" w:right="95" w:firstLine="3"/>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5、发生投诉事件，造成运营分公司按工作服 务热线等机构转交监管部门需进行查证的 （无论是否有责，只要经运营分公司监管部 门介入查证的投诉均处罚），每次扣 3 分。 6、因安检工作不到位，收到运营分公司、其 他各相关部门书面整改通知或书面批评的， 每次扣 3 分；</w:t>
            </w:r>
          </w:p>
          <w:p>
            <w:pPr>
              <w:spacing w:before="99" w:line="269" w:lineRule="auto"/>
              <w:ind w:left="117" w:right="106" w:hanging="1"/>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7、在上班时间发生打架、斗殴事件，造成人 员身体伤害的，每次扣 5 分；</w:t>
            </w:r>
          </w:p>
          <w:p>
            <w:pPr>
              <w:spacing w:before="99" w:line="286" w:lineRule="auto"/>
              <w:ind w:left="115" w:right="103" w:hanging="3"/>
              <w:jc w:val="both"/>
              <w:rPr>
                <w:rFonts w:hint="eastAsia" w:ascii="仿宋_GB2312" w:hAnsi="仿宋_GB2312" w:eastAsia="仿宋_GB2312" w:cs="仿宋_GB2312"/>
                <w:color w:val="auto"/>
                <w:spacing w:val="-1"/>
                <w:highlight w:val="none"/>
              </w:rPr>
            </w:pPr>
            <w:r>
              <w:rPr>
                <w:rFonts w:hint="eastAsia" w:ascii="仿宋_GB2312" w:hAnsi="仿宋_GB2312" w:eastAsia="仿宋_GB2312" w:cs="仿宋_GB2312"/>
                <w:color w:val="auto"/>
                <w:spacing w:val="-1"/>
                <w:highlight w:val="none"/>
              </w:rPr>
              <w:t>8、未遵守地铁接待新闻记者采访的有关规 定，私自接受采访的或向媒体报料，造成不 良影响的，每次扣 5 分；</w:t>
            </w:r>
          </w:p>
          <w:p>
            <w:pPr>
              <w:spacing w:before="98" w:line="270" w:lineRule="auto"/>
              <w:ind w:left="113" w:leftChars="0" w:right="107" w:rightChars="0" w:hanging="1" w:firstLineChars="0"/>
              <w:jc w:val="both"/>
              <w:rPr>
                <w:rFonts w:hint="eastAsia" w:ascii="仿宋_GB2312" w:hAnsi="仿宋_GB2312" w:eastAsia="仿宋_GB2312" w:cs="仿宋_GB2312"/>
                <w:color w:val="auto"/>
                <w:spacing w:val="-1"/>
                <w:sz w:val="24"/>
                <w:szCs w:val="24"/>
                <w:highlight w:val="none"/>
                <w:lang w:val="en-US" w:eastAsia="en-US" w:bidi="ar-SA"/>
              </w:rPr>
            </w:pPr>
            <w:r>
              <w:rPr>
                <w:rFonts w:hint="eastAsia" w:ascii="仿宋_GB2312" w:hAnsi="仿宋_GB2312" w:eastAsia="仿宋_GB2312" w:cs="仿宋_GB2312"/>
                <w:color w:val="auto"/>
                <w:spacing w:val="-1"/>
                <w:highlight w:val="none"/>
              </w:rPr>
              <w:t>9、其他违章违规事件，视情况每次扣 3-5 分。</w:t>
            </w:r>
          </w:p>
        </w:tc>
        <w:tc>
          <w:tcPr>
            <w:tcW w:w="850"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en-US"/>
              </w:rPr>
            </w:pPr>
            <w:r>
              <w:rPr>
                <w:rFonts w:hint="eastAsia" w:ascii="仿宋_GB2312" w:hAnsi="仿宋_GB2312" w:eastAsia="仿宋_GB2312" w:cs="仿宋_GB2312"/>
                <w:color w:val="auto"/>
                <w:spacing w:val="-1"/>
                <w:highlight w:val="none"/>
              </w:rPr>
              <w:t>15</w:t>
            </w:r>
          </w:p>
        </w:tc>
        <w:tc>
          <w:tcPr>
            <w:tcW w:w="770" w:type="dxa"/>
            <w:vAlign w:val="center"/>
          </w:tcPr>
          <w:p>
            <w:pPr>
              <w:jc w:val="center"/>
              <w:rPr>
                <w:rFonts w:hint="eastAsia" w:ascii="仿宋_GB2312" w:hAnsi="仿宋_GB2312" w:eastAsia="仿宋_GB2312" w:cs="仿宋_GB2312"/>
                <w:color w:val="auto"/>
                <w:spacing w:val="-1"/>
                <w:sz w:val="24"/>
                <w:szCs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699"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en-US"/>
              </w:rPr>
            </w:pPr>
            <w:r>
              <w:rPr>
                <w:rFonts w:hint="eastAsia" w:ascii="仿宋_GB2312" w:hAnsi="仿宋_GB2312" w:eastAsia="仿宋_GB2312" w:cs="仿宋_GB2312"/>
                <w:color w:val="auto"/>
                <w:spacing w:val="-1"/>
                <w:highlight w:val="none"/>
              </w:rPr>
              <w:t>7</w:t>
            </w:r>
          </w:p>
        </w:tc>
        <w:tc>
          <w:tcPr>
            <w:tcW w:w="1233"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en-US"/>
              </w:rPr>
            </w:pPr>
            <w:r>
              <w:rPr>
                <w:rFonts w:hint="eastAsia" w:ascii="仿宋_GB2312" w:hAnsi="仿宋_GB2312" w:eastAsia="仿宋_GB2312" w:cs="仿宋_GB2312"/>
                <w:color w:val="auto"/>
                <w:spacing w:val="-1"/>
                <w:highlight w:val="none"/>
              </w:rPr>
              <w:t>其他工作</w:t>
            </w:r>
          </w:p>
        </w:tc>
        <w:tc>
          <w:tcPr>
            <w:tcW w:w="5528" w:type="dxa"/>
            <w:vAlign w:val="center"/>
          </w:tcPr>
          <w:p>
            <w:pPr>
              <w:spacing w:before="71" w:line="270" w:lineRule="auto"/>
              <w:ind w:left="114" w:leftChars="0" w:right="103" w:rightChars="0" w:hanging="2" w:firstLineChars="0"/>
              <w:jc w:val="both"/>
              <w:rPr>
                <w:rFonts w:hint="eastAsia" w:ascii="仿宋_GB2312" w:hAnsi="仿宋_GB2312" w:eastAsia="仿宋_GB2312" w:cs="仿宋_GB2312"/>
                <w:color w:val="auto"/>
                <w:spacing w:val="-1"/>
                <w:sz w:val="24"/>
                <w:szCs w:val="24"/>
                <w:highlight w:val="none"/>
                <w:lang w:val="en-US" w:eastAsia="en-US" w:bidi="ar-SA"/>
              </w:rPr>
            </w:pPr>
            <w:r>
              <w:rPr>
                <w:rFonts w:hint="eastAsia" w:ascii="仿宋_GB2312" w:hAnsi="仿宋_GB2312" w:eastAsia="仿宋_GB2312" w:cs="仿宋_GB2312"/>
                <w:color w:val="auto"/>
                <w:spacing w:val="-1"/>
                <w:highlight w:val="none"/>
              </w:rPr>
              <w:t>认真，及时的完成运营分公司和轨道公安布 置的其他相关工作。</w:t>
            </w:r>
          </w:p>
        </w:tc>
        <w:tc>
          <w:tcPr>
            <w:tcW w:w="850"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en-US"/>
              </w:rPr>
            </w:pPr>
            <w:r>
              <w:rPr>
                <w:rFonts w:hint="eastAsia" w:ascii="仿宋_GB2312" w:hAnsi="仿宋_GB2312" w:eastAsia="仿宋_GB2312" w:cs="仿宋_GB2312"/>
                <w:color w:val="auto"/>
                <w:spacing w:val="-1"/>
                <w:highlight w:val="none"/>
              </w:rPr>
              <w:t>10</w:t>
            </w:r>
          </w:p>
        </w:tc>
        <w:tc>
          <w:tcPr>
            <w:tcW w:w="770" w:type="dxa"/>
            <w:vAlign w:val="center"/>
          </w:tcPr>
          <w:p>
            <w:pPr>
              <w:jc w:val="center"/>
              <w:rPr>
                <w:rFonts w:hint="eastAsia" w:ascii="仿宋_GB2312" w:hAnsi="仿宋_GB2312" w:eastAsia="仿宋_GB2312" w:cs="仿宋_GB2312"/>
                <w:color w:val="auto"/>
                <w:spacing w:val="-1"/>
                <w:sz w:val="24"/>
                <w:szCs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7460" w:type="dxa"/>
            <w:gridSpan w:val="3"/>
            <w:vAlign w:val="center"/>
          </w:tcPr>
          <w:p>
            <w:pPr>
              <w:spacing w:before="228" w:line="219" w:lineRule="auto"/>
              <w:ind w:left="0" w:leftChars="0" w:right="103" w:rightChars="0" w:firstLine="2080" w:firstLineChars="1000"/>
              <w:jc w:val="center"/>
              <w:rPr>
                <w:rFonts w:hint="eastAsia" w:ascii="仿宋_GB2312" w:hAnsi="仿宋_GB2312" w:eastAsia="仿宋_GB2312" w:cs="仿宋_GB2312"/>
                <w:color w:val="auto"/>
                <w:spacing w:val="-1"/>
                <w:highlight w:val="none"/>
                <w:lang w:val="en-US" w:eastAsia="zh-CN"/>
              </w:rPr>
            </w:pPr>
            <w:r>
              <w:rPr>
                <w:rFonts w:hint="eastAsia" w:ascii="仿宋_GB2312" w:hAnsi="仿宋_GB2312" w:eastAsia="仿宋_GB2312" w:cs="仿宋_GB2312"/>
                <w:color w:val="auto"/>
                <w:spacing w:val="-1"/>
                <w:highlight w:val="none"/>
                <w:lang w:val="en-US" w:eastAsia="zh-CN"/>
              </w:rPr>
              <w:t>小计</w:t>
            </w:r>
          </w:p>
        </w:tc>
        <w:tc>
          <w:tcPr>
            <w:tcW w:w="850" w:type="dxa"/>
            <w:vAlign w:val="center"/>
          </w:tcPr>
          <w:p>
            <w:pPr>
              <w:spacing w:before="66" w:line="220" w:lineRule="auto"/>
              <w:jc w:val="center"/>
              <w:rPr>
                <w:rFonts w:hint="eastAsia" w:ascii="仿宋_GB2312" w:hAnsi="仿宋_GB2312" w:eastAsia="仿宋_GB2312" w:cs="仿宋_GB2312"/>
                <w:color w:val="auto"/>
                <w:spacing w:val="-1"/>
                <w:highlight w:val="none"/>
                <w:lang w:val="en-US" w:eastAsia="zh-CN"/>
              </w:rPr>
            </w:pPr>
            <w:r>
              <w:rPr>
                <w:rFonts w:hint="eastAsia" w:ascii="仿宋_GB2312" w:hAnsi="仿宋_GB2312" w:eastAsia="仿宋_GB2312" w:cs="仿宋_GB2312"/>
                <w:color w:val="auto"/>
                <w:spacing w:val="-1"/>
                <w:highlight w:val="none"/>
                <w:lang w:val="en-US" w:eastAsia="zh-CN"/>
              </w:rPr>
              <w:t>100</w:t>
            </w:r>
          </w:p>
        </w:tc>
        <w:tc>
          <w:tcPr>
            <w:tcW w:w="770" w:type="dxa"/>
            <w:vAlign w:val="center"/>
          </w:tcPr>
          <w:p>
            <w:pPr>
              <w:jc w:val="center"/>
              <w:rPr>
                <w:rFonts w:hint="eastAsia" w:ascii="仿宋_GB2312" w:hAnsi="仿宋_GB2312" w:eastAsia="仿宋_GB2312" w:cs="仿宋_GB2312"/>
                <w:color w:val="auto"/>
                <w:spacing w:val="-1"/>
                <w:sz w:val="24"/>
                <w:szCs w:val="24"/>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9080" w:type="dxa"/>
            <w:gridSpan w:val="5"/>
            <w:vAlign w:val="center"/>
          </w:tcPr>
          <w:p>
            <w:pPr>
              <w:jc w:val="center"/>
              <w:rPr>
                <w:rFonts w:hint="eastAsia" w:ascii="仿宋_GB2312" w:hAnsi="仿宋_GB2312" w:eastAsia="仿宋_GB2312" w:cs="仿宋_GB2312"/>
                <w:color w:val="auto"/>
                <w:spacing w:val="-1"/>
                <w:sz w:val="24"/>
                <w:szCs w:val="24"/>
                <w:highlight w:val="none"/>
                <w:lang w:val="en-US" w:eastAsia="zh-CN" w:bidi="ar-SA"/>
              </w:rPr>
            </w:pPr>
          </w:p>
          <w:p>
            <w:pPr>
              <w:jc w:val="both"/>
              <w:rPr>
                <w:rFonts w:hint="eastAsia" w:ascii="仿宋_GB2312" w:hAnsi="仿宋_GB2312" w:eastAsia="仿宋_GB2312" w:cs="仿宋_GB2312"/>
                <w:color w:val="auto"/>
                <w:spacing w:val="-1"/>
                <w:sz w:val="24"/>
                <w:szCs w:val="24"/>
                <w:highlight w:val="none"/>
                <w:lang w:val="en-US" w:eastAsia="zh-CN" w:bidi="ar-SA"/>
              </w:rPr>
            </w:pPr>
            <w:r>
              <w:rPr>
                <w:rFonts w:hint="eastAsia" w:ascii="仿宋_GB2312" w:hAnsi="仿宋_GB2312" w:eastAsia="仿宋_GB2312" w:cs="仿宋_GB2312"/>
                <w:color w:val="auto"/>
                <w:spacing w:val="-1"/>
                <w:sz w:val="24"/>
                <w:szCs w:val="24"/>
                <w:highlight w:val="none"/>
                <w:lang w:val="en-US" w:eastAsia="zh-CN" w:bidi="ar-SA"/>
              </w:rPr>
              <w:t>部门负责人签字：</w:t>
            </w:r>
          </w:p>
        </w:tc>
      </w:tr>
    </w:tbl>
    <w:p>
      <w:pPr>
        <w:spacing w:line="113" w:lineRule="exact"/>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autoSpaceDE/>
        <w:autoSpaceDN/>
        <w:bidi w:val="0"/>
        <w:spacing w:after="0" w:line="240" w:lineRule="auto"/>
        <w:ind w:left="0" w:leftChars="0" w:firstLine="0" w:firstLineChars="0"/>
        <w:outlineLvl w:val="1"/>
        <w:rPr>
          <w:rFonts w:hint="eastAsia" w:ascii="仿宋_GB2312" w:hAnsi="仿宋_GB2312" w:eastAsia="仿宋_GB2312" w:cs="仿宋_GB2312"/>
          <w:b w:val="0"/>
          <w:bCs w:val="0"/>
          <w:color w:val="auto"/>
          <w:spacing w:val="0"/>
          <w:sz w:val="32"/>
          <w:szCs w:val="32"/>
          <w:highlight w:val="none"/>
          <w:lang w:eastAsia="zh-CN"/>
        </w:rPr>
      </w:pPr>
      <w:r>
        <w:rPr>
          <w:rFonts w:hint="eastAsia" w:ascii="仿宋_GB2312" w:hAnsi="仿宋_GB2312" w:eastAsia="仿宋_GB2312" w:cs="仿宋_GB2312"/>
          <w:b w:val="0"/>
          <w:color w:val="auto"/>
          <w:sz w:val="32"/>
          <w:szCs w:val="32"/>
          <w:highlight w:val="none"/>
        </w:rPr>
        <w:br w:type="page"/>
      </w:r>
      <w:r>
        <w:rPr>
          <w:rFonts w:hint="eastAsia" w:ascii="仿宋_GB2312" w:hAnsi="仿宋_GB2312" w:eastAsia="仿宋_GB2312" w:cs="仿宋_GB2312"/>
          <w:b w:val="0"/>
          <w:bCs w:val="0"/>
          <w:color w:val="auto"/>
          <w:spacing w:val="0"/>
          <w:sz w:val="32"/>
          <w:szCs w:val="32"/>
          <w:highlight w:val="none"/>
        </w:rPr>
        <w:t>附件</w:t>
      </w:r>
      <w:r>
        <w:rPr>
          <w:rFonts w:hint="eastAsia" w:ascii="仿宋_GB2312" w:hAnsi="仿宋_GB2312" w:eastAsia="仿宋_GB2312" w:cs="仿宋_GB2312"/>
          <w:b w:val="0"/>
          <w:bCs w:val="0"/>
          <w:color w:val="auto"/>
          <w:spacing w:val="0"/>
          <w:sz w:val="32"/>
          <w:szCs w:val="32"/>
          <w:highlight w:val="none"/>
          <w:lang w:val="en-US" w:eastAsia="zh-CN"/>
        </w:rPr>
        <w:t>四</w:t>
      </w:r>
      <w:r>
        <w:rPr>
          <w:rFonts w:hint="eastAsia" w:ascii="仿宋_GB2312" w:hAnsi="仿宋_GB2312" w:eastAsia="仿宋_GB2312" w:cs="仿宋_GB2312"/>
          <w:b w:val="0"/>
          <w:bCs w:val="0"/>
          <w:color w:val="auto"/>
          <w:spacing w:val="0"/>
          <w:sz w:val="32"/>
          <w:szCs w:val="32"/>
          <w:highlight w:val="none"/>
          <w:lang w:eastAsia="zh-CN"/>
        </w:rPr>
        <w:t>：</w:t>
      </w:r>
    </w:p>
    <w:p>
      <w:pPr>
        <w:shd w:val="clear" w:color="auto" w:fill="auto"/>
        <w:snapToGrid w:val="0"/>
        <w:spacing w:line="440" w:lineRule="exact"/>
        <w:ind w:firstLine="482" w:firstLineChars="200"/>
        <w:textAlignment w:val="baseline"/>
        <w:outlineLvl w:val="9"/>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kern w:val="2"/>
          <w:sz w:val="24"/>
          <w:szCs w:val="24"/>
          <w:highlight w:val="none"/>
          <w:lang w:eastAsia="zh-CN"/>
        </w:rPr>
        <w:t>1.</w:t>
      </w:r>
      <w:r>
        <w:rPr>
          <w:rFonts w:hint="eastAsia" w:ascii="仿宋_GB2312" w:hAnsi="仿宋_GB2312" w:eastAsia="仿宋_GB2312" w:cs="仿宋_GB2312"/>
          <w:b/>
          <w:bCs/>
          <w:color w:val="auto"/>
          <w:kern w:val="2"/>
          <w:sz w:val="24"/>
          <w:szCs w:val="24"/>
          <w:highlight w:val="none"/>
        </w:rPr>
        <w:t>安全生产责任</w:t>
      </w:r>
    </w:p>
    <w:p>
      <w:pPr>
        <w:shd w:val="clear" w:color="auto" w:fill="auto"/>
        <w:snapToGrid w:val="0"/>
        <w:spacing w:line="440" w:lineRule="exact"/>
        <w:ind w:firstLine="480" w:firstLineChars="200"/>
        <w:textAlignment w:val="baseline"/>
        <w:outlineLvl w:val="9"/>
        <w:rPr>
          <w:rFonts w:hint="eastAsia" w:ascii="仿宋_GB2312" w:hAnsi="仿宋_GB2312" w:eastAsia="仿宋_GB2312" w:cs="仿宋_GB2312"/>
          <w:b w:val="0"/>
          <w:bCs w:val="0"/>
          <w:color w:val="auto"/>
          <w:kern w:val="2"/>
          <w:sz w:val="24"/>
          <w:szCs w:val="24"/>
          <w:highlight w:val="none"/>
        </w:rPr>
      </w:pPr>
      <w:r>
        <w:rPr>
          <w:rFonts w:hint="eastAsia" w:ascii="仿宋_GB2312" w:hAnsi="仿宋_GB2312" w:eastAsia="仿宋_GB2312" w:cs="仿宋_GB2312"/>
          <w:b w:val="0"/>
          <w:bCs w:val="0"/>
          <w:color w:val="auto"/>
          <w:kern w:val="2"/>
          <w:sz w:val="24"/>
          <w:szCs w:val="24"/>
          <w:highlight w:val="none"/>
        </w:rPr>
        <w:t>在整个服务期间，</w:t>
      </w:r>
      <w:r>
        <w:rPr>
          <w:rFonts w:hint="eastAsia" w:ascii="仿宋_GB2312" w:hAnsi="仿宋_GB2312" w:eastAsia="仿宋_GB2312" w:cs="仿宋_GB2312"/>
          <w:b w:val="0"/>
          <w:bCs w:val="0"/>
          <w:color w:val="auto"/>
          <w:kern w:val="2"/>
          <w:sz w:val="24"/>
          <w:szCs w:val="24"/>
          <w:highlight w:val="none"/>
          <w:lang w:val="en-US" w:eastAsia="zh-CN"/>
        </w:rPr>
        <w:t>投标人</w:t>
      </w:r>
      <w:r>
        <w:rPr>
          <w:rFonts w:hint="eastAsia" w:ascii="仿宋_GB2312" w:hAnsi="仿宋_GB2312" w:eastAsia="仿宋_GB2312" w:cs="仿宋_GB2312"/>
          <w:b w:val="0"/>
          <w:bCs w:val="0"/>
          <w:color w:val="auto"/>
          <w:kern w:val="2"/>
          <w:sz w:val="24"/>
          <w:szCs w:val="24"/>
          <w:highlight w:val="none"/>
        </w:rPr>
        <w:t>自身的人员工伤事故的保险、人身意外伤害险等由</w:t>
      </w:r>
      <w:r>
        <w:rPr>
          <w:rFonts w:hint="eastAsia" w:ascii="仿宋_GB2312" w:hAnsi="仿宋_GB2312" w:eastAsia="仿宋_GB2312" w:cs="仿宋_GB2312"/>
          <w:b w:val="0"/>
          <w:bCs w:val="0"/>
          <w:color w:val="auto"/>
          <w:kern w:val="2"/>
          <w:sz w:val="24"/>
          <w:szCs w:val="24"/>
          <w:highlight w:val="none"/>
          <w:lang w:val="en-US" w:eastAsia="zh-CN"/>
        </w:rPr>
        <w:t>投标人</w:t>
      </w:r>
      <w:r>
        <w:rPr>
          <w:rFonts w:hint="eastAsia" w:ascii="仿宋_GB2312" w:hAnsi="仿宋_GB2312" w:eastAsia="仿宋_GB2312" w:cs="仿宋_GB2312"/>
          <w:b w:val="0"/>
          <w:bCs w:val="0"/>
          <w:color w:val="auto"/>
          <w:kern w:val="2"/>
          <w:sz w:val="24"/>
          <w:szCs w:val="24"/>
          <w:highlight w:val="none"/>
        </w:rPr>
        <w:t>自行投保，保险费用已包含在合同总价中。</w:t>
      </w:r>
    </w:p>
    <w:p>
      <w:pPr>
        <w:shd w:val="clear" w:color="auto" w:fill="auto"/>
        <w:snapToGrid w:val="0"/>
        <w:spacing w:line="440" w:lineRule="exact"/>
        <w:ind w:firstLine="482" w:firstLineChars="200"/>
        <w:textAlignment w:val="baseline"/>
        <w:outlineLvl w:val="9"/>
        <w:rPr>
          <w:rFonts w:hint="eastAsia" w:ascii="仿宋_GB2312" w:hAnsi="仿宋_GB2312" w:eastAsia="仿宋_GB2312" w:cs="仿宋_GB2312"/>
          <w:b/>
          <w:bCs/>
          <w:color w:val="auto"/>
          <w:kern w:val="2"/>
          <w:sz w:val="24"/>
          <w:szCs w:val="24"/>
          <w:highlight w:val="none"/>
        </w:rPr>
      </w:pPr>
      <w:r>
        <w:rPr>
          <w:rFonts w:hint="eastAsia" w:ascii="仿宋_GB2312" w:hAnsi="仿宋_GB2312" w:eastAsia="仿宋_GB2312" w:cs="仿宋_GB2312"/>
          <w:b/>
          <w:bCs/>
          <w:color w:val="auto"/>
          <w:kern w:val="2"/>
          <w:sz w:val="24"/>
          <w:szCs w:val="24"/>
          <w:highlight w:val="none"/>
          <w:lang w:eastAsia="zh-CN"/>
        </w:rPr>
        <w:t>2.</w:t>
      </w:r>
      <w:r>
        <w:rPr>
          <w:rFonts w:hint="eastAsia" w:ascii="仿宋_GB2312" w:hAnsi="仿宋_GB2312" w:eastAsia="仿宋_GB2312" w:cs="仿宋_GB2312"/>
          <w:b/>
          <w:bCs/>
          <w:color w:val="auto"/>
          <w:kern w:val="2"/>
          <w:sz w:val="24"/>
          <w:szCs w:val="24"/>
          <w:highlight w:val="none"/>
        </w:rPr>
        <w:t>付款方式</w:t>
      </w:r>
    </w:p>
    <w:p>
      <w:pPr>
        <w:adjustRightInd/>
        <w:snapToGrid w:val="0"/>
        <w:spacing w:line="440" w:lineRule="exact"/>
        <w:ind w:firstLine="480" w:firstLineChars="200"/>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pPr>
        <w:adjustRightInd/>
        <w:snapToGrid w:val="0"/>
        <w:spacing w:line="440" w:lineRule="exact"/>
        <w:ind w:firstLine="480" w:firstLineChars="200"/>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按自然月为周期进行支付，每月结束后按计量支付流程支付相关服务费，具体计算方式如下：</w:t>
      </w:r>
    </w:p>
    <w:p>
      <w:pPr>
        <w:adjustRightInd/>
        <w:snapToGrid w:val="0"/>
        <w:spacing w:line="440" w:lineRule="exact"/>
        <w:ind w:firstLine="480" w:firstLineChars="200"/>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月度付款金额=实际岗位数量×岗位综合单价×到岗率-考核扣款。</w:t>
      </w:r>
    </w:p>
    <w:p>
      <w:pPr>
        <w:adjustRightInd/>
        <w:snapToGrid w:val="0"/>
        <w:spacing w:line="440" w:lineRule="exact"/>
        <w:ind w:firstLine="480" w:firstLineChars="200"/>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保安员、安检员到岗率=实际出勤到岗天数/当月总天数；</w:t>
      </w:r>
    </w:p>
    <w:p>
      <w:pPr>
        <w:adjustRightInd/>
        <w:snapToGrid w:val="0"/>
        <w:spacing w:line="440" w:lineRule="exact"/>
        <w:ind w:firstLine="480" w:firstLineChars="200"/>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项目经理、保安队长、安检队长到岗率=实际工作日出勤到岗天数/当月工作日总天数。</w:t>
      </w:r>
    </w:p>
    <w:p>
      <w:pPr>
        <w:adjustRightInd/>
        <w:snapToGrid w:val="0"/>
        <w:spacing w:line="440" w:lineRule="exact"/>
        <w:ind w:firstLine="480" w:firstLineChars="200"/>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机动备班岗不启用不支付费用，使用时费用计算如下：以岗位综合单价为基数，按到岗率及每日各岗位对应的时长折算，机动备班岗支付金额=岗位综合单价*到岗率*每日实际工作时长/合同岗位每日时长。</w:t>
      </w:r>
    </w:p>
    <w:p>
      <w:pPr>
        <w:adjustRightInd/>
        <w:snapToGrid w:val="0"/>
        <w:spacing w:line="440" w:lineRule="exact"/>
        <w:ind w:firstLine="480" w:firstLineChars="200"/>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固定时长的岗位工作时长变更时，岗位综合单价随之进行调整，计算如下：岗位综合单价（变更后）=变更后时长/原时长*岗位综合单价（变更前）。</w:t>
      </w:r>
    </w:p>
    <w:p>
      <w:pPr>
        <w:adjustRightInd/>
        <w:spacing w:line="52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若月度付款不足以满足扣款时，顺延至下个月，直至扣款完毕。</w:t>
      </w:r>
    </w:p>
    <w:p>
      <w:pPr>
        <w:snapToGrid w:val="0"/>
        <w:spacing w:line="440" w:lineRule="exact"/>
        <w:ind w:firstLine="482" w:firstLineChars="200"/>
        <w:textAlignment w:val="baseline"/>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3.招标人可以根据实际需求调整岗位数量及工作时长，供应商应予以配合，且不得要求增加任何费用。</w:t>
      </w:r>
    </w:p>
    <w:p>
      <w:pPr>
        <w:rPr>
          <w:rFonts w:hint="eastAsia" w:asciiTheme="minorEastAsia" w:hAnsiTheme="minorEastAsia" w:eastAsiaTheme="minorEastAsia" w:cstheme="minorEastAsia"/>
          <w:b/>
          <w:color w:val="auto"/>
          <w:sz w:val="24"/>
          <w:szCs w:val="24"/>
          <w:highlight w:val="none"/>
        </w:rPr>
      </w:pPr>
    </w:p>
    <w:p>
      <w:pPr>
        <w:spacing w:line="240" w:lineRule="auto"/>
        <w:jc w:val="left"/>
        <w:outlineLvl w:val="9"/>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ascii="仿宋" w:hAnsi="仿宋" w:eastAsia="仿宋" w:cs="仿宋"/>
          <w:color w:val="auto"/>
          <w:sz w:val="24"/>
          <w:highlight w:val="none"/>
        </w:rPr>
      </w:pPr>
    </w:p>
    <w:p>
      <w:pPr>
        <w:tabs>
          <w:tab w:val="left" w:pos="432"/>
        </w:tabs>
        <w:outlineLvl w:val="9"/>
        <w:rPr>
          <w:rFonts w:ascii="仿宋" w:eastAsia="仿宋" w:cs="仿宋"/>
          <w:color w:val="auto"/>
          <w:highlight w:val="none"/>
        </w:rPr>
      </w:pPr>
    </w:p>
    <w:p>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pPr>
        <w:pStyle w:val="597"/>
        <w:spacing w:before="120" w:line="22" w:lineRule="atLeast"/>
        <w:rPr>
          <w:rFonts w:ascii="仿宋" w:hAnsi="仿宋" w:eastAsia="仿宋" w:cs="仿宋"/>
          <w:color w:val="auto"/>
          <w:szCs w:val="24"/>
          <w:highlight w:val="none"/>
        </w:rPr>
      </w:pPr>
    </w:p>
    <w:p>
      <w:pPr>
        <w:pStyle w:val="597"/>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pPr>
        <w:widowControl/>
        <w:jc w:val="left"/>
        <w:rPr>
          <w:rFonts w:ascii="仿宋" w:hAnsi="仿宋" w:eastAsia="仿宋" w:cs="仿宋"/>
          <w:color w:val="auto"/>
          <w:kern w:val="0"/>
          <w:sz w:val="24"/>
          <w:highlight w:val="none"/>
        </w:rPr>
        <w:sectPr>
          <w:pgSz w:w="11907" w:h="16840"/>
          <w:pgMar w:top="1417" w:right="1361" w:bottom="1474" w:left="1474" w:header="851" w:footer="851" w:gutter="0"/>
          <w:pgNumType w:fmt="decimal"/>
          <w:cols w:space="720" w:num="1"/>
        </w:sectPr>
      </w:pPr>
    </w:p>
    <w:p>
      <w:pPr>
        <w:pStyle w:val="2"/>
        <w:rPr>
          <w:color w:val="auto"/>
          <w:highlight w:val="none"/>
        </w:rPr>
      </w:pPr>
    </w:p>
    <w:p>
      <w:pPr>
        <w:pStyle w:val="3"/>
        <w:rPr>
          <w:rFonts w:eastAsia="仿宋"/>
          <w:color w:val="auto"/>
          <w:highlight w:val="none"/>
        </w:rPr>
      </w:pP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个工作日内，按照采购文件确定的事项签订本合同。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440" w:lineRule="exact"/>
        <w:ind w:firstLine="482" w:firstLineChars="200"/>
        <w:outlineLvl w:val="1"/>
        <w:rPr>
          <w:rFonts w:ascii="仿宋" w:hAnsi="仿宋" w:eastAsia="仿宋" w:cs="仿宋"/>
          <w:color w:val="auto"/>
          <w:sz w:val="24"/>
          <w:highlight w:val="none"/>
        </w:rPr>
      </w:pPr>
      <w:bookmarkStart w:id="38" w:name="_Toc15367"/>
      <w:bookmarkStart w:id="39" w:name="_Toc28855"/>
      <w:bookmarkStart w:id="40" w:name="_Toc20421"/>
      <w:bookmarkStart w:id="41" w:name="_Toc19273"/>
      <w:bookmarkStart w:id="42" w:name="_Toc22967"/>
      <w:r>
        <w:rPr>
          <w:rFonts w:hint="eastAsia" w:ascii="仿宋" w:hAnsi="仿宋" w:eastAsia="仿宋" w:cs="仿宋"/>
          <w:b/>
          <w:color w:val="auto"/>
          <w:sz w:val="24"/>
          <w:highlight w:val="none"/>
        </w:rPr>
        <w:t>1.1合同组成部分</w:t>
      </w:r>
      <w:bookmarkEnd w:id="38"/>
      <w:bookmarkEnd w:id="39"/>
      <w:bookmarkEnd w:id="40"/>
      <w:bookmarkEnd w:id="41"/>
      <w:bookmarkEnd w:id="42"/>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440" w:lineRule="exact"/>
        <w:ind w:firstLine="482" w:firstLineChars="200"/>
        <w:outlineLvl w:val="1"/>
        <w:rPr>
          <w:rFonts w:ascii="仿宋" w:hAnsi="仿宋" w:eastAsia="仿宋" w:cs="仿宋"/>
          <w:b/>
          <w:color w:val="auto"/>
          <w:sz w:val="24"/>
          <w:highlight w:val="none"/>
        </w:rPr>
      </w:pPr>
      <w:bookmarkStart w:id="43" w:name="_Toc2918"/>
      <w:bookmarkStart w:id="44" w:name="_Toc6773"/>
      <w:bookmarkStart w:id="45" w:name="_Toc6311"/>
      <w:bookmarkStart w:id="46" w:name="_Toc18585"/>
      <w:bookmarkStart w:id="47" w:name="_Toc22185"/>
      <w:r>
        <w:rPr>
          <w:rFonts w:hint="eastAsia" w:ascii="仿宋" w:hAnsi="仿宋" w:eastAsia="仿宋" w:cs="仿宋"/>
          <w:b/>
          <w:color w:val="auto"/>
          <w:sz w:val="24"/>
          <w:highlight w:val="none"/>
        </w:rPr>
        <w:t>1.2标的</w:t>
      </w:r>
      <w:bookmarkEnd w:id="43"/>
      <w:bookmarkEnd w:id="44"/>
      <w:bookmarkEnd w:id="45"/>
      <w:bookmarkEnd w:id="46"/>
      <w:bookmarkEnd w:id="47"/>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1.2.5合同（是/否）涉及货物。若涉及货物的的，则：</w:t>
      </w:r>
    </w:p>
    <w:p>
      <w:pPr>
        <w:spacing w:line="440" w:lineRule="exact"/>
        <w:ind w:firstLine="480" w:firstLineChars="200"/>
        <w:rPr>
          <w:rFonts w:ascii="仿宋" w:hAnsi="仿宋" w:eastAsia="仿宋" w:cs="仿宋"/>
          <w:color w:val="auto"/>
          <w:sz w:val="24"/>
          <w:highlight w:val="none"/>
          <w:u w:val="single"/>
        </w:rPr>
      </w:pPr>
      <w:bookmarkStart w:id="48" w:name="_Toc21124"/>
      <w:bookmarkStart w:id="49" w:name="_Toc5635"/>
      <w:bookmarkStart w:id="50" w:name="_Toc4929"/>
      <w:bookmarkStart w:id="51" w:name="_Toc1386"/>
      <w:bookmarkStart w:id="52" w:name="_Toc13918"/>
      <w:r>
        <w:rPr>
          <w:rFonts w:hint="eastAsia" w:ascii="仿宋" w:hAnsi="仿宋" w:eastAsia="仿宋" w:cs="仿宋"/>
          <w:color w:val="auto"/>
          <w:sz w:val="24"/>
          <w:highlight w:val="none"/>
        </w:rPr>
        <w:t>1.2.5.1 货物名称、品牌、规格型号、花色：；</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2" w:firstLineChars="200"/>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1.3价款</w:t>
      </w:r>
      <w:bookmarkEnd w:id="48"/>
      <w:bookmarkEnd w:id="49"/>
      <w:bookmarkEnd w:id="50"/>
      <w:bookmarkEnd w:id="51"/>
      <w:bookmarkEnd w:id="52"/>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条款规定的计价方式计价。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1.3.1总价合同，本合同总价（含税）为：￥元（大写：元人民币）。</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spacing w:line="44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spacing w:line="44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jc w:val="center"/>
              <w:textAlignment w:val="center"/>
              <w:rPr>
                <w:rFonts w:ascii="仿宋" w:hAnsi="仿宋" w:eastAsia="仿宋" w:cs="仿宋"/>
                <w:color w:val="auto"/>
                <w:sz w:val="24"/>
                <w:szCs w:val="24"/>
                <w:highlight w:val="none"/>
              </w:rPr>
            </w:pPr>
          </w:p>
        </w:tc>
        <w:tc>
          <w:tcPr>
            <w:tcW w:w="3402" w:type="dxa"/>
            <w:vAlign w:val="center"/>
          </w:tcPr>
          <w:p>
            <w:pPr>
              <w:pStyle w:val="318"/>
              <w:spacing w:line="440" w:lineRule="exact"/>
              <w:jc w:val="center"/>
              <w:textAlignment w:val="center"/>
              <w:rPr>
                <w:rFonts w:ascii="仿宋" w:hAnsi="仿宋" w:eastAsia="仿宋" w:cs="仿宋"/>
                <w:color w:val="auto"/>
                <w:sz w:val="24"/>
                <w:szCs w:val="24"/>
                <w:highlight w:val="none"/>
              </w:rPr>
            </w:pPr>
          </w:p>
        </w:tc>
        <w:tc>
          <w:tcPr>
            <w:tcW w:w="2552" w:type="dxa"/>
            <w:vAlign w:val="center"/>
          </w:tcPr>
          <w:p>
            <w:pPr>
              <w:pStyle w:val="318"/>
              <w:spacing w:line="440" w:lineRule="exact"/>
              <w:jc w:val="center"/>
              <w:textAlignment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jc w:val="center"/>
              <w:textAlignment w:val="center"/>
              <w:rPr>
                <w:rFonts w:ascii="仿宋" w:hAnsi="仿宋" w:eastAsia="仿宋" w:cs="仿宋"/>
                <w:color w:val="auto"/>
                <w:sz w:val="24"/>
                <w:szCs w:val="24"/>
                <w:highlight w:val="none"/>
              </w:rPr>
            </w:pPr>
          </w:p>
        </w:tc>
        <w:tc>
          <w:tcPr>
            <w:tcW w:w="3402" w:type="dxa"/>
            <w:vAlign w:val="center"/>
          </w:tcPr>
          <w:p>
            <w:pPr>
              <w:pStyle w:val="318"/>
              <w:spacing w:line="440" w:lineRule="exact"/>
              <w:jc w:val="center"/>
              <w:textAlignment w:val="center"/>
              <w:rPr>
                <w:rFonts w:ascii="仿宋" w:hAnsi="仿宋" w:eastAsia="仿宋" w:cs="仿宋"/>
                <w:color w:val="auto"/>
                <w:sz w:val="24"/>
                <w:szCs w:val="24"/>
                <w:highlight w:val="none"/>
              </w:rPr>
            </w:pPr>
          </w:p>
        </w:tc>
        <w:tc>
          <w:tcPr>
            <w:tcW w:w="2552" w:type="dxa"/>
            <w:vAlign w:val="center"/>
          </w:tcPr>
          <w:p>
            <w:pPr>
              <w:pStyle w:val="318"/>
              <w:spacing w:line="440" w:lineRule="exact"/>
              <w:jc w:val="center"/>
              <w:textAlignment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jc w:val="center"/>
              <w:textAlignment w:val="center"/>
              <w:rPr>
                <w:rFonts w:ascii="仿宋" w:hAnsi="仿宋" w:eastAsia="仿宋" w:cs="仿宋"/>
                <w:color w:val="auto"/>
                <w:sz w:val="24"/>
                <w:szCs w:val="24"/>
                <w:highlight w:val="none"/>
              </w:rPr>
            </w:pPr>
          </w:p>
        </w:tc>
        <w:tc>
          <w:tcPr>
            <w:tcW w:w="3402" w:type="dxa"/>
            <w:vAlign w:val="center"/>
          </w:tcPr>
          <w:p>
            <w:pPr>
              <w:pStyle w:val="318"/>
              <w:spacing w:line="440" w:lineRule="exact"/>
              <w:jc w:val="center"/>
              <w:textAlignment w:val="center"/>
              <w:rPr>
                <w:rFonts w:ascii="仿宋" w:hAnsi="仿宋" w:eastAsia="仿宋" w:cs="仿宋"/>
                <w:color w:val="auto"/>
                <w:sz w:val="24"/>
                <w:szCs w:val="24"/>
                <w:highlight w:val="none"/>
              </w:rPr>
            </w:pPr>
          </w:p>
        </w:tc>
        <w:tc>
          <w:tcPr>
            <w:tcW w:w="2552" w:type="dxa"/>
            <w:vAlign w:val="center"/>
          </w:tcPr>
          <w:p>
            <w:pPr>
              <w:pStyle w:val="318"/>
              <w:spacing w:line="440" w:lineRule="exact"/>
              <w:jc w:val="center"/>
              <w:textAlignment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jc w:val="center"/>
              <w:textAlignment w:val="center"/>
              <w:rPr>
                <w:rFonts w:ascii="仿宋" w:hAnsi="仿宋" w:eastAsia="仿宋" w:cs="仿宋"/>
                <w:color w:val="auto"/>
                <w:sz w:val="24"/>
                <w:szCs w:val="24"/>
                <w:highlight w:val="none"/>
              </w:rPr>
            </w:pPr>
          </w:p>
        </w:tc>
        <w:tc>
          <w:tcPr>
            <w:tcW w:w="3402" w:type="dxa"/>
            <w:vAlign w:val="center"/>
          </w:tcPr>
          <w:p>
            <w:pPr>
              <w:pStyle w:val="318"/>
              <w:spacing w:line="440" w:lineRule="exact"/>
              <w:jc w:val="center"/>
              <w:textAlignment w:val="center"/>
              <w:rPr>
                <w:rFonts w:ascii="仿宋" w:hAnsi="仿宋" w:eastAsia="仿宋" w:cs="仿宋"/>
                <w:color w:val="auto"/>
                <w:sz w:val="24"/>
                <w:szCs w:val="24"/>
                <w:highlight w:val="none"/>
              </w:rPr>
            </w:pPr>
          </w:p>
        </w:tc>
        <w:tc>
          <w:tcPr>
            <w:tcW w:w="2552" w:type="dxa"/>
            <w:vAlign w:val="center"/>
          </w:tcPr>
          <w:p>
            <w:pPr>
              <w:pStyle w:val="318"/>
              <w:spacing w:line="440" w:lineRule="exact"/>
              <w:jc w:val="center"/>
              <w:textAlignment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spacing w:line="44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spacing w:line="440" w:lineRule="exact"/>
              <w:jc w:val="center"/>
              <w:textAlignment w:val="center"/>
              <w:rPr>
                <w:rFonts w:ascii="仿宋" w:hAnsi="仿宋" w:eastAsia="仿宋" w:cs="仿宋"/>
                <w:color w:val="auto"/>
                <w:sz w:val="24"/>
                <w:szCs w:val="24"/>
                <w:highlight w:val="none"/>
              </w:rPr>
            </w:pPr>
          </w:p>
        </w:tc>
      </w:tr>
    </w:tbl>
    <w:p>
      <w:pPr>
        <w:spacing w:line="440" w:lineRule="exact"/>
        <w:ind w:firstLine="480" w:firstLineChars="200"/>
        <w:rPr>
          <w:rFonts w:ascii="仿宋" w:hAnsi="仿宋" w:eastAsia="仿宋" w:cs="仿宋"/>
          <w:color w:val="auto"/>
          <w:sz w:val="24"/>
          <w:highlight w:val="none"/>
        </w:rPr>
      </w:pPr>
      <w:bookmarkStart w:id="53" w:name="_Toc26916"/>
      <w:bookmarkStart w:id="54" w:name="_Toc30158"/>
      <w:bookmarkStart w:id="55" w:name="_Toc3654"/>
      <w:bookmarkStart w:id="56" w:name="_Toc14993"/>
      <w:bookmarkStart w:id="57"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。单价合同，在合同履行期间内，根据实际完成的工作量据实结算，但结算总价上限不得超过预算金额或者双方确定的金额￥元（大写：元人民币）。</w:t>
      </w:r>
    </w:p>
    <w:p>
      <w:pPr>
        <w:tabs>
          <w:tab w:val="left" w:pos="432"/>
        </w:tabs>
        <w:spacing w:line="440" w:lineRule="exact"/>
        <w:ind w:left="0" w:firstLine="480" w:firstLineChars="200"/>
        <w:outlineLvl w:val="9"/>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53"/>
    <w:bookmarkEnd w:id="54"/>
    <w:bookmarkEnd w:id="55"/>
    <w:bookmarkEnd w:id="56"/>
    <w:bookmarkEnd w:id="57"/>
    <w:p>
      <w:pPr>
        <w:pStyle w:val="958"/>
        <w:spacing w:before="0" w:beforeAutospacing="0" w:after="0" w:afterAutospacing="0" w:line="440" w:lineRule="exact"/>
        <w:ind w:firstLine="482" w:firstLineChars="200"/>
        <w:outlineLvl w:val="1"/>
        <w:rPr>
          <w:rFonts w:ascii="仿宋" w:hAnsi="仿宋" w:eastAsia="仿宋" w:cs="仿宋"/>
          <w:b/>
          <w:color w:val="auto"/>
          <w:highlight w:val="none"/>
        </w:rPr>
      </w:pPr>
      <w:bookmarkStart w:id="58" w:name="_Toc22618"/>
      <w:bookmarkStart w:id="59" w:name="_Toc1814"/>
      <w:bookmarkStart w:id="60" w:name="_Toc10340"/>
      <w:bookmarkStart w:id="61" w:name="_Toc3625"/>
      <w:bookmarkStart w:id="62" w:name="_Toc11108"/>
      <w:bookmarkStart w:id="63" w:name="_Toc4760"/>
      <w:bookmarkStart w:id="64" w:name="_Toc8772"/>
      <w:bookmarkStart w:id="65" w:name="_Toc31421"/>
      <w:r>
        <w:rPr>
          <w:rFonts w:hint="eastAsia" w:ascii="仿宋" w:hAnsi="仿宋" w:eastAsia="仿宋" w:cs="仿宋"/>
          <w:b/>
          <w:color w:val="auto"/>
          <w:highlight w:val="none"/>
        </w:rPr>
        <w:t>1.4履约保证金</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pPr>
        <w:spacing w:line="440" w:lineRule="exact"/>
        <w:ind w:firstLine="480" w:firstLineChars="200"/>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pPr>
        <w:spacing w:line="440" w:lineRule="exact"/>
        <w:ind w:firstLine="480" w:firstLineChars="200"/>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tabs>
          <w:tab w:val="left" w:pos="0"/>
          <w:tab w:val="left" w:pos="432"/>
        </w:tabs>
        <w:spacing w:line="440" w:lineRule="exact"/>
        <w:ind w:left="0" w:firstLine="480" w:firstLineChars="200"/>
        <w:outlineLvl w:val="9"/>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440" w:lineRule="exact"/>
        <w:ind w:firstLine="482" w:firstLineChars="200"/>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58"/>
        <w:spacing w:before="0" w:beforeAutospacing="0" w:after="0" w:afterAutospacing="0" w:line="44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9"/>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Style w:val="958"/>
        <w:spacing w:before="0" w:beforeAutospacing="0" w:after="0" w:afterAutospacing="0" w:line="440" w:lineRule="exact"/>
        <w:ind w:firstLine="482" w:firstLineChars="200"/>
        <w:outlineLvl w:val="1"/>
        <w:rPr>
          <w:rFonts w:hint="eastAsia" w:ascii="仿宋" w:hAnsi="仿宋" w:eastAsia="仿宋" w:cs="仿宋"/>
          <w:b/>
          <w:bCs/>
          <w:color w:val="auto"/>
          <w:highlight w:val="none"/>
        </w:rPr>
      </w:pPr>
      <w:r>
        <w:rPr>
          <w:rFonts w:hint="eastAsia" w:ascii="仿宋" w:hAnsi="仿宋" w:eastAsia="仿宋" w:cs="仿宋"/>
          <w:b/>
          <w:bCs/>
          <w:color w:val="auto"/>
          <w:highlight w:val="none"/>
        </w:rPr>
        <w:t>1.7履行期限、地点和方式</w:t>
      </w:r>
      <w:bookmarkEnd w:id="61"/>
      <w:bookmarkEnd w:id="62"/>
      <w:bookmarkEnd w:id="63"/>
      <w:bookmarkEnd w:id="64"/>
      <w:bookmarkEnd w:id="65"/>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outlineLvl w:val="9"/>
        <w:rPr>
          <w:rFonts w:ascii="仿宋" w:hAnsi="仿宋" w:eastAsia="仿宋" w:cs="仿宋"/>
          <w:bCs/>
          <w:color w:val="auto"/>
          <w:sz w:val="24"/>
          <w:highlight w:val="none"/>
        </w:rPr>
      </w:pPr>
      <w:bookmarkStart w:id="66" w:name="_Toc8586"/>
      <w:bookmarkStart w:id="67" w:name="_Toc2375"/>
      <w:bookmarkStart w:id="68" w:name="_Toc24662"/>
      <w:bookmarkStart w:id="69" w:name="_Toc5698"/>
      <w:bookmarkStart w:id="70" w:name="_Toc3079"/>
      <w:r>
        <w:rPr>
          <w:rFonts w:hint="eastAsia" w:ascii="仿宋" w:hAnsi="仿宋" w:eastAsia="仿宋" w:cs="仿宋"/>
          <w:bCs/>
          <w:color w:val="auto"/>
          <w:sz w:val="24"/>
          <w:highlight w:val="none"/>
        </w:rPr>
        <w:t>1.7.4若服务涉及货物的，则货物的：</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1"/>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tabs>
          <w:tab w:val="left" w:pos="432"/>
        </w:tabs>
        <w:spacing w:line="440" w:lineRule="exact"/>
        <w:ind w:left="0" w:firstLine="480" w:firstLineChars="200"/>
        <w:outlineLvl w:val="9"/>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highlight w:val="none"/>
        </w:rPr>
      </w:pPr>
      <w:bookmarkStart w:id="71" w:name="_Toc30329"/>
      <w:bookmarkStart w:id="72" w:name="_Toc26807"/>
      <w:bookmarkStart w:id="73" w:name="_Toc18683"/>
      <w:bookmarkStart w:id="74" w:name="_Toc32454"/>
      <w:bookmarkStart w:id="75" w:name="_Toc9497"/>
      <w:r>
        <w:rPr>
          <w:rFonts w:hint="eastAsia" w:ascii="仿宋" w:hAnsi="仿宋" w:eastAsia="仿宋" w:cs="仿宋"/>
          <w:color w:val="auto"/>
          <w:sz w:val="24"/>
          <w:highlight w:val="none"/>
        </w:rPr>
        <w:t>1.8.4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pPr>
        <w:spacing w:line="440" w:lineRule="exact"/>
        <w:ind w:firstLine="482" w:firstLineChars="200"/>
        <w:outlineLvl w:val="1"/>
        <w:rPr>
          <w:rFonts w:ascii="仿宋" w:hAnsi="仿宋" w:eastAsia="仿宋" w:cs="仿宋"/>
          <w:b/>
          <w:color w:val="auto"/>
          <w:sz w:val="24"/>
          <w:highlight w:val="none"/>
        </w:rPr>
      </w:pPr>
      <w:bookmarkStart w:id="76" w:name="_Toc16021"/>
      <w:bookmarkStart w:id="77" w:name="_Toc28375"/>
      <w:bookmarkStart w:id="78" w:name="_Toc15583"/>
      <w:r>
        <w:rPr>
          <w:rFonts w:hint="eastAsia" w:ascii="仿宋" w:hAnsi="仿宋" w:eastAsia="仿宋" w:cs="仿宋"/>
          <w:b/>
          <w:color w:val="auto"/>
          <w:sz w:val="24"/>
          <w:highlight w:val="none"/>
        </w:rPr>
        <w:t>1.9合同争议的解决</w:t>
      </w:r>
      <w:bookmarkEnd w:id="76"/>
      <w:bookmarkEnd w:id="77"/>
      <w:bookmarkEnd w:id="78"/>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本合同履行过程中发生的任何争议，双方当事人均可通过和解或者调解解决；不愿和解、调解或者和解、调解不成的，可以选择以下第</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条款规定的方式解决：</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440" w:lineRule="exact"/>
        <w:ind w:firstLine="482" w:firstLineChars="200"/>
        <w:outlineLvl w:val="1"/>
        <w:rPr>
          <w:rFonts w:ascii="仿宋" w:hAnsi="仿宋" w:eastAsia="仿宋" w:cs="仿宋"/>
          <w:b/>
          <w:color w:val="auto"/>
          <w:sz w:val="24"/>
          <w:highlight w:val="none"/>
        </w:rPr>
      </w:pPr>
      <w:bookmarkStart w:id="79" w:name="_Toc15322"/>
      <w:bookmarkStart w:id="80" w:name="_Toc7245"/>
      <w:bookmarkStart w:id="81" w:name="_Toc11173"/>
      <w:r>
        <w:rPr>
          <w:rFonts w:hint="eastAsia" w:ascii="仿宋" w:hAnsi="仿宋" w:eastAsia="仿宋" w:cs="仿宋"/>
          <w:b/>
          <w:color w:val="auto"/>
          <w:sz w:val="24"/>
          <w:highlight w:val="none"/>
        </w:rPr>
        <w:t>2.0 合同生效</w:t>
      </w:r>
      <w:bookmarkEnd w:id="79"/>
      <w:bookmarkEnd w:id="80"/>
      <w:bookmarkEnd w:id="81"/>
    </w:p>
    <w:p>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1"/>
        <w:rPr>
          <w:rFonts w:ascii="仿宋" w:hAnsi="仿宋" w:eastAsia="仿宋" w:cs="仿宋"/>
          <w:b/>
          <w:color w:val="auto"/>
          <w:sz w:val="24"/>
          <w:highlight w:val="none"/>
        </w:rPr>
      </w:pPr>
      <w:bookmarkStart w:id="82" w:name="_Toc14021"/>
      <w:bookmarkStart w:id="83" w:name="_Toc19680"/>
      <w:bookmarkStart w:id="84" w:name="_Toc5228"/>
      <w:bookmarkStart w:id="85" w:name="_Toc31297"/>
      <w:bookmarkStart w:id="86" w:name="_Toc25079"/>
      <w:r>
        <w:rPr>
          <w:rFonts w:hint="eastAsia" w:ascii="仿宋" w:hAnsi="仿宋" w:eastAsia="仿宋" w:cs="仿宋"/>
          <w:b/>
          <w:color w:val="auto"/>
          <w:sz w:val="24"/>
          <w:highlight w:val="none"/>
        </w:rPr>
        <w:t>2.1 定义</w:t>
      </w:r>
      <w:bookmarkEnd w:id="82"/>
      <w:bookmarkEnd w:id="83"/>
      <w:bookmarkEnd w:id="84"/>
      <w:bookmarkEnd w:id="85"/>
      <w:bookmarkEnd w:id="8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“服务”系指中标或成交供应商根据合同约定应向采购人履行的除货物和工程以外的其他采购对象，包括采购人自身需要的服务和向社会公众提供的公共服务。</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1"/>
        <w:rPr>
          <w:rFonts w:ascii="仿宋" w:hAnsi="仿宋" w:eastAsia="仿宋" w:cs="仿宋"/>
          <w:b/>
          <w:color w:val="auto"/>
          <w:sz w:val="24"/>
          <w:highlight w:val="none"/>
        </w:rPr>
      </w:pPr>
      <w:bookmarkStart w:id="87" w:name="_Toc3769"/>
      <w:bookmarkStart w:id="88" w:name="_Toc23289"/>
      <w:bookmarkStart w:id="89" w:name="_Toc19539"/>
      <w:bookmarkStart w:id="90" w:name="_Toc16752"/>
      <w:bookmarkStart w:id="91" w:name="_Toc31402"/>
      <w:r>
        <w:rPr>
          <w:rFonts w:hint="eastAsia" w:ascii="仿宋" w:hAnsi="仿宋" w:eastAsia="仿宋" w:cs="仿宋"/>
          <w:b/>
          <w:color w:val="auto"/>
          <w:sz w:val="24"/>
          <w:highlight w:val="none"/>
        </w:rPr>
        <w:t>2.2 技术规范</w:t>
      </w:r>
      <w:bookmarkEnd w:id="87"/>
      <w:bookmarkEnd w:id="88"/>
      <w:bookmarkEnd w:id="89"/>
      <w:bookmarkEnd w:id="90"/>
      <w:bookmarkEnd w:id="9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如果有的话</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及其技术规范偏差表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如果被甲方接受的话</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相一致；如果采购文件中没有技术规范的相应说明，那么应以国家有关部门最新颁布的相应标准和规范为准。</w:t>
      </w:r>
    </w:p>
    <w:p>
      <w:pPr>
        <w:spacing w:line="560" w:lineRule="exact"/>
        <w:ind w:firstLine="482" w:firstLineChars="200"/>
        <w:outlineLvl w:val="1"/>
        <w:rPr>
          <w:rFonts w:ascii="仿宋" w:hAnsi="仿宋" w:eastAsia="仿宋" w:cs="仿宋"/>
          <w:b/>
          <w:color w:val="auto"/>
          <w:sz w:val="24"/>
          <w:highlight w:val="none"/>
        </w:rPr>
      </w:pPr>
      <w:bookmarkStart w:id="92" w:name="_Toc13673"/>
      <w:bookmarkStart w:id="93" w:name="_Toc9161"/>
      <w:bookmarkStart w:id="94" w:name="_Toc4133"/>
      <w:bookmarkStart w:id="95" w:name="_Toc27945"/>
      <w:bookmarkStart w:id="96" w:name="_Toc12412"/>
      <w:r>
        <w:rPr>
          <w:rFonts w:hint="eastAsia" w:ascii="仿宋" w:hAnsi="仿宋" w:eastAsia="仿宋" w:cs="仿宋"/>
          <w:b/>
          <w:color w:val="auto"/>
          <w:sz w:val="24"/>
          <w:highlight w:val="none"/>
        </w:rPr>
        <w:t>2.3 知识产权</w:t>
      </w:r>
      <w:bookmarkEnd w:id="92"/>
      <w:bookmarkEnd w:id="93"/>
      <w:bookmarkEnd w:id="94"/>
      <w:bookmarkEnd w:id="95"/>
      <w:bookmarkEnd w:id="9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2.4履约检查和问题反馈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1"/>
        <w:rPr>
          <w:rFonts w:ascii="仿宋" w:hAnsi="仿宋" w:eastAsia="仿宋" w:cs="仿宋"/>
          <w:b/>
          <w:color w:val="auto"/>
          <w:sz w:val="24"/>
          <w:highlight w:val="none"/>
        </w:rPr>
      </w:pPr>
      <w:bookmarkStart w:id="97" w:name="_Toc15447"/>
      <w:bookmarkStart w:id="98" w:name="_Toc26555"/>
      <w:bookmarkStart w:id="99" w:name="_Toc31233"/>
      <w:bookmarkStart w:id="100" w:name="_Toc32670"/>
      <w:bookmarkStart w:id="101" w:name="_Toc22011"/>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1"/>
        <w:rPr>
          <w:rFonts w:ascii="仿宋" w:hAnsi="仿宋" w:eastAsia="仿宋" w:cs="仿宋"/>
          <w:b/>
          <w:color w:val="auto"/>
          <w:sz w:val="24"/>
          <w:highlight w:val="none"/>
        </w:rPr>
      </w:pPr>
      <w:bookmarkStart w:id="102" w:name="_Toc16163"/>
      <w:bookmarkStart w:id="103" w:name="_Toc13467"/>
      <w:bookmarkStart w:id="104" w:name="_Toc30507"/>
      <w:bookmarkStart w:id="105" w:name="_Toc13154"/>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1"/>
        <w:rPr>
          <w:rFonts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1"/>
        <w:rPr>
          <w:rFonts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1"/>
        <w:rPr>
          <w:rFonts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1"/>
        <w:rPr>
          <w:rFonts w:ascii="仿宋" w:hAnsi="仿宋" w:eastAsia="仿宋" w:cs="仿宋"/>
          <w:b/>
          <w:color w:val="auto"/>
          <w:sz w:val="24"/>
          <w:highlight w:val="none"/>
        </w:rPr>
      </w:pPr>
      <w:bookmarkStart w:id="110" w:name="_Toc26689"/>
      <w:bookmarkStart w:id="111" w:name="_Toc10663"/>
      <w:bookmarkStart w:id="112" w:name="_Toc21830"/>
      <w:bookmarkStart w:id="113" w:name="_Toc42"/>
      <w:bookmarkStart w:id="114" w:name="_Toc23368"/>
      <w:r>
        <w:rPr>
          <w:rFonts w:hint="eastAsia" w:ascii="仿宋" w:hAnsi="仿宋" w:eastAsia="仿宋" w:cs="仿宋"/>
          <w:b/>
          <w:color w:val="auto"/>
          <w:sz w:val="24"/>
          <w:highlight w:val="none"/>
        </w:rPr>
        <w:t>2.10 合同转让和分包</w:t>
      </w:r>
      <w:bookmarkEnd w:id="110"/>
      <w:bookmarkEnd w:id="111"/>
      <w:bookmarkEnd w:id="112"/>
      <w:bookmarkEnd w:id="113"/>
      <w:bookmarkEnd w:id="11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1"/>
        <w:rPr>
          <w:rFonts w:ascii="仿宋" w:hAnsi="仿宋" w:eastAsia="仿宋" w:cs="仿宋"/>
          <w:b/>
          <w:color w:val="auto"/>
          <w:sz w:val="24"/>
          <w:highlight w:val="none"/>
        </w:rPr>
      </w:pPr>
      <w:bookmarkStart w:id="115" w:name="_Toc32494"/>
      <w:bookmarkStart w:id="116" w:name="_Toc25571"/>
      <w:bookmarkStart w:id="117" w:name="_Toc26633"/>
      <w:bookmarkStart w:id="118" w:name="_Toc14371"/>
      <w:bookmarkStart w:id="119" w:name="_Toc4720"/>
      <w:r>
        <w:rPr>
          <w:rFonts w:hint="eastAsia" w:ascii="仿宋" w:hAnsi="仿宋" w:eastAsia="仿宋" w:cs="仿宋"/>
          <w:b/>
          <w:color w:val="auto"/>
          <w:sz w:val="24"/>
          <w:highlight w:val="none"/>
        </w:rPr>
        <w:t>2.11 不可抗力</w:t>
      </w:r>
      <w:bookmarkEnd w:id="115"/>
      <w:bookmarkEnd w:id="116"/>
      <w:bookmarkEnd w:id="117"/>
      <w:bookmarkEnd w:id="118"/>
      <w:bookmarkEnd w:id="11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1"/>
        <w:rPr>
          <w:rFonts w:ascii="仿宋" w:hAnsi="仿宋" w:eastAsia="仿宋" w:cs="仿宋"/>
          <w:b/>
          <w:color w:val="auto"/>
          <w:sz w:val="24"/>
          <w:highlight w:val="none"/>
        </w:rPr>
      </w:pPr>
      <w:bookmarkStart w:id="120" w:name="_Toc3638"/>
      <w:bookmarkStart w:id="121" w:name="_Toc25783"/>
      <w:bookmarkStart w:id="122" w:name="_Toc23854"/>
      <w:bookmarkStart w:id="123" w:name="_Toc14115"/>
      <w:bookmarkStart w:id="124" w:name="_Toc24465"/>
      <w:r>
        <w:rPr>
          <w:rFonts w:hint="eastAsia" w:ascii="仿宋" w:hAnsi="仿宋" w:eastAsia="仿宋" w:cs="仿宋"/>
          <w:b/>
          <w:color w:val="auto"/>
          <w:sz w:val="24"/>
          <w:highlight w:val="none"/>
        </w:rPr>
        <w:t>2.12 税费</w:t>
      </w:r>
      <w:bookmarkEnd w:id="120"/>
      <w:bookmarkEnd w:id="121"/>
      <w:bookmarkEnd w:id="122"/>
      <w:bookmarkEnd w:id="123"/>
      <w:bookmarkEnd w:id="12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1"/>
        <w:rPr>
          <w:rFonts w:ascii="仿宋" w:hAnsi="仿宋" w:eastAsia="仿宋" w:cs="仿宋"/>
          <w:b/>
          <w:color w:val="auto"/>
          <w:sz w:val="24"/>
          <w:highlight w:val="none"/>
        </w:rPr>
      </w:pPr>
      <w:bookmarkStart w:id="125" w:name="_Toc30105"/>
      <w:bookmarkStart w:id="126" w:name="_Toc14814"/>
      <w:bookmarkStart w:id="127" w:name="_Toc25525"/>
      <w:bookmarkStart w:id="128" w:name="_Toc26883"/>
      <w:bookmarkStart w:id="129" w:name="_Toc7315"/>
      <w:r>
        <w:rPr>
          <w:rFonts w:hint="eastAsia" w:ascii="仿宋" w:hAnsi="仿宋" w:eastAsia="仿宋" w:cs="仿宋"/>
          <w:b/>
          <w:color w:val="auto"/>
          <w:sz w:val="24"/>
          <w:highlight w:val="none"/>
        </w:rPr>
        <w:t>2.13 乙方破产</w:t>
      </w:r>
      <w:bookmarkEnd w:id="125"/>
      <w:bookmarkEnd w:id="126"/>
      <w:bookmarkEnd w:id="127"/>
      <w:bookmarkEnd w:id="128"/>
      <w:bookmarkEnd w:id="12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1"/>
        <w:rPr>
          <w:rFonts w:ascii="仿宋" w:hAnsi="仿宋" w:eastAsia="仿宋" w:cs="仿宋"/>
          <w:b/>
          <w:color w:val="auto"/>
          <w:sz w:val="24"/>
          <w:highlight w:val="none"/>
        </w:rPr>
      </w:pPr>
      <w:bookmarkStart w:id="130" w:name="_Toc1123"/>
      <w:bookmarkStart w:id="131" w:name="_Toc2016"/>
      <w:bookmarkStart w:id="132" w:name="_Toc23323"/>
      <w:r>
        <w:rPr>
          <w:rFonts w:hint="eastAsia" w:ascii="仿宋" w:hAnsi="仿宋" w:eastAsia="仿宋" w:cs="仿宋"/>
          <w:b/>
          <w:color w:val="auto"/>
          <w:sz w:val="24"/>
          <w:highlight w:val="none"/>
        </w:rPr>
        <w:t>2.14 合同中止、终止</w:t>
      </w:r>
      <w:bookmarkEnd w:id="130"/>
      <w:bookmarkEnd w:id="131"/>
      <w:bookmarkEnd w:id="13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1"/>
        <w:rPr>
          <w:rFonts w:ascii="仿宋" w:hAnsi="仿宋" w:eastAsia="仿宋" w:cs="仿宋"/>
          <w:b/>
          <w:color w:val="auto"/>
          <w:sz w:val="24"/>
          <w:highlight w:val="none"/>
        </w:rPr>
      </w:pPr>
      <w:bookmarkStart w:id="133" w:name="_Toc14525"/>
      <w:bookmarkStart w:id="134" w:name="_Toc1969"/>
      <w:bookmarkStart w:id="135" w:name="_Toc17363"/>
      <w:r>
        <w:rPr>
          <w:rFonts w:hint="eastAsia" w:ascii="仿宋" w:hAnsi="仿宋" w:eastAsia="仿宋" w:cs="仿宋"/>
          <w:b/>
          <w:color w:val="auto"/>
          <w:sz w:val="24"/>
          <w:highlight w:val="none"/>
        </w:rPr>
        <w:t>2.15 检验和验收</w:t>
      </w:r>
      <w:bookmarkEnd w:id="133"/>
      <w:bookmarkEnd w:id="134"/>
      <w:bookmarkEnd w:id="135"/>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1"/>
        <w:rPr>
          <w:rFonts w:ascii="仿宋" w:hAnsi="仿宋" w:eastAsia="仿宋" w:cs="仿宋"/>
          <w:b/>
          <w:color w:val="auto"/>
          <w:sz w:val="24"/>
          <w:highlight w:val="none"/>
        </w:rPr>
      </w:pPr>
      <w:bookmarkStart w:id="136" w:name="_Toc2308"/>
      <w:bookmarkStart w:id="137" w:name="_Toc12666"/>
      <w:bookmarkStart w:id="138" w:name="_Toc31892"/>
      <w:bookmarkStart w:id="139" w:name="_Toc25198"/>
      <w:bookmarkStart w:id="140" w:name="_Toc9808"/>
      <w:r>
        <w:rPr>
          <w:rFonts w:hint="eastAsia" w:ascii="仿宋" w:hAnsi="仿宋" w:eastAsia="仿宋" w:cs="仿宋"/>
          <w:b/>
          <w:color w:val="auto"/>
          <w:sz w:val="24"/>
          <w:highlight w:val="none"/>
        </w:rPr>
        <w:t>2.16 通知和送达</w:t>
      </w:r>
      <w:bookmarkEnd w:id="136"/>
      <w:bookmarkEnd w:id="137"/>
      <w:bookmarkEnd w:id="138"/>
      <w:bookmarkEnd w:id="139"/>
      <w:bookmarkEnd w:id="140"/>
    </w:p>
    <w:p>
      <w:pPr>
        <w:spacing w:line="560" w:lineRule="exact"/>
        <w:ind w:firstLine="480" w:firstLineChars="200"/>
        <w:rPr>
          <w:rFonts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1"/>
        <w:rPr>
          <w:rFonts w:ascii="仿宋" w:hAnsi="仿宋" w:eastAsia="仿宋" w:cs="仿宋"/>
          <w:b/>
          <w:color w:val="auto"/>
          <w:sz w:val="24"/>
          <w:highlight w:val="none"/>
        </w:rPr>
      </w:pPr>
      <w:bookmarkStart w:id="143" w:name="_Toc27644"/>
      <w:bookmarkStart w:id="144" w:name="_Toc5063"/>
      <w:bookmarkStart w:id="145" w:name="_Toc28906"/>
      <w:bookmarkStart w:id="146" w:name="_Toc12254"/>
      <w:bookmarkStart w:id="147" w:name="_Toc20808"/>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1"/>
        <w:rPr>
          <w:rFonts w:ascii="仿宋" w:hAnsi="仿宋" w:eastAsia="仿宋" w:cs="仿宋"/>
          <w:b/>
          <w:color w:val="auto"/>
          <w:sz w:val="24"/>
          <w:highlight w:val="none"/>
        </w:rPr>
      </w:pPr>
      <w:bookmarkStart w:id="148" w:name="_Toc30599"/>
      <w:bookmarkStart w:id="149" w:name="_Toc4355"/>
      <w:bookmarkStart w:id="150" w:name="_Toc18540"/>
      <w:r>
        <w:rPr>
          <w:rFonts w:hint="eastAsia" w:ascii="仿宋" w:hAnsi="仿宋" w:eastAsia="仿宋" w:cs="仿宋"/>
          <w:b/>
          <w:color w:val="auto"/>
          <w:sz w:val="24"/>
          <w:highlight w:val="none"/>
        </w:rPr>
        <w:t>2.18 计量单位</w:t>
      </w:r>
      <w:bookmarkEnd w:id="148"/>
      <w:bookmarkEnd w:id="149"/>
      <w:bookmarkEnd w:id="15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合同的计量单位均使用国家法定计量单位。</w:t>
      </w:r>
    </w:p>
    <w:p>
      <w:pPr>
        <w:spacing w:line="560" w:lineRule="exact"/>
        <w:ind w:firstLine="482" w:firstLineChars="200"/>
        <w:outlineLvl w:val="1"/>
        <w:rPr>
          <w:rFonts w:ascii="仿宋" w:hAnsi="仿宋" w:eastAsia="仿宋" w:cs="仿宋"/>
          <w:b/>
          <w:color w:val="auto"/>
          <w:sz w:val="24"/>
          <w:highlight w:val="none"/>
        </w:rPr>
      </w:pPr>
      <w:bookmarkStart w:id="151" w:name="_Toc259093692"/>
      <w:bookmarkStart w:id="152" w:name="_Toc10330"/>
      <w:bookmarkStart w:id="153" w:name="_Toc12773"/>
      <w:bookmarkStart w:id="154" w:name="_Toc18567"/>
      <w:bookmarkStart w:id="155" w:name="_Toc487900373"/>
      <w:bookmarkStart w:id="156" w:name="_Toc27970126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440" w:lineRule="atLeast"/>
        <w:ind w:firstLine="420" w:firstLineChars="200"/>
        <w:jc w:val="center"/>
        <w:outlineLvl w:val="1"/>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bookmarkEnd w:id="157"/>
      <w:r>
        <w:rPr>
          <w:rFonts w:hint="eastAsia" w:ascii="仿宋" w:hAnsi="仿宋" w:eastAsia="仿宋" w:cs="仿宋"/>
          <w:b/>
          <w:color w:val="auto"/>
          <w:sz w:val="24"/>
          <w:highlight w:val="none"/>
        </w:rPr>
        <w:t>第三部分  合同专用条款</w:t>
      </w:r>
    </w:p>
    <w:p>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62"/>
        <w:gridCol w:w="79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7964" w:type="dxa"/>
            <w:vAlign w:val="center"/>
          </w:tcPr>
          <w:p>
            <w:pPr>
              <w:spacing w:line="440" w:lineRule="exact"/>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2.11.4</w:t>
            </w:r>
          </w:p>
        </w:tc>
        <w:tc>
          <w:tcPr>
            <w:tcW w:w="7964" w:type="dxa"/>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7964" w:type="dxa"/>
            <w:vAlign w:val="center"/>
          </w:tcPr>
          <w:p>
            <w:pPr>
              <w:spacing w:line="440" w:lineRule="exact"/>
              <w:jc w:val="center"/>
              <w:textAlignment w:val="center"/>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tcPr>
          <w:p>
            <w:pPr>
              <w:spacing w:line="440" w:lineRule="exact"/>
              <w:jc w:val="center"/>
              <w:textAlignment w:val="center"/>
              <w:rPr>
                <w:rFonts w:ascii="仿宋" w:hAnsi="仿宋" w:eastAsia="仿宋" w:cs="仿宋"/>
                <w:strike/>
                <w:color w:val="auto"/>
                <w:sz w:val="24"/>
                <w:highlight w:val="none"/>
              </w:rPr>
            </w:pPr>
            <w:r>
              <w:rPr>
                <w:rFonts w:hint="eastAsia" w:ascii="仿宋" w:hAnsi="仿宋" w:eastAsia="仿宋" w:cs="仿宋"/>
                <w:color w:val="auto"/>
                <w:sz w:val="24"/>
                <w:highlight w:val="none"/>
              </w:rPr>
              <w:t>2.20</w:t>
            </w:r>
          </w:p>
        </w:tc>
        <w:tc>
          <w:tcPr>
            <w:tcW w:w="7964" w:type="dxa"/>
          </w:tcPr>
          <w:p>
            <w:pPr>
              <w:spacing w:line="440" w:lineRule="exact"/>
              <w:jc w:val="center"/>
              <w:textAlignment w:val="center"/>
              <w:rPr>
                <w:rFonts w:ascii="仿宋" w:hAnsi="仿宋" w:eastAsia="仿宋" w:cs="仿宋"/>
                <w:color w:val="auto"/>
                <w:sz w:val="24"/>
                <w:highlight w:val="none"/>
              </w:rPr>
            </w:pPr>
          </w:p>
        </w:tc>
      </w:tr>
    </w:tbl>
    <w:p>
      <w:pPr>
        <w:spacing w:line="440" w:lineRule="exact"/>
        <w:textAlignment w:val="center"/>
        <w:rPr>
          <w:rFonts w:ascii="仿宋" w:hAnsi="仿宋" w:eastAsia="仿宋" w:cs="仿宋"/>
          <w:color w:val="auto"/>
          <w:sz w:val="24"/>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pPr>
        <w:spacing w:line="440" w:lineRule="exact"/>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4"/>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058"/>
        <w:gridCol w:w="6453"/>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b/>
                <w:bCs/>
                <w:color w:val="auto"/>
                <w:sz w:val="21"/>
                <w:szCs w:val="21"/>
                <w:highlight w:val="none"/>
              </w:rPr>
            </w:pPr>
            <w:r>
              <w:rPr>
                <w:rFonts w:hint="default"/>
                <w:b/>
                <w:bCs/>
                <w:color w:val="auto"/>
                <w:szCs w:val="21"/>
                <w:highlight w:val="none"/>
              </w:rPr>
              <w:t>评分项</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b/>
                <w:bCs/>
                <w:color w:val="auto"/>
                <w:szCs w:val="21"/>
                <w:highlight w:val="none"/>
              </w:rPr>
              <w:t>评审依据及标准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adjustRightInd/>
              <w:spacing w:line="260" w:lineRule="exact"/>
              <w:jc w:val="center"/>
              <w:rPr>
                <w:rFonts w:ascii="Times New Roman" w:hAnsi="Times New Roman" w:cs="Times New Roman"/>
                <w:color w:val="auto"/>
                <w:sz w:val="21"/>
                <w:szCs w:val="21"/>
                <w:highlight w:val="none"/>
              </w:rPr>
            </w:pPr>
            <w:r>
              <w:rPr>
                <w:rFonts w:hint="default" w:ascii="Times New Roman" w:hAnsi="Times New Roman" w:eastAsia="仿宋_GB2312" w:cs="Times New Roman"/>
                <w:color w:val="auto"/>
                <w:sz w:val="21"/>
                <w:szCs w:val="21"/>
                <w:highlight w:val="none"/>
              </w:rPr>
              <w:t>管理体系认证</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widowControl w:val="0"/>
              <w:numPr>
                <w:ilvl w:val="-1"/>
                <w:numId w:val="0"/>
              </w:numPr>
              <w:shd w:val="clear" w:color="auto" w:fill="FFFFFF"/>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投标人具有在有效期内的质量管理体系认证证书、环境管理体系认证证书、职业健康安全管理体系认证证书，每项得1分, 最高得3分。</w:t>
            </w:r>
          </w:p>
          <w:p>
            <w:pPr>
              <w:numPr>
                <w:ilvl w:val="0"/>
                <w:numId w:val="0"/>
              </w:numPr>
              <w:shd w:val="clear" w:color="auto" w:fill="FFFFFF"/>
              <w:adjustRightInd/>
              <w:spacing w:line="400" w:lineRule="exact"/>
              <w:rPr>
                <w:rFonts w:hint="eastAsia" w:ascii="Times New Roman" w:hAnsi="Times New Roman" w:cs="Times New Roman"/>
                <w:color w:val="auto"/>
                <w:sz w:val="21"/>
                <w:szCs w:val="21"/>
                <w:highlight w:val="none"/>
              </w:rPr>
            </w:pPr>
            <w:r>
              <w:rPr>
                <w:rFonts w:hint="default" w:cs="Times New Roman"/>
                <w:color w:val="auto"/>
                <w:sz w:val="21"/>
                <w:szCs w:val="21"/>
                <w:highlight w:val="none"/>
                <w:lang w:val="en-US" w:eastAsia="zh-CN"/>
              </w:rPr>
              <w:t>注:投标时提供相关证书复印件并加盖</w:t>
            </w:r>
            <w:r>
              <w:rPr>
                <w:rFonts w:hint="eastAsia" w:cs="Times New Roman"/>
                <w:color w:val="auto"/>
                <w:sz w:val="21"/>
                <w:szCs w:val="21"/>
                <w:highlight w:val="none"/>
                <w:lang w:val="en-US" w:eastAsia="zh-CN"/>
              </w:rPr>
              <w:t>投标人</w:t>
            </w:r>
            <w:r>
              <w:rPr>
                <w:rFonts w:hint="default" w:cs="Times New Roman"/>
                <w:color w:val="auto"/>
                <w:sz w:val="21"/>
                <w:szCs w:val="21"/>
                <w:highlight w:val="none"/>
                <w:lang w:val="en-US" w:eastAsia="zh-CN"/>
              </w:rPr>
              <w:t>公章，不提供不得分。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77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058" w:type="dxa"/>
            <w:tcBorders>
              <w:top w:val="single" w:color="auto" w:sz="4" w:space="0"/>
              <w:left w:val="single" w:color="auto" w:sz="4" w:space="0"/>
              <w:bottom w:val="single" w:color="auto" w:sz="4" w:space="0"/>
              <w:right w:val="single" w:color="auto" w:sz="4" w:space="0"/>
            </w:tcBorders>
            <w:noWrap w:val="0"/>
            <w:vAlign w:val="center"/>
          </w:tcPr>
          <w:p>
            <w:pPr>
              <w:adjustRightInd/>
              <w:spacing w:line="260" w:lineRule="exact"/>
              <w:jc w:val="center"/>
              <w:rPr>
                <w:rFonts w:ascii="Times New Roman" w:hAnsi="Times New Roman" w:cs="Times New Roman"/>
                <w:color w:val="auto"/>
                <w:sz w:val="21"/>
                <w:szCs w:val="21"/>
                <w:highlight w:val="none"/>
              </w:rPr>
            </w:pPr>
            <w:r>
              <w:rPr>
                <w:rFonts w:hint="default" w:ascii="Times New Roman" w:hAnsi="Times New Roman" w:eastAsia="仿宋_GB2312" w:cs="Times New Roman"/>
                <w:color w:val="auto"/>
                <w:sz w:val="21"/>
                <w:szCs w:val="21"/>
                <w:highlight w:val="none"/>
              </w:rPr>
              <w:t>项目案例</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shd w:val="clear" w:color="auto" w:fill="FFFFFF"/>
              <w:spacing w:line="400" w:lineRule="exact"/>
              <w:rPr>
                <w:rFonts w:hint="default" w:cs="Times New Roman"/>
                <w:color w:val="auto"/>
                <w:sz w:val="21"/>
                <w:szCs w:val="21"/>
                <w:highlight w:val="none"/>
                <w:lang w:val="en-US" w:eastAsia="zh-CN"/>
              </w:rPr>
            </w:pPr>
            <w:r>
              <w:rPr>
                <w:rFonts w:hint="default"/>
                <w:color w:val="auto"/>
                <w:szCs w:val="21"/>
                <w:highlight w:val="none"/>
              </w:rPr>
              <w:t>投标人自2021年1月1日以来（以合同签订时间为准）完成的同类业绩，每有1个得</w:t>
            </w:r>
            <w:r>
              <w:rPr>
                <w:rFonts w:hint="eastAsia"/>
                <w:color w:val="auto"/>
                <w:szCs w:val="21"/>
                <w:highlight w:val="none"/>
                <w:lang w:eastAsia="zh-CN"/>
              </w:rPr>
              <w:t>0</w:t>
            </w:r>
            <w:r>
              <w:rPr>
                <w:rFonts w:hint="eastAsia"/>
                <w:color w:val="auto"/>
                <w:szCs w:val="21"/>
                <w:highlight w:val="none"/>
                <w:lang w:val="en-US" w:eastAsia="zh-CN"/>
              </w:rPr>
              <w:t>.5</w:t>
            </w:r>
            <w:r>
              <w:rPr>
                <w:rFonts w:hint="default"/>
                <w:color w:val="auto"/>
                <w:szCs w:val="21"/>
                <w:highlight w:val="none"/>
              </w:rPr>
              <w:t>分，最多得</w:t>
            </w:r>
            <w:r>
              <w:rPr>
                <w:rFonts w:hint="eastAsia"/>
                <w:color w:val="auto"/>
                <w:szCs w:val="21"/>
                <w:highlight w:val="none"/>
                <w:lang w:eastAsia="zh-CN"/>
              </w:rPr>
              <w:t>1</w:t>
            </w:r>
            <w:r>
              <w:rPr>
                <w:rFonts w:hint="default"/>
                <w:color w:val="auto"/>
                <w:szCs w:val="21"/>
                <w:highlight w:val="none"/>
              </w:rPr>
              <w:t>分。</w:t>
            </w:r>
          </w:p>
          <w:p>
            <w:pPr>
              <w:numPr>
                <w:ilvl w:val="0"/>
                <w:numId w:val="0"/>
              </w:numPr>
              <w:shd w:val="clear" w:color="auto" w:fill="FFFFFF"/>
              <w:spacing w:line="400" w:lineRule="exact"/>
              <w:rPr>
                <w:rFonts w:hint="eastAsia" w:eastAsia="宋体" w:cs="Times New Roman"/>
                <w:color w:val="auto"/>
                <w:sz w:val="21"/>
                <w:szCs w:val="21"/>
                <w:highlight w:val="none"/>
              </w:rPr>
            </w:pPr>
            <w:r>
              <w:rPr>
                <w:rFonts w:hint="eastAsia" w:cs="Times New Roman"/>
                <w:color w:val="auto"/>
                <w:sz w:val="21"/>
                <w:szCs w:val="21"/>
                <w:highlight w:val="none"/>
                <w:lang w:val="en-US" w:eastAsia="zh-CN"/>
              </w:rPr>
              <w:t>注：</w:t>
            </w:r>
            <w:r>
              <w:rPr>
                <w:rFonts w:hint="default"/>
                <w:color w:val="auto"/>
                <w:szCs w:val="21"/>
                <w:highlight w:val="none"/>
              </w:rPr>
              <w:t>提供合同复印件加盖投标人公章。</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Merge w:val="restart"/>
            <w:tcBorders>
              <w:top w:val="single" w:color="auto" w:sz="4" w:space="0"/>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058" w:type="dxa"/>
            <w:vMerge w:val="restart"/>
            <w:tcBorders>
              <w:top w:val="single" w:color="auto" w:sz="4" w:space="0"/>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主要管理人员</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项目经理资质及业绩：</w:t>
            </w:r>
          </w:p>
          <w:p>
            <w:pPr>
              <w:widowControl w:val="0"/>
              <w:numPr>
                <w:ilvl w:val="-1"/>
                <w:numId w:val="0"/>
              </w:numPr>
              <w:shd w:val="clear" w:color="auto" w:fill="FFFFFF"/>
              <w:spacing w:line="400" w:lineRule="exact"/>
              <w:rPr>
                <w:rFonts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拟派项目经理具有</w:t>
            </w:r>
            <w:r>
              <w:rPr>
                <w:rFonts w:hint="default"/>
                <w:color w:val="auto"/>
                <w:szCs w:val="21"/>
                <w:highlight w:val="none"/>
              </w:rPr>
              <w:t>人社部门颁发的保安员三级/高级工</w:t>
            </w:r>
            <w:r>
              <w:rPr>
                <w:rFonts w:hint="default" w:ascii="Times New Roman" w:hAnsi="Times New Roman" w:cs="Times New Roman"/>
                <w:color w:val="auto"/>
                <w:sz w:val="21"/>
                <w:szCs w:val="21"/>
                <w:highlight w:val="none"/>
              </w:rPr>
              <w:t>资格证书得1</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分；具有</w:t>
            </w:r>
            <w:r>
              <w:rPr>
                <w:rFonts w:hint="default"/>
                <w:color w:val="auto"/>
                <w:szCs w:val="21"/>
                <w:highlight w:val="none"/>
              </w:rPr>
              <w:t>人社部门颁发的保安员二级/技师</w:t>
            </w:r>
            <w:r>
              <w:rPr>
                <w:rFonts w:hint="default" w:ascii="Times New Roman" w:hAnsi="Times New Roman" w:cs="Times New Roman"/>
                <w:color w:val="auto"/>
                <w:sz w:val="21"/>
                <w:szCs w:val="21"/>
                <w:highlight w:val="none"/>
              </w:rPr>
              <w:t>及以上资格证书得</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分。</w:t>
            </w:r>
            <w:r>
              <w:rPr>
                <w:rFonts w:hint="default" w:ascii="Times New Roman" w:hAnsi="Times New Roman" w:eastAsia="宋体" w:cs="Times New Roman"/>
                <w:color w:val="auto"/>
                <w:sz w:val="21"/>
                <w:szCs w:val="21"/>
                <w:highlight w:val="none"/>
              </w:rPr>
              <w:t>最高得</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分。</w:t>
            </w:r>
          </w:p>
          <w:p>
            <w:pPr>
              <w:shd w:val="clear" w:color="auto" w:fill="FFFFFF"/>
              <w:spacing w:line="400" w:lineRule="exact"/>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color w:val="auto"/>
                <w:szCs w:val="21"/>
                <w:highlight w:val="none"/>
              </w:rPr>
              <w:t>拟派项目经理</w:t>
            </w:r>
            <w:r>
              <w:rPr>
                <w:rFonts w:hint="eastAsia"/>
                <w:color w:val="auto"/>
                <w:szCs w:val="21"/>
                <w:highlight w:val="none"/>
                <w:lang w:val="en-US" w:eastAsia="zh-CN"/>
              </w:rPr>
              <w:t>自</w:t>
            </w:r>
            <w:r>
              <w:rPr>
                <w:rFonts w:hint="default"/>
                <w:color w:val="auto"/>
                <w:szCs w:val="21"/>
                <w:highlight w:val="none"/>
              </w:rPr>
              <w:t>2021年1月1日以来（以合同签订时间为准）完成的同类业绩，</w:t>
            </w:r>
            <w:r>
              <w:rPr>
                <w:rFonts w:hint="eastAsia"/>
                <w:color w:val="auto"/>
                <w:szCs w:val="21"/>
                <w:highlight w:val="none"/>
                <w:lang w:val="en-US" w:eastAsia="zh-CN"/>
              </w:rPr>
              <w:t>每提供一个</w:t>
            </w:r>
            <w:r>
              <w:rPr>
                <w:rFonts w:hint="default" w:ascii="Times New Roman" w:hAnsi="Times New Roman" w:eastAsia="宋体" w:cs="Times New Roman"/>
                <w:color w:val="auto"/>
                <w:sz w:val="21"/>
                <w:szCs w:val="21"/>
                <w:highlight w:val="none"/>
              </w:rPr>
              <w:t>得0.5分，最高得1分。</w:t>
            </w:r>
          </w:p>
          <w:p>
            <w:pPr>
              <w:shd w:val="clear" w:color="auto" w:fill="FFFFFF"/>
              <w:spacing w:line="400" w:lineRule="exact"/>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注:</w:t>
            </w:r>
            <w:r>
              <w:rPr>
                <w:rFonts w:hint="default" w:cs="Times New Roman"/>
                <w:color w:val="auto"/>
                <w:sz w:val="21"/>
                <w:szCs w:val="21"/>
                <w:highlight w:val="none"/>
                <w:lang w:val="en-US" w:eastAsia="zh-CN"/>
              </w:rPr>
              <w:t>需提供资格证书复印件</w:t>
            </w:r>
            <w:r>
              <w:rPr>
                <w:rFonts w:hint="eastAsia" w:cs="Times New Roman"/>
                <w:color w:val="auto"/>
                <w:sz w:val="21"/>
                <w:szCs w:val="21"/>
                <w:highlight w:val="none"/>
                <w:lang w:val="en-US" w:eastAsia="zh-CN"/>
              </w:rPr>
              <w:t>并</w:t>
            </w:r>
            <w:r>
              <w:rPr>
                <w:rFonts w:hint="default" w:ascii="Times New Roman" w:hAnsi="Times New Roman" w:cs="Times New Roman"/>
                <w:color w:val="auto"/>
                <w:sz w:val="21"/>
                <w:szCs w:val="21"/>
                <w:highlight w:val="none"/>
              </w:rPr>
              <w:t>加盖</w:t>
            </w:r>
            <w:r>
              <w:rPr>
                <w:rFonts w:hint="eastAsia" w:cs="Times New Roman"/>
                <w:color w:val="auto"/>
                <w:sz w:val="21"/>
                <w:szCs w:val="21"/>
                <w:highlight w:val="none"/>
                <w:lang w:val="en-US" w:eastAsia="zh-CN"/>
              </w:rPr>
              <w:t>投标人</w:t>
            </w:r>
            <w:r>
              <w:rPr>
                <w:rFonts w:hint="default" w:ascii="Times New Roman" w:hAnsi="Times New Roman" w:cs="Times New Roman"/>
                <w:color w:val="auto"/>
                <w:sz w:val="21"/>
                <w:szCs w:val="21"/>
                <w:highlight w:val="none"/>
              </w:rPr>
              <w:t>公章</w:t>
            </w:r>
            <w:r>
              <w:rPr>
                <w:rFonts w:hint="eastAsia" w:cs="Times New Roman"/>
                <w:color w:val="auto"/>
                <w:sz w:val="21"/>
                <w:szCs w:val="21"/>
                <w:highlight w:val="none"/>
                <w:lang w:eastAsia="zh-CN"/>
              </w:rPr>
              <w:t>，</w:t>
            </w:r>
            <w:r>
              <w:rPr>
                <w:rFonts w:hint="default" w:cs="Times New Roman"/>
                <w:color w:val="auto"/>
                <w:sz w:val="21"/>
                <w:szCs w:val="21"/>
                <w:highlight w:val="none"/>
                <w:lang w:val="en-US" w:eastAsia="zh-CN"/>
              </w:rPr>
              <w:t>及本单位社保证明复印件加盖投标人公章</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如合同内容无法体现项目经理身份的，还须提供业主证明（须加盖业主单位公章）。</w:t>
            </w:r>
            <w:r>
              <w:rPr>
                <w:rFonts w:hint="default" w:ascii="Times New Roman" w:hAnsi="Times New Roman" w:eastAsia="宋体" w:cs="Times New Roman"/>
                <w:color w:val="auto"/>
                <w:sz w:val="21"/>
                <w:szCs w:val="21"/>
                <w:highlight w:val="none"/>
              </w:rPr>
              <w:t>不提供不得分。</w:t>
            </w:r>
          </w:p>
        </w:tc>
        <w:tc>
          <w:tcPr>
            <w:tcW w:w="780" w:type="dxa"/>
            <w:tcBorders>
              <w:top w:val="single" w:color="auto" w:sz="4" w:space="0"/>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770"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1058"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widowControl w:val="0"/>
              <w:numPr>
                <w:ilvl w:val="-1"/>
                <w:numId w:val="0"/>
              </w:numPr>
              <w:shd w:val="clear" w:color="auto" w:fill="FFFFFF"/>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保安队长：具有人社部门颁发的保安员三级/高级工资格证书得1.5分；具有人社部门颁发的保安员二级/技师及以上资格证书得2.5分，最高得2.5分。</w:t>
            </w:r>
          </w:p>
          <w:p>
            <w:pPr>
              <w:numPr>
                <w:ilvl w:val="-1"/>
                <w:numId w:val="0"/>
              </w:numPr>
              <w:shd w:val="clear" w:color="auto" w:fill="FFFFFF"/>
              <w:adjustRightInd/>
              <w:spacing w:line="400" w:lineRule="exact"/>
              <w:ind w:left="0" w:leftChars="0" w:firstLine="0" w:firstLineChars="0"/>
              <w:rPr>
                <w:rFonts w:hint="eastAsia" w:ascii="Times New Roman" w:hAnsi="Times New Roman" w:cs="Times New Roman"/>
                <w:color w:val="auto"/>
                <w:sz w:val="21"/>
                <w:szCs w:val="21"/>
                <w:highlight w:val="none"/>
              </w:rPr>
            </w:pPr>
            <w:r>
              <w:rPr>
                <w:rFonts w:hint="default" w:cs="Times New Roman"/>
                <w:color w:val="auto"/>
                <w:sz w:val="21"/>
                <w:szCs w:val="21"/>
                <w:highlight w:val="none"/>
                <w:lang w:val="en-US" w:eastAsia="zh-CN"/>
              </w:rPr>
              <w:t xml:space="preserve">注: </w:t>
            </w:r>
            <w:r>
              <w:rPr>
                <w:rFonts w:hint="default"/>
                <w:color w:val="auto"/>
                <w:szCs w:val="21"/>
                <w:highlight w:val="none"/>
              </w:rPr>
              <w:t>需提供资格证书复印件并加盖投标人公章，及本单位社保证明复印件加盖投标人公章</w:t>
            </w:r>
            <w:r>
              <w:rPr>
                <w:rFonts w:hint="default" w:cs="Times New Roman"/>
                <w:color w:val="auto"/>
                <w:sz w:val="21"/>
                <w:szCs w:val="21"/>
                <w:highlight w:val="none"/>
                <w:lang w:val="en-US" w:eastAsia="zh-CN"/>
              </w:rPr>
              <w:t>。</w:t>
            </w:r>
          </w:p>
        </w:tc>
        <w:tc>
          <w:tcPr>
            <w:tcW w:w="780" w:type="dxa"/>
            <w:vMerge w:val="restart"/>
            <w:tcBorders>
              <w:top w:val="single" w:color="auto" w:sz="4" w:space="0"/>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770"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1058"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widowControl w:val="0"/>
              <w:numPr>
                <w:ilvl w:val="-1"/>
                <w:numId w:val="0"/>
              </w:numPr>
              <w:shd w:val="clear" w:color="auto" w:fill="FFFFFF"/>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安检队长：具有人社部门颁发的保安员三级/高级工资格证书得1.5分；具有人社部门颁发的保安员二级/技师及以上资格证书得2.5分，最高得2.5分。</w:t>
            </w:r>
          </w:p>
          <w:p>
            <w:pPr>
              <w:numPr>
                <w:ilvl w:val="-1"/>
                <w:numId w:val="0"/>
              </w:numPr>
              <w:shd w:val="clear" w:color="auto" w:fill="FFFFFF"/>
              <w:adjustRightInd/>
              <w:spacing w:line="400" w:lineRule="exact"/>
              <w:ind w:left="0" w:leftChars="0" w:firstLine="0" w:firstLineChars="0"/>
              <w:rPr>
                <w:rFonts w:hint="eastAsia" w:ascii="Times New Roman" w:hAnsi="Times New Roman" w:cs="Times New Roman"/>
                <w:color w:val="auto"/>
                <w:sz w:val="21"/>
                <w:szCs w:val="21"/>
                <w:highlight w:val="none"/>
              </w:rPr>
            </w:pPr>
            <w:r>
              <w:rPr>
                <w:rFonts w:hint="default" w:cs="Times New Roman"/>
                <w:color w:val="auto"/>
                <w:sz w:val="21"/>
                <w:szCs w:val="21"/>
                <w:highlight w:val="none"/>
                <w:lang w:val="en-US" w:eastAsia="zh-CN"/>
              </w:rPr>
              <w:t xml:space="preserve">注: </w:t>
            </w:r>
            <w:r>
              <w:rPr>
                <w:rFonts w:hint="default"/>
                <w:color w:val="auto"/>
                <w:szCs w:val="21"/>
                <w:highlight w:val="none"/>
              </w:rPr>
              <w:t>需提供资格证书复印件并加盖投标人公章，及本单位社保证明复印件加盖投标人公章</w:t>
            </w:r>
          </w:p>
        </w:tc>
        <w:tc>
          <w:tcPr>
            <w:tcW w:w="780"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770" w:type="dxa"/>
            <w:vMerge w:val="restart"/>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058" w:type="dxa"/>
            <w:vMerge w:val="restart"/>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服务方案</w:t>
            </w:r>
          </w:p>
        </w:tc>
        <w:tc>
          <w:tcPr>
            <w:tcW w:w="6453"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0"/>
              </w:numPr>
              <w:shd w:val="clear" w:color="auto" w:fill="FFFFFF"/>
              <w:adjustRightInd/>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综合服务方案、日常作业程序（10分）</w:t>
            </w:r>
          </w:p>
          <w:p>
            <w:pPr>
              <w:numPr>
                <w:ilvl w:val="0"/>
                <w:numId w:val="0"/>
              </w:numPr>
              <w:shd w:val="clear" w:color="auto" w:fill="FFFFFF"/>
              <w:adjustRightInd/>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根据项目的实际情况制定相应的综合服务方案（人员选拔和招聘、福利及薪酬发放方案），是否符合规程制度的要求，内容是否详细完整，是否有可操作性。横向比较，酌情打分。（0-5）</w:t>
            </w:r>
          </w:p>
          <w:p>
            <w:pPr>
              <w:numPr>
                <w:ilvl w:val="0"/>
                <w:numId w:val="0"/>
              </w:numPr>
              <w:shd w:val="clear" w:color="auto" w:fill="FFFFFF"/>
              <w:adjustRightInd/>
              <w:spacing w:line="400" w:lineRule="exact"/>
              <w:rPr>
                <w:rFonts w:hint="default"/>
                <w:color w:val="auto"/>
                <w:szCs w:val="21"/>
                <w:highlight w:val="none"/>
              </w:rPr>
            </w:pPr>
            <w:r>
              <w:rPr>
                <w:rFonts w:hint="default"/>
                <w:color w:val="auto"/>
                <w:szCs w:val="21"/>
                <w:highlight w:val="none"/>
              </w:rPr>
              <w:t>根据项目的实际情况制定相应的日常作业程序，是否符合规程制度的要求，内容是否详细完整，是否有可操作性。横向比较，酌情打分。（0-5）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770"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1058"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widowControl w:val="0"/>
              <w:numPr>
                <w:ilvl w:val="-1"/>
                <w:numId w:val="0"/>
              </w:numPr>
              <w:shd w:val="clear" w:color="auto" w:fill="FFFFFF"/>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组织架构（10分）</w:t>
            </w:r>
          </w:p>
          <w:p>
            <w:pPr>
              <w:numPr>
                <w:ilvl w:val="0"/>
                <w:numId w:val="0"/>
              </w:numPr>
              <w:shd w:val="clear" w:color="auto" w:fill="FFFFFF"/>
              <w:adjustRightInd/>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项目组织架构是否完善、清晰简练，包括工作流程、激励机制、监督机制、自我约束机制、信息反馈渠道、考核机制及处理机制等；</w:t>
            </w:r>
            <w:r>
              <w:rPr>
                <w:rFonts w:hint="default" w:cs="Times New Roman"/>
                <w:color w:val="auto"/>
                <w:sz w:val="21"/>
                <w:szCs w:val="21"/>
                <w:highlight w:val="none"/>
                <w:lang w:val="en-US" w:eastAsia="zh-CN"/>
              </w:rPr>
              <w:t>横向比较</w:t>
            </w:r>
            <w:r>
              <w:rPr>
                <w:rFonts w:hint="eastAsia" w:cs="Times New Roman"/>
                <w:color w:val="auto"/>
                <w:sz w:val="21"/>
                <w:szCs w:val="21"/>
                <w:highlight w:val="none"/>
                <w:lang w:val="en-US" w:eastAsia="zh-CN"/>
              </w:rPr>
              <w:t>，酌情打分。（0-5）</w:t>
            </w:r>
          </w:p>
          <w:p>
            <w:pPr>
              <w:numPr>
                <w:ilvl w:val="0"/>
                <w:numId w:val="0"/>
              </w:numPr>
              <w:shd w:val="clear" w:color="auto" w:fill="FFFFFF"/>
              <w:adjustRightInd/>
              <w:spacing w:line="400" w:lineRule="exact"/>
              <w:rPr>
                <w:rFonts w:hint="eastAsia" w:ascii="Times New Roman" w:hAnsi="Times New Roman" w:cs="Times New Roman"/>
                <w:color w:val="auto"/>
                <w:sz w:val="21"/>
                <w:szCs w:val="21"/>
                <w:highlight w:val="none"/>
              </w:rPr>
            </w:pPr>
            <w:r>
              <w:rPr>
                <w:rFonts w:hint="default" w:cs="Times New Roman"/>
                <w:color w:val="auto"/>
                <w:sz w:val="21"/>
                <w:szCs w:val="21"/>
                <w:highlight w:val="none"/>
                <w:lang w:val="en-US" w:eastAsia="zh-CN"/>
              </w:rPr>
              <w:t>管理模式能否切合实际且安全可行，是否有分级的管理制度并有利于项目的实施。</w:t>
            </w:r>
            <w:r>
              <w:rPr>
                <w:rFonts w:hint="default" w:cs="Times New Roman"/>
                <w:color w:val="auto"/>
                <w:sz w:val="21"/>
                <w:szCs w:val="21"/>
                <w:highlight w:val="none"/>
                <w:lang w:val="en-US" w:eastAsia="zh-CN"/>
              </w:rPr>
              <w:t>横向比较</w:t>
            </w:r>
            <w:r>
              <w:rPr>
                <w:rFonts w:hint="eastAsia" w:cs="Times New Roman"/>
                <w:color w:val="auto"/>
                <w:sz w:val="21"/>
                <w:szCs w:val="21"/>
                <w:highlight w:val="none"/>
                <w:lang w:val="en-US" w:eastAsia="zh-CN"/>
              </w:rPr>
              <w:t>，酌情打分。（0-5）</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770"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1058"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widowControl w:val="0"/>
              <w:numPr>
                <w:ilvl w:val="-1"/>
                <w:numId w:val="0"/>
              </w:numPr>
              <w:shd w:val="clear" w:color="auto" w:fill="FFFFFF"/>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紧急事件的预警及应对措施方案（9分）</w:t>
            </w:r>
          </w:p>
          <w:p>
            <w:pPr>
              <w:numPr>
                <w:ilvl w:val="0"/>
                <w:numId w:val="0"/>
              </w:numPr>
              <w:shd w:val="clear" w:color="auto" w:fill="FFFFFF"/>
              <w:adjustRightInd/>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各投标人对本项目可能发生的紧急事件（大型活动等）的预警</w:t>
            </w:r>
            <w:r>
              <w:rPr>
                <w:rFonts w:hint="eastAsia" w:cs="Times New Roman"/>
                <w:color w:val="auto"/>
                <w:sz w:val="21"/>
                <w:szCs w:val="21"/>
                <w:highlight w:val="none"/>
                <w:lang w:val="en-US" w:eastAsia="zh-CN"/>
              </w:rPr>
              <w:t>及应对措施。</w:t>
            </w:r>
            <w:r>
              <w:rPr>
                <w:rFonts w:hint="eastAsia" w:cs="Times New Roman"/>
                <w:color w:val="auto"/>
                <w:sz w:val="21"/>
                <w:szCs w:val="21"/>
                <w:highlight w:val="none"/>
                <w:lang w:val="en-US" w:eastAsia="zh-CN"/>
              </w:rPr>
              <w:t>横向比较，酌情打分。（0-5）</w:t>
            </w:r>
          </w:p>
          <w:p>
            <w:pPr>
              <w:numPr>
                <w:ilvl w:val="0"/>
                <w:numId w:val="0"/>
              </w:numPr>
              <w:shd w:val="clear" w:color="auto" w:fill="FFFFFF"/>
              <w:adjustRightInd/>
              <w:spacing w:line="400" w:lineRule="exact"/>
              <w:rPr>
                <w:rFonts w:hint="eastAsia" w:ascii="Times New Roman" w:hAnsi="Times New Roman" w:cs="Times New Roman"/>
                <w:color w:val="auto"/>
                <w:sz w:val="21"/>
                <w:szCs w:val="21"/>
                <w:highlight w:val="none"/>
              </w:rPr>
            </w:pPr>
            <w:r>
              <w:rPr>
                <w:rFonts w:hint="default" w:cs="Times New Roman"/>
                <w:color w:val="auto"/>
                <w:sz w:val="21"/>
                <w:szCs w:val="21"/>
                <w:highlight w:val="none"/>
                <w:lang w:val="en-US" w:eastAsia="zh-CN"/>
              </w:rPr>
              <w:t>各投标人对本项目突发事件</w:t>
            </w:r>
            <w:r>
              <w:rPr>
                <w:rFonts w:hint="eastAsia" w:cs="Times New Roman"/>
                <w:color w:val="auto"/>
                <w:sz w:val="21"/>
                <w:szCs w:val="21"/>
                <w:highlight w:val="none"/>
                <w:lang w:val="en-US" w:eastAsia="zh-CN"/>
              </w:rPr>
              <w:t>的预警及</w:t>
            </w:r>
            <w:r>
              <w:rPr>
                <w:rFonts w:hint="default" w:cs="Times New Roman"/>
                <w:color w:val="auto"/>
                <w:sz w:val="21"/>
                <w:szCs w:val="21"/>
                <w:highlight w:val="none"/>
                <w:lang w:val="en-US" w:eastAsia="zh-CN"/>
              </w:rPr>
              <w:t>应对措施方案。</w:t>
            </w:r>
            <w:r>
              <w:rPr>
                <w:rFonts w:hint="eastAsia" w:cs="Times New Roman"/>
                <w:color w:val="auto"/>
                <w:sz w:val="21"/>
                <w:szCs w:val="21"/>
                <w:highlight w:val="none"/>
                <w:lang w:val="en-US" w:eastAsia="zh-CN"/>
              </w:rPr>
              <w:t>横向比较，酌情打分。（0-4）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770"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1058"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widowControl w:val="0"/>
              <w:numPr>
                <w:ilvl w:val="-1"/>
                <w:numId w:val="0"/>
              </w:numPr>
              <w:shd w:val="clear" w:color="auto" w:fill="FFFFFF"/>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人员管理方案(9分)</w:t>
            </w:r>
          </w:p>
          <w:p>
            <w:pPr>
              <w:numPr>
                <w:ilvl w:val="0"/>
                <w:numId w:val="0"/>
              </w:numPr>
              <w:shd w:val="clear" w:color="auto" w:fill="FFFFFF"/>
              <w:adjustRightInd/>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各投标人保安、安检人员进场、值班班组排班、轮岗计划</w:t>
            </w:r>
            <w:r>
              <w:rPr>
                <w:rFonts w:hint="eastAsia" w:cs="Times New Roman"/>
                <w:color w:val="auto"/>
                <w:sz w:val="21"/>
                <w:szCs w:val="21"/>
                <w:highlight w:val="none"/>
                <w:lang w:val="en-US" w:eastAsia="zh-CN"/>
              </w:rPr>
              <w:t>。</w:t>
            </w:r>
            <w:r>
              <w:rPr>
                <w:rFonts w:hint="eastAsia" w:cs="Times New Roman"/>
                <w:color w:val="auto"/>
                <w:sz w:val="21"/>
                <w:szCs w:val="21"/>
                <w:highlight w:val="none"/>
                <w:lang w:val="en-US" w:eastAsia="zh-CN"/>
              </w:rPr>
              <w:t>横向比较，酌情打分。（0-5）</w:t>
            </w:r>
          </w:p>
          <w:p>
            <w:pPr>
              <w:numPr>
                <w:ilvl w:val="0"/>
                <w:numId w:val="0"/>
              </w:numPr>
              <w:shd w:val="clear" w:color="auto" w:fill="FFFFFF"/>
              <w:adjustRightInd/>
              <w:spacing w:line="400" w:lineRule="exact"/>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各投标人</w:t>
            </w:r>
            <w:r>
              <w:rPr>
                <w:rFonts w:hint="default" w:cs="Times New Roman"/>
                <w:color w:val="auto"/>
                <w:sz w:val="21"/>
                <w:szCs w:val="21"/>
                <w:highlight w:val="none"/>
                <w:lang w:val="en-US" w:eastAsia="zh-CN"/>
              </w:rPr>
              <w:t>人员补充机制及管理方案</w:t>
            </w:r>
            <w:r>
              <w:rPr>
                <w:rFonts w:hint="eastAsia" w:cs="Times New Roman"/>
                <w:color w:val="auto"/>
                <w:sz w:val="21"/>
                <w:szCs w:val="21"/>
                <w:highlight w:val="none"/>
                <w:lang w:val="en-US" w:eastAsia="zh-CN"/>
              </w:rPr>
              <w:t>。</w:t>
            </w:r>
            <w:r>
              <w:rPr>
                <w:rFonts w:hint="eastAsia" w:cs="Times New Roman"/>
                <w:color w:val="auto"/>
                <w:sz w:val="21"/>
                <w:szCs w:val="21"/>
                <w:highlight w:val="none"/>
                <w:lang w:val="en-US" w:eastAsia="zh-CN"/>
              </w:rPr>
              <w:t>横向比较，酌情打分。（0-4）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0-9分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770"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1058"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widowControl w:val="0"/>
              <w:numPr>
                <w:ilvl w:val="-1"/>
                <w:numId w:val="0"/>
              </w:numPr>
              <w:shd w:val="clear" w:color="auto" w:fill="FFFFFF"/>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培训、演练方案（9分）</w:t>
            </w:r>
          </w:p>
          <w:p>
            <w:pPr>
              <w:numPr>
                <w:ilvl w:val="0"/>
                <w:numId w:val="0"/>
              </w:numPr>
              <w:shd w:val="clear" w:color="auto" w:fill="FFFFFF"/>
              <w:adjustRightInd/>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根据</w:t>
            </w:r>
            <w:r>
              <w:rPr>
                <w:rFonts w:hint="eastAsia" w:cs="Times New Roman"/>
                <w:color w:val="auto"/>
                <w:sz w:val="21"/>
                <w:szCs w:val="21"/>
                <w:highlight w:val="none"/>
                <w:lang w:val="en-US" w:eastAsia="zh-CN"/>
              </w:rPr>
              <w:t>各投标人培训</w:t>
            </w:r>
            <w:r>
              <w:rPr>
                <w:rFonts w:hint="default" w:cs="Times New Roman"/>
                <w:color w:val="auto"/>
                <w:sz w:val="21"/>
                <w:szCs w:val="21"/>
                <w:highlight w:val="none"/>
                <w:lang w:val="en-US" w:eastAsia="zh-CN"/>
              </w:rPr>
              <w:t>计划</w:t>
            </w:r>
            <w:r>
              <w:rPr>
                <w:rFonts w:hint="eastAsia" w:cs="Times New Roman"/>
                <w:color w:val="auto"/>
                <w:sz w:val="21"/>
                <w:szCs w:val="21"/>
                <w:highlight w:val="none"/>
                <w:lang w:val="en-US" w:eastAsia="zh-CN"/>
              </w:rPr>
              <w:t>的</w:t>
            </w:r>
            <w:r>
              <w:rPr>
                <w:rFonts w:hint="default" w:cs="Times New Roman"/>
                <w:color w:val="auto"/>
                <w:sz w:val="21"/>
                <w:szCs w:val="21"/>
                <w:highlight w:val="none"/>
                <w:lang w:val="en-US" w:eastAsia="zh-CN"/>
              </w:rPr>
              <w:t>可操作性、科学有效性。</w:t>
            </w:r>
            <w:r>
              <w:rPr>
                <w:rFonts w:hint="eastAsia" w:cs="Times New Roman"/>
                <w:color w:val="auto"/>
                <w:sz w:val="21"/>
                <w:szCs w:val="21"/>
                <w:highlight w:val="none"/>
                <w:lang w:val="en-US" w:eastAsia="zh-CN"/>
              </w:rPr>
              <w:t>横向比较，酌情打分。（0-5）</w:t>
            </w:r>
          </w:p>
          <w:p>
            <w:pPr>
              <w:numPr>
                <w:ilvl w:val="0"/>
                <w:numId w:val="0"/>
              </w:numPr>
              <w:shd w:val="clear" w:color="auto" w:fill="FFFFFF"/>
              <w:adjustRightInd/>
              <w:spacing w:line="400" w:lineRule="exact"/>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根据</w:t>
            </w:r>
            <w:r>
              <w:rPr>
                <w:rFonts w:hint="default" w:cs="Times New Roman"/>
                <w:color w:val="auto"/>
                <w:sz w:val="21"/>
                <w:szCs w:val="21"/>
                <w:highlight w:val="none"/>
                <w:lang w:val="en-US" w:eastAsia="zh-CN"/>
              </w:rPr>
              <w:t>各投标人演练方案</w:t>
            </w:r>
            <w:r>
              <w:rPr>
                <w:rFonts w:hint="eastAsia" w:cs="Times New Roman"/>
                <w:color w:val="auto"/>
                <w:sz w:val="21"/>
                <w:szCs w:val="21"/>
                <w:highlight w:val="none"/>
                <w:lang w:val="en-US" w:eastAsia="zh-CN"/>
              </w:rPr>
              <w:t>。</w:t>
            </w:r>
            <w:r>
              <w:rPr>
                <w:rFonts w:hint="eastAsia" w:cs="Times New Roman"/>
                <w:color w:val="auto"/>
                <w:sz w:val="21"/>
                <w:szCs w:val="21"/>
                <w:highlight w:val="none"/>
                <w:lang w:val="en-US" w:eastAsia="zh-CN"/>
              </w:rPr>
              <w:t>横向比较，酌情打分。（0-4）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0-9分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770"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1058"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widowControl w:val="0"/>
              <w:numPr>
                <w:ilvl w:val="-1"/>
                <w:numId w:val="0"/>
              </w:numPr>
              <w:shd w:val="clear" w:color="auto" w:fill="FFFFFF"/>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服装管理（6分）</w:t>
            </w:r>
          </w:p>
          <w:p>
            <w:pPr>
              <w:numPr>
                <w:ilvl w:val="0"/>
                <w:numId w:val="0"/>
              </w:numPr>
              <w:shd w:val="clear" w:color="auto" w:fill="FFFFFF"/>
              <w:adjustRightInd/>
              <w:spacing w:line="400" w:lineRule="exac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根据各投标人</w:t>
            </w:r>
            <w:r>
              <w:rPr>
                <w:rFonts w:hint="default" w:cs="Times New Roman"/>
                <w:color w:val="auto"/>
                <w:sz w:val="21"/>
                <w:szCs w:val="21"/>
                <w:highlight w:val="none"/>
                <w:lang w:val="en-US" w:eastAsia="zh-CN"/>
              </w:rPr>
              <w:t>服装种类、款式、数量配置是否合理、齐全。</w:t>
            </w:r>
            <w:r>
              <w:rPr>
                <w:rFonts w:hint="eastAsia" w:cs="Times New Roman"/>
                <w:color w:val="auto"/>
                <w:sz w:val="21"/>
                <w:szCs w:val="21"/>
                <w:highlight w:val="none"/>
                <w:lang w:val="en-US" w:eastAsia="zh-CN"/>
              </w:rPr>
              <w:t>横向比较，酌情打分。（0-3）</w:t>
            </w:r>
          </w:p>
          <w:p>
            <w:pPr>
              <w:numPr>
                <w:ilvl w:val="0"/>
                <w:numId w:val="0"/>
              </w:numPr>
              <w:shd w:val="clear" w:color="auto" w:fill="FFFFFF"/>
              <w:adjustRightInd/>
              <w:spacing w:line="400" w:lineRule="exact"/>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根据各投标人</w:t>
            </w:r>
            <w:r>
              <w:rPr>
                <w:rFonts w:hint="default" w:cs="Times New Roman"/>
                <w:color w:val="auto"/>
                <w:sz w:val="21"/>
                <w:szCs w:val="21"/>
                <w:highlight w:val="none"/>
                <w:lang w:val="en-US" w:eastAsia="zh-CN"/>
              </w:rPr>
              <w:t>服装管理方案</w:t>
            </w:r>
            <w:r>
              <w:rPr>
                <w:rFonts w:hint="eastAsia" w:cs="Times New Roman"/>
                <w:color w:val="auto"/>
                <w:sz w:val="21"/>
                <w:szCs w:val="21"/>
                <w:highlight w:val="none"/>
                <w:lang w:val="en-US" w:eastAsia="zh-CN"/>
              </w:rPr>
              <w:t>。</w:t>
            </w:r>
            <w:r>
              <w:rPr>
                <w:rFonts w:hint="eastAsia" w:cs="Times New Roman"/>
                <w:color w:val="auto"/>
                <w:sz w:val="21"/>
                <w:szCs w:val="21"/>
                <w:highlight w:val="none"/>
                <w:lang w:val="en-US" w:eastAsia="zh-CN"/>
              </w:rPr>
              <w:t>横向比较，酌情打分。（0-3）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770"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1058"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widowControl w:val="0"/>
              <w:numPr>
                <w:ilvl w:val="-1"/>
                <w:numId w:val="0"/>
              </w:numPr>
              <w:shd w:val="clear" w:color="auto" w:fill="FFFFFF"/>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后勤保障（8分）</w:t>
            </w:r>
          </w:p>
          <w:p>
            <w:pPr>
              <w:numPr>
                <w:ilvl w:val="0"/>
                <w:numId w:val="0"/>
              </w:numPr>
              <w:shd w:val="clear" w:color="auto" w:fill="FFFFFF"/>
              <w:adjustRightInd/>
              <w:spacing w:line="400" w:lineRule="exac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各</w:t>
            </w:r>
            <w:r>
              <w:rPr>
                <w:rFonts w:hint="default" w:cs="Times New Roman"/>
                <w:color w:val="auto"/>
                <w:sz w:val="21"/>
                <w:szCs w:val="21"/>
                <w:highlight w:val="none"/>
                <w:lang w:val="en-US" w:eastAsia="zh-CN"/>
              </w:rPr>
              <w:t>投标人的安检、保安员综合保障基地应满足相关法律法规要求</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综合保障基地设施完备</w:t>
            </w:r>
            <w:r>
              <w:rPr>
                <w:rFonts w:hint="eastAsia" w:cs="Times New Roman"/>
                <w:color w:val="auto"/>
                <w:sz w:val="21"/>
                <w:szCs w:val="21"/>
                <w:highlight w:val="none"/>
                <w:lang w:val="en-US" w:eastAsia="zh-CN"/>
              </w:rPr>
              <w:t>。</w:t>
            </w:r>
            <w:r>
              <w:rPr>
                <w:rFonts w:hint="eastAsia" w:cs="Times New Roman"/>
                <w:color w:val="auto"/>
                <w:sz w:val="21"/>
                <w:szCs w:val="21"/>
                <w:highlight w:val="none"/>
                <w:lang w:val="en-US" w:eastAsia="zh-CN"/>
              </w:rPr>
              <w:t>横向比较，酌情打分。（0-4）</w:t>
            </w:r>
          </w:p>
          <w:p>
            <w:pPr>
              <w:numPr>
                <w:ilvl w:val="0"/>
                <w:numId w:val="0"/>
              </w:numPr>
              <w:shd w:val="clear" w:color="auto" w:fill="FFFFFF"/>
              <w:adjustRightInd/>
              <w:spacing w:line="400" w:lineRule="exact"/>
              <w:rPr>
                <w:rFonts w:hint="eastAsia"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各投标人的</w:t>
            </w:r>
            <w:r>
              <w:rPr>
                <w:rFonts w:hint="default" w:cs="Times New Roman"/>
                <w:color w:val="auto"/>
                <w:sz w:val="21"/>
                <w:szCs w:val="21"/>
                <w:highlight w:val="none"/>
                <w:lang w:val="en-US" w:eastAsia="zh-CN"/>
              </w:rPr>
              <w:t>生活保障条件良好，生活设施齐备，满足线路合同要求安检、保安员数量。</w:t>
            </w:r>
            <w:r>
              <w:rPr>
                <w:rFonts w:hint="eastAsia" w:cs="Times New Roman"/>
                <w:color w:val="auto"/>
                <w:sz w:val="21"/>
                <w:szCs w:val="21"/>
                <w:highlight w:val="none"/>
                <w:lang w:val="en-US" w:eastAsia="zh-CN"/>
              </w:rPr>
              <w:t>横向比较，酌情打分。（0-4）</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70" w:type="dxa"/>
            <w:vMerge w:val="continue"/>
            <w:tcBorders>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1058" w:type="dxa"/>
            <w:vMerge w:val="continue"/>
            <w:tcBorders>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color w:val="auto"/>
                <w:sz w:val="21"/>
                <w:szCs w:val="21"/>
                <w:highlight w:val="none"/>
              </w:rPr>
            </w:pPr>
          </w:p>
        </w:tc>
        <w:tc>
          <w:tcPr>
            <w:tcW w:w="6453" w:type="dxa"/>
            <w:tcBorders>
              <w:top w:val="single" w:color="auto" w:sz="4" w:space="0"/>
              <w:left w:val="single" w:color="auto" w:sz="4" w:space="0"/>
              <w:bottom w:val="single" w:color="auto" w:sz="4" w:space="0"/>
              <w:right w:val="single" w:color="auto" w:sz="4" w:space="0"/>
            </w:tcBorders>
            <w:noWrap w:val="0"/>
            <w:vAlign w:val="center"/>
          </w:tcPr>
          <w:p>
            <w:pPr>
              <w:widowControl w:val="0"/>
              <w:numPr>
                <w:ilvl w:val="-1"/>
                <w:numId w:val="0"/>
              </w:numPr>
              <w:shd w:val="clear" w:color="auto" w:fill="FFFFFF"/>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服务承诺（6分）</w:t>
            </w:r>
          </w:p>
          <w:p>
            <w:pPr>
              <w:numPr>
                <w:ilvl w:val="0"/>
                <w:numId w:val="0"/>
              </w:numPr>
              <w:shd w:val="clear" w:color="auto" w:fill="FFFFFF"/>
              <w:adjustRightInd/>
              <w:spacing w:line="400" w:lineRule="exact"/>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投标人承诺给予采购人付款条件</w:t>
            </w:r>
            <w:r>
              <w:rPr>
                <w:rFonts w:hint="eastAsia" w:cs="Times New Roman"/>
                <w:color w:val="auto"/>
                <w:sz w:val="21"/>
                <w:szCs w:val="21"/>
                <w:highlight w:val="none"/>
                <w:lang w:val="en-US" w:eastAsia="zh-CN"/>
              </w:rPr>
              <w:t>等方面的优惠。</w:t>
            </w:r>
            <w:r>
              <w:rPr>
                <w:rFonts w:hint="eastAsia" w:cs="Times New Roman"/>
                <w:color w:val="auto"/>
                <w:sz w:val="21"/>
                <w:szCs w:val="21"/>
                <w:highlight w:val="none"/>
                <w:lang w:val="en-US" w:eastAsia="zh-CN"/>
              </w:rPr>
              <w:t>横向比较，酌情打分。（0-3）</w:t>
            </w:r>
          </w:p>
          <w:p>
            <w:pPr>
              <w:numPr>
                <w:ilvl w:val="0"/>
                <w:numId w:val="0"/>
              </w:numPr>
              <w:shd w:val="clear" w:color="auto" w:fill="FFFFFF"/>
              <w:adjustRightInd/>
              <w:spacing w:line="400" w:lineRule="exact"/>
              <w:rPr>
                <w:rFonts w:hint="eastAsia" w:ascii="Times New Roman" w:hAnsi="Times New Roman" w:cs="Times New Roman"/>
                <w:strike w:val="0"/>
                <w:color w:val="auto"/>
                <w:sz w:val="21"/>
                <w:szCs w:val="21"/>
                <w:highlight w:val="none"/>
              </w:rPr>
            </w:pPr>
            <w:r>
              <w:rPr>
                <w:rFonts w:hint="default" w:cs="Times New Roman"/>
                <w:color w:val="auto"/>
                <w:sz w:val="21"/>
                <w:szCs w:val="21"/>
                <w:highlight w:val="none"/>
                <w:lang w:val="en-US" w:eastAsia="zh-CN"/>
              </w:rPr>
              <w:t>投标人承诺给予采购人服务等方面的优惠。</w:t>
            </w:r>
            <w:r>
              <w:rPr>
                <w:rFonts w:hint="eastAsia" w:cs="Times New Roman"/>
                <w:color w:val="auto"/>
                <w:sz w:val="21"/>
                <w:szCs w:val="21"/>
                <w:highlight w:val="none"/>
                <w:lang w:val="en-US" w:eastAsia="zh-CN"/>
              </w:rPr>
              <w:t>横向比较，酌情打分。（0-3）</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ascii="Times New Roman" w:hAnsi="Times New Roman" w:cs="Times New Roman"/>
                <w:strike/>
                <w:color w:val="auto"/>
                <w:sz w:val="21"/>
                <w:szCs w:val="21"/>
                <w:highlight w:val="none"/>
              </w:rPr>
            </w:pPr>
            <w:r>
              <w:rPr>
                <w:rFonts w:hint="default" w:ascii="Times New Roman" w:hAnsi="Times New Roman" w:cs="Times New Roman"/>
                <w:color w:val="auto"/>
                <w:sz w:val="21"/>
                <w:szCs w:val="21"/>
                <w:highlight w:val="none"/>
              </w:rPr>
              <w:t>0-6分</w:t>
            </w:r>
          </w:p>
        </w:tc>
      </w:tr>
    </w:tbl>
    <w:p>
      <w:pPr>
        <w:snapToGrid w:val="0"/>
        <w:spacing w:line="440" w:lineRule="exact"/>
        <w:rPr>
          <w:rFonts w:hint="eastAsia" w:ascii="仿宋" w:hAnsi="仿宋" w:eastAsia="仿宋" w:cs="仿宋"/>
          <w:b/>
          <w:color w:val="auto"/>
          <w:sz w:val="24"/>
          <w:highlight w:val="none"/>
        </w:rPr>
      </w:pPr>
    </w:p>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pPr>
        <w:pStyle w:val="62"/>
        <w:rPr>
          <w:rFonts w:ascii="仿宋" w:hAnsi="仿宋" w:eastAsia="仿宋" w:cs="仿宋"/>
          <w:b/>
          <w:color w:val="auto"/>
          <w:sz w:val="36"/>
          <w:highlight w:val="none"/>
        </w:rPr>
      </w:pPr>
    </w:p>
    <w:p>
      <w:pPr>
        <w:widowControl/>
        <w:adjustRightInd/>
        <w:jc w:val="center"/>
        <w:rPr>
          <w:rFonts w:ascii="仿宋" w:hAnsi="仿宋" w:eastAsia="仿宋" w:cs="仿宋"/>
          <w:b/>
          <w:color w:val="auto"/>
          <w:sz w:val="36"/>
          <w:szCs w:val="20"/>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w:t>
      </w:r>
      <w:bookmarkEnd w:id="36"/>
      <w:bookmarkEnd w:id="37"/>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投标文件及其附件格式</w:t>
      </w:r>
    </w:p>
    <w:p>
      <w:pPr>
        <w:spacing w:line="360" w:lineRule="auto"/>
        <w:jc w:val="center"/>
        <w:outlineLvl w:val="9"/>
        <w:rPr>
          <w:rFonts w:ascii="仿宋" w:hAnsi="仿宋" w:eastAsia="仿宋" w:cs="仿宋"/>
          <w:b/>
          <w:color w:val="auto"/>
          <w:kern w:val="0"/>
          <w:sz w:val="36"/>
          <w:szCs w:val="36"/>
          <w:highlight w:val="none"/>
        </w:rPr>
      </w:pPr>
    </w:p>
    <w:p>
      <w:pPr>
        <w:spacing w:line="360" w:lineRule="auto"/>
        <w:jc w:val="center"/>
        <w:outlineLvl w:val="1"/>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9"/>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9"/>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5"/>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18"/>
          <w:szCs w:val="18"/>
          <w:highlight w:val="none"/>
        </w:rPr>
      </w:pPr>
      <w:r>
        <w:rPr>
          <w:rFonts w:hint="eastAsia" w:ascii="仿宋" w:hAnsi="仿宋" w:eastAsia="仿宋" w:cs="仿宋"/>
          <w:color w:val="auto"/>
          <w:kern w:val="0"/>
          <w:sz w:val="24"/>
          <w:highlight w:val="none"/>
        </w:rPr>
        <w:br w:type="page"/>
      </w:r>
    </w:p>
    <w:p>
      <w:pPr>
        <w:snapToGrid w:val="0"/>
        <w:spacing w:line="360" w:lineRule="auto"/>
        <w:ind w:right="480"/>
        <w:jc w:val="center"/>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一、符合参加采购活动应当具备的一般条件的承诺函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pPr>
        <w:snapToGrid w:val="0"/>
        <w:spacing w:line="360" w:lineRule="auto"/>
        <w:ind w:firstLine="5520" w:firstLineChars="230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 xml:space="preserve">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361" w:firstLineChars="200"/>
        <w:jc w:val="center"/>
        <w:rPr>
          <w:rFonts w:ascii="仿宋" w:hAnsi="仿宋" w:eastAsia="仿宋" w:cs="仿宋"/>
          <w:b/>
          <w:color w:val="auto"/>
          <w:kern w:val="0"/>
          <w:sz w:val="18"/>
          <w:szCs w:val="18"/>
          <w:highlight w:val="none"/>
        </w:rPr>
      </w:pPr>
    </w:p>
    <w:p>
      <w:pPr>
        <w:widowControl/>
        <w:spacing w:line="360" w:lineRule="auto"/>
        <w:ind w:firstLine="643" w:firstLineChars="200"/>
        <w:jc w:val="center"/>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jc w:val="center"/>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附件6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center"/>
        <w:rPr>
          <w:rFonts w:ascii="仿宋" w:hAnsi="仿宋" w:eastAsia="仿宋" w:cs="仿宋"/>
          <w:b/>
          <w:color w:val="auto"/>
          <w:kern w:val="0"/>
          <w:sz w:val="18"/>
          <w:szCs w:val="18"/>
          <w:highlight w:val="none"/>
        </w:rPr>
      </w:pPr>
    </w:p>
    <w:p>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36" w:lineRule="auto"/>
        <w:jc w:val="center"/>
        <w:outlineLvl w:val="1"/>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9"/>
        <w:rPr>
          <w:rFonts w:ascii="仿宋" w:hAnsi="仿宋" w:eastAsia="仿宋" w:cs="仿宋"/>
          <w:b/>
          <w:color w:val="auto"/>
          <w:kern w:val="0"/>
          <w:sz w:val="24"/>
          <w:highlight w:val="none"/>
        </w:rPr>
      </w:pPr>
    </w:p>
    <w:p>
      <w:pPr>
        <w:spacing w:line="336" w:lineRule="auto"/>
        <w:jc w:val="center"/>
        <w:outlineLvl w:val="9"/>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pPr>
        <w:pStyle w:val="904"/>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 ………………………………………………………… （页码）</w:t>
      </w:r>
    </w:p>
    <w:p>
      <w:pPr>
        <w:pStyle w:val="904"/>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（3）授权代表社保证明</w:t>
      </w:r>
      <w:r>
        <w:rPr>
          <w:rFonts w:hint="eastAsia" w:ascii="仿宋" w:eastAsia="仿宋" w:cs="仿宋_GB2312"/>
          <w:color w:val="auto"/>
          <w:highlight w:val="none"/>
          <w:lang w:val="zh-CN"/>
        </w:rPr>
        <w:t>…………</w:t>
      </w:r>
      <w:r>
        <w:rPr>
          <w:rFonts w:hint="eastAsia" w:ascii="仿宋" w:eastAsia="仿宋" w:cs="仿宋"/>
          <w:color w:val="auto"/>
          <w:highlight w:val="none"/>
        </w:rPr>
        <w:t>…………………………………………………</w:t>
      </w:r>
      <w:r>
        <w:rPr>
          <w:rFonts w:hint="eastAsia" w:ascii="仿宋" w:eastAsia="仿宋" w:cs="仿宋_GB2312"/>
          <w:color w:val="auto"/>
          <w:highlight w:val="none"/>
          <w:lang w:val="zh-CN"/>
        </w:rPr>
        <w:t>…</w:t>
      </w:r>
      <w:r>
        <w:rPr>
          <w:rFonts w:hint="eastAsia" w:ascii="仿宋" w:eastAsia="仿宋" w:cs="仿宋"/>
          <w:color w:val="auto"/>
          <w:highlight w:val="none"/>
        </w:rPr>
        <w:t>（页码）</w:t>
      </w:r>
    </w:p>
    <w:p>
      <w:pPr>
        <w:pStyle w:val="904"/>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pPr>
        <w:pStyle w:val="904"/>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 （页码）</w:t>
      </w:r>
    </w:p>
    <w:p>
      <w:pPr>
        <w:pStyle w:val="904"/>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 （页码）</w:t>
      </w:r>
    </w:p>
    <w:p>
      <w:pPr>
        <w:pStyle w:val="904"/>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（7）采购供应商廉洁自律承诺书</w:t>
      </w:r>
      <w:r>
        <w:rPr>
          <w:rFonts w:hint="eastAsia" w:ascii="仿宋" w:eastAsia="仿宋"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outlineLvl w:val="9"/>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9"/>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rPr>
          <w:rFonts w:ascii="仿宋" w:hAnsi="仿宋" w:eastAsia="仿宋" w:cs="仿宋"/>
          <w:b/>
          <w:color w:val="auto"/>
          <w:kern w:val="0"/>
          <w:sz w:val="32"/>
          <w:szCs w:val="32"/>
          <w:highlight w:val="none"/>
          <w:lang w:val="zh-CN"/>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2"/>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2.我方承诺已经具备《中华人民共和国政府采购法》中规定的参加采购活动的供应商应当具备的条件。</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至e</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项情形之一的，中标、成交无效。</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签字或盖章</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电子签章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日期：  </w:t>
      </w:r>
    </w:p>
    <w:p>
      <w:pPr>
        <w:pageBreakBefore/>
        <w:spacing w:line="800" w:lineRule="exact"/>
        <w:jc w:val="center"/>
        <w:outlineLvl w:val="2"/>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rPr>
        <w:t>填写姓名</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24"/>
          <w:highlight w:val="none"/>
        </w:rPr>
      </w:pPr>
    </w:p>
    <w:p>
      <w:pPr>
        <w:spacing w:line="800" w:lineRule="exact"/>
        <w:jc w:val="center"/>
        <w:outlineLvl w:val="2"/>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pPr>
        <w:spacing w:line="800" w:lineRule="exact"/>
        <w:ind w:firstLine="480" w:firstLineChars="200"/>
        <w:jc w:val="left"/>
        <w:rPr>
          <w:rFonts w:ascii="仿宋" w:hAnsi="仿宋" w:eastAsia="仿宋"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ascii="仿宋" w:hAnsi="仿宋" w:eastAsia="仿宋" w:cs="仿宋"/>
          <w:b/>
          <w:color w:val="auto"/>
          <w:sz w:val="30"/>
          <w:szCs w:val="30"/>
          <w:highlight w:val="none"/>
        </w:rPr>
      </w:pPr>
    </w:p>
    <w:p>
      <w:pPr>
        <w:pStyle w:val="2"/>
        <w:rPr>
          <w:color w:val="auto"/>
          <w:highlight w:val="none"/>
        </w:rPr>
      </w:pPr>
    </w:p>
    <w:p>
      <w:pPr>
        <w:spacing w:line="800" w:lineRule="exact"/>
        <w:jc w:val="center"/>
        <w:outlineLvl w:val="2"/>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outlineLvl w:val="2"/>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格式</w:t>
      </w:r>
      <w:r>
        <w:rPr>
          <w:rFonts w:hint="eastAsia" w:ascii="仿宋" w:hAnsi="仿宋" w:eastAsia="仿宋" w:cs="仿宋"/>
          <w:b/>
          <w:color w:val="auto"/>
          <w:sz w:val="30"/>
          <w:szCs w:val="30"/>
          <w:highlight w:val="none"/>
          <w:lang w:eastAsia="zh-CN"/>
        </w:rPr>
        <w:t>）</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投标人名称（电子签章）： </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pStyle w:val="2"/>
        <w:rPr>
          <w:color w:val="auto"/>
          <w:highlight w:val="none"/>
        </w:rPr>
      </w:pPr>
    </w:p>
    <w:p>
      <w:pP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18"/>
          <w:szCs w:val="18"/>
          <w:highlight w:val="none"/>
        </w:rPr>
      </w:pPr>
    </w:p>
    <w:p>
      <w:pPr>
        <w:jc w:val="center"/>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textAlignment w:val="center"/>
              <w:rPr>
                <w:rFonts w:ascii="仿宋" w:hAnsi="仿宋" w:eastAsia="仿宋" w:cs="仿宋"/>
                <w:b/>
                <w:color w:val="auto"/>
                <w:kern w:val="0"/>
                <w:sz w:val="32"/>
                <w:szCs w:val="32"/>
                <w:highlight w:val="none"/>
              </w:rPr>
            </w:pPr>
          </w:p>
        </w:tc>
        <w:tc>
          <w:tcPr>
            <w:tcW w:w="3546" w:type="dxa"/>
          </w:tcPr>
          <w:p>
            <w:pPr>
              <w:jc w:val="center"/>
              <w:textAlignment w:val="center"/>
              <w:rPr>
                <w:rFonts w:ascii="仿宋" w:hAnsi="仿宋" w:eastAsia="仿宋" w:cs="仿宋"/>
                <w:b/>
                <w:color w:val="auto"/>
                <w:kern w:val="0"/>
                <w:sz w:val="32"/>
                <w:szCs w:val="32"/>
                <w:highlight w:val="none"/>
              </w:rPr>
            </w:pPr>
          </w:p>
        </w:tc>
        <w:tc>
          <w:tcPr>
            <w:tcW w:w="1276" w:type="dxa"/>
          </w:tcPr>
          <w:p>
            <w:pPr>
              <w:jc w:val="center"/>
              <w:textAlignment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textAlignment w:val="center"/>
              <w:rPr>
                <w:rFonts w:ascii="仿宋" w:hAnsi="仿宋" w:eastAsia="仿宋" w:cs="仿宋"/>
                <w:b/>
                <w:color w:val="auto"/>
                <w:kern w:val="0"/>
                <w:sz w:val="32"/>
                <w:szCs w:val="32"/>
                <w:highlight w:val="none"/>
              </w:rPr>
            </w:pPr>
          </w:p>
        </w:tc>
        <w:tc>
          <w:tcPr>
            <w:tcW w:w="3546" w:type="dxa"/>
          </w:tcPr>
          <w:p>
            <w:pPr>
              <w:jc w:val="center"/>
              <w:textAlignment w:val="center"/>
              <w:rPr>
                <w:rFonts w:ascii="仿宋" w:hAnsi="仿宋" w:eastAsia="仿宋" w:cs="仿宋"/>
                <w:b/>
                <w:color w:val="auto"/>
                <w:kern w:val="0"/>
                <w:sz w:val="32"/>
                <w:szCs w:val="32"/>
                <w:highlight w:val="none"/>
              </w:rPr>
            </w:pPr>
          </w:p>
        </w:tc>
        <w:tc>
          <w:tcPr>
            <w:tcW w:w="1276" w:type="dxa"/>
          </w:tcPr>
          <w:p>
            <w:pPr>
              <w:jc w:val="center"/>
              <w:textAlignment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textAlignment w:val="center"/>
              <w:rPr>
                <w:rFonts w:ascii="仿宋" w:hAnsi="仿宋" w:eastAsia="仿宋" w:cs="仿宋"/>
                <w:b/>
                <w:color w:val="auto"/>
                <w:kern w:val="0"/>
                <w:sz w:val="32"/>
                <w:szCs w:val="32"/>
                <w:highlight w:val="none"/>
              </w:rPr>
            </w:pPr>
          </w:p>
        </w:tc>
        <w:tc>
          <w:tcPr>
            <w:tcW w:w="3546" w:type="dxa"/>
          </w:tcPr>
          <w:p>
            <w:pPr>
              <w:jc w:val="center"/>
              <w:textAlignment w:val="center"/>
              <w:rPr>
                <w:rFonts w:ascii="仿宋" w:hAnsi="仿宋" w:eastAsia="仿宋" w:cs="仿宋"/>
                <w:b/>
                <w:color w:val="auto"/>
                <w:kern w:val="0"/>
                <w:sz w:val="32"/>
                <w:szCs w:val="32"/>
                <w:highlight w:val="none"/>
              </w:rPr>
            </w:pPr>
          </w:p>
        </w:tc>
        <w:tc>
          <w:tcPr>
            <w:tcW w:w="1276" w:type="dxa"/>
          </w:tcPr>
          <w:p>
            <w:pPr>
              <w:jc w:val="center"/>
              <w:textAlignment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ascii="仿宋" w:hAnsi="仿宋" w:eastAsia="仿宋" w:cs="仿宋"/>
          <w:b/>
          <w:bCs/>
          <w:color w:val="auto"/>
          <w:sz w:val="32"/>
          <w:szCs w:val="32"/>
          <w:highlight w:val="none"/>
        </w:rPr>
      </w:pPr>
    </w:p>
    <w:p>
      <w:pPr>
        <w:pStyle w:val="2"/>
        <w:rPr>
          <w:color w:val="auto"/>
          <w:highlight w:val="none"/>
        </w:rPr>
      </w:pPr>
    </w:p>
    <w:p>
      <w:pPr>
        <w:widowControl/>
        <w:adjustRightInd/>
        <w:jc w:val="center"/>
        <w:outlineLvl w:val="2"/>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 w:hAnsi="仿宋" w:eastAsia="仿宋" w:cs="仿宋"/>
          <w:b/>
          <w:bCs/>
          <w:color w:val="auto"/>
          <w:sz w:val="24"/>
          <w:highlight w:val="none"/>
        </w:rPr>
      </w:pPr>
    </w:p>
    <w:p>
      <w:pPr>
        <w:pStyle w:val="2"/>
        <w:jc w:val="center"/>
        <w:rPr>
          <w:rFonts w:ascii="仿宋" w:hAnsi="仿宋" w:eastAsia="仿宋" w:cs="仿宋"/>
          <w:b/>
          <w:bCs/>
          <w:color w:val="auto"/>
          <w:highlight w:val="none"/>
        </w:rPr>
      </w:pPr>
    </w:p>
    <w:p>
      <w:pPr>
        <w:spacing w:line="360" w:lineRule="auto"/>
        <w:jc w:val="center"/>
        <w:outlineLvl w:val="2"/>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附表 </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outlineLvl w:val="2"/>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4.6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tabs>
          <w:tab w:val="left" w:pos="2790"/>
          <w:tab w:val="left" w:pos="4230"/>
        </w:tabs>
        <w:autoSpaceDE w:val="0"/>
        <w:autoSpaceDN w:val="0"/>
        <w:spacing w:line="360" w:lineRule="auto"/>
        <w:ind w:right="1400"/>
        <w:jc w:val="center"/>
        <w:outlineLvl w:val="2"/>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9"/>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以生效日算起</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 xml:space="preserve">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Style w:val="2"/>
        <w:rPr>
          <w:color w:val="auto"/>
          <w:highlight w:val="none"/>
        </w:rPr>
      </w:pPr>
    </w:p>
    <w:p>
      <w:pPr>
        <w:pStyle w:val="3"/>
        <w:rPr>
          <w:rFonts w:eastAsia="仿宋_GB2312"/>
          <w:color w:val="auto"/>
          <w:highlight w:val="none"/>
        </w:rPr>
      </w:pPr>
    </w:p>
    <w:p>
      <w:pPr>
        <w:rPr>
          <w:color w:val="auto"/>
          <w:highlight w:val="none"/>
        </w:rPr>
      </w:pPr>
    </w:p>
    <w:p>
      <w:pPr>
        <w:pStyle w:val="2"/>
        <w:rPr>
          <w:color w:val="auto"/>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pStyle w:val="2"/>
        <w:rPr>
          <w:color w:val="auto"/>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2"/>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页码</w:t>
            </w:r>
            <w:r>
              <w:rPr>
                <w:rFonts w:hint="eastAsia" w:ascii="仿宋_GB2312" w:hAnsi="仿宋_GB2312" w:eastAsia="仿宋_GB2312" w:cs="仿宋_GB2312"/>
                <w:color w:val="auto"/>
                <w:sz w:val="24"/>
                <w:highlight w:val="none"/>
                <w:lang w:eastAsia="zh-CN"/>
              </w:rPr>
              <w:t>）</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页码</w:t>
            </w:r>
            <w:r>
              <w:rPr>
                <w:rFonts w:hint="eastAsia" w:ascii="仿宋_GB2312" w:hAnsi="仿宋_GB2312" w:eastAsia="仿宋_GB2312" w:cs="仿宋_GB2312"/>
                <w:color w:val="auto"/>
                <w:sz w:val="24"/>
                <w:highlight w:val="none"/>
                <w:lang w:eastAsia="zh-CN"/>
              </w:rPr>
              <w:t>）</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页码</w:t>
            </w:r>
            <w:r>
              <w:rPr>
                <w:rFonts w:hint="eastAsia" w:ascii="仿宋_GB2312" w:hAnsi="仿宋_GB2312" w:eastAsia="仿宋_GB2312" w:cs="仿宋_GB2312"/>
                <w:color w:val="auto"/>
                <w:sz w:val="24"/>
                <w:highlight w:val="none"/>
                <w:lang w:eastAsia="zh-CN"/>
              </w:rPr>
              <w:t>）</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rPr>
          <w:rFonts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pStyle w:val="2"/>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Style w:val="2"/>
        <w:rPr>
          <w:color w:val="auto"/>
          <w:highlight w:val="none"/>
        </w:rPr>
      </w:pPr>
    </w:p>
    <w:p>
      <w:pPr>
        <w:pStyle w:val="3"/>
        <w:rPr>
          <w:rFonts w:eastAsia="仿宋_GB2312"/>
          <w:color w:val="auto"/>
          <w:highlight w:val="none"/>
        </w:rPr>
      </w:pPr>
    </w:p>
    <w:p>
      <w:pPr>
        <w:rPr>
          <w:color w:val="auto"/>
          <w:highlight w:val="none"/>
        </w:rPr>
      </w:pPr>
    </w:p>
    <w:p>
      <w:pPr>
        <w:pStyle w:val="2"/>
        <w:rPr>
          <w:color w:val="auto"/>
          <w:highlight w:val="none"/>
        </w:rPr>
      </w:pPr>
    </w:p>
    <w:p>
      <w:pPr>
        <w:pStyle w:val="3"/>
        <w:rPr>
          <w:rFonts w:eastAsia="仿宋_GB2312"/>
          <w:color w:val="auto"/>
          <w:highlight w:val="none"/>
        </w:rPr>
      </w:pPr>
    </w:p>
    <w:p>
      <w:pPr>
        <w:rPr>
          <w:color w:val="auto"/>
          <w:highlight w:val="none"/>
        </w:rPr>
      </w:pPr>
    </w:p>
    <w:p>
      <w:pPr>
        <w:pStyle w:val="2"/>
        <w:rPr>
          <w:color w:val="auto"/>
          <w:highlight w:val="none"/>
        </w:rPr>
      </w:pPr>
    </w:p>
    <w:p>
      <w:pPr>
        <w:pStyle w:val="3"/>
        <w:rPr>
          <w:rFonts w:eastAsia="仿宋_GB2312"/>
          <w:color w:val="auto"/>
          <w:highlight w:val="none"/>
        </w:rPr>
      </w:pPr>
    </w:p>
    <w:p>
      <w:pPr>
        <w:rPr>
          <w:color w:val="auto"/>
          <w:highlight w:val="none"/>
        </w:rPr>
      </w:pPr>
    </w:p>
    <w:p>
      <w:pPr>
        <w:pStyle w:val="2"/>
        <w:rPr>
          <w:color w:val="auto"/>
          <w:highlight w:val="none"/>
        </w:rPr>
      </w:pPr>
    </w:p>
    <w:p>
      <w:pPr>
        <w:pStyle w:val="3"/>
        <w:rPr>
          <w:rFonts w:eastAsia="仿宋_GB2312"/>
          <w:color w:val="auto"/>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 xml:space="preserve">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3"/>
        <w:rPr>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1"/>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9"/>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9"/>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投标报价表</w:t>
      </w:r>
      <w:r>
        <w:rPr>
          <w:rFonts w:hint="eastAsia" w:ascii="仿宋" w:hAnsi="仿宋" w:eastAsia="仿宋" w:cs="仿宋"/>
          <w:color w:val="auto"/>
          <w:sz w:val="24"/>
          <w:highlight w:val="none"/>
        </w:rPr>
        <w:t>……………………………………………………………………（页码）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）中小企业声明函………………………………………………………………（页码）</w:t>
      </w:r>
    </w:p>
    <w:p>
      <w:pPr>
        <w:pStyle w:val="25"/>
        <w:snapToGrid w:val="0"/>
        <w:rPr>
          <w:rFonts w:hint="eastAsia" w:ascii="仿宋" w:hAnsi="仿宋" w:eastAsia="仿宋" w:cs="仿宋"/>
          <w:color w:val="auto"/>
          <w:highlight w:val="none"/>
        </w:rPr>
      </w:pPr>
      <w:r>
        <w:rPr>
          <w:rFonts w:hint="eastAsia" w:ascii="仿宋" w:hAnsi="仿宋" w:eastAsia="仿宋" w:cs="仿宋"/>
          <w:color w:val="auto"/>
          <w:szCs w:val="24"/>
          <w:highlight w:val="none"/>
          <w:lang w:val="en-US"/>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lang w:val="en-US"/>
        </w:rPr>
        <w:t>）残疾人福利性单位声明函……………………………………………………（页码）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pPr>
        <w:pStyle w:val="691"/>
        <w:keepNext w:val="0"/>
        <w:pageBreakBefore/>
        <w:tabs>
          <w:tab w:val="clear" w:pos="720"/>
        </w:tabs>
        <w:snapToGrid w:val="0"/>
        <w:spacing w:before="120" w:after="120"/>
        <w:ind w:firstLine="643"/>
        <w:outlineLvl w:val="2"/>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4"/>
        <w:tblW w:w="9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27"/>
        <w:gridCol w:w="1310"/>
        <w:gridCol w:w="1220"/>
        <w:gridCol w:w="1233"/>
        <w:gridCol w:w="1307"/>
        <w:gridCol w:w="1303"/>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24"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82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31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122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服务要求</w:t>
            </w:r>
          </w:p>
        </w:tc>
        <w:tc>
          <w:tcPr>
            <w:tcW w:w="1233"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130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1303"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139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24"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827"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310" w:type="dxa"/>
            <w:vAlign w:val="center"/>
          </w:tcPr>
          <w:p>
            <w:pPr>
              <w:snapToGrid w:val="0"/>
              <w:spacing w:line="360" w:lineRule="auto"/>
              <w:jc w:val="center"/>
              <w:rPr>
                <w:rFonts w:ascii="仿宋" w:hAnsi="仿宋" w:eastAsia="仿宋" w:cs="仿宋"/>
                <w:color w:val="auto"/>
                <w:sz w:val="24"/>
              </w:rPr>
            </w:pPr>
          </w:p>
        </w:tc>
        <w:tc>
          <w:tcPr>
            <w:tcW w:w="1220" w:type="dxa"/>
            <w:vAlign w:val="center"/>
          </w:tcPr>
          <w:p>
            <w:pPr>
              <w:snapToGrid w:val="0"/>
              <w:spacing w:line="360" w:lineRule="auto"/>
              <w:jc w:val="center"/>
              <w:rPr>
                <w:rFonts w:ascii="仿宋" w:hAnsi="仿宋" w:eastAsia="仿宋" w:cs="仿宋"/>
                <w:color w:val="auto"/>
                <w:sz w:val="24"/>
              </w:rPr>
            </w:pPr>
          </w:p>
        </w:tc>
        <w:tc>
          <w:tcPr>
            <w:tcW w:w="1233" w:type="dxa"/>
            <w:vAlign w:val="center"/>
          </w:tcPr>
          <w:p>
            <w:pPr>
              <w:snapToGrid w:val="0"/>
              <w:spacing w:line="360" w:lineRule="auto"/>
              <w:jc w:val="center"/>
              <w:rPr>
                <w:rFonts w:ascii="仿宋" w:hAnsi="仿宋" w:eastAsia="仿宋" w:cs="仿宋"/>
                <w:color w:val="auto"/>
                <w:sz w:val="24"/>
              </w:rPr>
            </w:pPr>
          </w:p>
        </w:tc>
        <w:tc>
          <w:tcPr>
            <w:tcW w:w="1307" w:type="dxa"/>
            <w:vAlign w:val="center"/>
          </w:tcPr>
          <w:p>
            <w:pPr>
              <w:spacing w:line="360" w:lineRule="auto"/>
              <w:jc w:val="center"/>
              <w:rPr>
                <w:rFonts w:ascii="仿宋" w:hAnsi="仿宋" w:eastAsia="仿宋" w:cs="仿宋"/>
                <w:color w:val="auto"/>
                <w:sz w:val="24"/>
              </w:rPr>
            </w:pPr>
          </w:p>
        </w:tc>
        <w:tc>
          <w:tcPr>
            <w:tcW w:w="1303" w:type="dxa"/>
          </w:tcPr>
          <w:p>
            <w:pPr>
              <w:spacing w:line="360" w:lineRule="auto"/>
              <w:jc w:val="center"/>
              <w:rPr>
                <w:rFonts w:ascii="仿宋" w:hAnsi="仿宋" w:eastAsia="仿宋" w:cs="仿宋"/>
                <w:color w:val="auto"/>
                <w:sz w:val="24"/>
              </w:rPr>
            </w:pPr>
          </w:p>
        </w:tc>
        <w:tc>
          <w:tcPr>
            <w:tcW w:w="1390"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24"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827"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310" w:type="dxa"/>
            <w:vAlign w:val="center"/>
          </w:tcPr>
          <w:p>
            <w:pPr>
              <w:snapToGrid w:val="0"/>
              <w:spacing w:line="360" w:lineRule="auto"/>
              <w:jc w:val="center"/>
              <w:rPr>
                <w:rFonts w:ascii="仿宋" w:hAnsi="仿宋" w:eastAsia="仿宋" w:cs="仿宋"/>
                <w:color w:val="auto"/>
                <w:sz w:val="24"/>
              </w:rPr>
            </w:pPr>
          </w:p>
        </w:tc>
        <w:tc>
          <w:tcPr>
            <w:tcW w:w="1220" w:type="dxa"/>
            <w:vAlign w:val="center"/>
          </w:tcPr>
          <w:p>
            <w:pPr>
              <w:snapToGrid w:val="0"/>
              <w:spacing w:line="360" w:lineRule="auto"/>
              <w:jc w:val="center"/>
              <w:rPr>
                <w:rFonts w:ascii="仿宋" w:hAnsi="仿宋" w:eastAsia="仿宋" w:cs="仿宋"/>
                <w:color w:val="auto"/>
                <w:sz w:val="24"/>
              </w:rPr>
            </w:pPr>
          </w:p>
        </w:tc>
        <w:tc>
          <w:tcPr>
            <w:tcW w:w="1233" w:type="dxa"/>
            <w:vAlign w:val="center"/>
          </w:tcPr>
          <w:p>
            <w:pPr>
              <w:snapToGrid w:val="0"/>
              <w:spacing w:line="360" w:lineRule="auto"/>
              <w:jc w:val="center"/>
              <w:rPr>
                <w:rFonts w:ascii="仿宋" w:hAnsi="仿宋" w:eastAsia="仿宋" w:cs="仿宋"/>
                <w:color w:val="auto"/>
                <w:sz w:val="24"/>
              </w:rPr>
            </w:pPr>
          </w:p>
        </w:tc>
        <w:tc>
          <w:tcPr>
            <w:tcW w:w="1307" w:type="dxa"/>
            <w:vAlign w:val="center"/>
          </w:tcPr>
          <w:p>
            <w:pPr>
              <w:spacing w:line="360" w:lineRule="auto"/>
              <w:jc w:val="center"/>
              <w:rPr>
                <w:rFonts w:ascii="仿宋" w:hAnsi="仿宋" w:eastAsia="仿宋" w:cs="仿宋"/>
                <w:color w:val="auto"/>
                <w:sz w:val="24"/>
              </w:rPr>
            </w:pPr>
          </w:p>
        </w:tc>
        <w:tc>
          <w:tcPr>
            <w:tcW w:w="1303" w:type="dxa"/>
          </w:tcPr>
          <w:p>
            <w:pPr>
              <w:spacing w:line="360" w:lineRule="auto"/>
              <w:jc w:val="center"/>
              <w:rPr>
                <w:rFonts w:ascii="仿宋" w:hAnsi="仿宋" w:eastAsia="仿宋" w:cs="仿宋"/>
                <w:color w:val="auto"/>
                <w:sz w:val="24"/>
              </w:rPr>
            </w:pPr>
          </w:p>
        </w:tc>
        <w:tc>
          <w:tcPr>
            <w:tcW w:w="1390"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24"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827" w:type="dxa"/>
            <w:vAlign w:val="center"/>
          </w:tcPr>
          <w:p>
            <w:pPr>
              <w:snapToGrid w:val="0"/>
              <w:spacing w:line="360" w:lineRule="auto"/>
              <w:jc w:val="center"/>
              <w:rPr>
                <w:rFonts w:ascii="仿宋" w:hAnsi="仿宋" w:eastAsia="仿宋" w:cs="仿宋"/>
                <w:color w:val="auto"/>
                <w:sz w:val="24"/>
              </w:rPr>
            </w:pPr>
          </w:p>
        </w:tc>
        <w:tc>
          <w:tcPr>
            <w:tcW w:w="1310" w:type="dxa"/>
            <w:vAlign w:val="center"/>
          </w:tcPr>
          <w:p>
            <w:pPr>
              <w:snapToGrid w:val="0"/>
              <w:spacing w:line="360" w:lineRule="auto"/>
              <w:jc w:val="center"/>
              <w:rPr>
                <w:rFonts w:ascii="仿宋" w:hAnsi="仿宋" w:eastAsia="仿宋" w:cs="仿宋"/>
                <w:color w:val="auto"/>
                <w:sz w:val="24"/>
              </w:rPr>
            </w:pPr>
          </w:p>
        </w:tc>
        <w:tc>
          <w:tcPr>
            <w:tcW w:w="1220" w:type="dxa"/>
            <w:vAlign w:val="center"/>
          </w:tcPr>
          <w:p>
            <w:pPr>
              <w:snapToGrid w:val="0"/>
              <w:spacing w:line="360" w:lineRule="auto"/>
              <w:jc w:val="center"/>
              <w:rPr>
                <w:rFonts w:ascii="仿宋" w:hAnsi="仿宋" w:eastAsia="仿宋" w:cs="仿宋"/>
                <w:color w:val="auto"/>
                <w:sz w:val="24"/>
              </w:rPr>
            </w:pPr>
          </w:p>
        </w:tc>
        <w:tc>
          <w:tcPr>
            <w:tcW w:w="1233" w:type="dxa"/>
            <w:vAlign w:val="center"/>
          </w:tcPr>
          <w:p>
            <w:pPr>
              <w:snapToGrid w:val="0"/>
              <w:spacing w:line="360" w:lineRule="auto"/>
              <w:jc w:val="center"/>
              <w:rPr>
                <w:rFonts w:ascii="仿宋" w:hAnsi="仿宋" w:eastAsia="仿宋" w:cs="仿宋"/>
                <w:color w:val="auto"/>
                <w:sz w:val="24"/>
              </w:rPr>
            </w:pPr>
          </w:p>
        </w:tc>
        <w:tc>
          <w:tcPr>
            <w:tcW w:w="1307" w:type="dxa"/>
            <w:vAlign w:val="center"/>
          </w:tcPr>
          <w:p>
            <w:pPr>
              <w:spacing w:line="360" w:lineRule="auto"/>
              <w:jc w:val="center"/>
              <w:rPr>
                <w:rFonts w:ascii="仿宋" w:hAnsi="仿宋" w:eastAsia="仿宋" w:cs="仿宋"/>
                <w:color w:val="auto"/>
                <w:sz w:val="24"/>
              </w:rPr>
            </w:pPr>
          </w:p>
        </w:tc>
        <w:tc>
          <w:tcPr>
            <w:tcW w:w="1303" w:type="dxa"/>
          </w:tcPr>
          <w:p>
            <w:pPr>
              <w:spacing w:line="360" w:lineRule="auto"/>
              <w:jc w:val="center"/>
              <w:rPr>
                <w:rFonts w:ascii="仿宋" w:hAnsi="仿宋" w:eastAsia="仿宋" w:cs="仿宋"/>
                <w:color w:val="auto"/>
                <w:sz w:val="24"/>
              </w:rPr>
            </w:pPr>
          </w:p>
        </w:tc>
        <w:tc>
          <w:tcPr>
            <w:tcW w:w="1390"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724" w:type="dxa"/>
            <w:vAlign w:val="center"/>
          </w:tcPr>
          <w:p>
            <w:pPr>
              <w:spacing w:line="360" w:lineRule="auto"/>
              <w:jc w:val="center"/>
              <w:rPr>
                <w:rFonts w:ascii="仿宋" w:hAnsi="仿宋" w:eastAsia="仿宋" w:cs="仿宋"/>
                <w:color w:val="auto"/>
                <w:sz w:val="24"/>
              </w:rPr>
            </w:pPr>
          </w:p>
        </w:tc>
        <w:tc>
          <w:tcPr>
            <w:tcW w:w="827" w:type="dxa"/>
            <w:vAlign w:val="center"/>
          </w:tcPr>
          <w:p>
            <w:pPr>
              <w:snapToGrid w:val="0"/>
              <w:spacing w:line="360" w:lineRule="auto"/>
              <w:jc w:val="center"/>
              <w:rPr>
                <w:rFonts w:ascii="仿宋" w:hAnsi="仿宋" w:eastAsia="仿宋" w:cs="仿宋"/>
                <w:color w:val="auto"/>
                <w:sz w:val="24"/>
              </w:rPr>
            </w:pPr>
          </w:p>
        </w:tc>
        <w:tc>
          <w:tcPr>
            <w:tcW w:w="1310" w:type="dxa"/>
            <w:vAlign w:val="center"/>
          </w:tcPr>
          <w:p>
            <w:pPr>
              <w:snapToGrid w:val="0"/>
              <w:spacing w:line="360" w:lineRule="auto"/>
              <w:jc w:val="center"/>
              <w:rPr>
                <w:rFonts w:ascii="仿宋" w:hAnsi="仿宋" w:eastAsia="仿宋" w:cs="仿宋"/>
                <w:color w:val="auto"/>
                <w:sz w:val="24"/>
              </w:rPr>
            </w:pPr>
          </w:p>
        </w:tc>
        <w:tc>
          <w:tcPr>
            <w:tcW w:w="1220" w:type="dxa"/>
            <w:vAlign w:val="center"/>
          </w:tcPr>
          <w:p>
            <w:pPr>
              <w:snapToGrid w:val="0"/>
              <w:spacing w:line="360" w:lineRule="auto"/>
              <w:jc w:val="center"/>
              <w:rPr>
                <w:rFonts w:ascii="仿宋" w:hAnsi="仿宋" w:eastAsia="仿宋" w:cs="仿宋"/>
                <w:color w:val="auto"/>
                <w:sz w:val="24"/>
              </w:rPr>
            </w:pPr>
          </w:p>
        </w:tc>
        <w:tc>
          <w:tcPr>
            <w:tcW w:w="1233" w:type="dxa"/>
            <w:vAlign w:val="center"/>
          </w:tcPr>
          <w:p>
            <w:pPr>
              <w:snapToGrid w:val="0"/>
              <w:spacing w:line="360" w:lineRule="auto"/>
              <w:jc w:val="center"/>
              <w:rPr>
                <w:rFonts w:ascii="仿宋" w:hAnsi="仿宋" w:eastAsia="仿宋" w:cs="仿宋"/>
                <w:color w:val="auto"/>
                <w:sz w:val="24"/>
              </w:rPr>
            </w:pPr>
          </w:p>
        </w:tc>
        <w:tc>
          <w:tcPr>
            <w:tcW w:w="1307" w:type="dxa"/>
            <w:vAlign w:val="center"/>
          </w:tcPr>
          <w:p>
            <w:pPr>
              <w:spacing w:line="360" w:lineRule="auto"/>
              <w:jc w:val="center"/>
              <w:rPr>
                <w:rFonts w:ascii="仿宋" w:hAnsi="仿宋" w:eastAsia="仿宋" w:cs="仿宋"/>
                <w:color w:val="auto"/>
                <w:sz w:val="24"/>
              </w:rPr>
            </w:pPr>
          </w:p>
        </w:tc>
        <w:tc>
          <w:tcPr>
            <w:tcW w:w="1303" w:type="dxa"/>
          </w:tcPr>
          <w:p>
            <w:pPr>
              <w:spacing w:line="360" w:lineRule="auto"/>
              <w:jc w:val="center"/>
              <w:rPr>
                <w:rFonts w:ascii="仿宋" w:hAnsi="仿宋" w:eastAsia="仿宋" w:cs="仿宋"/>
                <w:color w:val="auto"/>
                <w:sz w:val="24"/>
              </w:rPr>
            </w:pPr>
          </w:p>
        </w:tc>
        <w:tc>
          <w:tcPr>
            <w:tcW w:w="1390"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24" w:type="dxa"/>
            <w:vAlign w:val="center"/>
          </w:tcPr>
          <w:p>
            <w:pPr>
              <w:spacing w:line="360" w:lineRule="auto"/>
              <w:jc w:val="center"/>
              <w:rPr>
                <w:rFonts w:ascii="仿宋" w:hAnsi="仿宋" w:eastAsia="仿宋" w:cs="仿宋"/>
                <w:color w:val="auto"/>
                <w:sz w:val="24"/>
              </w:rPr>
            </w:pPr>
          </w:p>
        </w:tc>
        <w:tc>
          <w:tcPr>
            <w:tcW w:w="827" w:type="dxa"/>
            <w:vAlign w:val="center"/>
          </w:tcPr>
          <w:p>
            <w:pPr>
              <w:snapToGrid w:val="0"/>
              <w:spacing w:line="360" w:lineRule="auto"/>
              <w:jc w:val="center"/>
              <w:rPr>
                <w:rFonts w:ascii="仿宋" w:hAnsi="仿宋" w:eastAsia="仿宋" w:cs="仿宋"/>
                <w:color w:val="auto"/>
                <w:sz w:val="24"/>
              </w:rPr>
            </w:pPr>
          </w:p>
        </w:tc>
        <w:tc>
          <w:tcPr>
            <w:tcW w:w="1310" w:type="dxa"/>
            <w:vAlign w:val="center"/>
          </w:tcPr>
          <w:p>
            <w:pPr>
              <w:snapToGrid w:val="0"/>
              <w:spacing w:line="360" w:lineRule="auto"/>
              <w:jc w:val="center"/>
              <w:rPr>
                <w:rFonts w:ascii="仿宋" w:hAnsi="仿宋" w:eastAsia="仿宋" w:cs="仿宋"/>
                <w:color w:val="auto"/>
                <w:sz w:val="24"/>
              </w:rPr>
            </w:pPr>
          </w:p>
        </w:tc>
        <w:tc>
          <w:tcPr>
            <w:tcW w:w="1220" w:type="dxa"/>
            <w:vAlign w:val="center"/>
          </w:tcPr>
          <w:p>
            <w:pPr>
              <w:snapToGrid w:val="0"/>
              <w:spacing w:line="360" w:lineRule="auto"/>
              <w:jc w:val="center"/>
              <w:rPr>
                <w:rFonts w:ascii="仿宋" w:hAnsi="仿宋" w:eastAsia="仿宋" w:cs="仿宋"/>
                <w:color w:val="auto"/>
                <w:sz w:val="24"/>
              </w:rPr>
            </w:pPr>
          </w:p>
        </w:tc>
        <w:tc>
          <w:tcPr>
            <w:tcW w:w="1233" w:type="dxa"/>
            <w:vAlign w:val="center"/>
          </w:tcPr>
          <w:p>
            <w:pPr>
              <w:snapToGrid w:val="0"/>
              <w:spacing w:line="360" w:lineRule="auto"/>
              <w:jc w:val="center"/>
              <w:rPr>
                <w:rFonts w:ascii="仿宋" w:hAnsi="仿宋" w:eastAsia="仿宋" w:cs="仿宋"/>
                <w:color w:val="auto"/>
                <w:sz w:val="24"/>
              </w:rPr>
            </w:pPr>
          </w:p>
        </w:tc>
        <w:tc>
          <w:tcPr>
            <w:tcW w:w="1307" w:type="dxa"/>
            <w:vAlign w:val="center"/>
          </w:tcPr>
          <w:p>
            <w:pPr>
              <w:spacing w:line="360" w:lineRule="auto"/>
              <w:jc w:val="center"/>
              <w:rPr>
                <w:rFonts w:ascii="仿宋" w:hAnsi="仿宋" w:eastAsia="仿宋" w:cs="仿宋"/>
                <w:color w:val="auto"/>
                <w:sz w:val="24"/>
              </w:rPr>
            </w:pPr>
          </w:p>
        </w:tc>
        <w:tc>
          <w:tcPr>
            <w:tcW w:w="1303" w:type="dxa"/>
          </w:tcPr>
          <w:p>
            <w:pPr>
              <w:spacing w:line="360" w:lineRule="auto"/>
              <w:jc w:val="center"/>
              <w:rPr>
                <w:rFonts w:ascii="仿宋" w:hAnsi="仿宋" w:eastAsia="仿宋" w:cs="仿宋"/>
                <w:color w:val="auto"/>
                <w:sz w:val="24"/>
              </w:rPr>
            </w:pPr>
          </w:p>
        </w:tc>
        <w:tc>
          <w:tcPr>
            <w:tcW w:w="1390"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081"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5233" w:type="dxa"/>
            <w:gridSpan w:val="4"/>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081"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5233" w:type="dxa"/>
            <w:gridSpan w:val="4"/>
          </w:tcPr>
          <w:p>
            <w:pPr>
              <w:spacing w:line="360" w:lineRule="auto"/>
              <w:jc w:val="center"/>
              <w:rPr>
                <w:rFonts w:ascii="仿宋" w:hAnsi="仿宋" w:eastAsia="仿宋" w:cs="仿宋"/>
                <w:color w:val="auto"/>
                <w:sz w:val="24"/>
              </w:rPr>
            </w:pPr>
          </w:p>
        </w:tc>
      </w:tr>
    </w:tbl>
    <w:p>
      <w:pPr>
        <w:snapToGrid w:val="0"/>
        <w:spacing w:line="400" w:lineRule="exact"/>
        <w:ind w:left="480" w:leftChars="0" w:firstLine="0" w:firstLineChars="0"/>
        <w:rPr>
          <w:rFonts w:ascii="仿宋" w:hAnsi="仿宋" w:eastAsia="仿宋" w:cs="仿宋"/>
          <w:color w:val="auto"/>
          <w:kern w:val="0"/>
          <w:sz w:val="24"/>
          <w:lang w:val="zh-CN"/>
        </w:rPr>
      </w:pPr>
      <w:r>
        <w:rPr>
          <w:rFonts w:hint="eastAsia" w:ascii="仿宋" w:hAnsi="仿宋" w:eastAsia="仿宋" w:cs="仿宋"/>
          <w:b/>
          <w:color w:val="auto"/>
          <w:kern w:val="0"/>
          <w:sz w:val="24"/>
          <w:lang w:val="zh-CN"/>
        </w:rPr>
        <w:t>注：</w:t>
      </w: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p>
    <w:p>
      <w:pPr>
        <w:spacing w:line="40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400" w:lineRule="exact"/>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pPr>
        <w:keepNext w:val="0"/>
        <w:pageBreakBefore w:val="0"/>
        <w:snapToGrid w:val="0"/>
        <w:spacing w:before="120" w:after="120" w:line="400" w:lineRule="exact"/>
        <w:ind w:firstLine="480" w:firstLineChars="200"/>
        <w:jc w:val="left"/>
        <w:outlineLvl w:val="9"/>
        <w:rPr>
          <w:rFonts w:hint="eastAsia" w:ascii="仿宋" w:hAnsi="仿宋" w:eastAsia="仿宋" w:cs="仿宋"/>
          <w:color w:val="auto"/>
          <w:kern w:val="0"/>
          <w:sz w:val="24"/>
          <w:lang w:val="zh-CN"/>
        </w:rPr>
      </w:pPr>
      <w:r>
        <w:rPr>
          <w:rFonts w:hint="eastAsia" w:ascii="仿宋" w:hAnsi="仿宋" w:eastAsia="仿宋" w:cs="仿宋"/>
          <w:color w:val="auto"/>
          <w:kern w:val="0"/>
          <w:sz w:val="24"/>
          <w:szCs w:val="24"/>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keepNext w:val="0"/>
        <w:pageBreakBefore w:val="0"/>
        <w:widowControl w:val="0"/>
        <w:adjustRightInd w:val="0"/>
        <w:snapToGrid w:val="0"/>
        <w:spacing w:before="120" w:after="120" w:line="360" w:lineRule="auto"/>
        <w:ind w:firstLine="643"/>
        <w:jc w:val="center"/>
        <w:outlineLvl w:val="2"/>
        <w:rPr>
          <w:rFonts w:hint="default"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1.1</w:t>
      </w:r>
      <w:r>
        <w:rPr>
          <w:rFonts w:hint="eastAsia" w:ascii="仿宋" w:hAnsi="仿宋" w:eastAsia="仿宋" w:cs="仿宋"/>
          <w:b/>
          <w:color w:val="auto"/>
          <w:kern w:val="2"/>
          <w:sz w:val="32"/>
          <w:szCs w:val="32"/>
          <w:highlight w:val="none"/>
          <w:lang w:val="en-US" w:eastAsia="zh-CN" w:bidi="ar-SA"/>
        </w:rPr>
        <w:t>投标报价表</w:t>
      </w:r>
    </w:p>
    <w:tbl>
      <w:tblPr>
        <w:tblStyle w:val="64"/>
        <w:tblW w:w="9127" w:type="dxa"/>
        <w:jc w:val="center"/>
        <w:tblLayout w:type="fixed"/>
        <w:tblCellMar>
          <w:top w:w="0" w:type="dxa"/>
          <w:left w:w="108" w:type="dxa"/>
          <w:bottom w:w="0" w:type="dxa"/>
          <w:right w:w="108" w:type="dxa"/>
        </w:tblCellMar>
      </w:tblPr>
      <w:tblGrid>
        <w:gridCol w:w="501"/>
        <w:gridCol w:w="913"/>
        <w:gridCol w:w="1485"/>
        <w:gridCol w:w="424"/>
        <w:gridCol w:w="496"/>
        <w:gridCol w:w="1117"/>
        <w:gridCol w:w="1608"/>
        <w:gridCol w:w="900"/>
        <w:gridCol w:w="1683"/>
      </w:tblGrid>
      <w:tr>
        <w:tblPrEx>
          <w:tblCellMar>
            <w:top w:w="0" w:type="dxa"/>
            <w:left w:w="108" w:type="dxa"/>
            <w:bottom w:w="0" w:type="dxa"/>
            <w:right w:w="108" w:type="dxa"/>
          </w:tblCellMar>
        </w:tblPrEx>
        <w:trPr>
          <w:trHeight w:val="90" w:hRule="atLeast"/>
          <w:jc w:val="center"/>
        </w:trPr>
        <w:tc>
          <w:tcPr>
            <w:tcW w:w="50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b/>
                <w:bCs/>
                <w:color w:val="auto"/>
                <w:highlight w:val="none"/>
              </w:rPr>
            </w:pPr>
            <w:r>
              <w:rPr>
                <w:rFonts w:hint="eastAsia"/>
                <w:b/>
                <w:bCs/>
                <w:color w:val="auto"/>
                <w:highlight w:val="none"/>
              </w:rPr>
              <w:t>序号</w:t>
            </w:r>
          </w:p>
        </w:tc>
        <w:tc>
          <w:tcPr>
            <w:tcW w:w="2398" w:type="dxa"/>
            <w:gridSpan w:val="2"/>
            <w:tcBorders>
              <w:top w:val="single" w:color="auto" w:sz="4" w:space="0"/>
              <w:left w:val="nil"/>
              <w:bottom w:val="single" w:color="auto" w:sz="4" w:space="0"/>
              <w:right w:val="single" w:color="000000" w:sz="4" w:space="0"/>
            </w:tcBorders>
            <w:noWrap w:val="0"/>
            <w:vAlign w:val="center"/>
          </w:tcPr>
          <w:p>
            <w:pPr>
              <w:spacing w:line="360" w:lineRule="auto"/>
              <w:jc w:val="center"/>
              <w:rPr>
                <w:b/>
                <w:bCs/>
                <w:color w:val="auto"/>
                <w:highlight w:val="none"/>
              </w:rPr>
            </w:pPr>
            <w:r>
              <w:rPr>
                <w:rFonts w:hint="eastAsia"/>
                <w:b/>
                <w:bCs/>
                <w:color w:val="auto"/>
                <w:highlight w:val="none"/>
              </w:rPr>
              <w:t>岗位名称</w:t>
            </w:r>
          </w:p>
        </w:tc>
        <w:tc>
          <w:tcPr>
            <w:tcW w:w="424"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eastAsia="宋体"/>
                <w:b/>
                <w:bCs/>
                <w:color w:val="auto"/>
                <w:szCs w:val="21"/>
                <w:highlight w:val="none"/>
                <w:lang w:eastAsia="zh-CN"/>
              </w:rPr>
            </w:pPr>
            <w:r>
              <w:rPr>
                <w:rFonts w:hint="eastAsia"/>
                <w:b/>
                <w:bCs/>
                <w:color w:val="auto"/>
                <w:szCs w:val="21"/>
                <w:highlight w:val="none"/>
                <w:lang w:eastAsia="zh-CN"/>
              </w:rPr>
              <w:t>单位</w:t>
            </w:r>
          </w:p>
        </w:tc>
        <w:tc>
          <w:tcPr>
            <w:tcW w:w="496"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eastAsia="宋体"/>
                <w:b/>
                <w:bCs/>
                <w:color w:val="auto"/>
                <w:highlight w:val="none"/>
                <w:lang w:eastAsia="zh-CN"/>
              </w:rPr>
            </w:pPr>
            <w:r>
              <w:rPr>
                <w:rFonts w:hint="eastAsia" w:eastAsia="宋体"/>
                <w:b/>
                <w:bCs/>
                <w:color w:val="auto"/>
                <w:szCs w:val="21"/>
                <w:highlight w:val="none"/>
                <w:lang w:eastAsia="zh-CN"/>
              </w:rPr>
              <w:t>数量</w:t>
            </w:r>
          </w:p>
        </w:tc>
        <w:tc>
          <w:tcPr>
            <w:tcW w:w="1117" w:type="dxa"/>
            <w:tcBorders>
              <w:top w:val="single" w:color="auto" w:sz="4" w:space="0"/>
              <w:left w:val="nil"/>
              <w:bottom w:val="single" w:color="auto" w:sz="4" w:space="0"/>
              <w:right w:val="single" w:color="auto" w:sz="4" w:space="0"/>
            </w:tcBorders>
            <w:noWrap w:val="0"/>
            <w:vAlign w:val="center"/>
          </w:tcPr>
          <w:p>
            <w:pPr>
              <w:spacing w:line="360" w:lineRule="auto"/>
              <w:jc w:val="center"/>
              <w:rPr>
                <w:b/>
                <w:bCs/>
                <w:color w:val="auto"/>
                <w:highlight w:val="none"/>
              </w:rPr>
            </w:pPr>
            <w:r>
              <w:rPr>
                <w:rFonts w:hint="eastAsia"/>
                <w:b/>
                <w:bCs/>
                <w:color w:val="auto"/>
                <w:highlight w:val="none"/>
              </w:rPr>
              <w:t>服务时间</w:t>
            </w:r>
          </w:p>
          <w:p>
            <w:pPr>
              <w:spacing w:line="360" w:lineRule="auto"/>
              <w:jc w:val="center"/>
              <w:rPr>
                <w:b/>
                <w:bCs/>
                <w:color w:val="auto"/>
                <w:highlight w:val="none"/>
              </w:rPr>
            </w:pPr>
            <w:r>
              <w:rPr>
                <w:rFonts w:hint="eastAsia"/>
                <w:b/>
                <w:bCs/>
                <w:color w:val="auto"/>
                <w:highlight w:val="none"/>
              </w:rPr>
              <w:t>（月）</w:t>
            </w:r>
          </w:p>
        </w:tc>
        <w:tc>
          <w:tcPr>
            <w:tcW w:w="1608" w:type="dxa"/>
            <w:tcBorders>
              <w:top w:val="single" w:color="auto" w:sz="4" w:space="0"/>
              <w:left w:val="nil"/>
              <w:bottom w:val="single" w:color="auto" w:sz="4" w:space="0"/>
              <w:right w:val="single" w:color="auto" w:sz="4" w:space="0"/>
            </w:tcBorders>
            <w:noWrap w:val="0"/>
            <w:vAlign w:val="center"/>
          </w:tcPr>
          <w:p>
            <w:pPr>
              <w:spacing w:line="360" w:lineRule="auto"/>
              <w:jc w:val="center"/>
              <w:rPr>
                <w:b/>
                <w:bCs/>
                <w:color w:val="auto"/>
                <w:highlight w:val="none"/>
              </w:rPr>
            </w:pPr>
            <w:r>
              <w:rPr>
                <w:rFonts w:hint="eastAsia"/>
                <w:b/>
                <w:bCs/>
                <w:color w:val="auto"/>
                <w:highlight w:val="none"/>
              </w:rPr>
              <w:t>岗位综合单价</w:t>
            </w:r>
          </w:p>
          <w:p>
            <w:pPr>
              <w:spacing w:line="360" w:lineRule="auto"/>
              <w:jc w:val="center"/>
              <w:rPr>
                <w:b/>
                <w:bCs/>
                <w:color w:val="auto"/>
                <w:highlight w:val="none"/>
              </w:rPr>
            </w:pPr>
            <w:r>
              <w:rPr>
                <w:rFonts w:hint="eastAsia"/>
                <w:b/>
                <w:bCs/>
                <w:color w:val="auto"/>
                <w:highlight w:val="none"/>
              </w:rPr>
              <w:t>（元</w:t>
            </w:r>
            <w:r>
              <w:rPr>
                <w:b/>
                <w:bCs/>
                <w:color w:val="auto"/>
                <w:highlight w:val="none"/>
              </w:rPr>
              <w:t>/月）</w:t>
            </w:r>
          </w:p>
        </w:tc>
        <w:tc>
          <w:tcPr>
            <w:tcW w:w="900" w:type="dxa"/>
            <w:tcBorders>
              <w:top w:val="single" w:color="auto" w:sz="4" w:space="0"/>
              <w:left w:val="nil"/>
              <w:bottom w:val="single" w:color="auto" w:sz="4" w:space="0"/>
              <w:right w:val="single" w:color="auto" w:sz="4" w:space="0"/>
            </w:tcBorders>
            <w:noWrap w:val="0"/>
            <w:vAlign w:val="center"/>
          </w:tcPr>
          <w:p>
            <w:pPr>
              <w:spacing w:line="360" w:lineRule="auto"/>
              <w:jc w:val="center"/>
              <w:rPr>
                <w:b/>
                <w:bCs/>
                <w:color w:val="auto"/>
                <w:highlight w:val="none"/>
              </w:rPr>
            </w:pPr>
            <w:r>
              <w:rPr>
                <w:rFonts w:hint="eastAsia"/>
                <w:b/>
                <w:bCs/>
                <w:color w:val="auto"/>
                <w:highlight w:val="none"/>
              </w:rPr>
              <w:t>合价</w:t>
            </w:r>
          </w:p>
          <w:p>
            <w:pPr>
              <w:spacing w:line="360" w:lineRule="auto"/>
              <w:jc w:val="center"/>
              <w:rPr>
                <w:b/>
                <w:bCs/>
                <w:color w:val="auto"/>
                <w:highlight w:val="none"/>
              </w:rPr>
            </w:pPr>
            <w:r>
              <w:rPr>
                <w:rFonts w:hint="eastAsia"/>
                <w:b/>
                <w:bCs/>
                <w:color w:val="auto"/>
                <w:highlight w:val="none"/>
              </w:rPr>
              <w:t>（元）</w:t>
            </w:r>
          </w:p>
        </w:tc>
        <w:tc>
          <w:tcPr>
            <w:tcW w:w="1683" w:type="dxa"/>
            <w:tcBorders>
              <w:top w:val="single" w:color="auto" w:sz="4" w:space="0"/>
              <w:left w:val="nil"/>
              <w:bottom w:val="single" w:color="auto" w:sz="4" w:space="0"/>
              <w:right w:val="single" w:color="auto" w:sz="4" w:space="0"/>
            </w:tcBorders>
            <w:noWrap w:val="0"/>
            <w:vAlign w:val="center"/>
          </w:tcPr>
          <w:p>
            <w:pPr>
              <w:spacing w:line="360" w:lineRule="auto"/>
              <w:jc w:val="center"/>
              <w:rPr>
                <w:b/>
                <w:bCs/>
                <w:color w:val="auto"/>
                <w:highlight w:val="none"/>
              </w:rPr>
            </w:pPr>
            <w:r>
              <w:rPr>
                <w:rFonts w:hint="eastAsia"/>
                <w:b/>
                <w:bCs/>
                <w:color w:val="auto"/>
                <w:highlight w:val="none"/>
              </w:rPr>
              <w:t>备</w:t>
            </w:r>
            <w:r>
              <w:rPr>
                <w:b/>
                <w:bCs/>
                <w:color w:val="auto"/>
                <w:highlight w:val="none"/>
              </w:rPr>
              <w:t xml:space="preserve"> 注</w:t>
            </w:r>
          </w:p>
        </w:tc>
      </w:tr>
      <w:tr>
        <w:tblPrEx>
          <w:tblCellMar>
            <w:top w:w="0" w:type="dxa"/>
            <w:left w:w="108" w:type="dxa"/>
            <w:bottom w:w="0" w:type="dxa"/>
            <w:right w:w="108" w:type="dxa"/>
          </w:tblCellMar>
        </w:tblPrEx>
        <w:trPr>
          <w:trHeight w:val="346" w:hRule="atLeast"/>
          <w:jc w:val="center"/>
        </w:trPr>
        <w:tc>
          <w:tcPr>
            <w:tcW w:w="501" w:type="dxa"/>
            <w:tcBorders>
              <w:top w:val="nil"/>
              <w:left w:val="single" w:color="auto" w:sz="4" w:space="0"/>
              <w:bottom w:val="single" w:color="auto" w:sz="4" w:space="0"/>
              <w:right w:val="single" w:color="auto" w:sz="4" w:space="0"/>
            </w:tcBorders>
            <w:noWrap w:val="0"/>
            <w:vAlign w:val="center"/>
          </w:tcPr>
          <w:p>
            <w:pPr>
              <w:jc w:val="center"/>
              <w:rPr>
                <w:color w:val="auto"/>
                <w:highlight w:val="none"/>
              </w:rPr>
            </w:pPr>
            <w:r>
              <w:rPr>
                <w:color w:val="auto"/>
                <w:highlight w:val="none"/>
              </w:rPr>
              <w:t>1</w:t>
            </w:r>
          </w:p>
        </w:tc>
        <w:tc>
          <w:tcPr>
            <w:tcW w:w="2398" w:type="dxa"/>
            <w:gridSpan w:val="2"/>
            <w:tcBorders>
              <w:top w:val="single" w:color="auto" w:sz="4" w:space="0"/>
              <w:left w:val="nil"/>
              <w:bottom w:val="single" w:color="auto" w:sz="4" w:space="0"/>
              <w:right w:val="single" w:color="000000" w:sz="4" w:space="0"/>
            </w:tcBorders>
            <w:noWrap w:val="0"/>
            <w:vAlign w:val="center"/>
          </w:tcPr>
          <w:p>
            <w:pPr>
              <w:jc w:val="center"/>
              <w:rPr>
                <w:color w:val="auto"/>
                <w:highlight w:val="none"/>
              </w:rPr>
            </w:pPr>
            <w:r>
              <w:rPr>
                <w:color w:val="auto"/>
                <w:highlight w:val="none"/>
              </w:rPr>
              <w:t>项目经理</w:t>
            </w:r>
          </w:p>
        </w:tc>
        <w:tc>
          <w:tcPr>
            <w:tcW w:w="424"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b/>
                <w:bCs/>
                <w:color w:val="auto"/>
                <w:szCs w:val="21"/>
                <w:highlight w:val="none"/>
                <w:lang w:eastAsia="zh-CN"/>
              </w:rPr>
              <w:t>岗</w:t>
            </w:r>
          </w:p>
        </w:tc>
        <w:tc>
          <w:tcPr>
            <w:tcW w:w="496" w:type="dxa"/>
            <w:tcBorders>
              <w:top w:val="nil"/>
              <w:left w:val="nil"/>
              <w:bottom w:val="single" w:color="auto" w:sz="4" w:space="0"/>
              <w:right w:val="single" w:color="auto" w:sz="4" w:space="0"/>
            </w:tcBorders>
            <w:noWrap w:val="0"/>
            <w:vAlign w:val="center"/>
          </w:tcPr>
          <w:p>
            <w:pPr>
              <w:jc w:val="center"/>
              <w:rPr>
                <w:rFonts w:hint="eastAsia" w:eastAsia="宋体"/>
                <w:color w:val="auto"/>
                <w:highlight w:val="none"/>
                <w:lang w:eastAsia="zh-CN"/>
              </w:rPr>
            </w:pPr>
            <w:r>
              <w:rPr>
                <w:color w:val="auto"/>
                <w:highlight w:val="none"/>
              </w:rPr>
              <w:t>1</w:t>
            </w:r>
          </w:p>
        </w:tc>
        <w:tc>
          <w:tcPr>
            <w:tcW w:w="1117"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36</w:t>
            </w:r>
          </w:p>
        </w:tc>
        <w:tc>
          <w:tcPr>
            <w:tcW w:w="1608"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　</w:t>
            </w:r>
          </w:p>
        </w:tc>
        <w:tc>
          <w:tcPr>
            <w:tcW w:w="900"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　</w:t>
            </w:r>
          </w:p>
        </w:tc>
        <w:tc>
          <w:tcPr>
            <w:tcW w:w="1683"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　</w:t>
            </w:r>
          </w:p>
        </w:tc>
      </w:tr>
      <w:tr>
        <w:tblPrEx>
          <w:tblCellMar>
            <w:top w:w="0" w:type="dxa"/>
            <w:left w:w="108" w:type="dxa"/>
            <w:bottom w:w="0" w:type="dxa"/>
            <w:right w:w="108" w:type="dxa"/>
          </w:tblCellMar>
        </w:tblPrEx>
        <w:trPr>
          <w:trHeight w:val="326" w:hRule="atLeast"/>
          <w:jc w:val="center"/>
        </w:trPr>
        <w:tc>
          <w:tcPr>
            <w:tcW w:w="501" w:type="dxa"/>
            <w:tcBorders>
              <w:top w:val="nil"/>
              <w:left w:val="single" w:color="auto" w:sz="4" w:space="0"/>
              <w:bottom w:val="single" w:color="auto" w:sz="4" w:space="0"/>
              <w:right w:val="single" w:color="auto" w:sz="4" w:space="0"/>
            </w:tcBorders>
            <w:noWrap w:val="0"/>
            <w:vAlign w:val="center"/>
          </w:tcPr>
          <w:p>
            <w:pPr>
              <w:jc w:val="center"/>
              <w:rPr>
                <w:color w:val="auto"/>
                <w:highlight w:val="none"/>
              </w:rPr>
            </w:pPr>
            <w:r>
              <w:rPr>
                <w:color w:val="auto"/>
                <w:highlight w:val="none"/>
              </w:rPr>
              <w:t>2</w:t>
            </w:r>
          </w:p>
        </w:tc>
        <w:tc>
          <w:tcPr>
            <w:tcW w:w="2398" w:type="dxa"/>
            <w:gridSpan w:val="2"/>
            <w:tcBorders>
              <w:top w:val="single" w:color="auto" w:sz="4" w:space="0"/>
              <w:left w:val="nil"/>
              <w:bottom w:val="single" w:color="auto" w:sz="4" w:space="0"/>
              <w:right w:val="single" w:color="000000" w:sz="4" w:space="0"/>
            </w:tcBorders>
            <w:noWrap w:val="0"/>
            <w:vAlign w:val="center"/>
          </w:tcPr>
          <w:p>
            <w:pPr>
              <w:jc w:val="center"/>
              <w:rPr>
                <w:color w:val="auto"/>
                <w:highlight w:val="none"/>
              </w:rPr>
            </w:pPr>
            <w:r>
              <w:rPr>
                <w:rFonts w:hint="eastAsia"/>
                <w:color w:val="auto"/>
                <w:highlight w:val="none"/>
              </w:rPr>
              <w:t>保安</w:t>
            </w:r>
            <w:r>
              <w:rPr>
                <w:color w:val="auto"/>
                <w:highlight w:val="none"/>
              </w:rPr>
              <w:t>队长</w:t>
            </w:r>
          </w:p>
        </w:tc>
        <w:tc>
          <w:tcPr>
            <w:tcW w:w="424"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b/>
                <w:bCs/>
                <w:color w:val="auto"/>
                <w:szCs w:val="21"/>
                <w:highlight w:val="none"/>
                <w:lang w:eastAsia="zh-CN"/>
              </w:rPr>
              <w:t>岗</w:t>
            </w:r>
          </w:p>
        </w:tc>
        <w:tc>
          <w:tcPr>
            <w:tcW w:w="496" w:type="dxa"/>
            <w:tcBorders>
              <w:top w:val="nil"/>
              <w:left w:val="nil"/>
              <w:bottom w:val="single" w:color="auto" w:sz="4" w:space="0"/>
              <w:right w:val="single" w:color="auto" w:sz="4" w:space="0"/>
            </w:tcBorders>
            <w:noWrap w:val="0"/>
            <w:vAlign w:val="center"/>
          </w:tcPr>
          <w:p>
            <w:pPr>
              <w:jc w:val="center"/>
              <w:rPr>
                <w:rFonts w:hint="eastAsia" w:eastAsia="宋体"/>
                <w:color w:val="auto"/>
                <w:highlight w:val="none"/>
                <w:lang w:eastAsia="zh-CN"/>
              </w:rPr>
            </w:pPr>
            <w:r>
              <w:rPr>
                <w:color w:val="auto"/>
                <w:highlight w:val="none"/>
              </w:rPr>
              <w:t>1</w:t>
            </w:r>
          </w:p>
        </w:tc>
        <w:tc>
          <w:tcPr>
            <w:tcW w:w="1117"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36</w:t>
            </w:r>
          </w:p>
        </w:tc>
        <w:tc>
          <w:tcPr>
            <w:tcW w:w="1608" w:type="dxa"/>
            <w:tcBorders>
              <w:top w:val="nil"/>
              <w:left w:val="nil"/>
              <w:bottom w:val="single" w:color="auto" w:sz="4" w:space="0"/>
              <w:right w:val="single" w:color="auto" w:sz="4" w:space="0"/>
            </w:tcBorders>
            <w:noWrap w:val="0"/>
            <w:vAlign w:val="center"/>
          </w:tcPr>
          <w:p>
            <w:pPr>
              <w:jc w:val="center"/>
              <w:rPr>
                <w:color w:val="auto"/>
                <w:highlight w:val="none"/>
              </w:rPr>
            </w:pPr>
          </w:p>
        </w:tc>
        <w:tc>
          <w:tcPr>
            <w:tcW w:w="900" w:type="dxa"/>
            <w:tcBorders>
              <w:top w:val="nil"/>
              <w:left w:val="nil"/>
              <w:bottom w:val="single" w:color="auto" w:sz="4" w:space="0"/>
              <w:right w:val="single" w:color="auto" w:sz="4" w:space="0"/>
            </w:tcBorders>
            <w:noWrap w:val="0"/>
            <w:vAlign w:val="center"/>
          </w:tcPr>
          <w:p>
            <w:pPr>
              <w:jc w:val="center"/>
              <w:rPr>
                <w:color w:val="auto"/>
                <w:highlight w:val="none"/>
              </w:rPr>
            </w:pPr>
          </w:p>
        </w:tc>
        <w:tc>
          <w:tcPr>
            <w:tcW w:w="1683" w:type="dxa"/>
            <w:tcBorders>
              <w:top w:val="nil"/>
              <w:left w:val="nil"/>
              <w:bottom w:val="single" w:color="auto" w:sz="4" w:space="0"/>
              <w:right w:val="single" w:color="auto" w:sz="4" w:space="0"/>
            </w:tcBorders>
            <w:noWrap w:val="0"/>
            <w:vAlign w:val="center"/>
          </w:tcPr>
          <w:p>
            <w:pPr>
              <w:jc w:val="center"/>
              <w:rPr>
                <w:color w:val="auto"/>
                <w:highlight w:val="none"/>
              </w:rPr>
            </w:pPr>
          </w:p>
        </w:tc>
      </w:tr>
      <w:tr>
        <w:tblPrEx>
          <w:tblCellMar>
            <w:top w:w="0" w:type="dxa"/>
            <w:left w:w="108" w:type="dxa"/>
            <w:bottom w:w="0" w:type="dxa"/>
            <w:right w:w="108" w:type="dxa"/>
          </w:tblCellMar>
        </w:tblPrEx>
        <w:trPr>
          <w:trHeight w:val="390" w:hRule="atLeast"/>
          <w:jc w:val="center"/>
        </w:trPr>
        <w:tc>
          <w:tcPr>
            <w:tcW w:w="501" w:type="dxa"/>
            <w:tcBorders>
              <w:top w:val="nil"/>
              <w:left w:val="single" w:color="auto" w:sz="4" w:space="0"/>
              <w:bottom w:val="single" w:color="auto" w:sz="4" w:space="0"/>
              <w:right w:val="single" w:color="auto" w:sz="4" w:space="0"/>
            </w:tcBorders>
            <w:noWrap w:val="0"/>
            <w:vAlign w:val="center"/>
          </w:tcPr>
          <w:p>
            <w:pPr>
              <w:jc w:val="center"/>
              <w:rPr>
                <w:color w:val="auto"/>
                <w:highlight w:val="none"/>
              </w:rPr>
            </w:pPr>
            <w:r>
              <w:rPr>
                <w:color w:val="auto"/>
                <w:highlight w:val="none"/>
              </w:rPr>
              <w:t>3</w:t>
            </w:r>
          </w:p>
        </w:tc>
        <w:tc>
          <w:tcPr>
            <w:tcW w:w="2398" w:type="dxa"/>
            <w:gridSpan w:val="2"/>
            <w:tcBorders>
              <w:top w:val="single" w:color="auto" w:sz="4" w:space="0"/>
              <w:left w:val="nil"/>
              <w:bottom w:val="single" w:color="auto" w:sz="4" w:space="0"/>
              <w:right w:val="single" w:color="000000" w:sz="4" w:space="0"/>
            </w:tcBorders>
            <w:noWrap w:val="0"/>
            <w:vAlign w:val="center"/>
          </w:tcPr>
          <w:p>
            <w:pPr>
              <w:jc w:val="center"/>
              <w:rPr>
                <w:color w:val="auto"/>
                <w:highlight w:val="none"/>
              </w:rPr>
            </w:pPr>
            <w:r>
              <w:rPr>
                <w:color w:val="auto"/>
                <w:highlight w:val="none"/>
              </w:rPr>
              <w:t>安检队长</w:t>
            </w:r>
          </w:p>
        </w:tc>
        <w:tc>
          <w:tcPr>
            <w:tcW w:w="424"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b/>
                <w:bCs/>
                <w:color w:val="auto"/>
                <w:szCs w:val="21"/>
                <w:highlight w:val="none"/>
                <w:lang w:eastAsia="zh-CN"/>
              </w:rPr>
              <w:t>岗</w:t>
            </w:r>
          </w:p>
        </w:tc>
        <w:tc>
          <w:tcPr>
            <w:tcW w:w="496" w:type="dxa"/>
            <w:tcBorders>
              <w:top w:val="nil"/>
              <w:left w:val="nil"/>
              <w:bottom w:val="single" w:color="auto" w:sz="4" w:space="0"/>
              <w:right w:val="single" w:color="auto" w:sz="4" w:space="0"/>
            </w:tcBorders>
            <w:noWrap w:val="0"/>
            <w:vAlign w:val="center"/>
          </w:tcPr>
          <w:p>
            <w:pPr>
              <w:jc w:val="center"/>
              <w:rPr>
                <w:rFonts w:hint="eastAsia" w:eastAsia="宋体"/>
                <w:color w:val="auto"/>
                <w:highlight w:val="none"/>
                <w:lang w:eastAsia="zh-CN"/>
              </w:rPr>
            </w:pPr>
            <w:r>
              <w:rPr>
                <w:color w:val="auto"/>
                <w:highlight w:val="none"/>
              </w:rPr>
              <w:t>1</w:t>
            </w:r>
          </w:p>
        </w:tc>
        <w:tc>
          <w:tcPr>
            <w:tcW w:w="1117"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36</w:t>
            </w:r>
          </w:p>
        </w:tc>
        <w:tc>
          <w:tcPr>
            <w:tcW w:w="1608" w:type="dxa"/>
            <w:tcBorders>
              <w:top w:val="nil"/>
              <w:left w:val="nil"/>
              <w:bottom w:val="single" w:color="auto" w:sz="4" w:space="0"/>
              <w:right w:val="single" w:color="auto" w:sz="4" w:space="0"/>
            </w:tcBorders>
            <w:noWrap w:val="0"/>
            <w:vAlign w:val="center"/>
          </w:tcPr>
          <w:p>
            <w:pPr>
              <w:jc w:val="center"/>
              <w:rPr>
                <w:color w:val="auto"/>
                <w:highlight w:val="none"/>
              </w:rPr>
            </w:pPr>
          </w:p>
        </w:tc>
        <w:tc>
          <w:tcPr>
            <w:tcW w:w="900" w:type="dxa"/>
            <w:tcBorders>
              <w:top w:val="nil"/>
              <w:left w:val="nil"/>
              <w:bottom w:val="single" w:color="auto" w:sz="4" w:space="0"/>
              <w:right w:val="single" w:color="auto" w:sz="4" w:space="0"/>
            </w:tcBorders>
            <w:noWrap w:val="0"/>
            <w:vAlign w:val="center"/>
          </w:tcPr>
          <w:p>
            <w:pPr>
              <w:jc w:val="center"/>
              <w:rPr>
                <w:color w:val="auto"/>
                <w:highlight w:val="none"/>
              </w:rPr>
            </w:pPr>
          </w:p>
        </w:tc>
        <w:tc>
          <w:tcPr>
            <w:tcW w:w="1683" w:type="dxa"/>
            <w:tcBorders>
              <w:top w:val="nil"/>
              <w:left w:val="nil"/>
              <w:bottom w:val="single" w:color="auto" w:sz="4" w:space="0"/>
              <w:right w:val="single" w:color="auto" w:sz="4" w:space="0"/>
            </w:tcBorders>
            <w:noWrap w:val="0"/>
            <w:vAlign w:val="center"/>
          </w:tcPr>
          <w:p>
            <w:pPr>
              <w:jc w:val="center"/>
              <w:rPr>
                <w:color w:val="auto"/>
                <w:highlight w:val="none"/>
              </w:rPr>
            </w:pPr>
          </w:p>
        </w:tc>
      </w:tr>
      <w:tr>
        <w:tblPrEx>
          <w:tblCellMar>
            <w:top w:w="0" w:type="dxa"/>
            <w:left w:w="108" w:type="dxa"/>
            <w:bottom w:w="0" w:type="dxa"/>
            <w:right w:w="108" w:type="dxa"/>
          </w:tblCellMar>
        </w:tblPrEx>
        <w:trPr>
          <w:trHeight w:val="230" w:hRule="atLeast"/>
          <w:jc w:val="center"/>
        </w:trPr>
        <w:tc>
          <w:tcPr>
            <w:tcW w:w="501" w:type="dxa"/>
            <w:tcBorders>
              <w:top w:val="nil"/>
              <w:left w:val="single" w:color="auto" w:sz="4" w:space="0"/>
              <w:bottom w:val="single" w:color="auto" w:sz="4" w:space="0"/>
              <w:right w:val="single" w:color="auto" w:sz="4" w:space="0"/>
            </w:tcBorders>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4</w:t>
            </w:r>
          </w:p>
        </w:tc>
        <w:tc>
          <w:tcPr>
            <w:tcW w:w="2398" w:type="dxa"/>
            <w:gridSpan w:val="2"/>
            <w:tcBorders>
              <w:top w:val="single" w:color="auto" w:sz="4" w:space="0"/>
              <w:left w:val="nil"/>
              <w:bottom w:val="single" w:color="auto" w:sz="4" w:space="0"/>
              <w:right w:val="single" w:color="000000" w:sz="4" w:space="0"/>
            </w:tcBorders>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保安员</w:t>
            </w:r>
          </w:p>
        </w:tc>
        <w:tc>
          <w:tcPr>
            <w:tcW w:w="424" w:type="dxa"/>
            <w:tcBorders>
              <w:top w:val="nil"/>
              <w:left w:val="nil"/>
              <w:bottom w:val="single" w:color="auto" w:sz="4" w:space="0"/>
              <w:right w:val="single" w:color="auto" w:sz="4" w:space="0"/>
            </w:tcBorders>
            <w:noWrap w:val="0"/>
            <w:vAlign w:val="center"/>
          </w:tcPr>
          <w:p>
            <w:pPr>
              <w:jc w:val="center"/>
              <w:rPr>
                <w:rFonts w:hint="eastAsia"/>
                <w:b/>
                <w:bCs/>
                <w:color w:val="auto"/>
                <w:szCs w:val="21"/>
                <w:highlight w:val="none"/>
                <w:lang w:eastAsia="zh-CN"/>
              </w:rPr>
            </w:pPr>
            <w:r>
              <w:rPr>
                <w:rFonts w:hint="eastAsia"/>
                <w:b/>
                <w:bCs/>
                <w:color w:val="auto"/>
                <w:szCs w:val="21"/>
                <w:highlight w:val="none"/>
                <w:lang w:eastAsia="zh-CN"/>
              </w:rPr>
              <w:t>岗</w:t>
            </w:r>
          </w:p>
        </w:tc>
        <w:tc>
          <w:tcPr>
            <w:tcW w:w="496" w:type="dxa"/>
            <w:tcBorders>
              <w:top w:val="nil"/>
              <w:left w:val="nil"/>
              <w:bottom w:val="single" w:color="auto" w:sz="4" w:space="0"/>
              <w:right w:val="single" w:color="auto" w:sz="4" w:space="0"/>
            </w:tcBorders>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16</w:t>
            </w:r>
          </w:p>
        </w:tc>
        <w:tc>
          <w:tcPr>
            <w:tcW w:w="1117" w:type="dxa"/>
            <w:tcBorders>
              <w:top w:val="nil"/>
              <w:left w:val="nil"/>
              <w:bottom w:val="single" w:color="auto" w:sz="4" w:space="0"/>
              <w:right w:val="single" w:color="auto" w:sz="4" w:space="0"/>
            </w:tcBorders>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36</w:t>
            </w:r>
          </w:p>
        </w:tc>
        <w:tc>
          <w:tcPr>
            <w:tcW w:w="1608" w:type="dxa"/>
            <w:tcBorders>
              <w:top w:val="nil"/>
              <w:left w:val="nil"/>
              <w:bottom w:val="single" w:color="auto" w:sz="4" w:space="0"/>
              <w:right w:val="single" w:color="auto" w:sz="4" w:space="0"/>
            </w:tcBorders>
            <w:noWrap w:val="0"/>
            <w:vAlign w:val="center"/>
          </w:tcPr>
          <w:p>
            <w:pPr>
              <w:jc w:val="center"/>
              <w:rPr>
                <w:color w:val="auto"/>
                <w:highlight w:val="none"/>
              </w:rPr>
            </w:pPr>
          </w:p>
        </w:tc>
        <w:tc>
          <w:tcPr>
            <w:tcW w:w="900" w:type="dxa"/>
            <w:tcBorders>
              <w:top w:val="nil"/>
              <w:left w:val="nil"/>
              <w:bottom w:val="single" w:color="auto" w:sz="4" w:space="0"/>
              <w:right w:val="single" w:color="auto" w:sz="4" w:space="0"/>
            </w:tcBorders>
            <w:noWrap w:val="0"/>
            <w:vAlign w:val="center"/>
          </w:tcPr>
          <w:p>
            <w:pPr>
              <w:jc w:val="center"/>
              <w:rPr>
                <w:color w:val="auto"/>
                <w:highlight w:val="none"/>
              </w:rPr>
            </w:pPr>
          </w:p>
        </w:tc>
        <w:tc>
          <w:tcPr>
            <w:tcW w:w="1683"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color w:val="auto"/>
                <w:highlight w:val="none"/>
                <w:lang w:eastAsia="zh-CN"/>
              </w:rPr>
              <w:t>每周</w:t>
            </w:r>
            <w:r>
              <w:rPr>
                <w:rFonts w:hint="eastAsia"/>
                <w:color w:val="auto"/>
                <w:highlight w:val="none"/>
                <w:lang w:val="en-US" w:eastAsia="zh-CN"/>
              </w:rPr>
              <w:t>7天，</w:t>
            </w:r>
            <w:r>
              <w:rPr>
                <w:rFonts w:hint="eastAsia"/>
                <w:color w:val="auto"/>
                <w:highlight w:val="none"/>
                <w:lang w:eastAsia="zh-CN"/>
              </w:rPr>
              <w:t>每天</w:t>
            </w:r>
            <w:r>
              <w:rPr>
                <w:rFonts w:hint="eastAsia"/>
                <w:color w:val="auto"/>
                <w:highlight w:val="none"/>
                <w:lang w:val="en-US" w:eastAsia="zh-CN"/>
              </w:rPr>
              <w:t>24小时为一岗</w:t>
            </w:r>
          </w:p>
        </w:tc>
      </w:tr>
      <w:tr>
        <w:tblPrEx>
          <w:tblCellMar>
            <w:top w:w="0" w:type="dxa"/>
            <w:left w:w="108" w:type="dxa"/>
            <w:bottom w:w="0" w:type="dxa"/>
            <w:right w:w="108" w:type="dxa"/>
          </w:tblCellMar>
        </w:tblPrEx>
        <w:trPr>
          <w:trHeight w:val="571" w:hRule="atLeast"/>
          <w:jc w:val="center"/>
        </w:trPr>
        <w:tc>
          <w:tcPr>
            <w:tcW w:w="501"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auto"/>
                <w:highlight w:val="none"/>
                <w:lang w:val="en-US" w:eastAsia="zh-CN"/>
              </w:rPr>
            </w:pPr>
            <w:r>
              <w:rPr>
                <w:color w:val="auto"/>
                <w:highlight w:val="none"/>
              </w:rPr>
              <w:t>5</w:t>
            </w:r>
          </w:p>
        </w:tc>
        <w:tc>
          <w:tcPr>
            <w:tcW w:w="91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auto"/>
                <w:highlight w:val="none"/>
                <w:lang w:val="en-US" w:eastAsia="zh-CN"/>
              </w:rPr>
            </w:pPr>
            <w:r>
              <w:rPr>
                <w:color w:val="auto"/>
                <w:highlight w:val="none"/>
              </w:rPr>
              <w:t>安检员</w:t>
            </w:r>
          </w:p>
        </w:tc>
        <w:tc>
          <w:tcPr>
            <w:tcW w:w="1485" w:type="dxa"/>
            <w:tcBorders>
              <w:top w:val="nil"/>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kern w:val="2"/>
                <w:sz w:val="21"/>
                <w:highlight w:val="none"/>
                <w:lang w:val="en-US" w:eastAsia="zh-CN" w:bidi="ar-SA"/>
              </w:rPr>
            </w:pPr>
            <w:r>
              <w:rPr>
                <w:rFonts w:hint="eastAsia"/>
                <w:color w:val="auto"/>
                <w:highlight w:val="none"/>
                <w:lang w:val="en-US" w:eastAsia="zh-CN"/>
              </w:rPr>
              <w:t>A岗</w:t>
            </w:r>
          </w:p>
        </w:tc>
        <w:tc>
          <w:tcPr>
            <w:tcW w:w="424" w:type="dxa"/>
            <w:tcBorders>
              <w:top w:val="nil"/>
              <w:left w:val="nil"/>
              <w:bottom w:val="single" w:color="auto" w:sz="4" w:space="0"/>
              <w:right w:val="single" w:color="auto" w:sz="4" w:space="0"/>
            </w:tcBorders>
            <w:noWrap w:val="0"/>
            <w:vAlign w:val="center"/>
          </w:tcPr>
          <w:p>
            <w:pPr>
              <w:jc w:val="center"/>
              <w:rPr>
                <w:rFonts w:hint="eastAsia"/>
                <w:color w:val="auto"/>
                <w:highlight w:val="none"/>
                <w:lang w:val="en-US" w:eastAsia="zh-CN"/>
              </w:rPr>
            </w:pPr>
            <w:r>
              <w:rPr>
                <w:rFonts w:hint="eastAsia"/>
                <w:b/>
                <w:bCs/>
                <w:color w:val="auto"/>
                <w:szCs w:val="21"/>
                <w:highlight w:val="none"/>
                <w:lang w:eastAsia="zh-CN"/>
              </w:rPr>
              <w:t>岗</w:t>
            </w:r>
          </w:p>
        </w:tc>
        <w:tc>
          <w:tcPr>
            <w:tcW w:w="496" w:type="dxa"/>
            <w:tcBorders>
              <w:top w:val="nil"/>
              <w:left w:val="nil"/>
              <w:bottom w:val="single" w:color="auto" w:sz="4" w:space="0"/>
              <w:right w:val="single" w:color="auto" w:sz="4" w:space="0"/>
            </w:tcBorders>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38</w:t>
            </w:r>
          </w:p>
        </w:tc>
        <w:tc>
          <w:tcPr>
            <w:tcW w:w="1117"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36</w:t>
            </w:r>
          </w:p>
        </w:tc>
        <w:tc>
          <w:tcPr>
            <w:tcW w:w="1608"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　</w:t>
            </w:r>
          </w:p>
        </w:tc>
        <w:tc>
          <w:tcPr>
            <w:tcW w:w="900"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color w:val="auto"/>
                <w:highlight w:val="none"/>
              </w:rPr>
              <w:t>　</w:t>
            </w:r>
          </w:p>
        </w:tc>
        <w:tc>
          <w:tcPr>
            <w:tcW w:w="1683" w:type="dxa"/>
            <w:tcBorders>
              <w:top w:val="nil"/>
              <w:left w:val="nil"/>
              <w:bottom w:val="single" w:color="auto" w:sz="4" w:space="0"/>
              <w:right w:val="single" w:color="auto" w:sz="4" w:space="0"/>
            </w:tcBorders>
            <w:noWrap w:val="0"/>
            <w:vAlign w:val="center"/>
          </w:tcPr>
          <w:p>
            <w:pPr>
              <w:jc w:val="center"/>
              <w:rPr>
                <w:color w:val="auto"/>
                <w:highlight w:val="none"/>
              </w:rPr>
            </w:pPr>
            <w:r>
              <w:rPr>
                <w:rFonts w:hint="eastAsia"/>
                <w:color w:val="auto"/>
                <w:highlight w:val="none"/>
                <w:lang w:eastAsia="zh-CN"/>
              </w:rPr>
              <w:t>每周</w:t>
            </w:r>
            <w:r>
              <w:rPr>
                <w:rFonts w:hint="eastAsia"/>
                <w:color w:val="auto"/>
                <w:highlight w:val="none"/>
                <w:lang w:val="en-US" w:eastAsia="zh-CN"/>
              </w:rPr>
              <w:t>7天，</w:t>
            </w:r>
            <w:r>
              <w:rPr>
                <w:rFonts w:hint="eastAsia"/>
                <w:color w:val="auto"/>
                <w:highlight w:val="none"/>
                <w:lang w:eastAsia="zh-CN"/>
              </w:rPr>
              <w:t>每天</w:t>
            </w:r>
            <w:r>
              <w:rPr>
                <w:rFonts w:hint="eastAsia"/>
                <w:color w:val="auto"/>
                <w:highlight w:val="none"/>
                <w:lang w:val="en-US" w:eastAsia="zh-CN"/>
              </w:rPr>
              <w:t>14小时为一岗</w:t>
            </w:r>
            <w:r>
              <w:rPr>
                <w:rFonts w:hint="eastAsia"/>
                <w:color w:val="auto"/>
                <w:highlight w:val="none"/>
              </w:rPr>
              <w:t>　</w:t>
            </w:r>
          </w:p>
        </w:tc>
      </w:tr>
      <w:tr>
        <w:tblPrEx>
          <w:tblCellMar>
            <w:top w:w="0" w:type="dxa"/>
            <w:left w:w="108" w:type="dxa"/>
            <w:bottom w:w="0" w:type="dxa"/>
            <w:right w:w="108" w:type="dxa"/>
          </w:tblCellMar>
        </w:tblPrEx>
        <w:trPr>
          <w:trHeight w:val="607" w:hRule="atLeast"/>
          <w:jc w:val="center"/>
        </w:trPr>
        <w:tc>
          <w:tcPr>
            <w:tcW w:w="50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auto"/>
                <w:highlight w:val="none"/>
                <w:lang w:val="en-US" w:eastAsia="zh-CN"/>
              </w:rPr>
            </w:pPr>
          </w:p>
        </w:tc>
        <w:tc>
          <w:tcPr>
            <w:tcW w:w="913"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auto"/>
                <w:highlight w:val="none"/>
                <w:lang w:val="en-US" w:eastAsia="zh-CN"/>
              </w:rPr>
            </w:pPr>
          </w:p>
        </w:tc>
        <w:tc>
          <w:tcPr>
            <w:tcW w:w="1485" w:type="dxa"/>
            <w:tcBorders>
              <w:top w:val="nil"/>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kern w:val="2"/>
                <w:sz w:val="21"/>
                <w:highlight w:val="none"/>
                <w:lang w:val="en-US" w:eastAsia="zh-CN" w:bidi="ar-SA"/>
              </w:rPr>
            </w:pPr>
            <w:r>
              <w:rPr>
                <w:rFonts w:hint="eastAsia"/>
                <w:color w:val="auto"/>
                <w:highlight w:val="none"/>
                <w:lang w:val="en-US" w:eastAsia="zh-CN"/>
              </w:rPr>
              <w:t>B岗</w:t>
            </w:r>
          </w:p>
        </w:tc>
        <w:tc>
          <w:tcPr>
            <w:tcW w:w="424" w:type="dxa"/>
            <w:tcBorders>
              <w:top w:val="nil"/>
              <w:left w:val="nil"/>
              <w:bottom w:val="single" w:color="auto" w:sz="4" w:space="0"/>
              <w:right w:val="single" w:color="auto" w:sz="4" w:space="0"/>
            </w:tcBorders>
            <w:noWrap w:val="0"/>
            <w:vAlign w:val="center"/>
          </w:tcPr>
          <w:p>
            <w:pPr>
              <w:jc w:val="center"/>
              <w:rPr>
                <w:rFonts w:hint="eastAsia"/>
                <w:color w:val="auto"/>
                <w:highlight w:val="none"/>
                <w:lang w:val="en-US" w:eastAsia="zh-CN"/>
              </w:rPr>
            </w:pPr>
            <w:r>
              <w:rPr>
                <w:rFonts w:hint="eastAsia"/>
                <w:b/>
                <w:bCs/>
                <w:color w:val="auto"/>
                <w:szCs w:val="21"/>
                <w:highlight w:val="none"/>
                <w:lang w:eastAsia="zh-CN"/>
              </w:rPr>
              <w:t>岗</w:t>
            </w:r>
          </w:p>
        </w:tc>
        <w:tc>
          <w:tcPr>
            <w:tcW w:w="496" w:type="dxa"/>
            <w:tcBorders>
              <w:top w:val="nil"/>
              <w:left w:val="nil"/>
              <w:bottom w:val="single" w:color="auto" w:sz="4" w:space="0"/>
              <w:right w:val="single" w:color="auto" w:sz="4" w:space="0"/>
            </w:tcBorders>
            <w:noWrap w:val="0"/>
            <w:vAlign w:val="center"/>
          </w:tcPr>
          <w:p>
            <w:pPr>
              <w:jc w:val="center"/>
              <w:rPr>
                <w:rFonts w:hint="default"/>
                <w:color w:val="auto"/>
                <w:highlight w:val="none"/>
                <w:lang w:val="en-US" w:eastAsia="zh-CN"/>
              </w:rPr>
            </w:pPr>
            <w:r>
              <w:rPr>
                <w:rFonts w:hint="eastAsia"/>
                <w:color w:val="auto"/>
                <w:highlight w:val="none"/>
                <w:lang w:val="en-US" w:eastAsia="zh-CN"/>
              </w:rPr>
              <w:t>29</w:t>
            </w:r>
          </w:p>
        </w:tc>
        <w:tc>
          <w:tcPr>
            <w:tcW w:w="1117" w:type="dxa"/>
            <w:tcBorders>
              <w:top w:val="nil"/>
              <w:left w:val="nil"/>
              <w:bottom w:val="single" w:color="auto" w:sz="4" w:space="0"/>
              <w:right w:val="single" w:color="auto" w:sz="4" w:space="0"/>
            </w:tcBorders>
            <w:noWrap w:val="0"/>
            <w:vAlign w:val="center"/>
          </w:tcPr>
          <w:p>
            <w:pPr>
              <w:jc w:val="center"/>
              <w:rPr>
                <w:rFonts w:hint="default" w:eastAsia="宋体"/>
                <w:color w:val="auto"/>
                <w:highlight w:val="none"/>
                <w:lang w:val="en-US" w:eastAsia="zh-CN"/>
              </w:rPr>
            </w:pPr>
            <w:r>
              <w:rPr>
                <w:rFonts w:hint="eastAsia"/>
                <w:color w:val="auto"/>
                <w:highlight w:val="none"/>
                <w:lang w:val="en-US" w:eastAsia="zh-CN"/>
              </w:rPr>
              <w:t>36</w:t>
            </w:r>
          </w:p>
        </w:tc>
        <w:tc>
          <w:tcPr>
            <w:tcW w:w="1608" w:type="dxa"/>
            <w:tcBorders>
              <w:top w:val="nil"/>
              <w:left w:val="nil"/>
              <w:bottom w:val="single" w:color="auto" w:sz="4" w:space="0"/>
              <w:right w:val="single" w:color="auto" w:sz="4" w:space="0"/>
            </w:tcBorders>
            <w:noWrap w:val="0"/>
            <w:vAlign w:val="center"/>
          </w:tcPr>
          <w:p>
            <w:pPr>
              <w:jc w:val="center"/>
              <w:rPr>
                <w:rFonts w:hint="eastAsia"/>
                <w:color w:val="auto"/>
                <w:highlight w:val="none"/>
              </w:rPr>
            </w:pPr>
          </w:p>
        </w:tc>
        <w:tc>
          <w:tcPr>
            <w:tcW w:w="900" w:type="dxa"/>
            <w:tcBorders>
              <w:top w:val="nil"/>
              <w:left w:val="nil"/>
              <w:bottom w:val="single" w:color="auto" w:sz="4" w:space="0"/>
              <w:right w:val="single" w:color="auto" w:sz="4" w:space="0"/>
            </w:tcBorders>
            <w:noWrap w:val="0"/>
            <w:vAlign w:val="center"/>
          </w:tcPr>
          <w:p>
            <w:pPr>
              <w:jc w:val="center"/>
              <w:rPr>
                <w:rFonts w:hint="eastAsia"/>
                <w:color w:val="auto"/>
                <w:highlight w:val="none"/>
              </w:rPr>
            </w:pPr>
          </w:p>
        </w:tc>
        <w:tc>
          <w:tcPr>
            <w:tcW w:w="1683" w:type="dxa"/>
            <w:tcBorders>
              <w:top w:val="nil"/>
              <w:left w:val="nil"/>
              <w:bottom w:val="single" w:color="auto" w:sz="4" w:space="0"/>
              <w:right w:val="single" w:color="auto" w:sz="4" w:space="0"/>
            </w:tcBorders>
            <w:noWrap w:val="0"/>
            <w:vAlign w:val="center"/>
          </w:tcPr>
          <w:p>
            <w:pPr>
              <w:jc w:val="center"/>
              <w:rPr>
                <w:rFonts w:hint="eastAsia"/>
                <w:color w:val="auto"/>
                <w:highlight w:val="none"/>
              </w:rPr>
            </w:pPr>
            <w:r>
              <w:rPr>
                <w:rFonts w:hint="eastAsia"/>
                <w:color w:val="auto"/>
                <w:highlight w:val="none"/>
                <w:lang w:eastAsia="zh-CN"/>
              </w:rPr>
              <w:t>每周</w:t>
            </w:r>
            <w:r>
              <w:rPr>
                <w:rFonts w:hint="eastAsia"/>
                <w:color w:val="auto"/>
                <w:highlight w:val="none"/>
                <w:lang w:val="en-US" w:eastAsia="zh-CN"/>
              </w:rPr>
              <w:t>7天，每天</w:t>
            </w:r>
            <w:r>
              <w:rPr>
                <w:rFonts w:hint="default"/>
                <w:color w:val="auto"/>
                <w:highlight w:val="none"/>
              </w:rPr>
              <w:t>运营开始-运营结束</w:t>
            </w:r>
            <w:r>
              <w:rPr>
                <w:rFonts w:hint="eastAsia"/>
                <w:color w:val="auto"/>
                <w:highlight w:val="none"/>
                <w:lang w:val="en-US" w:eastAsia="zh-CN"/>
              </w:rPr>
              <w:t>为一岗</w:t>
            </w:r>
            <w:r>
              <w:rPr>
                <w:rFonts w:hint="eastAsia"/>
                <w:color w:val="auto"/>
                <w:highlight w:val="none"/>
              </w:rPr>
              <w:t>　</w:t>
            </w:r>
          </w:p>
        </w:tc>
      </w:tr>
      <w:tr>
        <w:tblPrEx>
          <w:tblCellMar>
            <w:top w:w="0" w:type="dxa"/>
            <w:left w:w="108" w:type="dxa"/>
            <w:bottom w:w="0" w:type="dxa"/>
            <w:right w:w="108" w:type="dxa"/>
          </w:tblCellMar>
        </w:tblPrEx>
        <w:trPr>
          <w:trHeight w:val="465" w:hRule="atLeast"/>
          <w:jc w:val="center"/>
        </w:trPr>
        <w:tc>
          <w:tcPr>
            <w:tcW w:w="501" w:type="dxa"/>
            <w:tcBorders>
              <w:top w:val="nil"/>
              <w:left w:val="single" w:color="auto" w:sz="4" w:space="0"/>
              <w:bottom w:val="single" w:color="auto" w:sz="4" w:space="0"/>
              <w:right w:val="single" w:color="auto" w:sz="4" w:space="0"/>
            </w:tcBorders>
            <w:noWrap/>
            <w:vAlign w:val="center"/>
          </w:tcPr>
          <w:p>
            <w:pPr>
              <w:tabs>
                <w:tab w:val="left" w:pos="336"/>
              </w:tabs>
              <w:rPr>
                <w:rFonts w:hint="default" w:eastAsia="宋体"/>
                <w:color w:val="auto"/>
                <w:highlight w:val="none"/>
                <w:lang w:val="en-US" w:eastAsia="zh-CN"/>
              </w:rPr>
            </w:pPr>
          </w:p>
        </w:tc>
        <w:tc>
          <w:tcPr>
            <w:tcW w:w="6943" w:type="dxa"/>
            <w:gridSpan w:val="7"/>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合计（元）：　</w:t>
            </w:r>
          </w:p>
        </w:tc>
        <w:tc>
          <w:tcPr>
            <w:tcW w:w="1683" w:type="dxa"/>
            <w:tcBorders>
              <w:top w:val="nil"/>
              <w:left w:val="single" w:color="auto" w:sz="4" w:space="0"/>
              <w:bottom w:val="single" w:color="auto" w:sz="4" w:space="0"/>
              <w:right w:val="single" w:color="auto" w:sz="4" w:space="0"/>
            </w:tcBorders>
            <w:noWrap/>
            <w:vAlign w:val="center"/>
          </w:tcPr>
          <w:p>
            <w:pPr>
              <w:rPr>
                <w:rFonts w:hint="default" w:eastAsia="宋体"/>
                <w:color w:val="auto"/>
                <w:highlight w:val="none"/>
                <w:lang w:val="en-US" w:eastAsia="zh-CN"/>
              </w:rPr>
            </w:pPr>
            <w:r>
              <w:rPr>
                <w:rFonts w:hint="eastAsia"/>
                <w:color w:val="auto"/>
                <w:highlight w:val="none"/>
                <w:lang w:eastAsia="zh-CN"/>
              </w:rPr>
              <w:t>含增值税：</w:t>
            </w:r>
            <w:r>
              <w:rPr>
                <w:rFonts w:hint="eastAsia"/>
                <w:color w:val="auto"/>
                <w:highlight w:val="none"/>
                <w:lang w:val="en-US" w:eastAsia="zh-CN"/>
              </w:rPr>
              <w:t>6%</w:t>
            </w:r>
          </w:p>
        </w:tc>
      </w:tr>
    </w:tbl>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w:t>
      </w:r>
    </w:p>
    <w:p>
      <w:pPr>
        <w:spacing w:line="360" w:lineRule="auto"/>
        <w:ind w:firstLine="480" w:firstLineChars="200"/>
        <w:rPr>
          <w:color w:val="auto"/>
          <w:highlight w:val="none"/>
        </w:rPr>
      </w:pPr>
      <w:r>
        <w:rPr>
          <w:rFonts w:hint="eastAsia" w:ascii="仿宋" w:hAnsi="仿宋" w:eastAsia="仿宋" w:cs="仿宋"/>
          <w:color w:val="auto"/>
          <w:kern w:val="0"/>
          <w:sz w:val="24"/>
          <w:highlight w:val="none"/>
          <w:lang w:val="zh-CN"/>
        </w:rPr>
        <w:t>2、有关本项目实施所涉及的一切费用均计入报价，不再另外支付任何费用。</w:t>
      </w:r>
      <w:r>
        <w:rPr>
          <w:rFonts w:hint="eastAsia"/>
          <w:color w:val="auto"/>
          <w:highlight w:val="none"/>
        </w:rPr>
        <w:t>投标报价是包括但不限于完成全部服务内容所涉及的费用，上述报价包含但不限于人工费、材料费、服装费、培训费、</w:t>
      </w:r>
      <w:r>
        <w:rPr>
          <w:rFonts w:hint="eastAsia" w:ascii="Times New Roman" w:hAnsi="Times New Roman" w:eastAsia="宋体" w:cs="Times New Roman"/>
          <w:color w:val="auto"/>
          <w:highlight w:val="none"/>
          <w:lang w:val="en-US" w:eastAsia="zh-CN"/>
        </w:rPr>
        <w:t>食宿费、</w:t>
      </w:r>
      <w:r>
        <w:rPr>
          <w:rFonts w:hint="eastAsia"/>
          <w:color w:val="auto"/>
          <w:highlight w:val="none"/>
        </w:rPr>
        <w:t>五险一金、人身意外伤害险、机械设备费、工器具费、保险费、管理费、利润、税费</w:t>
      </w: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color w:val="auto"/>
          <w:highlight w:val="none"/>
        </w:rPr>
        <w:t>及合同明示或暗示的所有责任、义务和风险等涉及的费用。未列项目的费用，包含在已列明的合同价格中。合同价格不因工作阶段周期延长或缩短、难易程度变化、市场物价波动等因素而进行调整。</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ind w:firstLine="3600" w:firstLineChars="1500"/>
        <w:rPr>
          <w:rFonts w:ascii="仿宋" w:hAnsi="仿宋" w:eastAsia="仿宋" w:cs="仿宋"/>
          <w:b/>
          <w:color w:val="auto"/>
          <w:kern w:val="0"/>
          <w:sz w:val="24"/>
          <w:highlight w:val="none"/>
        </w:rPr>
      </w:pPr>
      <w:r>
        <w:rPr>
          <w:rFonts w:hint="eastAsia" w:ascii="仿宋" w:hAnsi="仿宋" w:eastAsia="仿宋" w:cs="仿宋"/>
          <w:color w:val="auto"/>
          <w:sz w:val="24"/>
          <w:highlight w:val="none"/>
        </w:rPr>
        <w:t>日期：  年   月   日</w:t>
      </w:r>
      <w:r>
        <w:rPr>
          <w:rFonts w:ascii="仿宋" w:hAnsi="仿宋" w:eastAsia="仿宋" w:cs="仿宋"/>
          <w:b/>
          <w:color w:val="auto"/>
          <w:kern w:val="0"/>
          <w:sz w:val="24"/>
          <w:highlight w:val="none"/>
        </w:rPr>
        <w:br w:type="page"/>
      </w:r>
    </w:p>
    <w:p>
      <w:pPr>
        <w:pStyle w:val="691"/>
        <w:keepNext w:val="0"/>
        <w:pageBreakBefore/>
        <w:tabs>
          <w:tab w:val="clear" w:pos="720"/>
        </w:tabs>
        <w:snapToGrid w:val="0"/>
        <w:spacing w:before="120" w:after="120"/>
        <w:ind w:firstLine="643"/>
        <w:outlineLvl w:val="2"/>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二</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ascii="仿宋" w:hAnsi="仿宋" w:eastAsia="仿宋" w:cs="仿宋"/>
          <w:b/>
          <w:color w:val="auto"/>
          <w:highlight w:val="none"/>
        </w:rPr>
      </w:pPr>
    </w:p>
    <w:p>
      <w:pPr>
        <w:pStyle w:val="3"/>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2"/>
        <w:rPr>
          <w:rFonts w:ascii="仿宋" w:hAnsi="仿宋" w:eastAsia="仿宋" w:cs="仿宋"/>
          <w:b/>
          <w:color w:val="auto"/>
          <w:highlight w:val="none"/>
        </w:rPr>
      </w:pPr>
    </w:p>
    <w:p>
      <w:pPr>
        <w:pStyle w:val="3"/>
        <w:rPr>
          <w:rFonts w:ascii="仿宋" w:hAnsi="仿宋" w:eastAsia="仿宋" w:cs="仿宋"/>
          <w:b/>
          <w:color w:val="auto"/>
          <w:sz w:val="24"/>
          <w:highlight w:val="none"/>
        </w:rPr>
      </w:pPr>
    </w:p>
    <w:p>
      <w:pPr>
        <w:rPr>
          <w:color w:val="auto"/>
          <w:highlight w:val="none"/>
        </w:rPr>
      </w:pPr>
    </w:p>
    <w:p>
      <w:pPr>
        <w:widowControl/>
        <w:spacing w:line="360" w:lineRule="auto"/>
        <w:ind w:firstLine="161" w:firstLineChars="50"/>
        <w:jc w:val="center"/>
        <w:outlineLvl w:val="2"/>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三</w:t>
      </w:r>
      <w:r>
        <w:rPr>
          <w:rFonts w:hint="eastAsia" w:ascii="仿宋" w:hAnsi="仿宋" w:eastAsia="仿宋" w:cs="仿宋"/>
          <w:b/>
          <w:color w:val="auto"/>
          <w:sz w:val="32"/>
          <w:szCs w:val="32"/>
          <w:highlight w:val="none"/>
        </w:rPr>
        <w:t>、残疾人福利性单位声明函（如果有）</w:t>
      </w:r>
    </w:p>
    <w:p>
      <w:pPr>
        <w:pStyle w:val="25"/>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w:t>
      </w:r>
      <w:r>
        <w:rPr>
          <w:rFonts w:hint="eastAsia" w:ascii="仿宋" w:hAnsi="仿宋" w:eastAsia="仿宋" w:cs="仿宋"/>
          <w:b/>
          <w:color w:val="auto"/>
          <w:highlight w:val="none"/>
          <w:lang w:eastAsia="zh-CN"/>
        </w:rPr>
        <w:t>（</w:t>
      </w:r>
      <w:r>
        <w:rPr>
          <w:rFonts w:hint="eastAsia" w:ascii="仿宋" w:hAnsi="仿宋" w:eastAsia="仿宋" w:cs="仿宋"/>
          <w:b/>
          <w:color w:val="auto"/>
          <w:highlight w:val="none"/>
        </w:rPr>
        <w:t>附件6</w:t>
      </w:r>
      <w:r>
        <w:rPr>
          <w:rFonts w:hint="eastAsia" w:ascii="仿宋" w:hAnsi="仿宋" w:eastAsia="仿宋" w:cs="仿宋"/>
          <w:b/>
          <w:color w:val="auto"/>
          <w:highlight w:val="none"/>
          <w:lang w:eastAsia="zh-CN"/>
        </w:rPr>
        <w:t>）</w:t>
      </w:r>
      <w:r>
        <w:rPr>
          <w:rFonts w:hint="eastAsia" w:ascii="仿宋" w:hAnsi="仿宋" w:eastAsia="仿宋" w:cs="仿宋"/>
          <w:b/>
          <w:color w:val="auto"/>
          <w:highlight w:val="none"/>
        </w:rPr>
        <w:t>，否则不需要提供。]</w:t>
      </w:r>
    </w:p>
    <w:p>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5"/>
        <w:keepNext w:val="0"/>
        <w:keepLines w:val="0"/>
        <w:pageBreakBefore/>
        <w:widowControl/>
        <w:spacing w:before="100" w:beforeAutospacing="1" w:after="100" w:afterAutospacing="1" w:line="360" w:lineRule="auto"/>
        <w:ind w:left="1290" w:firstLine="2249" w:firstLineChars="700"/>
        <w:rPr>
          <w:rFonts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outlineLvl w:val="2"/>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pPr>
        <w:snapToGrid w:val="0"/>
        <w:spacing w:line="360" w:lineRule="auto"/>
        <w:rPr>
          <w:rFonts w:ascii="仿宋" w:hAnsi="仿宋" w:eastAsia="仿宋" w:cs="仿宋"/>
          <w:color w:val="auto"/>
          <w:sz w:val="24"/>
          <w:highlight w:val="none"/>
          <w:u w:val="dotted"/>
        </w:rPr>
      </w:pP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签章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pStyle w:val="2"/>
        <w:rPr>
          <w:color w:val="auto"/>
          <w:highlight w:val="none"/>
        </w:rPr>
      </w:pPr>
    </w:p>
    <w:p>
      <w:pPr>
        <w:pStyle w:val="3"/>
        <w:rPr>
          <w:rFonts w:eastAsia="仿宋"/>
          <w:color w:val="auto"/>
          <w:highlight w:val="none"/>
        </w:rPr>
      </w:pPr>
    </w:p>
    <w:p>
      <w:pPr>
        <w:rPr>
          <w:color w:val="auto"/>
          <w:highlight w:val="none"/>
        </w:rPr>
      </w:pPr>
    </w:p>
    <w:p>
      <w:pPr>
        <w:pStyle w:val="2"/>
        <w:rPr>
          <w:color w:val="auto"/>
          <w:highlight w:val="none"/>
        </w:rPr>
      </w:pPr>
    </w:p>
    <w:p>
      <w:pPr>
        <w:pStyle w:val="3"/>
        <w:rPr>
          <w:rFonts w:eastAsia="仿宋"/>
          <w:color w:val="auto"/>
          <w:highlight w:val="none"/>
        </w:rPr>
      </w:pPr>
    </w:p>
    <w:p>
      <w:pPr>
        <w:rPr>
          <w:color w:val="auto"/>
          <w:highlight w:val="none"/>
        </w:rPr>
      </w:pPr>
    </w:p>
    <w:p>
      <w:pPr>
        <w:pStyle w:val="2"/>
        <w:rPr>
          <w:color w:val="auto"/>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18"/>
          <w:szCs w:val="18"/>
          <w:highlight w:val="none"/>
        </w:rPr>
      </w:pPr>
    </w:p>
    <w:p>
      <w:pPr>
        <w:spacing w:line="360" w:lineRule="auto"/>
        <w:jc w:val="left"/>
        <w:outlineLvl w:val="2"/>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提出质疑，质疑事项为：</w:t>
      </w:r>
    </w:p>
    <w:p>
      <w:pPr>
        <w:spacing w:line="360" w:lineRule="auto"/>
        <w:rPr>
          <w:rFonts w:ascii="仿宋" w:hAnsi="仿宋" w:eastAsia="仿宋" w:cs="仿宋"/>
          <w:color w:val="auto"/>
          <w:sz w:val="24"/>
          <w:highlight w:val="none"/>
          <w:u w:val="dotted"/>
        </w:rPr>
      </w:pP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pPr>
        <w:spacing w:line="360" w:lineRule="auto"/>
        <w:rPr>
          <w:rFonts w:ascii="仿宋" w:hAnsi="仿宋" w:eastAsia="仿宋" w:cs="仿宋"/>
          <w:color w:val="auto"/>
          <w:sz w:val="24"/>
          <w:highlight w:val="none"/>
          <w:u w:val="dotted"/>
        </w:rPr>
      </w:pP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pPr>
        <w:spacing w:line="360" w:lineRule="auto"/>
        <w:rPr>
          <w:rFonts w:ascii="仿宋" w:hAnsi="仿宋" w:eastAsia="仿宋" w:cs="仿宋"/>
          <w:color w:val="auto"/>
          <w:sz w:val="24"/>
          <w:highlight w:val="none"/>
          <w:u w:val="dotted"/>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签章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18"/>
          <w:szCs w:val="18"/>
          <w:highlight w:val="none"/>
        </w:rPr>
      </w:pPr>
    </w:p>
    <w:p>
      <w:pPr>
        <w:autoSpaceDE w:val="0"/>
        <w:autoSpaceDN w:val="0"/>
        <w:jc w:val="center"/>
        <w:rPr>
          <w:rFonts w:ascii="仿宋" w:hAnsi="仿宋" w:eastAsia="仿宋" w:cs="仿宋"/>
          <w:b/>
          <w:color w:val="auto"/>
          <w:spacing w:val="6"/>
          <w:sz w:val="18"/>
          <w:szCs w:val="18"/>
          <w:highlight w:val="none"/>
        </w:rPr>
      </w:pPr>
    </w:p>
    <w:p>
      <w:pPr>
        <w:autoSpaceDE/>
        <w:autoSpaceDN/>
        <w:spacing w:line="360" w:lineRule="auto"/>
        <w:jc w:val="left"/>
        <w:outlineLvl w:val="2"/>
        <w:rPr>
          <w:rFonts w:hint="eastAsia" w:ascii="仿宋" w:hAnsi="仿宋" w:eastAsia="仿宋" w:cs="仿宋"/>
          <w:b/>
          <w:bCs w:val="0"/>
          <w:color w:val="auto"/>
          <w:spacing w:val="6"/>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val="0"/>
          <w:color w:val="auto"/>
          <w:spacing w:val="6"/>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18"/>
          <w:szCs w:val="18"/>
          <w:highlight w:val="none"/>
        </w:rPr>
      </w:pPr>
    </w:p>
    <w:p>
      <w:pPr>
        <w:autoSpaceDE w:val="0"/>
        <w:autoSpaceDN w:val="0"/>
        <w:jc w:val="center"/>
        <w:rPr>
          <w:rFonts w:ascii="仿宋" w:hAnsi="仿宋" w:eastAsia="仿宋" w:cs="仿宋"/>
          <w:b/>
          <w:color w:val="auto"/>
          <w:spacing w:val="6"/>
          <w:sz w:val="18"/>
          <w:szCs w:val="18"/>
          <w:highlight w:val="none"/>
        </w:rPr>
      </w:pPr>
    </w:p>
    <w:p>
      <w:pPr>
        <w:autoSpaceDE/>
        <w:autoSpaceDN/>
        <w:spacing w:line="360" w:lineRule="auto"/>
        <w:jc w:val="left"/>
        <w:outlineLvl w:val="2"/>
        <w:rPr>
          <w:rFonts w:hint="eastAsia" w:ascii="仿宋" w:hAnsi="仿宋" w:eastAsia="仿宋" w:cs="仿宋"/>
          <w:b/>
          <w:color w:val="auto"/>
          <w:spacing w:val="6"/>
          <w:kern w:val="2"/>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spacing w:val="6"/>
          <w:kern w:val="2"/>
          <w:sz w:val="32"/>
          <w:szCs w:val="32"/>
          <w:highlight w:val="none"/>
          <w:lang w:val="zh-CN"/>
        </w:rPr>
        <w:t>联合协议</w:t>
      </w:r>
    </w:p>
    <w:p>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1、联合体各方不再单独参加或者与其他供应商另外组成联合体参加同一合同项下的采购活动。</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ind w:firstLine="3666" w:firstLineChars="1100"/>
        <w:rPr>
          <w:rFonts w:ascii="仿宋" w:hAnsi="仿宋" w:eastAsia="仿宋" w:cs="仿宋"/>
          <w:b/>
          <w:color w:val="auto"/>
          <w:spacing w:val="6"/>
          <w:sz w:val="32"/>
          <w:szCs w:val="32"/>
          <w:highlight w:val="none"/>
        </w:rPr>
      </w:pPr>
    </w:p>
    <w:p>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ascii="仿宋" w:hAnsi="仿宋" w:eastAsia="仿宋" w:cs="仿宋"/>
          <w:b/>
          <w:color w:val="auto"/>
          <w:spacing w:val="6"/>
          <w:sz w:val="18"/>
          <w:szCs w:val="18"/>
          <w:highlight w:val="none"/>
        </w:rPr>
      </w:pPr>
    </w:p>
    <w:p>
      <w:pPr>
        <w:snapToGrid/>
        <w:spacing w:line="360" w:lineRule="auto"/>
        <w:jc w:val="left"/>
        <w:outlineLvl w:val="2"/>
        <w:rPr>
          <w:rFonts w:hint="eastAsia" w:ascii="仿宋" w:hAnsi="仿宋" w:eastAsia="仿宋" w:cs="仿宋"/>
          <w:b/>
          <w:color w:val="auto"/>
          <w:spacing w:val="6"/>
          <w:kern w:val="2"/>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spacing w:val="6"/>
          <w:kern w:val="2"/>
          <w:sz w:val="32"/>
          <w:szCs w:val="32"/>
          <w:highlight w:val="none"/>
        </w:rPr>
        <w:t>分包意向协议</w:t>
      </w:r>
    </w:p>
    <w:p>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tabs>
          <w:tab w:val="left" w:pos="432"/>
        </w:tabs>
        <w:spacing w:line="440" w:lineRule="exact"/>
        <w:ind w:left="0" w:firstLine="228" w:firstLineChars="95"/>
        <w:outlineLvl w:val="9"/>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pacing w:line="440" w:lineRule="exact"/>
        <w:rPr>
          <w:rFonts w:ascii="仿宋" w:hAnsi="仿宋" w:eastAsia="仿宋" w:cs="仿宋"/>
          <w:color w:val="auto"/>
          <w:highlight w:val="none"/>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440" w:lineRule="exact"/>
        <w:ind w:firstLine="576"/>
        <w:rPr>
          <w:rFonts w:ascii="仿宋" w:hAnsi="仿宋" w:eastAsia="仿宋" w:cs="仿宋"/>
          <w:color w:val="auto"/>
          <w:highlight w:val="none"/>
          <w:u w:val="single"/>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440" w:lineRule="exact"/>
        <w:ind w:firstLine="576"/>
        <w:rPr>
          <w:rFonts w:ascii="仿宋" w:hAnsi="仿宋" w:eastAsia="仿宋" w:cs="仿宋"/>
          <w:color w:val="auto"/>
          <w:kern w:val="0"/>
          <w:sz w:val="24"/>
          <w:highlight w:val="none"/>
          <w:lang w:val="zh-CN"/>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440" w:lineRule="exact"/>
        <w:rPr>
          <w:rFonts w:ascii="仿宋" w:hAnsi="仿宋" w:eastAsia="仿宋" w:cs="仿宋"/>
          <w:color w:val="auto"/>
          <w:kern w:val="0"/>
          <w:sz w:val="24"/>
          <w:highlight w:val="none"/>
          <w:lang w:val="zh-CN"/>
        </w:rPr>
      </w:pP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440" w:lineRule="exact"/>
        <w:ind w:firstLine="576"/>
        <w:rPr>
          <w:rFonts w:ascii="仿宋" w:hAnsi="仿宋" w:eastAsia="仿宋" w:cs="仿宋"/>
          <w:color w:val="auto"/>
          <w:kern w:val="0"/>
          <w:sz w:val="24"/>
          <w:highlight w:val="none"/>
          <w:lang w:val="zh-CN"/>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440" w:lineRule="exact"/>
        <w:ind w:firstLine="576"/>
        <w:rPr>
          <w:rFonts w:ascii="仿宋" w:hAnsi="仿宋" w:eastAsia="仿宋" w:cs="仿宋"/>
          <w:color w:val="auto"/>
          <w:kern w:val="0"/>
          <w:sz w:val="24"/>
          <w:highlight w:val="none"/>
          <w:lang w:val="zh-CN"/>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
        <w:rPr>
          <w:rFonts w:ascii="仿宋" w:hAnsi="仿宋" w:eastAsia="仿宋" w:cs="仿宋"/>
          <w:b/>
          <w:color w:val="auto"/>
          <w:spacing w:val="6"/>
          <w:sz w:val="32"/>
          <w:szCs w:val="32"/>
          <w:highlight w:val="none"/>
        </w:rPr>
      </w:pPr>
    </w:p>
    <w:p>
      <w:pPr>
        <w:pStyle w:val="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
        <w:rPr>
          <w:rFonts w:ascii="仿宋" w:hAnsi="仿宋" w:eastAsia="仿宋" w:cs="仿宋"/>
          <w:b/>
          <w:color w:val="auto"/>
          <w:spacing w:val="6"/>
          <w:sz w:val="32"/>
          <w:szCs w:val="32"/>
          <w:highlight w:val="none"/>
        </w:rPr>
      </w:pPr>
    </w:p>
    <w:p>
      <w:pPr>
        <w:pStyle w:val="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
        <w:rPr>
          <w:rFonts w:ascii="仿宋" w:hAnsi="仿宋" w:eastAsia="仿宋" w:cs="仿宋"/>
          <w:b/>
          <w:color w:val="auto"/>
          <w:spacing w:val="6"/>
          <w:sz w:val="32"/>
          <w:szCs w:val="32"/>
          <w:highlight w:val="none"/>
        </w:rPr>
      </w:pPr>
    </w:p>
    <w:p>
      <w:pPr>
        <w:pStyle w:val="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
        <w:rPr>
          <w:rFonts w:ascii="仿宋" w:hAnsi="仿宋" w:eastAsia="仿宋" w:cs="仿宋"/>
          <w:b/>
          <w:color w:val="auto"/>
          <w:spacing w:val="6"/>
          <w:sz w:val="32"/>
          <w:szCs w:val="32"/>
          <w:highlight w:val="none"/>
        </w:rPr>
      </w:pPr>
    </w:p>
    <w:p>
      <w:pPr>
        <w:pStyle w:val="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
        <w:rPr>
          <w:rFonts w:ascii="仿宋" w:hAnsi="仿宋" w:eastAsia="仿宋" w:cs="仿宋"/>
          <w:b/>
          <w:color w:val="auto"/>
          <w:spacing w:val="6"/>
          <w:sz w:val="32"/>
          <w:szCs w:val="32"/>
          <w:highlight w:val="none"/>
        </w:rPr>
      </w:pPr>
    </w:p>
    <w:p>
      <w:pPr>
        <w:pStyle w:val="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
        <w:rPr>
          <w:rFonts w:ascii="仿宋" w:hAnsi="仿宋" w:eastAsia="仿宋" w:cs="仿宋"/>
          <w:b/>
          <w:color w:val="auto"/>
          <w:spacing w:val="6"/>
          <w:sz w:val="32"/>
          <w:szCs w:val="32"/>
          <w:highlight w:val="none"/>
        </w:rPr>
      </w:pPr>
    </w:p>
    <w:p>
      <w:pPr>
        <w:pStyle w:val="3"/>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2"/>
        <w:rPr>
          <w:color w:val="auto"/>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18"/>
          <w:szCs w:val="18"/>
          <w:highlight w:val="none"/>
        </w:rPr>
      </w:pPr>
    </w:p>
    <w:p>
      <w:pPr>
        <w:spacing w:line="360" w:lineRule="auto"/>
        <w:jc w:val="center"/>
        <w:rPr>
          <w:rFonts w:ascii="仿宋" w:hAnsi="仿宋" w:eastAsia="仿宋" w:cs="仿宋"/>
          <w:b/>
          <w:color w:val="auto"/>
          <w:spacing w:val="6"/>
          <w:sz w:val="18"/>
          <w:szCs w:val="18"/>
          <w:highlight w:val="none"/>
        </w:rPr>
      </w:pPr>
    </w:p>
    <w:p>
      <w:pPr>
        <w:spacing w:line="360" w:lineRule="auto"/>
        <w:jc w:val="left"/>
        <w:outlineLvl w:val="2"/>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
        <w:rPr>
          <w:color w:val="auto"/>
          <w:highlight w:val="none"/>
        </w:rPr>
      </w:pPr>
    </w:p>
    <w:p>
      <w:pPr>
        <w:pStyle w:val="3"/>
        <w:rPr>
          <w:rFonts w:eastAsia="仿宋"/>
          <w:color w:val="auto"/>
          <w:highlight w:val="none"/>
        </w:rPr>
      </w:pPr>
    </w:p>
    <w:p>
      <w:pPr>
        <w:rPr>
          <w:color w:val="auto"/>
          <w:highlight w:val="none"/>
        </w:rPr>
      </w:pPr>
    </w:p>
    <w:p>
      <w:pPr>
        <w:pStyle w:val="2"/>
        <w:rPr>
          <w:color w:val="auto"/>
          <w:highlight w:val="none"/>
        </w:rPr>
      </w:pPr>
    </w:p>
    <w:p>
      <w:pPr>
        <w:pStyle w:val="3"/>
        <w:rPr>
          <w:rFonts w:eastAsia="仿宋"/>
          <w:color w:val="auto"/>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5"/>
        <w:rPr>
          <w:rFonts w:ascii="仿宋" w:hAnsi="仿宋" w:eastAsia="仿宋" w:cs="仿宋"/>
          <w:color w:val="auto"/>
          <w:sz w:val="18"/>
          <w:szCs w:val="18"/>
          <w:highlight w:val="none"/>
        </w:rPr>
      </w:pPr>
    </w:p>
    <w:p>
      <w:pPr>
        <w:snapToGrid w:val="0"/>
        <w:spacing w:line="360" w:lineRule="auto"/>
        <w:rPr>
          <w:rFonts w:ascii="仿宋" w:hAnsi="仿宋" w:eastAsia="仿宋" w:cs="仿宋"/>
          <w:b/>
          <w:color w:val="auto"/>
          <w:kern w:val="0"/>
          <w:sz w:val="18"/>
          <w:szCs w:val="18"/>
          <w:highlight w:val="none"/>
        </w:rPr>
      </w:pPr>
    </w:p>
    <w:p>
      <w:pPr>
        <w:snapToGrid w:val="0"/>
        <w:spacing w:line="360" w:lineRule="auto"/>
        <w:outlineLvl w:val="2"/>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ascii="仿宋" w:hAnsi="仿宋" w:eastAsia="仿宋" w:cs="仿宋"/>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tabs>
          <w:tab w:val="left" w:pos="432"/>
        </w:tabs>
        <w:outlineLvl w:val="9"/>
        <w:rPr>
          <w:rFonts w:ascii="仿宋" w:eastAsia="仿宋" w:cs="仿宋"/>
          <w:color w:val="auto"/>
          <w:highlight w:val="none"/>
          <w:lang w:val="en-US"/>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5"/>
        <w:rPr>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br w:type="page"/>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一</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 xml:space="preserve">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二</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 xml:space="preserve">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三</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 xml:space="preserve">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四</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 xml:space="preserve">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五</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 xml:space="preserve">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六</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 xml:space="preserve">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七</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 xml:space="preserve">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八</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 xml:space="preserve">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w:t>
      </w:r>
      <w:r>
        <w:rPr>
          <w:rFonts w:hint="eastAsia" w:ascii="仿宋" w:hAnsi="仿宋" w:eastAsia="仿宋" w:cs="仿宋"/>
          <w:color w:val="auto"/>
          <w:kern w:val="0"/>
          <w:szCs w:val="21"/>
          <w:highlight w:val="none"/>
          <w:lang w:eastAsia="zh-CN"/>
        </w:rPr>
        <w:t>每</w:t>
      </w:r>
      <w:r>
        <w:rPr>
          <w:rFonts w:hint="eastAsia" w:ascii="仿宋" w:hAnsi="仿宋" w:eastAsia="仿宋"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474" w:right="1814" w:bottom="1474" w:left="1814" w:header="851"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_GB2312"/>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Times New Roman"/>
    <w:panose1 w:val="020B0604020202020204"/>
    <w:charset w:val="00"/>
    <w:family w:val="roman"/>
    <w:pitch w:val="default"/>
    <w:sig w:usb0="00000000" w:usb1="00000000" w:usb2="00000000" w:usb3="00000000" w:csb0="00000001"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fldChar w:fldCharType="begin"/>
                          </w:r>
                          <w:r>
                            <w:instrText xml:space="preserve"> PAGE   \* MERGEFORMAT </w:instrText>
                          </w:r>
                          <w:r>
                            <w:fldChar w:fldCharType="separate"/>
                          </w:r>
                          <w:r>
                            <w:rPr>
                              <w:lang w:val="zh-CN"/>
                            </w:rPr>
                            <w:t>65</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fldChar w:fldCharType="begin"/>
                    </w:r>
                    <w:r>
                      <w:instrText xml:space="preserve"> PAGE   \* MERGEFORMAT </w:instrText>
                    </w:r>
                    <w:r>
                      <w:fldChar w:fldCharType="separate"/>
                    </w:r>
                    <w:r>
                      <w:rPr>
                        <w:lang w:val="zh-CN"/>
                      </w:rPr>
                      <w:t>65</w:t>
                    </w:r>
                    <w:r>
                      <w:rPr>
                        <w:lang w:val="zh-CN"/>
                      </w:rPr>
                      <w:fldChar w:fldCharType="end"/>
                    </w:r>
                  </w:p>
                </w:txbxContent>
              </v:textbox>
            </v:shape>
          </w:pict>
        </mc:Fallback>
      </mc:AlternateContent>
    </w:r>
  </w:p>
  <w:p>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jc w:val="both"/>
      <w:rPr>
        <w:rFonts w:hint="eastAsia"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751668"/>
                            <w:docPartObj>
                              <w:docPartGallery w:val="autotext"/>
                            </w:docPartObj>
                          </w:sdtPr>
                          <w:sdtContent>
                            <w:p>
                              <w:pPr>
                                <w:pStyle w:val="41"/>
                                <w:jc w:val="center"/>
                              </w:pPr>
                              <w:r>
                                <w:fldChar w:fldCharType="begin"/>
                              </w:r>
                              <w:r>
                                <w:instrText xml:space="preserve"> PAGE   \* MERGEFORMAT </w:instrText>
                              </w:r>
                              <w:r>
                                <w:fldChar w:fldCharType="separate"/>
                              </w:r>
                              <w:r>
                                <w:rPr>
                                  <w:lang w:val="zh-CN"/>
                                </w:rPr>
                                <w:t>41</w:t>
                              </w:r>
                              <w:r>
                                <w:rPr>
                                  <w:lang w:val="zh-CN"/>
                                </w:rPr>
                                <w:fldChar w:fldCharType="end"/>
                              </w:r>
                            </w:p>
                          </w:sdtContent>
                        </w:sdt>
                        <w:p>
                          <w:pPr>
                            <w:pStyle w:val="1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2751668"/>
                      <w:docPartObj>
                        <w:docPartGallery w:val="autotext"/>
                      </w:docPartObj>
                    </w:sdtPr>
                    <w:sdtContent>
                      <w:p>
                        <w:pPr>
                          <w:pStyle w:val="41"/>
                          <w:jc w:val="center"/>
                        </w:pPr>
                        <w:r>
                          <w:fldChar w:fldCharType="begin"/>
                        </w:r>
                        <w:r>
                          <w:instrText xml:space="preserve"> PAGE   \* MERGEFORMAT </w:instrText>
                        </w:r>
                        <w:r>
                          <w:fldChar w:fldCharType="separate"/>
                        </w:r>
                        <w:r>
                          <w:rPr>
                            <w:lang w:val="zh-CN"/>
                          </w:rPr>
                          <w:t>41</w:t>
                        </w:r>
                        <w:r>
                          <w:rPr>
                            <w:lang w:val="zh-CN"/>
                          </w:rPr>
                          <w:fldChar w:fldCharType="end"/>
                        </w:r>
                      </w:p>
                    </w:sdtContent>
                  </w:sdt>
                  <w:p>
                    <w:pPr>
                      <w:pStyle w:val="17"/>
                    </w:pPr>
                  </w:p>
                </w:txbxContent>
              </v:textbox>
            </v:shape>
          </w:pict>
        </mc:Fallback>
      </mc:AlternateContent>
    </w:r>
  </w:p>
  <w:p>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751664"/>
                            <w:docPartObj>
                              <w:docPartGallery w:val="autotext"/>
                            </w:docPartObj>
                          </w:sdtPr>
                          <w:sdtContent>
                            <w:p>
                              <w:pPr>
                                <w:pStyle w:val="41"/>
                                <w:jc w:val="center"/>
                              </w:pPr>
                              <w:r>
                                <w:fldChar w:fldCharType="begin"/>
                              </w:r>
                              <w:r>
                                <w:instrText xml:space="preserve"> PAGE   \* MERGEFORMAT </w:instrText>
                              </w:r>
                              <w:r>
                                <w:fldChar w:fldCharType="separate"/>
                              </w:r>
                              <w:r>
                                <w:rPr>
                                  <w:lang w:val="zh-CN"/>
                                </w:rPr>
                                <w:t>32</w:t>
                              </w:r>
                              <w:r>
                                <w:rPr>
                                  <w:lang w:val="zh-CN"/>
                                </w:rPr>
                                <w:fldChar w:fldCharType="end"/>
                              </w:r>
                            </w:p>
                          </w:sdtContent>
                        </w:sdt>
                        <w:p>
                          <w:pPr>
                            <w:pStyle w:val="1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2751664"/>
                      <w:docPartObj>
                        <w:docPartGallery w:val="autotext"/>
                      </w:docPartObj>
                    </w:sdtPr>
                    <w:sdtContent>
                      <w:p>
                        <w:pPr>
                          <w:pStyle w:val="41"/>
                          <w:jc w:val="center"/>
                        </w:pPr>
                        <w:r>
                          <w:fldChar w:fldCharType="begin"/>
                        </w:r>
                        <w:r>
                          <w:instrText xml:space="preserve"> PAGE   \* MERGEFORMAT </w:instrText>
                        </w:r>
                        <w:r>
                          <w:fldChar w:fldCharType="separate"/>
                        </w:r>
                        <w:r>
                          <w:rPr>
                            <w:lang w:val="zh-CN"/>
                          </w:rPr>
                          <w:t>32</w:t>
                        </w:r>
                        <w:r>
                          <w:rPr>
                            <w:lang w:val="zh-CN"/>
                          </w:rPr>
                          <w:fldChar w:fldCharType="end"/>
                        </w:r>
                      </w:p>
                    </w:sdtContent>
                  </w:sdt>
                  <w:p>
                    <w:pPr>
                      <w:pStyle w:val="17"/>
                    </w:pP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751677"/>
                            <w:docPartObj>
                              <w:docPartGallery w:val="autotext"/>
                            </w:docPartObj>
                          </w:sdtPr>
                          <w:sdtContent>
                            <w:p>
                              <w:pPr>
                                <w:pStyle w:val="41"/>
                                <w:jc w:val="center"/>
                              </w:pPr>
                              <w:r>
                                <w:fldChar w:fldCharType="begin"/>
                              </w:r>
                              <w:r>
                                <w:instrText xml:space="preserve"> PAGE   \* MERGEFORMAT </w:instrText>
                              </w:r>
                              <w:r>
                                <w:fldChar w:fldCharType="separate"/>
                              </w:r>
                              <w:r>
                                <w:rPr>
                                  <w:lang w:val="zh-CN"/>
                                </w:rPr>
                                <w:t>64</w:t>
                              </w:r>
                              <w:r>
                                <w:rPr>
                                  <w:lang w:val="zh-CN"/>
                                </w:rPr>
                                <w:fldChar w:fldCharType="end"/>
                              </w:r>
                            </w:p>
                          </w:sdtContent>
                        </w:sdt>
                        <w:p>
                          <w:pPr>
                            <w:pStyle w:val="1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2751677"/>
                      <w:docPartObj>
                        <w:docPartGallery w:val="autotext"/>
                      </w:docPartObj>
                    </w:sdtPr>
                    <w:sdtContent>
                      <w:p>
                        <w:pPr>
                          <w:pStyle w:val="41"/>
                          <w:jc w:val="center"/>
                        </w:pPr>
                        <w:r>
                          <w:fldChar w:fldCharType="begin"/>
                        </w:r>
                        <w:r>
                          <w:instrText xml:space="preserve"> PAGE   \* MERGEFORMAT </w:instrText>
                        </w:r>
                        <w:r>
                          <w:fldChar w:fldCharType="separate"/>
                        </w:r>
                        <w:r>
                          <w:rPr>
                            <w:lang w:val="zh-CN"/>
                          </w:rPr>
                          <w:t>64</w:t>
                        </w:r>
                        <w:r>
                          <w:rPr>
                            <w:lang w:val="zh-CN"/>
                          </w:rPr>
                          <w:fldChar w:fldCharType="end"/>
                        </w:r>
                      </w:p>
                    </w:sdtContent>
                  </w:sdt>
                  <w:p>
                    <w:pPr>
                      <w:pStyle w:val="17"/>
                    </w:pPr>
                  </w:p>
                </w:txbxContent>
              </v:textbox>
            </v:shape>
          </w:pict>
        </mc:Fallback>
      </mc:AlternateContent>
    </w:r>
  </w:p>
  <w:p>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751672"/>
                            <w:docPartObj>
                              <w:docPartGallery w:val="autotext"/>
                            </w:docPartObj>
                          </w:sdtPr>
                          <w:sdtContent>
                            <w:p>
                              <w:pPr>
                                <w:pStyle w:val="41"/>
                                <w:jc w:val="center"/>
                              </w:pPr>
                              <w:r>
                                <w:fldChar w:fldCharType="begin"/>
                              </w:r>
                              <w:r>
                                <w:instrText xml:space="preserve"> PAGE   \* MERGEFORMAT </w:instrText>
                              </w:r>
                              <w:r>
                                <w:fldChar w:fldCharType="separate"/>
                              </w:r>
                              <w:r>
                                <w:rPr>
                                  <w:lang w:val="zh-CN"/>
                                </w:rPr>
                                <w:t>63</w:t>
                              </w:r>
                              <w:r>
                                <w:rPr>
                                  <w:lang w:val="zh-CN"/>
                                </w:rPr>
                                <w:fldChar w:fldCharType="end"/>
                              </w:r>
                            </w:p>
                          </w:sdtContent>
                        </w:sdt>
                        <w:p>
                          <w:pPr>
                            <w:pStyle w:val="1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2751672"/>
                      <w:docPartObj>
                        <w:docPartGallery w:val="autotext"/>
                      </w:docPartObj>
                    </w:sdtPr>
                    <w:sdtContent>
                      <w:p>
                        <w:pPr>
                          <w:pStyle w:val="41"/>
                          <w:jc w:val="center"/>
                        </w:pPr>
                        <w:r>
                          <w:fldChar w:fldCharType="begin"/>
                        </w:r>
                        <w:r>
                          <w:instrText xml:space="preserve"> PAGE   \* MERGEFORMAT </w:instrText>
                        </w:r>
                        <w:r>
                          <w:fldChar w:fldCharType="separate"/>
                        </w:r>
                        <w:r>
                          <w:rPr>
                            <w:lang w:val="zh-CN"/>
                          </w:rPr>
                          <w:t>63</w:t>
                        </w:r>
                        <w:r>
                          <w:rPr>
                            <w:lang w:val="zh-CN"/>
                          </w:rPr>
                          <w:fldChar w:fldCharType="end"/>
                        </w:r>
                      </w:p>
                    </w:sdtContent>
                  </w:sdt>
                  <w:p>
                    <w:pPr>
                      <w:pStyle w:val="17"/>
                    </w:pPr>
                  </w:p>
                </w:txbxContent>
              </v:textbox>
            </v:shape>
          </w:pict>
        </mc:Fallback>
      </mc:AlternateContent>
    </w:r>
  </w:p>
  <w:p>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fldChar w:fldCharType="begin"/>
                          </w:r>
                          <w:r>
                            <w:instrText xml:space="preserve"> PAGE   \* MERGEFORMAT </w:instrText>
                          </w:r>
                          <w:r>
                            <w:fldChar w:fldCharType="separate"/>
                          </w:r>
                          <w:r>
                            <w:rPr>
                              <w:lang w:val="zh-CN"/>
                            </w:rPr>
                            <w:t>84</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fldChar w:fldCharType="begin"/>
                    </w:r>
                    <w:r>
                      <w:instrText xml:space="preserve"> PAGE   \* MERGEFORMAT </w:instrText>
                    </w:r>
                    <w:r>
                      <w:fldChar w:fldCharType="separate"/>
                    </w:r>
                    <w:r>
                      <w:rPr>
                        <w:lang w:val="zh-CN"/>
                      </w:rPr>
                      <w:t>84</w:t>
                    </w:r>
                    <w:r>
                      <w:rPr>
                        <w:lang w:val="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ind w:firstLine="0" w:firstLineChars="0"/>
      <w:jc w:val="left"/>
    </w:pPr>
    <w:r>
      <w:rPr>
        <w:rFonts w:hint="eastAsia" w:ascii="仿宋" w:hAnsi="仿宋" w:eastAsia="仿宋" w:cs="仿宋"/>
      </w:rPr>
      <w:t>融华工程管理有限公司                              文件编号</w:t>
    </w:r>
    <w:r>
      <w:rPr>
        <w:rFonts w:hint="eastAsia" w:ascii="仿宋" w:hAnsi="仿宋" w:eastAsia="仿宋" w:cs="仿宋"/>
        <w:lang w:eastAsia="zh-CN"/>
      </w:rPr>
      <w:t>CGSHZJ-2024-N000973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rFonts w:hint="eastAsia" w:ascii="仿宋" w:hAnsi="仿宋" w:eastAsia="仿宋" w:cs="仿宋"/>
      </w:rPr>
      <w:t>融华工程管理有限公司                              文件编号</w:t>
    </w:r>
    <w:r>
      <w:rPr>
        <w:rFonts w:hint="eastAsia" w:ascii="仿宋" w:hAnsi="仿宋" w:eastAsia="仿宋" w:cs="仿宋"/>
        <w:lang w:eastAsia="zh-CN"/>
      </w:rPr>
      <w:t>CGSHZJ-2024-N000973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rFonts w:hint="eastAsia" w:ascii="仿宋" w:hAnsi="仿宋" w:eastAsia="仿宋" w:cs="仿宋"/>
      </w:rPr>
      <w:t>融华工程管理有限公司                              文件编号</w:t>
    </w:r>
    <w:r>
      <w:rPr>
        <w:rFonts w:hint="eastAsia" w:ascii="仿宋" w:hAnsi="仿宋" w:eastAsia="仿宋" w:cs="仿宋"/>
        <w:lang w:eastAsia="zh-CN"/>
      </w:rPr>
      <w:t>CGSHZJ-2024-N000973</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rFonts w:hint="eastAsia" w:ascii="仿宋" w:hAnsi="仿宋" w:eastAsia="仿宋" w:cs="仿宋"/>
      </w:rPr>
      <w:t>融华工程管理有限公司                              文件编号</w:t>
    </w:r>
    <w:r>
      <w:rPr>
        <w:rFonts w:hint="eastAsia" w:ascii="仿宋" w:hAnsi="仿宋" w:eastAsia="仿宋" w:cs="仿宋"/>
        <w:lang w:eastAsia="zh-CN"/>
      </w:rPr>
      <w:t>CGSHZJ-2024-N000973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rFonts w:hint="eastAsia" w:ascii="仿宋" w:hAnsi="仿宋" w:eastAsia="仿宋" w:cs="仿宋"/>
      </w:rPr>
      <w:t>融华工程管理有限公司                              文件编号</w:t>
    </w:r>
    <w:r>
      <w:rPr>
        <w:rFonts w:hint="eastAsia" w:ascii="仿宋" w:hAnsi="仿宋" w:eastAsia="仿宋" w:cs="仿宋"/>
        <w:lang w:eastAsia="zh-CN"/>
      </w:rPr>
      <w:t>CGSHZJ-2024-N000973</w:t>
    </w:r>
  </w:p>
  <w:p>
    <w:pPr>
      <w:pStyle w:val="4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rFonts w:hint="eastAsia" w:ascii="仿宋" w:hAnsi="仿宋" w:eastAsia="仿宋" w:cs="仿宋"/>
      </w:rPr>
      <w:t>融华工程管理有限公司                              文件编号</w:t>
    </w:r>
    <w:r>
      <w:rPr>
        <w:rFonts w:hint="eastAsia" w:ascii="仿宋" w:hAnsi="仿宋" w:eastAsia="仿宋" w:cs="仿宋"/>
        <w:lang w:eastAsia="zh-CN"/>
      </w:rPr>
      <w:t>CGSHZJ-2024-N000973</w:t>
    </w:r>
  </w:p>
  <w:p>
    <w:pPr>
      <w:pStyle w:val="42"/>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rFonts w:hint="eastAsia" w:ascii="仿宋" w:hAnsi="仿宋" w:eastAsia="仿宋" w:cs="仿宋"/>
      </w:rPr>
      <w:t>融华工程管理有限公司                              文件编号</w:t>
    </w:r>
    <w:r>
      <w:rPr>
        <w:rFonts w:hint="eastAsia" w:ascii="仿宋" w:hAnsi="仿宋" w:eastAsia="仿宋" w:cs="仿宋"/>
        <w:lang w:eastAsia="zh-CN"/>
      </w:rPr>
      <w:t>CGSHZJ-2024-N000973</w:t>
    </w:r>
  </w:p>
  <w:p>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pPr>
    <w:r>
      <w:rPr>
        <w:rFonts w:hint="eastAsia" w:ascii="仿宋" w:hAnsi="仿宋" w:eastAsia="仿宋" w:cs="仿宋"/>
      </w:rPr>
      <w:t>融华工程管理有限公司                              文件编号</w:t>
    </w:r>
    <w:r>
      <w:rPr>
        <w:rFonts w:hint="eastAsia" w:ascii="仿宋" w:hAnsi="仿宋" w:eastAsia="仿宋" w:cs="仿宋"/>
        <w:lang w:eastAsia="zh-CN"/>
      </w:rPr>
      <w:t>CGSHZJ-2024-N000973</w:t>
    </w:r>
  </w:p>
  <w:p>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BFF41C"/>
    <w:multiLevelType w:val="singleLevel"/>
    <w:tmpl w:val="FEBFF41C"/>
    <w:lvl w:ilvl="0" w:tentative="0">
      <w:start w:val="1"/>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172A27"/>
    <w:rsid w:val="00014D5A"/>
    <w:rsid w:val="0002499D"/>
    <w:rsid w:val="000306A7"/>
    <w:rsid w:val="00040FDD"/>
    <w:rsid w:val="000429EB"/>
    <w:rsid w:val="000677AA"/>
    <w:rsid w:val="0007417C"/>
    <w:rsid w:val="00091A60"/>
    <w:rsid w:val="00123D1D"/>
    <w:rsid w:val="00144558"/>
    <w:rsid w:val="00150025"/>
    <w:rsid w:val="001645C0"/>
    <w:rsid w:val="00164667"/>
    <w:rsid w:val="00172A27"/>
    <w:rsid w:val="00172E06"/>
    <w:rsid w:val="0018451D"/>
    <w:rsid w:val="00195837"/>
    <w:rsid w:val="00195DCB"/>
    <w:rsid w:val="001C1388"/>
    <w:rsid w:val="001C3BA9"/>
    <w:rsid w:val="00217EBE"/>
    <w:rsid w:val="00220000"/>
    <w:rsid w:val="00247267"/>
    <w:rsid w:val="00254E5D"/>
    <w:rsid w:val="002558C5"/>
    <w:rsid w:val="0025642D"/>
    <w:rsid w:val="0026376E"/>
    <w:rsid w:val="00276CC9"/>
    <w:rsid w:val="0028279F"/>
    <w:rsid w:val="00283111"/>
    <w:rsid w:val="0029262E"/>
    <w:rsid w:val="002B7E60"/>
    <w:rsid w:val="002D3C25"/>
    <w:rsid w:val="002E016B"/>
    <w:rsid w:val="002F7679"/>
    <w:rsid w:val="00306C42"/>
    <w:rsid w:val="00323766"/>
    <w:rsid w:val="00352B87"/>
    <w:rsid w:val="003837DF"/>
    <w:rsid w:val="00390FA8"/>
    <w:rsid w:val="003943A1"/>
    <w:rsid w:val="00396C49"/>
    <w:rsid w:val="003C6329"/>
    <w:rsid w:val="003D6EAF"/>
    <w:rsid w:val="003D7019"/>
    <w:rsid w:val="003E28AD"/>
    <w:rsid w:val="003E2FBC"/>
    <w:rsid w:val="003E5517"/>
    <w:rsid w:val="0040173D"/>
    <w:rsid w:val="004061D8"/>
    <w:rsid w:val="00421FDC"/>
    <w:rsid w:val="00442259"/>
    <w:rsid w:val="004456D6"/>
    <w:rsid w:val="004456EF"/>
    <w:rsid w:val="004519FD"/>
    <w:rsid w:val="004715A0"/>
    <w:rsid w:val="00477E83"/>
    <w:rsid w:val="00496C4B"/>
    <w:rsid w:val="004A0A5D"/>
    <w:rsid w:val="004A3BE4"/>
    <w:rsid w:val="004B2398"/>
    <w:rsid w:val="004B322B"/>
    <w:rsid w:val="004C1C94"/>
    <w:rsid w:val="00526DAF"/>
    <w:rsid w:val="00545C72"/>
    <w:rsid w:val="00550F12"/>
    <w:rsid w:val="005535D6"/>
    <w:rsid w:val="00567738"/>
    <w:rsid w:val="005700F9"/>
    <w:rsid w:val="00596558"/>
    <w:rsid w:val="005A1538"/>
    <w:rsid w:val="005A531E"/>
    <w:rsid w:val="005B57FF"/>
    <w:rsid w:val="005C1C85"/>
    <w:rsid w:val="005D152C"/>
    <w:rsid w:val="00610711"/>
    <w:rsid w:val="006126E2"/>
    <w:rsid w:val="00625B2D"/>
    <w:rsid w:val="00627FBB"/>
    <w:rsid w:val="00633343"/>
    <w:rsid w:val="00633858"/>
    <w:rsid w:val="006375D1"/>
    <w:rsid w:val="006514BB"/>
    <w:rsid w:val="00661BE2"/>
    <w:rsid w:val="00686D52"/>
    <w:rsid w:val="00687B58"/>
    <w:rsid w:val="006C6ACA"/>
    <w:rsid w:val="006D4D07"/>
    <w:rsid w:val="006E110F"/>
    <w:rsid w:val="006F478A"/>
    <w:rsid w:val="00714747"/>
    <w:rsid w:val="007240D6"/>
    <w:rsid w:val="00756A28"/>
    <w:rsid w:val="00773BDB"/>
    <w:rsid w:val="00783E2E"/>
    <w:rsid w:val="0079750F"/>
    <w:rsid w:val="007B66A9"/>
    <w:rsid w:val="007C29B5"/>
    <w:rsid w:val="007E7146"/>
    <w:rsid w:val="007F2305"/>
    <w:rsid w:val="00805A96"/>
    <w:rsid w:val="0084177C"/>
    <w:rsid w:val="008626E4"/>
    <w:rsid w:val="008627D5"/>
    <w:rsid w:val="0087204C"/>
    <w:rsid w:val="008861E2"/>
    <w:rsid w:val="008B3CE0"/>
    <w:rsid w:val="008B5261"/>
    <w:rsid w:val="008C067F"/>
    <w:rsid w:val="008D350A"/>
    <w:rsid w:val="008D498E"/>
    <w:rsid w:val="008F253A"/>
    <w:rsid w:val="00900564"/>
    <w:rsid w:val="00915814"/>
    <w:rsid w:val="0092439E"/>
    <w:rsid w:val="00925534"/>
    <w:rsid w:val="0092601C"/>
    <w:rsid w:val="009315AB"/>
    <w:rsid w:val="00934C34"/>
    <w:rsid w:val="009E3E93"/>
    <w:rsid w:val="009F1871"/>
    <w:rsid w:val="009F3248"/>
    <w:rsid w:val="00A004E5"/>
    <w:rsid w:val="00A3306B"/>
    <w:rsid w:val="00A33664"/>
    <w:rsid w:val="00A759EE"/>
    <w:rsid w:val="00A8153C"/>
    <w:rsid w:val="00A8654F"/>
    <w:rsid w:val="00A965A2"/>
    <w:rsid w:val="00B039A4"/>
    <w:rsid w:val="00B11471"/>
    <w:rsid w:val="00B26ABA"/>
    <w:rsid w:val="00B41566"/>
    <w:rsid w:val="00B62A62"/>
    <w:rsid w:val="00B81833"/>
    <w:rsid w:val="00B848A7"/>
    <w:rsid w:val="00BA2E93"/>
    <w:rsid w:val="00BB4F83"/>
    <w:rsid w:val="00BC375F"/>
    <w:rsid w:val="00BF3612"/>
    <w:rsid w:val="00C030ED"/>
    <w:rsid w:val="00C14FB9"/>
    <w:rsid w:val="00C215C3"/>
    <w:rsid w:val="00C3577A"/>
    <w:rsid w:val="00C43D07"/>
    <w:rsid w:val="00C85A0A"/>
    <w:rsid w:val="00C9219A"/>
    <w:rsid w:val="00C95168"/>
    <w:rsid w:val="00CA5885"/>
    <w:rsid w:val="00CC5442"/>
    <w:rsid w:val="00CD2BAF"/>
    <w:rsid w:val="00CD4CB5"/>
    <w:rsid w:val="00CF2F6B"/>
    <w:rsid w:val="00D123E9"/>
    <w:rsid w:val="00D20DE6"/>
    <w:rsid w:val="00D44BB0"/>
    <w:rsid w:val="00D512B7"/>
    <w:rsid w:val="00D61DEA"/>
    <w:rsid w:val="00D6612A"/>
    <w:rsid w:val="00D67FA5"/>
    <w:rsid w:val="00D96947"/>
    <w:rsid w:val="00DA6C8E"/>
    <w:rsid w:val="00DA757A"/>
    <w:rsid w:val="00DB46B9"/>
    <w:rsid w:val="00DD5C35"/>
    <w:rsid w:val="00DE15AE"/>
    <w:rsid w:val="00DF7956"/>
    <w:rsid w:val="00E357C2"/>
    <w:rsid w:val="00E47FE0"/>
    <w:rsid w:val="00E762B2"/>
    <w:rsid w:val="00E92479"/>
    <w:rsid w:val="00E97E6D"/>
    <w:rsid w:val="00EC63C8"/>
    <w:rsid w:val="00ED0982"/>
    <w:rsid w:val="00ED165A"/>
    <w:rsid w:val="00F0356D"/>
    <w:rsid w:val="00F03988"/>
    <w:rsid w:val="00F20291"/>
    <w:rsid w:val="00F24A6A"/>
    <w:rsid w:val="00F50223"/>
    <w:rsid w:val="00F53BEE"/>
    <w:rsid w:val="00F7287A"/>
    <w:rsid w:val="00F8265D"/>
    <w:rsid w:val="00F93879"/>
    <w:rsid w:val="00FE1969"/>
    <w:rsid w:val="00FF51D6"/>
    <w:rsid w:val="013959FB"/>
    <w:rsid w:val="01686B36"/>
    <w:rsid w:val="01856886"/>
    <w:rsid w:val="01A3073B"/>
    <w:rsid w:val="01B873CA"/>
    <w:rsid w:val="026918FA"/>
    <w:rsid w:val="05EE5B89"/>
    <w:rsid w:val="06E554CE"/>
    <w:rsid w:val="072E6CD4"/>
    <w:rsid w:val="08280CF2"/>
    <w:rsid w:val="09353CDF"/>
    <w:rsid w:val="0AF777FE"/>
    <w:rsid w:val="0B403C58"/>
    <w:rsid w:val="0C1E21AC"/>
    <w:rsid w:val="0C965124"/>
    <w:rsid w:val="0CAF0868"/>
    <w:rsid w:val="0D4D76E9"/>
    <w:rsid w:val="0E782D40"/>
    <w:rsid w:val="0F096B8F"/>
    <w:rsid w:val="0F63063F"/>
    <w:rsid w:val="0F871B88"/>
    <w:rsid w:val="11BE243F"/>
    <w:rsid w:val="125C0BBE"/>
    <w:rsid w:val="135668FE"/>
    <w:rsid w:val="14883EEC"/>
    <w:rsid w:val="180A196B"/>
    <w:rsid w:val="185F6D12"/>
    <w:rsid w:val="186143C2"/>
    <w:rsid w:val="18E60774"/>
    <w:rsid w:val="19855E4D"/>
    <w:rsid w:val="19CD370A"/>
    <w:rsid w:val="1B012302"/>
    <w:rsid w:val="1C317AB6"/>
    <w:rsid w:val="1C3606A2"/>
    <w:rsid w:val="1CA473E9"/>
    <w:rsid w:val="1CC52F7E"/>
    <w:rsid w:val="1D2F1C3B"/>
    <w:rsid w:val="1E0A3BC4"/>
    <w:rsid w:val="1E684E22"/>
    <w:rsid w:val="1F9C6AA6"/>
    <w:rsid w:val="21B622BD"/>
    <w:rsid w:val="225E5441"/>
    <w:rsid w:val="25486966"/>
    <w:rsid w:val="26243736"/>
    <w:rsid w:val="2755685C"/>
    <w:rsid w:val="275F6D2E"/>
    <w:rsid w:val="280653FC"/>
    <w:rsid w:val="28F61D09"/>
    <w:rsid w:val="29AC1FD3"/>
    <w:rsid w:val="2A2B541A"/>
    <w:rsid w:val="2A3C6EB3"/>
    <w:rsid w:val="2B714350"/>
    <w:rsid w:val="2B966A76"/>
    <w:rsid w:val="2BE55328"/>
    <w:rsid w:val="2D173C07"/>
    <w:rsid w:val="2D301BD3"/>
    <w:rsid w:val="2D782A6B"/>
    <w:rsid w:val="2DE41D3C"/>
    <w:rsid w:val="2EC74AA5"/>
    <w:rsid w:val="2FD96B30"/>
    <w:rsid w:val="309978F6"/>
    <w:rsid w:val="30CD01D9"/>
    <w:rsid w:val="30EB518F"/>
    <w:rsid w:val="33FB393B"/>
    <w:rsid w:val="36A61DCC"/>
    <w:rsid w:val="383733B0"/>
    <w:rsid w:val="38600A43"/>
    <w:rsid w:val="391117B1"/>
    <w:rsid w:val="39E14020"/>
    <w:rsid w:val="3A4361F4"/>
    <w:rsid w:val="3A4D19D4"/>
    <w:rsid w:val="3BCB5986"/>
    <w:rsid w:val="3C0439D0"/>
    <w:rsid w:val="3D113054"/>
    <w:rsid w:val="3DC413E1"/>
    <w:rsid w:val="3E7ED87B"/>
    <w:rsid w:val="3EA42E21"/>
    <w:rsid w:val="3F912386"/>
    <w:rsid w:val="3FCA52FB"/>
    <w:rsid w:val="3FFE9865"/>
    <w:rsid w:val="4229326C"/>
    <w:rsid w:val="427E60E8"/>
    <w:rsid w:val="43CA545D"/>
    <w:rsid w:val="44553725"/>
    <w:rsid w:val="44682E92"/>
    <w:rsid w:val="45440EBA"/>
    <w:rsid w:val="45EF24D9"/>
    <w:rsid w:val="47B73EFD"/>
    <w:rsid w:val="4932784F"/>
    <w:rsid w:val="494F2C97"/>
    <w:rsid w:val="4A031344"/>
    <w:rsid w:val="4B511F02"/>
    <w:rsid w:val="4B8A12E0"/>
    <w:rsid w:val="4C334CEA"/>
    <w:rsid w:val="4C8F3590"/>
    <w:rsid w:val="4CE27CEC"/>
    <w:rsid w:val="4D337DE9"/>
    <w:rsid w:val="4EA90A3F"/>
    <w:rsid w:val="4F4B3D85"/>
    <w:rsid w:val="4FED4628"/>
    <w:rsid w:val="50245E83"/>
    <w:rsid w:val="520256FD"/>
    <w:rsid w:val="52EE1C4E"/>
    <w:rsid w:val="53155A17"/>
    <w:rsid w:val="534053F3"/>
    <w:rsid w:val="536C61AC"/>
    <w:rsid w:val="53AB6CD4"/>
    <w:rsid w:val="54444A33"/>
    <w:rsid w:val="544B7B6F"/>
    <w:rsid w:val="580C7901"/>
    <w:rsid w:val="589D3C92"/>
    <w:rsid w:val="591B5366"/>
    <w:rsid w:val="595079D6"/>
    <w:rsid w:val="59786EF5"/>
    <w:rsid w:val="597A6828"/>
    <w:rsid w:val="5A352227"/>
    <w:rsid w:val="5A7B6CD4"/>
    <w:rsid w:val="5AED5EAA"/>
    <w:rsid w:val="5BC85F49"/>
    <w:rsid w:val="5BE00F06"/>
    <w:rsid w:val="5F561B6F"/>
    <w:rsid w:val="5F57E5CA"/>
    <w:rsid w:val="5FD86B42"/>
    <w:rsid w:val="60B05BFC"/>
    <w:rsid w:val="60ED369E"/>
    <w:rsid w:val="627708DD"/>
    <w:rsid w:val="63DD455C"/>
    <w:rsid w:val="640F75B7"/>
    <w:rsid w:val="64D4770D"/>
    <w:rsid w:val="65093C45"/>
    <w:rsid w:val="66976C44"/>
    <w:rsid w:val="669C35D3"/>
    <w:rsid w:val="66BF7866"/>
    <w:rsid w:val="67958B6E"/>
    <w:rsid w:val="67D16185"/>
    <w:rsid w:val="67ED5B76"/>
    <w:rsid w:val="68095BBE"/>
    <w:rsid w:val="6A5B49EF"/>
    <w:rsid w:val="6AC65D4A"/>
    <w:rsid w:val="6AFC071A"/>
    <w:rsid w:val="6B5E5F82"/>
    <w:rsid w:val="6BEB5FCA"/>
    <w:rsid w:val="6DA00AD4"/>
    <w:rsid w:val="6DB476C6"/>
    <w:rsid w:val="6DF91293"/>
    <w:rsid w:val="6EBF8458"/>
    <w:rsid w:val="6F2E492E"/>
    <w:rsid w:val="6F313EAB"/>
    <w:rsid w:val="6FC37AD4"/>
    <w:rsid w:val="707149AA"/>
    <w:rsid w:val="709F3E11"/>
    <w:rsid w:val="71CE3BCB"/>
    <w:rsid w:val="71FA2D6C"/>
    <w:rsid w:val="733C4DFB"/>
    <w:rsid w:val="73820B6A"/>
    <w:rsid w:val="744F6598"/>
    <w:rsid w:val="74810FBC"/>
    <w:rsid w:val="74B50B2B"/>
    <w:rsid w:val="77070F97"/>
    <w:rsid w:val="778E4093"/>
    <w:rsid w:val="77FD2660"/>
    <w:rsid w:val="78AD1F79"/>
    <w:rsid w:val="78BF211B"/>
    <w:rsid w:val="791800B8"/>
    <w:rsid w:val="799040F2"/>
    <w:rsid w:val="7A4A2C67"/>
    <w:rsid w:val="7ADA6993"/>
    <w:rsid w:val="7BF3250D"/>
    <w:rsid w:val="7CD24A74"/>
    <w:rsid w:val="7CE54755"/>
    <w:rsid w:val="7D9D0B8C"/>
    <w:rsid w:val="7D9F2B56"/>
    <w:rsid w:val="7DFF3A1B"/>
    <w:rsid w:val="7F0B39A9"/>
    <w:rsid w:val="7F7FA3F0"/>
    <w:rsid w:val="7FCE9F2A"/>
    <w:rsid w:val="7FEF1C2C"/>
    <w:rsid w:val="7FEF8F84"/>
    <w:rsid w:val="8F59704A"/>
    <w:rsid w:val="BBAFD84C"/>
    <w:rsid w:val="CB7B09BA"/>
    <w:rsid w:val="D5DD0B9B"/>
    <w:rsid w:val="DEFBAFF1"/>
    <w:rsid w:val="EECA14B6"/>
    <w:rsid w:val="EF846A39"/>
    <w:rsid w:val="FF3F59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next w:val="3"/>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28"/>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1"/>
    <w:autoRedefine/>
    <w:qFormat/>
    <w:uiPriority w:val="0"/>
    <w:pPr>
      <w:shd w:val="clear" w:color="auto" w:fill="000080"/>
    </w:pPr>
  </w:style>
  <w:style w:type="paragraph" w:styleId="21">
    <w:name w:val="annotation text"/>
    <w:basedOn w:val="1"/>
    <w:link w:val="342"/>
    <w:autoRedefine/>
    <w:qFormat/>
    <w:uiPriority w:val="99"/>
    <w:pPr>
      <w:jc w:val="left"/>
    </w:pPr>
  </w:style>
  <w:style w:type="paragraph" w:styleId="22">
    <w:name w:val="Salutation"/>
    <w:basedOn w:val="1"/>
    <w:next w:val="1"/>
    <w:link w:val="296"/>
    <w:autoRedefine/>
    <w:qFormat/>
    <w:uiPriority w:val="0"/>
    <w:rPr>
      <w:rFonts w:ascii="仿宋_GB2312" w:eastAsia="仿宋_GB2312"/>
      <w:sz w:val="28"/>
      <w:szCs w:val="20"/>
    </w:rPr>
  </w:style>
  <w:style w:type="paragraph" w:styleId="23">
    <w:name w:val="Body Text 3"/>
    <w:basedOn w:val="1"/>
    <w:link w:val="328"/>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w:basedOn w:val="1"/>
    <w:next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link w:val="263"/>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0"/>
    <w:autoRedefine/>
    <w:qFormat/>
    <w:uiPriority w:val="0"/>
    <w:pPr>
      <w:ind w:left="100" w:leftChars="2500"/>
    </w:pPr>
    <w:rPr>
      <w:rFonts w:ascii="宋体"/>
      <w:sz w:val="24"/>
      <w:szCs w:val="21"/>
      <w:lang w:val="zh-CN"/>
    </w:rPr>
  </w:style>
  <w:style w:type="paragraph" w:styleId="38">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0"/>
    <w:autoRedefine/>
    <w:qFormat/>
    <w:uiPriority w:val="0"/>
    <w:rPr>
      <w:lang w:val="zh-CN"/>
    </w:rPr>
  </w:style>
  <w:style w:type="paragraph" w:styleId="40">
    <w:name w:val="Balloon Text"/>
    <w:basedOn w:val="1"/>
    <w:link w:val="187"/>
    <w:autoRedefine/>
    <w:qFormat/>
    <w:uiPriority w:val="0"/>
    <w:rPr>
      <w:sz w:val="18"/>
      <w:szCs w:val="18"/>
    </w:rPr>
  </w:style>
  <w:style w:type="paragraph" w:styleId="41">
    <w:name w:val="footer"/>
    <w:basedOn w:val="1"/>
    <w:link w:val="381"/>
    <w:autoRedefine/>
    <w:qFormat/>
    <w:uiPriority w:val="99"/>
    <w:pPr>
      <w:tabs>
        <w:tab w:val="center" w:pos="4153"/>
        <w:tab w:val="right" w:pos="8306"/>
      </w:tabs>
      <w:snapToGrid w:val="0"/>
      <w:jc w:val="left"/>
    </w:pPr>
    <w:rPr>
      <w:sz w:val="18"/>
      <w:szCs w:val="18"/>
    </w:rPr>
  </w:style>
  <w:style w:type="paragraph" w:styleId="42">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17"/>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3"/>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0"/>
    <w:autoRedefine/>
    <w:qFormat/>
    <w:uiPriority w:val="0"/>
    <w:pPr>
      <w:spacing w:after="120" w:line="480" w:lineRule="auto"/>
    </w:pPr>
  </w:style>
  <w:style w:type="paragraph" w:styleId="58">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autoRedefine/>
    <w:qFormat/>
    <w:uiPriority w:val="0"/>
    <w:rPr>
      <w:b/>
      <w:bCs/>
    </w:rPr>
  </w:style>
  <w:style w:type="paragraph" w:styleId="62">
    <w:name w:val="Body Text First Indent"/>
    <w:basedOn w:val="25"/>
    <w:next w:val="1"/>
    <w:link w:val="319"/>
    <w:autoRedefine/>
    <w:qFormat/>
    <w:uiPriority w:val="0"/>
    <w:pPr>
      <w:ind w:firstLine="420"/>
    </w:pPr>
    <w:rPr>
      <w:rFonts w:hAnsi="Calibri" w:cs="Times New Roman"/>
      <w:snapToGrid/>
      <w:szCs w:val="20"/>
    </w:rPr>
  </w:style>
  <w:style w:type="paragraph" w:styleId="63">
    <w:name w:val="Body Text First Indent 2"/>
    <w:basedOn w:val="26"/>
    <w:link w:val="120"/>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1"/>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3"/>
    <w:autoRedefine/>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71"/>
    <w:autoRedefine/>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99"/>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5"/>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2"/>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qFormat/>
    <w:uiPriority w:val="99"/>
    <w:rPr>
      <w:rFonts w:ascii="Times New Roman" w:hAnsi="Times New Roman" w:eastAsia="宋体" w:cs="Times New Roman"/>
      <w:szCs w:val="24"/>
    </w:rPr>
  </w:style>
  <w:style w:type="character" w:customStyle="1" w:styleId="187">
    <w:name w:val="批注框文本 Char"/>
    <w:link w:val="40"/>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7"/>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99"/>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6"/>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20"/>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autoRedefine/>
    <w:qFormat/>
    <w:uiPriority w:val="99"/>
    <w:rPr>
      <w:rFonts w:eastAsia="宋体"/>
      <w:kern w:val="2"/>
      <w:sz w:val="18"/>
      <w:szCs w:val="18"/>
      <w:lang w:val="en-US" w:eastAsia="zh-CN" w:bidi="ar-SA"/>
    </w:rPr>
  </w:style>
  <w:style w:type="character" w:customStyle="1" w:styleId="213">
    <w:name w:val="md"/>
    <w:basedOn w:val="71"/>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1"/>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7"/>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autoRedefine/>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8"/>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6"/>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4"/>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60"/>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8"/>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2"/>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8"/>
    <w:autoRedefine/>
    <w:qFormat/>
    <w:uiPriority w:val="0"/>
    <w:rPr>
      <w:rFonts w:ascii="黑体" w:hAnsi="Courier New" w:eastAsia="黑体"/>
    </w:rPr>
  </w:style>
  <w:style w:type="character" w:customStyle="1" w:styleId="300">
    <w:name w:val="正文文本 2 Char1"/>
    <w:link w:val="57"/>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7"/>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10"/>
    <w:autoRedefine/>
    <w:qFormat/>
    <w:uiPriority w:val="0"/>
    <w:rPr>
      <w:b/>
      <w:bCs/>
      <w:kern w:val="2"/>
      <w:sz w:val="24"/>
      <w:szCs w:val="24"/>
    </w:rPr>
  </w:style>
  <w:style w:type="character" w:customStyle="1" w:styleId="306">
    <w:name w:val="正文文本缩进 2 Char"/>
    <w:link w:val="38"/>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51"/>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62"/>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7"/>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3"/>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autoRedefine/>
    <w:qFormat/>
    <w:uiPriority w:val="99"/>
    <w:rPr>
      <w:kern w:val="2"/>
      <w:sz w:val="21"/>
      <w:szCs w:val="24"/>
    </w:rPr>
  </w:style>
  <w:style w:type="character" w:customStyle="1" w:styleId="343">
    <w:name w:val="签名 Char"/>
    <w:link w:val="43"/>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4"/>
    <w:autoRedefine/>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Char2"/>
    <w:link w:val="41"/>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2"/>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71"/>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17"/>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71"/>
    <w:autoRedefine/>
    <w:qFormat/>
    <w:uiPriority w:val="0"/>
    <w:rPr>
      <w:rFonts w:ascii="Arial" w:hAnsi="Arial" w:eastAsia="黑体" w:cs="Arial"/>
      <w:snapToGrid w:val="0"/>
      <w:kern w:val="0"/>
      <w:szCs w:val="21"/>
    </w:rPr>
  </w:style>
  <w:style w:type="character" w:customStyle="1" w:styleId="430">
    <w:name w:val="hui"/>
    <w:basedOn w:val="71"/>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5"/>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outlineLvl w:val="5"/>
    </w:pPr>
  </w:style>
  <w:style w:type="paragraph" w:customStyle="1" w:styleId="472">
    <w:name w:val="5级标题"/>
    <w:basedOn w:val="473"/>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6"/>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8"/>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7"/>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autoRedefine/>
    <w:qFormat/>
    <w:uiPriority w:val="0"/>
    <w:rPr>
      <w:rFonts w:ascii="宋体" w:eastAsia="宋体" w:cs="Times New Roman"/>
      <w:color w:val="auto"/>
    </w:rPr>
  </w:style>
  <w:style w:type="paragraph" w:customStyle="1" w:styleId="548">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4"/>
    <w:autoRedefine/>
    <w:qFormat/>
    <w:uiPriority w:val="0"/>
    <w:pPr>
      <w:tabs>
        <w:tab w:val="left" w:pos="840"/>
      </w:tabs>
      <w:adjustRightInd/>
      <w:ind w:left="840" w:hanging="420"/>
    </w:pPr>
  </w:style>
  <w:style w:type="paragraph" w:customStyle="1" w:styleId="624">
    <w:name w:val="样式 标题 2标题2H2Heading 2 HiddenHeading 2 CCBSheading 22nd lev..."/>
    <w:basedOn w:val="5"/>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ind w:left="1680"/>
      <w:outlineLvl w:val="2"/>
    </w:pPr>
  </w:style>
  <w:style w:type="paragraph" w:customStyle="1" w:styleId="656">
    <w:name w:val="章标题"/>
    <w:next w:val="6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autoRedefine/>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autoRedefine/>
    <w:qFormat/>
    <w:uiPriority w:val="0"/>
    <w:pPr>
      <w:autoSpaceDE/>
      <w:autoSpaceDN/>
      <w:snapToGrid w:val="0"/>
      <w:ind w:firstLine="480" w:firstLineChars="200"/>
    </w:pPr>
    <w:rPr>
      <w:rFonts w:ascii="Times New Roman"/>
      <w:szCs w:val="24"/>
      <w:lang w:val="en-US"/>
    </w:rPr>
  </w:style>
  <w:style w:type="paragraph" w:customStyle="1" w:styleId="768">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7"/>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20"/>
    <w:autoRedefine/>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autoRedefine/>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table" w:customStyle="1" w:styleId="965">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107</Pages>
  <Words>56750</Words>
  <Characters>60710</Characters>
  <Lines>348</Lines>
  <Paragraphs>98</Paragraphs>
  <TotalTime>9</TotalTime>
  <ScaleCrop>false</ScaleCrop>
  <LinksUpToDate>false</LinksUpToDate>
  <CharactersWithSpaces>64739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2023-12-29T18:04:00Z</dcterms:created>
  <dc:creator>玥</dc:creator>
  <cp:lastModifiedBy>巧</cp:lastModifiedBy>
  <cp:lastPrinted>2024-04-08T02:00:00Z</cp:lastPrinted>
  <dcterms:modified xsi:type="dcterms:W3CDTF">2024-04-25T08:08:16Z</dcterms:modified>
  <dc:title>杭州市市民卡扩大发卡工程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B6D06D7FA60B4BCEBF132637D136158F_13</vt:lpwstr>
  </property>
</Properties>
</file>